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13D5B6" w14:textId="77777777" w:rsidR="003B3C06" w:rsidRDefault="003B3C06" w:rsidP="00C27651">
      <w:pPr>
        <w:pStyle w:val="DocumentPublishDate"/>
      </w:pPr>
      <w:r>
        <w:rPr>
          <w:noProof/>
          <w:lang w:val="en-US"/>
        </w:rPr>
        <mc:AlternateContent>
          <mc:Choice Requires="wps">
            <w:drawing>
              <wp:inline distT="0" distB="0" distL="0" distR="0" wp14:anchorId="723D19E4" wp14:editId="7094D9C4">
                <wp:extent cx="3333115" cy="2163445"/>
                <wp:effectExtent l="0" t="0" r="635" b="4445"/>
                <wp:docPr id="45" name="Freeform 36" descr="Implementation Review of the Pharmacy Trial Program - Final Report"/>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33115" cy="2163445"/>
                        </a:xfrm>
                        <a:custGeom>
                          <a:avLst/>
                          <a:gdLst>
                            <a:gd name="T0" fmla="*/ 91 w 4196"/>
                            <a:gd name="T1" fmla="*/ 0 h 2722"/>
                            <a:gd name="T2" fmla="*/ 0 w 4196"/>
                            <a:gd name="T3" fmla="*/ 91 h 2722"/>
                            <a:gd name="T4" fmla="*/ 0 w 4196"/>
                            <a:gd name="T5" fmla="*/ 2631 h 2722"/>
                            <a:gd name="T6" fmla="*/ 91 w 4196"/>
                            <a:gd name="T7" fmla="*/ 2722 h 2722"/>
                            <a:gd name="T8" fmla="*/ 4105 w 4196"/>
                            <a:gd name="T9" fmla="*/ 2722 h 2722"/>
                            <a:gd name="T10" fmla="*/ 4196 w 4196"/>
                            <a:gd name="T11" fmla="*/ 2631 h 2722"/>
                            <a:gd name="T12" fmla="*/ 4196 w 4196"/>
                            <a:gd name="T13" fmla="*/ 91 h 2722"/>
                            <a:gd name="T14" fmla="*/ 4105 w 4196"/>
                            <a:gd name="T15" fmla="*/ 0 h 2722"/>
                            <a:gd name="T16" fmla="*/ 91 w 4196"/>
                            <a:gd name="T17" fmla="*/ 0 h 27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196" h="2722">
                              <a:moveTo>
                                <a:pt x="91" y="0"/>
                              </a:moveTo>
                              <a:cubicBezTo>
                                <a:pt x="91" y="0"/>
                                <a:pt x="0" y="0"/>
                                <a:pt x="0" y="91"/>
                              </a:cubicBezTo>
                              <a:lnTo>
                                <a:pt x="0" y="2631"/>
                              </a:lnTo>
                              <a:cubicBezTo>
                                <a:pt x="0" y="2631"/>
                                <a:pt x="0" y="2722"/>
                                <a:pt x="91" y="2722"/>
                              </a:cubicBezTo>
                              <a:lnTo>
                                <a:pt x="4105" y="2722"/>
                              </a:lnTo>
                              <a:cubicBezTo>
                                <a:pt x="4105" y="2722"/>
                                <a:pt x="4196" y="2722"/>
                                <a:pt x="4196" y="2631"/>
                              </a:cubicBezTo>
                              <a:lnTo>
                                <a:pt x="4196" y="91"/>
                              </a:lnTo>
                              <a:cubicBezTo>
                                <a:pt x="4196" y="91"/>
                                <a:pt x="4196" y="0"/>
                                <a:pt x="4105" y="0"/>
                              </a:cubicBezTo>
                              <a:lnTo>
                                <a:pt x="91" y="0"/>
                              </a:lnTo>
                              <a:close/>
                            </a:path>
                          </a:pathLst>
                        </a:custGeom>
                        <a:solidFill>
                          <a:schemeClr val="bg1"/>
                        </a:solidFill>
                        <a:ln w="0">
                          <a:noFill/>
                          <a:prstDash val="solid"/>
                          <a:round/>
                          <a:headEnd/>
                          <a:tailEnd/>
                        </a:ln>
                      </wps:spPr>
                      <wps:txbx>
                        <w:txbxContent>
                          <w:tbl>
                            <w:tblPr>
                              <w:tblStyle w:val="TableGrid"/>
                              <w:tblOverlap w:val="never"/>
                              <w:tblW w:w="0" w:type="auto"/>
                              <w:tblBorders>
                                <w:top w:val="single" w:sz="8" w:space="0" w:color="000000" w:themeColor="text1"/>
                                <w:insideV w:val="single" w:sz="4" w:space="0" w:color="000000" w:themeColor="text1"/>
                              </w:tblBorders>
                              <w:tblLayout w:type="fixed"/>
                              <w:tblLook w:val="06A0" w:firstRow="1" w:lastRow="0" w:firstColumn="1" w:lastColumn="0" w:noHBand="1" w:noVBand="1"/>
                              <w:tblDescription w:val="Implementtion Review of the Pharmacy Trial Program - Final Report"/>
                            </w:tblPr>
                            <w:tblGrid>
                              <w:gridCol w:w="4579"/>
                            </w:tblGrid>
                            <w:tr w:rsidR="000619E2" w14:paraId="71A05CD2" w14:textId="77777777" w:rsidTr="000619E2">
                              <w:trPr>
                                <w:cantSplit/>
                                <w:trHeight w:val="25"/>
                                <w:tblHeader/>
                              </w:trPr>
                              <w:tc>
                                <w:tcPr>
                                  <w:tcW w:w="4579" w:type="dxa"/>
                                  <w:tcBorders>
                                    <w:top w:val="single" w:sz="8" w:space="0" w:color="000000" w:themeColor="text1"/>
                                    <w:bottom w:val="single" w:sz="4" w:space="0" w:color="000000" w:themeColor="text1"/>
                                  </w:tcBorders>
                                  <w:tcMar>
                                    <w:top w:w="170" w:type="dxa"/>
                                  </w:tcMar>
                                </w:tcPr>
                                <w:p w14:paraId="0F23F5FB" w14:textId="3C984069" w:rsidR="000619E2" w:rsidRDefault="000619E2" w:rsidP="0021246E">
                                  <w:pPr>
                                    <w:suppressOverlap/>
                                  </w:pPr>
                                  <w:r>
                                    <w:rPr>
                                      <w:rFonts w:asciiTheme="majorHAnsi" w:hAnsiTheme="majorHAnsi"/>
                                      <w:caps/>
                                      <w:sz w:val="24"/>
                                    </w:rPr>
                                    <w:t>Australian Government Department of Health</w:t>
                                  </w:r>
                                </w:p>
                              </w:tc>
                            </w:tr>
                            <w:tr w:rsidR="000619E2" w14:paraId="52111159" w14:textId="77777777" w:rsidTr="000619E2">
                              <w:trPr>
                                <w:cantSplit/>
                                <w:trHeight w:val="1368"/>
                                <w:tblHeader/>
                              </w:trPr>
                              <w:tc>
                                <w:tcPr>
                                  <w:tcW w:w="4579" w:type="dxa"/>
                                  <w:tcBorders>
                                    <w:top w:val="single" w:sz="4" w:space="0" w:color="000000" w:themeColor="text1"/>
                                  </w:tcBorders>
                                  <w:tcMar>
                                    <w:top w:w="142" w:type="dxa"/>
                                  </w:tcMar>
                                </w:tcPr>
                                <w:p w14:paraId="3015DECC" w14:textId="0F48F2A0" w:rsidR="000619E2" w:rsidRPr="00BD2592" w:rsidRDefault="000619E2" w:rsidP="00BD2592">
                                  <w:pPr>
                                    <w:pStyle w:val="Title"/>
                                  </w:pPr>
                                  <w:r w:rsidRPr="002B1F8C">
                                    <w:rPr>
                                      <w:sz w:val="32"/>
                                      <w:szCs w:val="18"/>
                                    </w:rPr>
                                    <w:t>Implementation Review of the Pharmacy Trial Program</w:t>
                                  </w:r>
                                </w:p>
                              </w:tc>
                            </w:tr>
                            <w:tr w:rsidR="000619E2" w14:paraId="1095BC8B" w14:textId="77777777" w:rsidTr="000619E2">
                              <w:trPr>
                                <w:cantSplit/>
                                <w:trHeight w:val="425"/>
                                <w:tblHeader/>
                              </w:trPr>
                              <w:tc>
                                <w:tcPr>
                                  <w:tcW w:w="4579" w:type="dxa"/>
                                  <w:tcBorders>
                                    <w:bottom w:val="single" w:sz="4" w:space="0" w:color="000000" w:themeColor="text1"/>
                                  </w:tcBorders>
                                </w:tcPr>
                                <w:p w14:paraId="73D369FB" w14:textId="29F7DD72" w:rsidR="000619E2" w:rsidRDefault="000619E2" w:rsidP="0021246E">
                                  <w:pPr>
                                    <w:spacing w:after="142"/>
                                    <w:suppressOverlap/>
                                  </w:pPr>
                                  <w:r>
                                    <w:rPr>
                                      <w:rStyle w:val="DocumentInfoChar"/>
                                    </w:rPr>
                                    <w:t>Final Report</w:t>
                                  </w:r>
                                </w:p>
                              </w:tc>
                            </w:tr>
                            <w:tr w:rsidR="000619E2" w14:paraId="4958E001" w14:textId="77777777" w:rsidTr="000619E2">
                              <w:trPr>
                                <w:cantSplit/>
                                <w:trHeight w:val="30"/>
                                <w:tblHeader/>
                              </w:trPr>
                              <w:tc>
                                <w:tcPr>
                                  <w:tcW w:w="4579" w:type="dxa"/>
                                  <w:tcBorders>
                                    <w:top w:val="single" w:sz="4" w:space="0" w:color="000000" w:themeColor="text1"/>
                                  </w:tcBorders>
                                  <w:tcMar>
                                    <w:top w:w="130" w:type="dxa"/>
                                  </w:tcMar>
                                </w:tcPr>
                                <w:p w14:paraId="5B6EEBCC" w14:textId="0227D4CF" w:rsidR="000619E2" w:rsidRPr="006756D6" w:rsidRDefault="000619E2" w:rsidP="006756D6">
                                  <w:pPr>
                                    <w:pStyle w:val="DocumentPublishDate"/>
                                    <w:rPr>
                                      <w:szCs w:val="22"/>
                                    </w:rPr>
                                  </w:pPr>
                                  <w:r>
                                    <w:rPr>
                                      <w:szCs w:val="22"/>
                                    </w:rPr>
                                    <w:t>18 November 2019</w:t>
                                  </w:r>
                                </w:p>
                              </w:tc>
                            </w:tr>
                          </w:tbl>
                          <w:p w14:paraId="7196599B" w14:textId="77777777" w:rsidR="000619E2" w:rsidRPr="00B87449" w:rsidRDefault="000619E2" w:rsidP="003B3C06">
                            <w:pPr>
                              <w:spacing w:after="200"/>
                              <w:rPr>
                                <w:sz w:val="2"/>
                                <w:szCs w:val="2"/>
                              </w:rPr>
                            </w:pPr>
                          </w:p>
                        </w:txbxContent>
                      </wps:txbx>
                      <wps:bodyPr rot="0" vert="horz" wrap="square" lIns="216000" tIns="144000" rIns="216000" bIns="0" anchor="t" anchorCtr="0" upright="1">
                        <a:spAutoFit/>
                      </wps:bodyPr>
                    </wps:wsp>
                  </a:graphicData>
                </a:graphic>
              </wp:inline>
            </w:drawing>
          </mc:Choice>
          <mc:Fallback>
            <w:pict>
              <v:shape w14:anchorId="723D19E4" id="Freeform 36" o:spid="_x0000_s1026" alt="Implementation Review of the Pharmacy Trial Program - Final Report" style="width:262.45pt;height:170.35pt;visibility:visible;mso-wrap-style:square;mso-left-percent:-10001;mso-top-percent:-10001;mso-position-horizontal:absolute;mso-position-horizontal-relative:char;mso-position-vertical:absolute;mso-position-vertical-relative:line;mso-left-percent:-10001;mso-top-percent:-10001;v-text-anchor:top" coordsize="4196,272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" adj="-11796480,,5400" path="m91,c91,,,,,91l,2631v,,,91,91,91l4105,2722v,,91,,91,-91l4196,91v,,,-91,-91,-91l91,xe" fillcolor="white [3212]" stroked="f" strokeweight="0">
                <v:stroke joinstyle="round"/>
                <v:formulas/>
                <v:path arrowok="t" o:connecttype="custom" o:connectlocs="72286,0;0,72327;0,2091118;72286,2163445;3260829,2163445;3333115,2091118;3333115,72327;3260829,0;72286,0" o:connectangles="0,0,0,0,0,0,0,0,0" textboxrect="0,0,4196,2722"/>
                <v:textbox style="mso-fit-shape-to-text:t" inset="6mm,4mm,6mm,0">
                  <w:txbxContent>
                    <w:tbl>
                      <w:tblPr>
                        <w:tblStyle w:val="TableGrid"/>
                        <w:tblOverlap w:val="never"/>
                        <w:tblW w:w="0" w:type="auto"/>
                        <w:tblBorders>
                          <w:top w:val="single" w:sz="8" w:space="0" w:color="000000" w:themeColor="text1"/>
                          <w:insideV w:val="single" w:sz="4" w:space="0" w:color="000000" w:themeColor="text1"/>
                        </w:tblBorders>
                        <w:tblLayout w:type="fixed"/>
                        <w:tblLook w:val="06A0" w:firstRow="1" w:lastRow="0" w:firstColumn="1" w:lastColumn="0" w:noHBand="1" w:noVBand="1"/>
                        <w:tblDescription w:val="Implementtion Review of the Pharmacy Trial Program - Final Report"/>
                      </w:tblPr>
                      <w:tblGrid>
                        <w:gridCol w:w="4579"/>
                      </w:tblGrid>
                      <w:tr w:rsidR="000619E2" w14:paraId="71A05CD2" w14:textId="77777777" w:rsidTr="000619E2">
                        <w:trPr>
                          <w:cantSplit/>
                          <w:trHeight w:val="25"/>
                          <w:tblHeader/>
                        </w:trPr>
                        <w:tc>
                          <w:tcPr>
                            <w:tcW w:w="4579" w:type="dxa"/>
                            <w:tcBorders>
                              <w:top w:val="single" w:sz="8" w:space="0" w:color="000000" w:themeColor="text1"/>
                              <w:bottom w:val="single" w:sz="4" w:space="0" w:color="000000" w:themeColor="text1"/>
                            </w:tcBorders>
                            <w:tcMar>
                              <w:top w:w="170" w:type="dxa"/>
                            </w:tcMar>
                          </w:tcPr>
                          <w:p w14:paraId="0F23F5FB" w14:textId="3C984069" w:rsidR="000619E2" w:rsidRDefault="000619E2" w:rsidP="0021246E">
                            <w:pPr>
                              <w:suppressOverlap/>
                            </w:pPr>
                            <w:r>
                              <w:rPr>
                                <w:rFonts w:asciiTheme="majorHAnsi" w:hAnsiTheme="majorHAnsi"/>
                                <w:caps/>
                                <w:sz w:val="24"/>
                              </w:rPr>
                              <w:t>Australian Government Department of Health</w:t>
                            </w:r>
                          </w:p>
                        </w:tc>
                      </w:tr>
                      <w:tr w:rsidR="000619E2" w14:paraId="52111159" w14:textId="77777777" w:rsidTr="000619E2">
                        <w:trPr>
                          <w:cantSplit/>
                          <w:trHeight w:val="1368"/>
                          <w:tblHeader/>
                        </w:trPr>
                        <w:tc>
                          <w:tcPr>
                            <w:tcW w:w="4579" w:type="dxa"/>
                            <w:tcBorders>
                              <w:top w:val="single" w:sz="4" w:space="0" w:color="000000" w:themeColor="text1"/>
                            </w:tcBorders>
                            <w:tcMar>
                              <w:top w:w="142" w:type="dxa"/>
                            </w:tcMar>
                          </w:tcPr>
                          <w:p w14:paraId="3015DECC" w14:textId="0F48F2A0" w:rsidR="000619E2" w:rsidRPr="00BD2592" w:rsidRDefault="000619E2" w:rsidP="00BD2592">
                            <w:pPr>
                              <w:pStyle w:val="Title"/>
                            </w:pPr>
                            <w:r w:rsidRPr="002B1F8C">
                              <w:rPr>
                                <w:sz w:val="32"/>
                                <w:szCs w:val="18"/>
                              </w:rPr>
                              <w:t>Implementation Review of the Pharmacy Trial Program</w:t>
                            </w:r>
                          </w:p>
                        </w:tc>
                      </w:tr>
                      <w:tr w:rsidR="000619E2" w14:paraId="1095BC8B" w14:textId="77777777" w:rsidTr="000619E2">
                        <w:trPr>
                          <w:cantSplit/>
                          <w:trHeight w:val="425"/>
                          <w:tblHeader/>
                        </w:trPr>
                        <w:tc>
                          <w:tcPr>
                            <w:tcW w:w="4579" w:type="dxa"/>
                            <w:tcBorders>
                              <w:bottom w:val="single" w:sz="4" w:space="0" w:color="000000" w:themeColor="text1"/>
                            </w:tcBorders>
                          </w:tcPr>
                          <w:p w14:paraId="73D369FB" w14:textId="29F7DD72" w:rsidR="000619E2" w:rsidRDefault="000619E2" w:rsidP="0021246E">
                            <w:pPr>
                              <w:spacing w:after="142"/>
                              <w:suppressOverlap/>
                            </w:pPr>
                            <w:r>
                              <w:rPr>
                                <w:rStyle w:val="DocumentInfoChar"/>
                              </w:rPr>
                              <w:t>Final Report</w:t>
                            </w:r>
                          </w:p>
                        </w:tc>
                      </w:tr>
                      <w:tr w:rsidR="000619E2" w14:paraId="4958E001" w14:textId="77777777" w:rsidTr="000619E2">
                        <w:trPr>
                          <w:cantSplit/>
                          <w:trHeight w:val="30"/>
                          <w:tblHeader/>
                        </w:trPr>
                        <w:tc>
                          <w:tcPr>
                            <w:tcW w:w="4579" w:type="dxa"/>
                            <w:tcBorders>
                              <w:top w:val="single" w:sz="4" w:space="0" w:color="000000" w:themeColor="text1"/>
                            </w:tcBorders>
                            <w:tcMar>
                              <w:top w:w="130" w:type="dxa"/>
                            </w:tcMar>
                          </w:tcPr>
                          <w:p w14:paraId="5B6EEBCC" w14:textId="0227D4CF" w:rsidR="000619E2" w:rsidRPr="006756D6" w:rsidRDefault="000619E2" w:rsidP="006756D6">
                            <w:pPr>
                              <w:pStyle w:val="DocumentPublishDate"/>
                              <w:rPr>
                                <w:szCs w:val="22"/>
                              </w:rPr>
                            </w:pPr>
                            <w:r>
                              <w:rPr>
                                <w:szCs w:val="22"/>
                              </w:rPr>
                              <w:t>18 November 2019</w:t>
                            </w:r>
                          </w:p>
                        </w:tc>
                      </w:tr>
                    </w:tbl>
                    <w:p w14:paraId="7196599B" w14:textId="77777777" w:rsidR="000619E2" w:rsidRPr="00B87449" w:rsidRDefault="000619E2" w:rsidP="003B3C06">
                      <w:pPr>
                        <w:spacing w:after="200"/>
                        <w:rPr>
                          <w:sz w:val="2"/>
                          <w:szCs w:val="2"/>
                        </w:rPr>
                      </w:pPr>
                    </w:p>
                  </w:txbxContent>
                </v:textbox>
                <w10:anchorlock/>
              </v:shape>
            </w:pict>
          </mc:Fallback>
        </mc:AlternateContent>
      </w:r>
    </w:p>
    <w:p w14:paraId="54FA7C9C" w14:textId="77777777" w:rsidR="003B3C06" w:rsidRDefault="003B3C06" w:rsidP="003B3C06">
      <w:pPr>
        <w:sectPr w:rsidR="003B3C06" w:rsidSect="002B1F8C">
          <w:footerReference w:type="even" r:id="rId9"/>
          <w:pgSz w:w="16838" w:h="11906" w:orient="landscape" w:code="9"/>
          <w:pgMar w:top="4962" w:right="1304" w:bottom="1134" w:left="737" w:header="720" w:footer="720" w:gutter="0"/>
          <w:cols w:num="2" w:space="227"/>
          <w:docGrid w:linePitch="360"/>
        </w:sectPr>
      </w:pPr>
      <w:bookmarkStart w:id="0" w:name="_GoBack"/>
      <w:bookmarkEnd w:id="0"/>
    </w:p>
    <w:p w14:paraId="5B695E50" w14:textId="77777777" w:rsidR="00903621" w:rsidRDefault="00903621" w:rsidP="00903621">
      <w:pPr>
        <w:pStyle w:val="TOCTitle"/>
        <w:framePr w:wrap="around"/>
      </w:pPr>
      <w:r w:rsidRPr="00903621">
        <w:lastRenderedPageBreak/>
        <w:t>Table of contents</w:t>
      </w:r>
    </w:p>
    <w:p w14:paraId="494A65F5" w14:textId="0CA7C9DE" w:rsidR="002239EC" w:rsidRDefault="00BD7746">
      <w:pPr>
        <w:pStyle w:val="TOC1"/>
        <w:rPr>
          <w:rFonts w:asciiTheme="minorHAnsi" w:eastAsiaTheme="minorEastAsia" w:hAnsiTheme="minorHAnsi" w:cstheme="minorBidi"/>
          <w:caps w:val="0"/>
          <w:noProof/>
          <w:color w:val="auto"/>
          <w:spacing w:val="0"/>
          <w:szCs w:val="22"/>
          <w:lang w:eastAsia="en-AU"/>
        </w:rPr>
      </w:pPr>
      <w:r>
        <w:rPr>
          <w:sz w:val="28"/>
          <w:u w:val="single"/>
        </w:rPr>
        <w:fldChar w:fldCharType="begin"/>
      </w:r>
      <w:r>
        <w:rPr>
          <w:sz w:val="28"/>
          <w:u w:val="single"/>
        </w:rPr>
        <w:instrText xml:space="preserve"> TOC \h \z \t "Heading 1,2,Heading 2,3,Heading 3,4,Divider Page Title,5,Appendix Heading,3,ES-Heading 1,1,Section Title,1" </w:instrText>
      </w:r>
      <w:r>
        <w:rPr>
          <w:sz w:val="28"/>
          <w:u w:val="single"/>
        </w:rPr>
        <w:fldChar w:fldCharType="separate"/>
      </w:r>
      <w:hyperlink w:anchor="_Toc26366343" w:history="1">
        <w:r w:rsidR="002239EC" w:rsidRPr="00091141">
          <w:rPr>
            <w:rStyle w:val="Hyperlink"/>
            <w:noProof/>
          </w:rPr>
          <w:t>Abbreviations</w:t>
        </w:r>
        <w:r w:rsidR="002239EC">
          <w:rPr>
            <w:noProof/>
            <w:webHidden/>
          </w:rPr>
          <w:tab/>
        </w:r>
        <w:r w:rsidR="002239EC">
          <w:rPr>
            <w:noProof/>
            <w:webHidden/>
          </w:rPr>
          <w:fldChar w:fldCharType="begin"/>
        </w:r>
        <w:r w:rsidR="002239EC">
          <w:rPr>
            <w:noProof/>
            <w:webHidden/>
          </w:rPr>
          <w:instrText xml:space="preserve"> PAGEREF _Toc26366343 \h </w:instrText>
        </w:r>
        <w:r w:rsidR="002239EC">
          <w:rPr>
            <w:noProof/>
            <w:webHidden/>
          </w:rPr>
        </w:r>
        <w:r w:rsidR="002239EC">
          <w:rPr>
            <w:noProof/>
            <w:webHidden/>
          </w:rPr>
          <w:fldChar w:fldCharType="separate"/>
        </w:r>
        <w:r w:rsidR="002239EC">
          <w:rPr>
            <w:noProof/>
            <w:webHidden/>
          </w:rPr>
          <w:t>i</w:t>
        </w:r>
        <w:r w:rsidR="002239EC">
          <w:rPr>
            <w:noProof/>
            <w:webHidden/>
          </w:rPr>
          <w:fldChar w:fldCharType="end"/>
        </w:r>
      </w:hyperlink>
    </w:p>
    <w:p w14:paraId="46364511" w14:textId="4A2F2BD0" w:rsidR="002239EC" w:rsidRDefault="000619E2">
      <w:pPr>
        <w:pStyle w:val="TOC1"/>
        <w:rPr>
          <w:rFonts w:asciiTheme="minorHAnsi" w:eastAsiaTheme="minorEastAsia" w:hAnsiTheme="minorHAnsi" w:cstheme="minorBidi"/>
          <w:caps w:val="0"/>
          <w:noProof/>
          <w:color w:val="auto"/>
          <w:spacing w:val="0"/>
          <w:szCs w:val="22"/>
          <w:lang w:eastAsia="en-AU"/>
        </w:rPr>
      </w:pPr>
      <w:hyperlink w:anchor="_Toc26366344" w:history="1">
        <w:r w:rsidR="002239EC" w:rsidRPr="00091141">
          <w:rPr>
            <w:rStyle w:val="Hyperlink"/>
            <w:noProof/>
          </w:rPr>
          <w:t>Executive summary</w:t>
        </w:r>
        <w:r w:rsidR="002239EC">
          <w:rPr>
            <w:noProof/>
            <w:webHidden/>
          </w:rPr>
          <w:tab/>
        </w:r>
        <w:r w:rsidR="002239EC">
          <w:rPr>
            <w:noProof/>
            <w:webHidden/>
          </w:rPr>
          <w:fldChar w:fldCharType="begin"/>
        </w:r>
        <w:r w:rsidR="002239EC">
          <w:rPr>
            <w:noProof/>
            <w:webHidden/>
          </w:rPr>
          <w:instrText xml:space="preserve"> PAGEREF _Toc26366344 \h </w:instrText>
        </w:r>
        <w:r w:rsidR="002239EC">
          <w:rPr>
            <w:noProof/>
            <w:webHidden/>
          </w:rPr>
        </w:r>
        <w:r w:rsidR="002239EC">
          <w:rPr>
            <w:noProof/>
            <w:webHidden/>
          </w:rPr>
          <w:fldChar w:fldCharType="separate"/>
        </w:r>
        <w:r w:rsidR="002239EC">
          <w:rPr>
            <w:noProof/>
            <w:webHidden/>
          </w:rPr>
          <w:t>iv</w:t>
        </w:r>
        <w:r w:rsidR="002239EC">
          <w:rPr>
            <w:noProof/>
            <w:webHidden/>
          </w:rPr>
          <w:fldChar w:fldCharType="end"/>
        </w:r>
      </w:hyperlink>
    </w:p>
    <w:p w14:paraId="2B046795" w14:textId="7BBEF489" w:rsidR="002239EC" w:rsidRDefault="000619E2">
      <w:pPr>
        <w:pStyle w:val="TOC5"/>
        <w:rPr>
          <w:rFonts w:asciiTheme="minorHAnsi" w:eastAsiaTheme="minorEastAsia" w:hAnsiTheme="minorHAnsi" w:cstheme="minorBidi"/>
          <w:caps w:val="0"/>
          <w:noProof/>
          <w:color w:val="auto"/>
          <w:spacing w:val="0"/>
          <w:sz w:val="22"/>
          <w:szCs w:val="22"/>
          <w:lang w:eastAsia="en-AU"/>
        </w:rPr>
      </w:pPr>
      <w:hyperlink w:anchor="_Toc26366345" w:history="1">
        <w:r w:rsidR="002239EC" w:rsidRPr="00091141">
          <w:rPr>
            <w:rStyle w:val="Hyperlink"/>
            <w:b/>
            <w:noProof/>
          </w:rPr>
          <w:t>Part A</w:t>
        </w:r>
        <w:r w:rsidR="002239EC">
          <w:rPr>
            <w:rFonts w:asciiTheme="minorHAnsi" w:eastAsiaTheme="minorEastAsia" w:hAnsiTheme="minorHAnsi" w:cstheme="minorBidi"/>
            <w:caps w:val="0"/>
            <w:noProof/>
            <w:color w:val="auto"/>
            <w:spacing w:val="0"/>
            <w:sz w:val="22"/>
            <w:szCs w:val="22"/>
            <w:lang w:eastAsia="en-AU"/>
          </w:rPr>
          <w:tab/>
        </w:r>
        <w:r w:rsidR="002239EC" w:rsidRPr="00091141">
          <w:rPr>
            <w:rStyle w:val="Hyperlink"/>
            <w:noProof/>
          </w:rPr>
          <w:t>Context</w:t>
        </w:r>
        <w:r w:rsidR="002239EC">
          <w:rPr>
            <w:noProof/>
            <w:webHidden/>
          </w:rPr>
          <w:tab/>
        </w:r>
        <w:r w:rsidR="002239EC">
          <w:rPr>
            <w:noProof/>
            <w:webHidden/>
          </w:rPr>
          <w:fldChar w:fldCharType="begin"/>
        </w:r>
        <w:r w:rsidR="002239EC">
          <w:rPr>
            <w:noProof/>
            <w:webHidden/>
          </w:rPr>
          <w:instrText xml:space="preserve"> PAGEREF _Toc26366345 \h </w:instrText>
        </w:r>
        <w:r w:rsidR="002239EC">
          <w:rPr>
            <w:noProof/>
            <w:webHidden/>
          </w:rPr>
        </w:r>
        <w:r w:rsidR="002239EC">
          <w:rPr>
            <w:noProof/>
            <w:webHidden/>
          </w:rPr>
          <w:fldChar w:fldCharType="separate"/>
        </w:r>
        <w:r w:rsidR="002239EC">
          <w:rPr>
            <w:noProof/>
            <w:webHidden/>
          </w:rPr>
          <w:t>1</w:t>
        </w:r>
        <w:r w:rsidR="002239EC">
          <w:rPr>
            <w:noProof/>
            <w:webHidden/>
          </w:rPr>
          <w:fldChar w:fldCharType="end"/>
        </w:r>
      </w:hyperlink>
    </w:p>
    <w:p w14:paraId="630680C4" w14:textId="31D78643"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46" w:history="1">
        <w:r w:rsidR="002239EC" w:rsidRPr="00091141">
          <w:rPr>
            <w:rStyle w:val="Hyperlink"/>
            <w:noProof/>
          </w:rPr>
          <w:t>1</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Introduction</w:t>
        </w:r>
        <w:r w:rsidR="002239EC">
          <w:rPr>
            <w:noProof/>
            <w:webHidden/>
          </w:rPr>
          <w:tab/>
        </w:r>
        <w:r w:rsidR="002239EC">
          <w:rPr>
            <w:noProof/>
            <w:webHidden/>
          </w:rPr>
          <w:fldChar w:fldCharType="begin"/>
        </w:r>
        <w:r w:rsidR="002239EC">
          <w:rPr>
            <w:noProof/>
            <w:webHidden/>
          </w:rPr>
          <w:instrText xml:space="preserve"> PAGEREF _Toc26366346 \h </w:instrText>
        </w:r>
        <w:r w:rsidR="002239EC">
          <w:rPr>
            <w:noProof/>
            <w:webHidden/>
          </w:rPr>
        </w:r>
        <w:r w:rsidR="002239EC">
          <w:rPr>
            <w:noProof/>
            <w:webHidden/>
          </w:rPr>
          <w:fldChar w:fldCharType="separate"/>
        </w:r>
        <w:r w:rsidR="002239EC">
          <w:rPr>
            <w:noProof/>
            <w:webHidden/>
          </w:rPr>
          <w:t>2</w:t>
        </w:r>
        <w:r w:rsidR="002239EC">
          <w:rPr>
            <w:noProof/>
            <w:webHidden/>
          </w:rPr>
          <w:fldChar w:fldCharType="end"/>
        </w:r>
      </w:hyperlink>
    </w:p>
    <w:p w14:paraId="0B86BD8B" w14:textId="6F20B15C"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47" w:history="1">
        <w:r w:rsidR="002239EC" w:rsidRPr="00091141">
          <w:rPr>
            <w:rStyle w:val="Hyperlink"/>
            <w:noProof/>
          </w:rPr>
          <w:t>1.1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Background</w:t>
        </w:r>
        <w:r w:rsidR="002239EC">
          <w:rPr>
            <w:noProof/>
            <w:webHidden/>
          </w:rPr>
          <w:tab/>
        </w:r>
        <w:r w:rsidR="002239EC">
          <w:rPr>
            <w:noProof/>
            <w:webHidden/>
          </w:rPr>
          <w:fldChar w:fldCharType="begin"/>
        </w:r>
        <w:r w:rsidR="002239EC">
          <w:rPr>
            <w:noProof/>
            <w:webHidden/>
          </w:rPr>
          <w:instrText xml:space="preserve"> PAGEREF _Toc26366347 \h </w:instrText>
        </w:r>
        <w:r w:rsidR="002239EC">
          <w:rPr>
            <w:noProof/>
            <w:webHidden/>
          </w:rPr>
        </w:r>
        <w:r w:rsidR="002239EC">
          <w:rPr>
            <w:noProof/>
            <w:webHidden/>
          </w:rPr>
          <w:fldChar w:fldCharType="separate"/>
        </w:r>
        <w:r w:rsidR="002239EC">
          <w:rPr>
            <w:noProof/>
            <w:webHidden/>
          </w:rPr>
          <w:t>2</w:t>
        </w:r>
        <w:r w:rsidR="002239EC">
          <w:rPr>
            <w:noProof/>
            <w:webHidden/>
          </w:rPr>
          <w:fldChar w:fldCharType="end"/>
        </w:r>
      </w:hyperlink>
    </w:p>
    <w:p w14:paraId="4B2224E8" w14:textId="40579622"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48" w:history="1">
        <w:r w:rsidR="002239EC" w:rsidRPr="00091141">
          <w:rPr>
            <w:rStyle w:val="Hyperlink"/>
            <w:noProof/>
          </w:rPr>
          <w:t>1.2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Objectives of the implementation Review</w:t>
        </w:r>
        <w:r w:rsidR="002239EC">
          <w:rPr>
            <w:noProof/>
            <w:webHidden/>
          </w:rPr>
          <w:tab/>
        </w:r>
        <w:r w:rsidR="002239EC">
          <w:rPr>
            <w:noProof/>
            <w:webHidden/>
          </w:rPr>
          <w:fldChar w:fldCharType="begin"/>
        </w:r>
        <w:r w:rsidR="002239EC">
          <w:rPr>
            <w:noProof/>
            <w:webHidden/>
          </w:rPr>
          <w:instrText xml:space="preserve"> PAGEREF _Toc26366348 \h </w:instrText>
        </w:r>
        <w:r w:rsidR="002239EC">
          <w:rPr>
            <w:noProof/>
            <w:webHidden/>
          </w:rPr>
        </w:r>
        <w:r w:rsidR="002239EC">
          <w:rPr>
            <w:noProof/>
            <w:webHidden/>
          </w:rPr>
          <w:fldChar w:fldCharType="separate"/>
        </w:r>
        <w:r w:rsidR="002239EC">
          <w:rPr>
            <w:noProof/>
            <w:webHidden/>
          </w:rPr>
          <w:t>2</w:t>
        </w:r>
        <w:r w:rsidR="002239EC">
          <w:rPr>
            <w:noProof/>
            <w:webHidden/>
          </w:rPr>
          <w:fldChar w:fldCharType="end"/>
        </w:r>
      </w:hyperlink>
    </w:p>
    <w:p w14:paraId="77EEC6F2" w14:textId="3F9ADEEA"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49" w:history="1">
        <w:r w:rsidR="002239EC" w:rsidRPr="00091141">
          <w:rPr>
            <w:rStyle w:val="Hyperlink"/>
            <w:noProof/>
          </w:rPr>
          <w:t>1.3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Report structure</w:t>
        </w:r>
        <w:r w:rsidR="002239EC">
          <w:rPr>
            <w:noProof/>
            <w:webHidden/>
          </w:rPr>
          <w:tab/>
        </w:r>
        <w:r w:rsidR="002239EC">
          <w:rPr>
            <w:noProof/>
            <w:webHidden/>
          </w:rPr>
          <w:fldChar w:fldCharType="begin"/>
        </w:r>
        <w:r w:rsidR="002239EC">
          <w:rPr>
            <w:noProof/>
            <w:webHidden/>
          </w:rPr>
          <w:instrText xml:space="preserve"> PAGEREF _Toc26366349 \h </w:instrText>
        </w:r>
        <w:r w:rsidR="002239EC">
          <w:rPr>
            <w:noProof/>
            <w:webHidden/>
          </w:rPr>
        </w:r>
        <w:r w:rsidR="002239EC">
          <w:rPr>
            <w:noProof/>
            <w:webHidden/>
          </w:rPr>
          <w:fldChar w:fldCharType="separate"/>
        </w:r>
        <w:r w:rsidR="002239EC">
          <w:rPr>
            <w:noProof/>
            <w:webHidden/>
          </w:rPr>
          <w:t>3</w:t>
        </w:r>
        <w:r w:rsidR="002239EC">
          <w:rPr>
            <w:noProof/>
            <w:webHidden/>
          </w:rPr>
          <w:fldChar w:fldCharType="end"/>
        </w:r>
      </w:hyperlink>
    </w:p>
    <w:p w14:paraId="1E533CFC" w14:textId="1B262337"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50" w:history="1">
        <w:r w:rsidR="002239EC" w:rsidRPr="00091141">
          <w:rPr>
            <w:rStyle w:val="Hyperlink"/>
            <w:noProof/>
          </w:rPr>
          <w:t>2</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Situation analysis</w:t>
        </w:r>
        <w:r w:rsidR="002239EC">
          <w:rPr>
            <w:noProof/>
            <w:webHidden/>
          </w:rPr>
          <w:tab/>
        </w:r>
        <w:r w:rsidR="002239EC">
          <w:rPr>
            <w:noProof/>
            <w:webHidden/>
          </w:rPr>
          <w:fldChar w:fldCharType="begin"/>
        </w:r>
        <w:r w:rsidR="002239EC">
          <w:rPr>
            <w:noProof/>
            <w:webHidden/>
          </w:rPr>
          <w:instrText xml:space="preserve"> PAGEREF _Toc26366350 \h </w:instrText>
        </w:r>
        <w:r w:rsidR="002239EC">
          <w:rPr>
            <w:noProof/>
            <w:webHidden/>
          </w:rPr>
        </w:r>
        <w:r w:rsidR="002239EC">
          <w:rPr>
            <w:noProof/>
            <w:webHidden/>
          </w:rPr>
          <w:fldChar w:fldCharType="separate"/>
        </w:r>
        <w:r w:rsidR="002239EC">
          <w:rPr>
            <w:noProof/>
            <w:webHidden/>
          </w:rPr>
          <w:t>4</w:t>
        </w:r>
        <w:r w:rsidR="002239EC">
          <w:rPr>
            <w:noProof/>
            <w:webHidden/>
          </w:rPr>
          <w:fldChar w:fldCharType="end"/>
        </w:r>
      </w:hyperlink>
    </w:p>
    <w:p w14:paraId="7A5747D1" w14:textId="10CA71D1"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1" w:history="1">
        <w:r w:rsidR="002239EC" w:rsidRPr="00091141">
          <w:rPr>
            <w:rStyle w:val="Hyperlink"/>
            <w:noProof/>
          </w:rPr>
          <w:t>2.1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Pharmacy Trial Program</w:t>
        </w:r>
        <w:r w:rsidR="002239EC">
          <w:rPr>
            <w:noProof/>
            <w:webHidden/>
          </w:rPr>
          <w:tab/>
        </w:r>
        <w:r w:rsidR="002239EC">
          <w:rPr>
            <w:noProof/>
            <w:webHidden/>
          </w:rPr>
          <w:fldChar w:fldCharType="begin"/>
        </w:r>
        <w:r w:rsidR="002239EC">
          <w:rPr>
            <w:noProof/>
            <w:webHidden/>
          </w:rPr>
          <w:instrText xml:space="preserve"> PAGEREF _Toc26366351 \h </w:instrText>
        </w:r>
        <w:r w:rsidR="002239EC">
          <w:rPr>
            <w:noProof/>
            <w:webHidden/>
          </w:rPr>
        </w:r>
        <w:r w:rsidR="002239EC">
          <w:rPr>
            <w:noProof/>
            <w:webHidden/>
          </w:rPr>
          <w:fldChar w:fldCharType="separate"/>
        </w:r>
        <w:r w:rsidR="002239EC">
          <w:rPr>
            <w:noProof/>
            <w:webHidden/>
          </w:rPr>
          <w:t>4</w:t>
        </w:r>
        <w:r w:rsidR="002239EC">
          <w:rPr>
            <w:noProof/>
            <w:webHidden/>
          </w:rPr>
          <w:fldChar w:fldCharType="end"/>
        </w:r>
      </w:hyperlink>
    </w:p>
    <w:p w14:paraId="016B0694" w14:textId="79CA2C1D"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2" w:history="1">
        <w:r w:rsidR="002239EC" w:rsidRPr="00091141">
          <w:rPr>
            <w:rStyle w:val="Hyperlink"/>
            <w:noProof/>
          </w:rPr>
          <w:t>2.2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policy context</w:t>
        </w:r>
        <w:r w:rsidR="002239EC">
          <w:rPr>
            <w:noProof/>
            <w:webHidden/>
          </w:rPr>
          <w:tab/>
        </w:r>
        <w:r w:rsidR="002239EC">
          <w:rPr>
            <w:noProof/>
            <w:webHidden/>
          </w:rPr>
          <w:fldChar w:fldCharType="begin"/>
        </w:r>
        <w:r w:rsidR="002239EC">
          <w:rPr>
            <w:noProof/>
            <w:webHidden/>
          </w:rPr>
          <w:instrText xml:space="preserve"> PAGEREF _Toc26366352 \h </w:instrText>
        </w:r>
        <w:r w:rsidR="002239EC">
          <w:rPr>
            <w:noProof/>
            <w:webHidden/>
          </w:rPr>
        </w:r>
        <w:r w:rsidR="002239EC">
          <w:rPr>
            <w:noProof/>
            <w:webHidden/>
          </w:rPr>
          <w:fldChar w:fldCharType="separate"/>
        </w:r>
        <w:r w:rsidR="002239EC">
          <w:rPr>
            <w:noProof/>
            <w:webHidden/>
          </w:rPr>
          <w:t>6</w:t>
        </w:r>
        <w:r w:rsidR="002239EC">
          <w:rPr>
            <w:noProof/>
            <w:webHidden/>
          </w:rPr>
          <w:fldChar w:fldCharType="end"/>
        </w:r>
      </w:hyperlink>
    </w:p>
    <w:p w14:paraId="01E813BE" w14:textId="7E337DA7"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3" w:history="1">
        <w:r w:rsidR="002239EC" w:rsidRPr="00091141">
          <w:rPr>
            <w:rStyle w:val="Hyperlink"/>
            <w:noProof/>
          </w:rPr>
          <w:t>2.3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CHANGING LANDSCAPE of Pharmacy in primary care</w:t>
        </w:r>
        <w:r w:rsidR="002239EC">
          <w:rPr>
            <w:noProof/>
            <w:webHidden/>
          </w:rPr>
          <w:tab/>
        </w:r>
        <w:r w:rsidR="002239EC">
          <w:rPr>
            <w:noProof/>
            <w:webHidden/>
          </w:rPr>
          <w:fldChar w:fldCharType="begin"/>
        </w:r>
        <w:r w:rsidR="002239EC">
          <w:rPr>
            <w:noProof/>
            <w:webHidden/>
          </w:rPr>
          <w:instrText xml:space="preserve"> PAGEREF _Toc26366353 \h </w:instrText>
        </w:r>
        <w:r w:rsidR="002239EC">
          <w:rPr>
            <w:noProof/>
            <w:webHidden/>
          </w:rPr>
        </w:r>
        <w:r w:rsidR="002239EC">
          <w:rPr>
            <w:noProof/>
            <w:webHidden/>
          </w:rPr>
          <w:fldChar w:fldCharType="separate"/>
        </w:r>
        <w:r w:rsidR="002239EC">
          <w:rPr>
            <w:noProof/>
            <w:webHidden/>
          </w:rPr>
          <w:t>7</w:t>
        </w:r>
        <w:r w:rsidR="002239EC">
          <w:rPr>
            <w:noProof/>
            <w:webHidden/>
          </w:rPr>
          <w:fldChar w:fldCharType="end"/>
        </w:r>
      </w:hyperlink>
    </w:p>
    <w:p w14:paraId="3F4A0770" w14:textId="63DA0284"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4" w:history="1">
        <w:r w:rsidR="002239EC" w:rsidRPr="00091141">
          <w:rPr>
            <w:rStyle w:val="Hyperlink"/>
            <w:noProof/>
          </w:rPr>
          <w:t>2.4</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Funding of primary health care</w:t>
        </w:r>
        <w:r w:rsidR="002239EC">
          <w:rPr>
            <w:noProof/>
            <w:webHidden/>
          </w:rPr>
          <w:tab/>
        </w:r>
        <w:r w:rsidR="002239EC">
          <w:rPr>
            <w:noProof/>
            <w:webHidden/>
          </w:rPr>
          <w:fldChar w:fldCharType="begin"/>
        </w:r>
        <w:r w:rsidR="002239EC">
          <w:rPr>
            <w:noProof/>
            <w:webHidden/>
          </w:rPr>
          <w:instrText xml:space="preserve"> PAGEREF _Toc26366354 \h </w:instrText>
        </w:r>
        <w:r w:rsidR="002239EC">
          <w:rPr>
            <w:noProof/>
            <w:webHidden/>
          </w:rPr>
        </w:r>
        <w:r w:rsidR="002239EC">
          <w:rPr>
            <w:noProof/>
            <w:webHidden/>
          </w:rPr>
          <w:fldChar w:fldCharType="separate"/>
        </w:r>
        <w:r w:rsidR="002239EC">
          <w:rPr>
            <w:noProof/>
            <w:webHidden/>
          </w:rPr>
          <w:t>9</w:t>
        </w:r>
        <w:r w:rsidR="002239EC">
          <w:rPr>
            <w:noProof/>
            <w:webHidden/>
          </w:rPr>
          <w:fldChar w:fldCharType="end"/>
        </w:r>
      </w:hyperlink>
    </w:p>
    <w:p w14:paraId="160C277F" w14:textId="7A202203"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55" w:history="1">
        <w:r w:rsidR="002239EC" w:rsidRPr="00091141">
          <w:rPr>
            <w:rStyle w:val="Hyperlink"/>
            <w:noProof/>
          </w:rPr>
          <w:t>3</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Review methodology</w:t>
        </w:r>
        <w:r w:rsidR="002239EC">
          <w:rPr>
            <w:noProof/>
            <w:webHidden/>
          </w:rPr>
          <w:tab/>
        </w:r>
        <w:r w:rsidR="002239EC">
          <w:rPr>
            <w:noProof/>
            <w:webHidden/>
          </w:rPr>
          <w:fldChar w:fldCharType="begin"/>
        </w:r>
        <w:r w:rsidR="002239EC">
          <w:rPr>
            <w:noProof/>
            <w:webHidden/>
          </w:rPr>
          <w:instrText xml:space="preserve"> PAGEREF _Toc26366355 \h </w:instrText>
        </w:r>
        <w:r w:rsidR="002239EC">
          <w:rPr>
            <w:noProof/>
            <w:webHidden/>
          </w:rPr>
        </w:r>
        <w:r w:rsidR="002239EC">
          <w:rPr>
            <w:noProof/>
            <w:webHidden/>
          </w:rPr>
          <w:fldChar w:fldCharType="separate"/>
        </w:r>
        <w:r w:rsidR="002239EC">
          <w:rPr>
            <w:noProof/>
            <w:webHidden/>
          </w:rPr>
          <w:t>14</w:t>
        </w:r>
        <w:r w:rsidR="002239EC">
          <w:rPr>
            <w:noProof/>
            <w:webHidden/>
          </w:rPr>
          <w:fldChar w:fldCharType="end"/>
        </w:r>
      </w:hyperlink>
    </w:p>
    <w:p w14:paraId="6B53E928" w14:textId="0CF8A308"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6" w:history="1">
        <w:r w:rsidR="002239EC" w:rsidRPr="00091141">
          <w:rPr>
            <w:rStyle w:val="Hyperlink"/>
            <w:noProof/>
          </w:rPr>
          <w:t>3.1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Program logic and key review areas</w:t>
        </w:r>
        <w:r w:rsidR="002239EC">
          <w:rPr>
            <w:noProof/>
            <w:webHidden/>
          </w:rPr>
          <w:tab/>
        </w:r>
        <w:r w:rsidR="002239EC">
          <w:rPr>
            <w:noProof/>
            <w:webHidden/>
          </w:rPr>
          <w:fldChar w:fldCharType="begin"/>
        </w:r>
        <w:r w:rsidR="002239EC">
          <w:rPr>
            <w:noProof/>
            <w:webHidden/>
          </w:rPr>
          <w:instrText xml:space="preserve"> PAGEREF _Toc26366356 \h </w:instrText>
        </w:r>
        <w:r w:rsidR="002239EC">
          <w:rPr>
            <w:noProof/>
            <w:webHidden/>
          </w:rPr>
        </w:r>
        <w:r w:rsidR="002239EC">
          <w:rPr>
            <w:noProof/>
            <w:webHidden/>
          </w:rPr>
          <w:fldChar w:fldCharType="separate"/>
        </w:r>
        <w:r w:rsidR="002239EC">
          <w:rPr>
            <w:noProof/>
            <w:webHidden/>
          </w:rPr>
          <w:t>14</w:t>
        </w:r>
        <w:r w:rsidR="002239EC">
          <w:rPr>
            <w:noProof/>
            <w:webHidden/>
          </w:rPr>
          <w:fldChar w:fldCharType="end"/>
        </w:r>
      </w:hyperlink>
    </w:p>
    <w:p w14:paraId="0D24A250" w14:textId="13A6DDDB"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7" w:history="1">
        <w:r w:rsidR="002239EC" w:rsidRPr="00091141">
          <w:rPr>
            <w:rStyle w:val="Hyperlink"/>
            <w:noProof/>
          </w:rPr>
          <w:t>3.2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Documentation review and other contextual information</w:t>
        </w:r>
        <w:r w:rsidR="002239EC">
          <w:rPr>
            <w:noProof/>
            <w:webHidden/>
          </w:rPr>
          <w:tab/>
        </w:r>
        <w:r w:rsidR="002239EC">
          <w:rPr>
            <w:noProof/>
            <w:webHidden/>
          </w:rPr>
          <w:fldChar w:fldCharType="begin"/>
        </w:r>
        <w:r w:rsidR="002239EC">
          <w:rPr>
            <w:noProof/>
            <w:webHidden/>
          </w:rPr>
          <w:instrText xml:space="preserve"> PAGEREF _Toc26366357 \h </w:instrText>
        </w:r>
        <w:r w:rsidR="002239EC">
          <w:rPr>
            <w:noProof/>
            <w:webHidden/>
          </w:rPr>
        </w:r>
        <w:r w:rsidR="002239EC">
          <w:rPr>
            <w:noProof/>
            <w:webHidden/>
          </w:rPr>
          <w:fldChar w:fldCharType="separate"/>
        </w:r>
        <w:r w:rsidR="002239EC">
          <w:rPr>
            <w:noProof/>
            <w:webHidden/>
          </w:rPr>
          <w:t>16</w:t>
        </w:r>
        <w:r w:rsidR="002239EC">
          <w:rPr>
            <w:noProof/>
            <w:webHidden/>
          </w:rPr>
          <w:fldChar w:fldCharType="end"/>
        </w:r>
      </w:hyperlink>
    </w:p>
    <w:p w14:paraId="5173976D" w14:textId="22619A2F"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8" w:history="1">
        <w:r w:rsidR="002239EC" w:rsidRPr="00091141">
          <w:rPr>
            <w:rStyle w:val="Hyperlink"/>
            <w:noProof/>
          </w:rPr>
          <w:t>3.3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Consultation with stakeholders</w:t>
        </w:r>
        <w:r w:rsidR="002239EC">
          <w:rPr>
            <w:noProof/>
            <w:webHidden/>
          </w:rPr>
          <w:tab/>
        </w:r>
        <w:r w:rsidR="002239EC">
          <w:rPr>
            <w:noProof/>
            <w:webHidden/>
          </w:rPr>
          <w:fldChar w:fldCharType="begin"/>
        </w:r>
        <w:r w:rsidR="002239EC">
          <w:rPr>
            <w:noProof/>
            <w:webHidden/>
          </w:rPr>
          <w:instrText xml:space="preserve"> PAGEREF _Toc26366358 \h </w:instrText>
        </w:r>
        <w:r w:rsidR="002239EC">
          <w:rPr>
            <w:noProof/>
            <w:webHidden/>
          </w:rPr>
        </w:r>
        <w:r w:rsidR="002239EC">
          <w:rPr>
            <w:noProof/>
            <w:webHidden/>
          </w:rPr>
          <w:fldChar w:fldCharType="separate"/>
        </w:r>
        <w:r w:rsidR="002239EC">
          <w:rPr>
            <w:noProof/>
            <w:webHidden/>
          </w:rPr>
          <w:t>16</w:t>
        </w:r>
        <w:r w:rsidR="002239EC">
          <w:rPr>
            <w:noProof/>
            <w:webHidden/>
          </w:rPr>
          <w:fldChar w:fldCharType="end"/>
        </w:r>
      </w:hyperlink>
    </w:p>
    <w:p w14:paraId="5A850B8F" w14:textId="01E1A86F"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59" w:history="1">
        <w:r w:rsidR="002239EC" w:rsidRPr="00091141">
          <w:rPr>
            <w:rStyle w:val="Hyperlink"/>
            <w:noProof/>
          </w:rPr>
          <w:t>3.4</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Survey of pharmacists</w:t>
        </w:r>
        <w:r w:rsidR="002239EC">
          <w:rPr>
            <w:noProof/>
            <w:webHidden/>
          </w:rPr>
          <w:tab/>
        </w:r>
        <w:r w:rsidR="002239EC">
          <w:rPr>
            <w:noProof/>
            <w:webHidden/>
          </w:rPr>
          <w:fldChar w:fldCharType="begin"/>
        </w:r>
        <w:r w:rsidR="002239EC">
          <w:rPr>
            <w:noProof/>
            <w:webHidden/>
          </w:rPr>
          <w:instrText xml:space="preserve"> PAGEREF _Toc26366359 \h </w:instrText>
        </w:r>
        <w:r w:rsidR="002239EC">
          <w:rPr>
            <w:noProof/>
            <w:webHidden/>
          </w:rPr>
        </w:r>
        <w:r w:rsidR="002239EC">
          <w:rPr>
            <w:noProof/>
            <w:webHidden/>
          </w:rPr>
          <w:fldChar w:fldCharType="separate"/>
        </w:r>
        <w:r w:rsidR="002239EC">
          <w:rPr>
            <w:noProof/>
            <w:webHidden/>
          </w:rPr>
          <w:t>18</w:t>
        </w:r>
        <w:r w:rsidR="002239EC">
          <w:rPr>
            <w:noProof/>
            <w:webHidden/>
          </w:rPr>
          <w:fldChar w:fldCharType="end"/>
        </w:r>
      </w:hyperlink>
    </w:p>
    <w:p w14:paraId="3D195A6C" w14:textId="666C162F"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60" w:history="1">
        <w:r w:rsidR="002239EC" w:rsidRPr="00091141">
          <w:rPr>
            <w:rStyle w:val="Hyperlink"/>
            <w:noProof/>
          </w:rPr>
          <w:t>3.5</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Triangulation of information</w:t>
        </w:r>
        <w:r w:rsidR="002239EC">
          <w:rPr>
            <w:noProof/>
            <w:webHidden/>
          </w:rPr>
          <w:tab/>
        </w:r>
        <w:r w:rsidR="002239EC">
          <w:rPr>
            <w:noProof/>
            <w:webHidden/>
          </w:rPr>
          <w:fldChar w:fldCharType="begin"/>
        </w:r>
        <w:r w:rsidR="002239EC">
          <w:rPr>
            <w:noProof/>
            <w:webHidden/>
          </w:rPr>
          <w:instrText xml:space="preserve"> PAGEREF _Toc26366360 \h </w:instrText>
        </w:r>
        <w:r w:rsidR="002239EC">
          <w:rPr>
            <w:noProof/>
            <w:webHidden/>
          </w:rPr>
        </w:r>
        <w:r w:rsidR="002239EC">
          <w:rPr>
            <w:noProof/>
            <w:webHidden/>
          </w:rPr>
          <w:fldChar w:fldCharType="separate"/>
        </w:r>
        <w:r w:rsidR="002239EC">
          <w:rPr>
            <w:noProof/>
            <w:webHidden/>
          </w:rPr>
          <w:t>18</w:t>
        </w:r>
        <w:r w:rsidR="002239EC">
          <w:rPr>
            <w:noProof/>
            <w:webHidden/>
          </w:rPr>
          <w:fldChar w:fldCharType="end"/>
        </w:r>
      </w:hyperlink>
    </w:p>
    <w:p w14:paraId="10AEA32D" w14:textId="5F896A30" w:rsidR="002239EC" w:rsidRDefault="000619E2">
      <w:pPr>
        <w:pStyle w:val="TOC5"/>
        <w:rPr>
          <w:rFonts w:asciiTheme="minorHAnsi" w:eastAsiaTheme="minorEastAsia" w:hAnsiTheme="minorHAnsi" w:cstheme="minorBidi"/>
          <w:caps w:val="0"/>
          <w:noProof/>
          <w:color w:val="auto"/>
          <w:spacing w:val="0"/>
          <w:sz w:val="22"/>
          <w:szCs w:val="22"/>
          <w:lang w:eastAsia="en-AU"/>
        </w:rPr>
      </w:pPr>
      <w:hyperlink w:anchor="_Toc26366361" w:history="1">
        <w:r w:rsidR="002239EC" w:rsidRPr="00091141">
          <w:rPr>
            <w:rStyle w:val="Hyperlink"/>
            <w:b/>
            <w:noProof/>
          </w:rPr>
          <w:t>Part B</w:t>
        </w:r>
        <w:r w:rsidR="002239EC">
          <w:rPr>
            <w:rFonts w:asciiTheme="minorHAnsi" w:eastAsiaTheme="minorEastAsia" w:hAnsiTheme="minorHAnsi" w:cstheme="minorBidi"/>
            <w:caps w:val="0"/>
            <w:noProof/>
            <w:color w:val="auto"/>
            <w:spacing w:val="0"/>
            <w:sz w:val="22"/>
            <w:szCs w:val="22"/>
            <w:lang w:eastAsia="en-AU"/>
          </w:rPr>
          <w:tab/>
        </w:r>
        <w:r w:rsidR="002239EC" w:rsidRPr="00091141">
          <w:rPr>
            <w:rStyle w:val="Hyperlink"/>
            <w:noProof/>
          </w:rPr>
          <w:t>Review findings</w:t>
        </w:r>
        <w:r w:rsidR="002239EC">
          <w:rPr>
            <w:noProof/>
            <w:webHidden/>
          </w:rPr>
          <w:tab/>
        </w:r>
        <w:r w:rsidR="002239EC">
          <w:rPr>
            <w:noProof/>
            <w:webHidden/>
          </w:rPr>
          <w:fldChar w:fldCharType="begin"/>
        </w:r>
        <w:r w:rsidR="002239EC">
          <w:rPr>
            <w:noProof/>
            <w:webHidden/>
          </w:rPr>
          <w:instrText xml:space="preserve"> PAGEREF _Toc26366361 \h </w:instrText>
        </w:r>
        <w:r w:rsidR="002239EC">
          <w:rPr>
            <w:noProof/>
            <w:webHidden/>
          </w:rPr>
        </w:r>
        <w:r w:rsidR="002239EC">
          <w:rPr>
            <w:noProof/>
            <w:webHidden/>
          </w:rPr>
          <w:fldChar w:fldCharType="separate"/>
        </w:r>
        <w:r w:rsidR="002239EC">
          <w:rPr>
            <w:noProof/>
            <w:webHidden/>
          </w:rPr>
          <w:t>19</w:t>
        </w:r>
        <w:r w:rsidR="002239EC">
          <w:rPr>
            <w:noProof/>
            <w:webHidden/>
          </w:rPr>
          <w:fldChar w:fldCharType="end"/>
        </w:r>
      </w:hyperlink>
    </w:p>
    <w:p w14:paraId="16B6A2D5" w14:textId="658FBA81"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62" w:history="1">
        <w:r w:rsidR="002239EC" w:rsidRPr="00091141">
          <w:rPr>
            <w:rStyle w:val="Hyperlink"/>
            <w:noProof/>
          </w:rPr>
          <w:t>4</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Appropriateness</w:t>
        </w:r>
        <w:r w:rsidR="002239EC">
          <w:rPr>
            <w:noProof/>
            <w:webHidden/>
          </w:rPr>
          <w:tab/>
        </w:r>
        <w:r w:rsidR="002239EC">
          <w:rPr>
            <w:noProof/>
            <w:webHidden/>
          </w:rPr>
          <w:fldChar w:fldCharType="begin"/>
        </w:r>
        <w:r w:rsidR="002239EC">
          <w:rPr>
            <w:noProof/>
            <w:webHidden/>
          </w:rPr>
          <w:instrText xml:space="preserve"> PAGEREF _Toc26366362 \h </w:instrText>
        </w:r>
        <w:r w:rsidR="002239EC">
          <w:rPr>
            <w:noProof/>
            <w:webHidden/>
          </w:rPr>
        </w:r>
        <w:r w:rsidR="002239EC">
          <w:rPr>
            <w:noProof/>
            <w:webHidden/>
          </w:rPr>
          <w:fldChar w:fldCharType="separate"/>
        </w:r>
        <w:r w:rsidR="002239EC">
          <w:rPr>
            <w:noProof/>
            <w:webHidden/>
          </w:rPr>
          <w:t>20</w:t>
        </w:r>
        <w:r w:rsidR="002239EC">
          <w:rPr>
            <w:noProof/>
            <w:webHidden/>
          </w:rPr>
          <w:fldChar w:fldCharType="end"/>
        </w:r>
      </w:hyperlink>
    </w:p>
    <w:p w14:paraId="779182AB" w14:textId="77684875"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63" w:history="1">
        <w:r w:rsidR="002239EC" w:rsidRPr="00091141">
          <w:rPr>
            <w:rStyle w:val="Hyperlink"/>
            <w:noProof/>
          </w:rPr>
          <w:t>4.1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Evaluation questions</w:t>
        </w:r>
        <w:r w:rsidR="002239EC">
          <w:rPr>
            <w:noProof/>
            <w:webHidden/>
          </w:rPr>
          <w:tab/>
        </w:r>
        <w:r w:rsidR="002239EC">
          <w:rPr>
            <w:noProof/>
            <w:webHidden/>
          </w:rPr>
          <w:fldChar w:fldCharType="begin"/>
        </w:r>
        <w:r w:rsidR="002239EC">
          <w:rPr>
            <w:noProof/>
            <w:webHidden/>
          </w:rPr>
          <w:instrText xml:space="preserve"> PAGEREF _Toc26366363 \h </w:instrText>
        </w:r>
        <w:r w:rsidR="002239EC">
          <w:rPr>
            <w:noProof/>
            <w:webHidden/>
          </w:rPr>
        </w:r>
        <w:r w:rsidR="002239EC">
          <w:rPr>
            <w:noProof/>
            <w:webHidden/>
          </w:rPr>
          <w:fldChar w:fldCharType="separate"/>
        </w:r>
        <w:r w:rsidR="002239EC">
          <w:rPr>
            <w:noProof/>
            <w:webHidden/>
          </w:rPr>
          <w:t>20</w:t>
        </w:r>
        <w:r w:rsidR="002239EC">
          <w:rPr>
            <w:noProof/>
            <w:webHidden/>
          </w:rPr>
          <w:fldChar w:fldCharType="end"/>
        </w:r>
      </w:hyperlink>
    </w:p>
    <w:p w14:paraId="244ECA4A" w14:textId="3BCBF748"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64" w:history="1">
        <w:r w:rsidR="002239EC" w:rsidRPr="00091141">
          <w:rPr>
            <w:rStyle w:val="Hyperlink"/>
            <w:noProof/>
          </w:rPr>
          <w:t>4.2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Analysis and findings</w:t>
        </w:r>
        <w:r w:rsidR="002239EC">
          <w:rPr>
            <w:noProof/>
            <w:webHidden/>
          </w:rPr>
          <w:tab/>
        </w:r>
        <w:r w:rsidR="002239EC">
          <w:rPr>
            <w:noProof/>
            <w:webHidden/>
          </w:rPr>
          <w:fldChar w:fldCharType="begin"/>
        </w:r>
        <w:r w:rsidR="002239EC">
          <w:rPr>
            <w:noProof/>
            <w:webHidden/>
          </w:rPr>
          <w:instrText xml:space="preserve"> PAGEREF _Toc26366364 \h </w:instrText>
        </w:r>
        <w:r w:rsidR="002239EC">
          <w:rPr>
            <w:noProof/>
            <w:webHidden/>
          </w:rPr>
        </w:r>
        <w:r w:rsidR="002239EC">
          <w:rPr>
            <w:noProof/>
            <w:webHidden/>
          </w:rPr>
          <w:fldChar w:fldCharType="separate"/>
        </w:r>
        <w:r w:rsidR="002239EC">
          <w:rPr>
            <w:noProof/>
            <w:webHidden/>
          </w:rPr>
          <w:t>20</w:t>
        </w:r>
        <w:r w:rsidR="002239EC">
          <w:rPr>
            <w:noProof/>
            <w:webHidden/>
          </w:rPr>
          <w:fldChar w:fldCharType="end"/>
        </w:r>
      </w:hyperlink>
    </w:p>
    <w:p w14:paraId="7DB34F92" w14:textId="296FA9A5" w:rsidR="002239EC" w:rsidRDefault="000619E2">
      <w:pPr>
        <w:pStyle w:val="TOC4"/>
        <w:rPr>
          <w:rFonts w:asciiTheme="minorHAnsi" w:eastAsiaTheme="minorEastAsia" w:hAnsiTheme="minorHAnsi" w:cstheme="minorBidi"/>
          <w:color w:val="auto"/>
          <w:spacing w:val="0"/>
          <w:sz w:val="22"/>
          <w:szCs w:val="22"/>
          <w:lang w:eastAsia="en-AU"/>
        </w:rPr>
      </w:pPr>
      <w:hyperlink w:anchor="_Toc26366365" w:history="1">
        <w:r w:rsidR="002239EC" w:rsidRPr="00091141">
          <w:rPr>
            <w:rStyle w:val="Hyperlink"/>
          </w:rPr>
          <w:t>4.2.1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Alignment of PTP objectives with 6CPA</w:t>
        </w:r>
        <w:r w:rsidR="002239EC">
          <w:rPr>
            <w:webHidden/>
          </w:rPr>
          <w:tab/>
        </w:r>
        <w:r w:rsidR="002239EC">
          <w:rPr>
            <w:webHidden/>
          </w:rPr>
          <w:fldChar w:fldCharType="begin"/>
        </w:r>
        <w:r w:rsidR="002239EC">
          <w:rPr>
            <w:webHidden/>
          </w:rPr>
          <w:instrText xml:space="preserve"> PAGEREF _Toc26366365 \h </w:instrText>
        </w:r>
        <w:r w:rsidR="002239EC">
          <w:rPr>
            <w:webHidden/>
          </w:rPr>
        </w:r>
        <w:r w:rsidR="002239EC">
          <w:rPr>
            <w:webHidden/>
          </w:rPr>
          <w:fldChar w:fldCharType="separate"/>
        </w:r>
        <w:r w:rsidR="002239EC">
          <w:rPr>
            <w:webHidden/>
          </w:rPr>
          <w:t>20</w:t>
        </w:r>
        <w:r w:rsidR="002239EC">
          <w:rPr>
            <w:webHidden/>
          </w:rPr>
          <w:fldChar w:fldCharType="end"/>
        </w:r>
      </w:hyperlink>
    </w:p>
    <w:p w14:paraId="63009A4F" w14:textId="32FE09A0" w:rsidR="002239EC" w:rsidRDefault="000619E2">
      <w:pPr>
        <w:pStyle w:val="TOC4"/>
        <w:rPr>
          <w:rFonts w:asciiTheme="minorHAnsi" w:eastAsiaTheme="minorEastAsia" w:hAnsiTheme="minorHAnsi" w:cstheme="minorBidi"/>
          <w:color w:val="auto"/>
          <w:spacing w:val="0"/>
          <w:sz w:val="22"/>
          <w:szCs w:val="22"/>
          <w:lang w:eastAsia="en-AU"/>
        </w:rPr>
      </w:pPr>
      <w:hyperlink w:anchor="_Toc26366366" w:history="1">
        <w:r w:rsidR="002239EC" w:rsidRPr="00091141">
          <w:rPr>
            <w:rStyle w:val="Hyperlink"/>
          </w:rPr>
          <w:t>4.2.2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Barriers to expanding pharmacist roles into provision of services</w:t>
        </w:r>
        <w:r w:rsidR="002239EC">
          <w:rPr>
            <w:webHidden/>
          </w:rPr>
          <w:tab/>
        </w:r>
        <w:r w:rsidR="002239EC">
          <w:rPr>
            <w:webHidden/>
          </w:rPr>
          <w:fldChar w:fldCharType="begin"/>
        </w:r>
        <w:r w:rsidR="002239EC">
          <w:rPr>
            <w:webHidden/>
          </w:rPr>
          <w:instrText xml:space="preserve"> PAGEREF _Toc26366366 \h </w:instrText>
        </w:r>
        <w:r w:rsidR="002239EC">
          <w:rPr>
            <w:webHidden/>
          </w:rPr>
        </w:r>
        <w:r w:rsidR="002239EC">
          <w:rPr>
            <w:webHidden/>
          </w:rPr>
          <w:fldChar w:fldCharType="separate"/>
        </w:r>
        <w:r w:rsidR="002239EC">
          <w:rPr>
            <w:webHidden/>
          </w:rPr>
          <w:t>22</w:t>
        </w:r>
        <w:r w:rsidR="002239EC">
          <w:rPr>
            <w:webHidden/>
          </w:rPr>
          <w:fldChar w:fldCharType="end"/>
        </w:r>
      </w:hyperlink>
    </w:p>
    <w:p w14:paraId="292CB5B9" w14:textId="5ACC7A34" w:rsidR="002239EC" w:rsidRDefault="000619E2">
      <w:pPr>
        <w:pStyle w:val="TOC4"/>
        <w:rPr>
          <w:rFonts w:asciiTheme="minorHAnsi" w:eastAsiaTheme="minorEastAsia" w:hAnsiTheme="minorHAnsi" w:cstheme="minorBidi"/>
          <w:color w:val="auto"/>
          <w:spacing w:val="0"/>
          <w:sz w:val="22"/>
          <w:szCs w:val="22"/>
          <w:lang w:eastAsia="en-AU"/>
        </w:rPr>
      </w:pPr>
      <w:hyperlink w:anchor="_Toc26366367" w:history="1">
        <w:r w:rsidR="002239EC" w:rsidRPr="00091141">
          <w:rPr>
            <w:rStyle w:val="Hyperlink"/>
          </w:rPr>
          <w:t>4.2.3</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Promotion of interdisciplinary collaboration among primary health care professionals through the PTP</w:t>
        </w:r>
        <w:r w:rsidR="002239EC">
          <w:rPr>
            <w:webHidden/>
          </w:rPr>
          <w:tab/>
        </w:r>
        <w:r w:rsidR="002239EC">
          <w:rPr>
            <w:webHidden/>
          </w:rPr>
          <w:fldChar w:fldCharType="begin"/>
        </w:r>
        <w:r w:rsidR="002239EC">
          <w:rPr>
            <w:webHidden/>
          </w:rPr>
          <w:instrText xml:space="preserve"> PAGEREF _Toc26366367 \h </w:instrText>
        </w:r>
        <w:r w:rsidR="002239EC">
          <w:rPr>
            <w:webHidden/>
          </w:rPr>
        </w:r>
        <w:r w:rsidR="002239EC">
          <w:rPr>
            <w:webHidden/>
          </w:rPr>
          <w:fldChar w:fldCharType="separate"/>
        </w:r>
        <w:r w:rsidR="002239EC">
          <w:rPr>
            <w:webHidden/>
          </w:rPr>
          <w:t>23</w:t>
        </w:r>
        <w:r w:rsidR="002239EC">
          <w:rPr>
            <w:webHidden/>
          </w:rPr>
          <w:fldChar w:fldCharType="end"/>
        </w:r>
      </w:hyperlink>
    </w:p>
    <w:p w14:paraId="334438B3" w14:textId="5ED9D1EF" w:rsidR="002239EC" w:rsidRDefault="000619E2">
      <w:pPr>
        <w:pStyle w:val="TOC4"/>
        <w:rPr>
          <w:rFonts w:asciiTheme="minorHAnsi" w:eastAsiaTheme="minorEastAsia" w:hAnsiTheme="minorHAnsi" w:cstheme="minorBidi"/>
          <w:color w:val="auto"/>
          <w:spacing w:val="0"/>
          <w:sz w:val="22"/>
          <w:szCs w:val="22"/>
          <w:lang w:eastAsia="en-AU"/>
        </w:rPr>
      </w:pPr>
      <w:hyperlink w:anchor="_Toc26366368" w:history="1">
        <w:r w:rsidR="002239EC" w:rsidRPr="00091141">
          <w:rPr>
            <w:rStyle w:val="Hyperlink"/>
          </w:rPr>
          <w:t>4.2.4</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Limited existing grant opportunities to address the PTP objectives</w:t>
        </w:r>
        <w:r w:rsidR="002239EC">
          <w:rPr>
            <w:webHidden/>
          </w:rPr>
          <w:tab/>
        </w:r>
        <w:r w:rsidR="002239EC">
          <w:rPr>
            <w:webHidden/>
          </w:rPr>
          <w:fldChar w:fldCharType="begin"/>
        </w:r>
        <w:r w:rsidR="002239EC">
          <w:rPr>
            <w:webHidden/>
          </w:rPr>
          <w:instrText xml:space="preserve"> PAGEREF _Toc26366368 \h </w:instrText>
        </w:r>
        <w:r w:rsidR="002239EC">
          <w:rPr>
            <w:webHidden/>
          </w:rPr>
        </w:r>
        <w:r w:rsidR="002239EC">
          <w:rPr>
            <w:webHidden/>
          </w:rPr>
          <w:fldChar w:fldCharType="separate"/>
        </w:r>
        <w:r w:rsidR="002239EC">
          <w:rPr>
            <w:webHidden/>
          </w:rPr>
          <w:t>23</w:t>
        </w:r>
        <w:r w:rsidR="002239EC">
          <w:rPr>
            <w:webHidden/>
          </w:rPr>
          <w:fldChar w:fldCharType="end"/>
        </w:r>
      </w:hyperlink>
    </w:p>
    <w:p w14:paraId="5B3FF13C" w14:textId="3A4C52B4" w:rsidR="002239EC" w:rsidRDefault="000619E2">
      <w:pPr>
        <w:pStyle w:val="TOC4"/>
        <w:rPr>
          <w:rFonts w:asciiTheme="minorHAnsi" w:eastAsiaTheme="minorEastAsia" w:hAnsiTheme="minorHAnsi" w:cstheme="minorBidi"/>
          <w:color w:val="auto"/>
          <w:spacing w:val="0"/>
          <w:sz w:val="22"/>
          <w:szCs w:val="22"/>
          <w:lang w:eastAsia="en-AU"/>
        </w:rPr>
      </w:pPr>
      <w:hyperlink w:anchor="_Toc26366369" w:history="1">
        <w:r w:rsidR="002239EC" w:rsidRPr="00091141">
          <w:rPr>
            <w:rStyle w:val="Hyperlink"/>
          </w:rPr>
          <w:t>4.2.5</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Achieving the expected outcomes without PTP funding</w:t>
        </w:r>
        <w:r w:rsidR="002239EC">
          <w:rPr>
            <w:webHidden/>
          </w:rPr>
          <w:tab/>
        </w:r>
        <w:r w:rsidR="002239EC">
          <w:rPr>
            <w:webHidden/>
          </w:rPr>
          <w:fldChar w:fldCharType="begin"/>
        </w:r>
        <w:r w:rsidR="002239EC">
          <w:rPr>
            <w:webHidden/>
          </w:rPr>
          <w:instrText xml:space="preserve"> PAGEREF _Toc26366369 \h </w:instrText>
        </w:r>
        <w:r w:rsidR="002239EC">
          <w:rPr>
            <w:webHidden/>
          </w:rPr>
        </w:r>
        <w:r w:rsidR="002239EC">
          <w:rPr>
            <w:webHidden/>
          </w:rPr>
          <w:fldChar w:fldCharType="separate"/>
        </w:r>
        <w:r w:rsidR="002239EC">
          <w:rPr>
            <w:webHidden/>
          </w:rPr>
          <w:t>24</w:t>
        </w:r>
        <w:r w:rsidR="002239EC">
          <w:rPr>
            <w:webHidden/>
          </w:rPr>
          <w:fldChar w:fldCharType="end"/>
        </w:r>
      </w:hyperlink>
    </w:p>
    <w:p w14:paraId="3F166C34" w14:textId="2B36DF05"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70" w:history="1">
        <w:r w:rsidR="002239EC" w:rsidRPr="00091141">
          <w:rPr>
            <w:rStyle w:val="Hyperlink"/>
            <w:noProof/>
          </w:rPr>
          <w:t>4.3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Conclusion</w:t>
        </w:r>
        <w:r w:rsidR="002239EC">
          <w:rPr>
            <w:noProof/>
            <w:webHidden/>
          </w:rPr>
          <w:tab/>
        </w:r>
        <w:r w:rsidR="002239EC">
          <w:rPr>
            <w:noProof/>
            <w:webHidden/>
          </w:rPr>
          <w:fldChar w:fldCharType="begin"/>
        </w:r>
        <w:r w:rsidR="002239EC">
          <w:rPr>
            <w:noProof/>
            <w:webHidden/>
          </w:rPr>
          <w:instrText xml:space="preserve"> PAGEREF _Toc26366370 \h </w:instrText>
        </w:r>
        <w:r w:rsidR="002239EC">
          <w:rPr>
            <w:noProof/>
            <w:webHidden/>
          </w:rPr>
        </w:r>
        <w:r w:rsidR="002239EC">
          <w:rPr>
            <w:noProof/>
            <w:webHidden/>
          </w:rPr>
          <w:fldChar w:fldCharType="separate"/>
        </w:r>
        <w:r w:rsidR="002239EC">
          <w:rPr>
            <w:noProof/>
            <w:webHidden/>
          </w:rPr>
          <w:t>25</w:t>
        </w:r>
        <w:r w:rsidR="002239EC">
          <w:rPr>
            <w:noProof/>
            <w:webHidden/>
          </w:rPr>
          <w:fldChar w:fldCharType="end"/>
        </w:r>
      </w:hyperlink>
    </w:p>
    <w:p w14:paraId="5A41E5D3" w14:textId="54BC3C0A"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71" w:history="1">
        <w:r w:rsidR="002239EC" w:rsidRPr="00091141">
          <w:rPr>
            <w:rStyle w:val="Hyperlink"/>
            <w:noProof/>
          </w:rPr>
          <w:t>5</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Effectiveness</w:t>
        </w:r>
        <w:r w:rsidR="002239EC">
          <w:rPr>
            <w:noProof/>
            <w:webHidden/>
          </w:rPr>
          <w:tab/>
        </w:r>
        <w:r w:rsidR="002239EC">
          <w:rPr>
            <w:noProof/>
            <w:webHidden/>
          </w:rPr>
          <w:fldChar w:fldCharType="begin"/>
        </w:r>
        <w:r w:rsidR="002239EC">
          <w:rPr>
            <w:noProof/>
            <w:webHidden/>
          </w:rPr>
          <w:instrText xml:space="preserve"> PAGEREF _Toc26366371 \h </w:instrText>
        </w:r>
        <w:r w:rsidR="002239EC">
          <w:rPr>
            <w:noProof/>
            <w:webHidden/>
          </w:rPr>
        </w:r>
        <w:r w:rsidR="002239EC">
          <w:rPr>
            <w:noProof/>
            <w:webHidden/>
          </w:rPr>
          <w:fldChar w:fldCharType="separate"/>
        </w:r>
        <w:r w:rsidR="002239EC">
          <w:rPr>
            <w:noProof/>
            <w:webHidden/>
          </w:rPr>
          <w:t>26</w:t>
        </w:r>
        <w:r w:rsidR="002239EC">
          <w:rPr>
            <w:noProof/>
            <w:webHidden/>
          </w:rPr>
          <w:fldChar w:fldCharType="end"/>
        </w:r>
      </w:hyperlink>
    </w:p>
    <w:p w14:paraId="2D1AAED0" w14:textId="0FCE49C5"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72" w:history="1">
        <w:r w:rsidR="002239EC" w:rsidRPr="00091141">
          <w:rPr>
            <w:rStyle w:val="Hyperlink"/>
            <w:noProof/>
          </w:rPr>
          <w:t>5.1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evaluation questions</w:t>
        </w:r>
        <w:r w:rsidR="002239EC">
          <w:rPr>
            <w:noProof/>
            <w:webHidden/>
          </w:rPr>
          <w:tab/>
        </w:r>
        <w:r w:rsidR="002239EC">
          <w:rPr>
            <w:noProof/>
            <w:webHidden/>
          </w:rPr>
          <w:fldChar w:fldCharType="begin"/>
        </w:r>
        <w:r w:rsidR="002239EC">
          <w:rPr>
            <w:noProof/>
            <w:webHidden/>
          </w:rPr>
          <w:instrText xml:space="preserve"> PAGEREF _Toc26366372 \h </w:instrText>
        </w:r>
        <w:r w:rsidR="002239EC">
          <w:rPr>
            <w:noProof/>
            <w:webHidden/>
          </w:rPr>
        </w:r>
        <w:r w:rsidR="002239EC">
          <w:rPr>
            <w:noProof/>
            <w:webHidden/>
          </w:rPr>
          <w:fldChar w:fldCharType="separate"/>
        </w:r>
        <w:r w:rsidR="002239EC">
          <w:rPr>
            <w:noProof/>
            <w:webHidden/>
          </w:rPr>
          <w:t>26</w:t>
        </w:r>
        <w:r w:rsidR="002239EC">
          <w:rPr>
            <w:noProof/>
            <w:webHidden/>
          </w:rPr>
          <w:fldChar w:fldCharType="end"/>
        </w:r>
      </w:hyperlink>
    </w:p>
    <w:p w14:paraId="73B12F43" w14:textId="22FB7D54"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73" w:history="1">
        <w:r w:rsidR="002239EC" w:rsidRPr="00091141">
          <w:rPr>
            <w:rStyle w:val="Hyperlink"/>
            <w:noProof/>
          </w:rPr>
          <w:t>5.2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Analysis and findings</w:t>
        </w:r>
        <w:r w:rsidR="002239EC">
          <w:rPr>
            <w:noProof/>
            <w:webHidden/>
          </w:rPr>
          <w:tab/>
        </w:r>
        <w:r w:rsidR="002239EC">
          <w:rPr>
            <w:noProof/>
            <w:webHidden/>
          </w:rPr>
          <w:fldChar w:fldCharType="begin"/>
        </w:r>
        <w:r w:rsidR="002239EC">
          <w:rPr>
            <w:noProof/>
            <w:webHidden/>
          </w:rPr>
          <w:instrText xml:space="preserve"> PAGEREF _Toc26366373 \h </w:instrText>
        </w:r>
        <w:r w:rsidR="002239EC">
          <w:rPr>
            <w:noProof/>
            <w:webHidden/>
          </w:rPr>
        </w:r>
        <w:r w:rsidR="002239EC">
          <w:rPr>
            <w:noProof/>
            <w:webHidden/>
          </w:rPr>
          <w:fldChar w:fldCharType="separate"/>
        </w:r>
        <w:r w:rsidR="002239EC">
          <w:rPr>
            <w:noProof/>
            <w:webHidden/>
          </w:rPr>
          <w:t>27</w:t>
        </w:r>
        <w:r w:rsidR="002239EC">
          <w:rPr>
            <w:noProof/>
            <w:webHidden/>
          </w:rPr>
          <w:fldChar w:fldCharType="end"/>
        </w:r>
      </w:hyperlink>
    </w:p>
    <w:p w14:paraId="6F6F050A" w14:textId="3A9AB43E" w:rsidR="002239EC" w:rsidRDefault="000619E2">
      <w:pPr>
        <w:pStyle w:val="TOC4"/>
        <w:rPr>
          <w:rFonts w:asciiTheme="minorHAnsi" w:eastAsiaTheme="minorEastAsia" w:hAnsiTheme="minorHAnsi" w:cstheme="minorBidi"/>
          <w:color w:val="auto"/>
          <w:spacing w:val="0"/>
          <w:sz w:val="22"/>
          <w:szCs w:val="22"/>
          <w:lang w:eastAsia="en-AU"/>
        </w:rPr>
      </w:pPr>
      <w:hyperlink w:anchor="_Toc26366374" w:history="1">
        <w:r w:rsidR="002239EC" w:rsidRPr="00091141">
          <w:rPr>
            <w:rStyle w:val="Hyperlink"/>
          </w:rPr>
          <w:t>5.2.1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Stakeholder engagement processes</w:t>
        </w:r>
        <w:r w:rsidR="002239EC">
          <w:rPr>
            <w:webHidden/>
          </w:rPr>
          <w:tab/>
        </w:r>
        <w:r w:rsidR="002239EC">
          <w:rPr>
            <w:webHidden/>
          </w:rPr>
          <w:fldChar w:fldCharType="begin"/>
        </w:r>
        <w:r w:rsidR="002239EC">
          <w:rPr>
            <w:webHidden/>
          </w:rPr>
          <w:instrText xml:space="preserve"> PAGEREF _Toc26366374 \h </w:instrText>
        </w:r>
        <w:r w:rsidR="002239EC">
          <w:rPr>
            <w:webHidden/>
          </w:rPr>
        </w:r>
        <w:r w:rsidR="002239EC">
          <w:rPr>
            <w:webHidden/>
          </w:rPr>
          <w:fldChar w:fldCharType="separate"/>
        </w:r>
        <w:r w:rsidR="002239EC">
          <w:rPr>
            <w:webHidden/>
          </w:rPr>
          <w:t>27</w:t>
        </w:r>
        <w:r w:rsidR="002239EC">
          <w:rPr>
            <w:webHidden/>
          </w:rPr>
          <w:fldChar w:fldCharType="end"/>
        </w:r>
      </w:hyperlink>
    </w:p>
    <w:p w14:paraId="11213976" w14:textId="372EB820" w:rsidR="002239EC" w:rsidRDefault="000619E2">
      <w:pPr>
        <w:pStyle w:val="TOC4"/>
        <w:rPr>
          <w:rFonts w:asciiTheme="minorHAnsi" w:eastAsiaTheme="minorEastAsia" w:hAnsiTheme="minorHAnsi" w:cstheme="minorBidi"/>
          <w:color w:val="auto"/>
          <w:spacing w:val="0"/>
          <w:sz w:val="22"/>
          <w:szCs w:val="22"/>
          <w:lang w:eastAsia="en-AU"/>
        </w:rPr>
      </w:pPr>
      <w:hyperlink w:anchor="_Toc26366375" w:history="1">
        <w:r w:rsidR="002239EC" w:rsidRPr="00091141">
          <w:rPr>
            <w:rStyle w:val="Hyperlink"/>
          </w:rPr>
          <w:t>5.2.2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Trials Advisory Group</w:t>
        </w:r>
        <w:r w:rsidR="002239EC">
          <w:rPr>
            <w:webHidden/>
          </w:rPr>
          <w:tab/>
        </w:r>
        <w:r w:rsidR="002239EC">
          <w:rPr>
            <w:webHidden/>
          </w:rPr>
          <w:fldChar w:fldCharType="begin"/>
        </w:r>
        <w:r w:rsidR="002239EC">
          <w:rPr>
            <w:webHidden/>
          </w:rPr>
          <w:instrText xml:space="preserve"> PAGEREF _Toc26366375 \h </w:instrText>
        </w:r>
        <w:r w:rsidR="002239EC">
          <w:rPr>
            <w:webHidden/>
          </w:rPr>
        </w:r>
        <w:r w:rsidR="002239EC">
          <w:rPr>
            <w:webHidden/>
          </w:rPr>
          <w:fldChar w:fldCharType="separate"/>
        </w:r>
        <w:r w:rsidR="002239EC">
          <w:rPr>
            <w:webHidden/>
          </w:rPr>
          <w:t>28</w:t>
        </w:r>
        <w:r w:rsidR="002239EC">
          <w:rPr>
            <w:webHidden/>
          </w:rPr>
          <w:fldChar w:fldCharType="end"/>
        </w:r>
      </w:hyperlink>
    </w:p>
    <w:p w14:paraId="42A61BD7" w14:textId="7884961E" w:rsidR="002239EC" w:rsidRDefault="000619E2">
      <w:pPr>
        <w:pStyle w:val="TOC4"/>
        <w:rPr>
          <w:rFonts w:asciiTheme="minorHAnsi" w:eastAsiaTheme="minorEastAsia" w:hAnsiTheme="minorHAnsi" w:cstheme="minorBidi"/>
          <w:color w:val="auto"/>
          <w:spacing w:val="0"/>
          <w:sz w:val="22"/>
          <w:szCs w:val="22"/>
          <w:lang w:eastAsia="en-AU"/>
        </w:rPr>
      </w:pPr>
      <w:hyperlink w:anchor="_Toc26366376" w:history="1">
        <w:r w:rsidR="002239EC" w:rsidRPr="00091141">
          <w:rPr>
            <w:rStyle w:val="Hyperlink"/>
          </w:rPr>
          <w:t>5.2.3</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Suitability of the program length</w:t>
        </w:r>
        <w:r w:rsidR="002239EC">
          <w:rPr>
            <w:webHidden/>
          </w:rPr>
          <w:tab/>
        </w:r>
        <w:r w:rsidR="002239EC">
          <w:rPr>
            <w:webHidden/>
          </w:rPr>
          <w:fldChar w:fldCharType="begin"/>
        </w:r>
        <w:r w:rsidR="002239EC">
          <w:rPr>
            <w:webHidden/>
          </w:rPr>
          <w:instrText xml:space="preserve"> PAGEREF _Toc26366376 \h </w:instrText>
        </w:r>
        <w:r w:rsidR="002239EC">
          <w:rPr>
            <w:webHidden/>
          </w:rPr>
        </w:r>
        <w:r w:rsidR="002239EC">
          <w:rPr>
            <w:webHidden/>
          </w:rPr>
          <w:fldChar w:fldCharType="separate"/>
        </w:r>
        <w:r w:rsidR="002239EC">
          <w:rPr>
            <w:webHidden/>
          </w:rPr>
          <w:t>30</w:t>
        </w:r>
        <w:r w:rsidR="002239EC">
          <w:rPr>
            <w:webHidden/>
          </w:rPr>
          <w:fldChar w:fldCharType="end"/>
        </w:r>
      </w:hyperlink>
    </w:p>
    <w:p w14:paraId="7986D4E1" w14:textId="7832FBBD" w:rsidR="002239EC" w:rsidRDefault="000619E2">
      <w:pPr>
        <w:pStyle w:val="TOC4"/>
        <w:rPr>
          <w:rFonts w:asciiTheme="minorHAnsi" w:eastAsiaTheme="minorEastAsia" w:hAnsiTheme="minorHAnsi" w:cstheme="minorBidi"/>
          <w:color w:val="auto"/>
          <w:spacing w:val="0"/>
          <w:sz w:val="22"/>
          <w:szCs w:val="22"/>
          <w:lang w:eastAsia="en-AU"/>
        </w:rPr>
      </w:pPr>
      <w:hyperlink w:anchor="_Toc26366377" w:history="1">
        <w:r w:rsidR="002239EC" w:rsidRPr="00091141">
          <w:rPr>
            <w:rStyle w:val="Hyperlink"/>
          </w:rPr>
          <w:t>5.2.4</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Suitability of the application processes</w:t>
        </w:r>
        <w:r w:rsidR="002239EC">
          <w:rPr>
            <w:webHidden/>
          </w:rPr>
          <w:tab/>
        </w:r>
        <w:r w:rsidR="002239EC">
          <w:rPr>
            <w:webHidden/>
          </w:rPr>
          <w:fldChar w:fldCharType="begin"/>
        </w:r>
        <w:r w:rsidR="002239EC">
          <w:rPr>
            <w:webHidden/>
          </w:rPr>
          <w:instrText xml:space="preserve"> PAGEREF _Toc26366377 \h </w:instrText>
        </w:r>
        <w:r w:rsidR="002239EC">
          <w:rPr>
            <w:webHidden/>
          </w:rPr>
        </w:r>
        <w:r w:rsidR="002239EC">
          <w:rPr>
            <w:webHidden/>
          </w:rPr>
          <w:fldChar w:fldCharType="separate"/>
        </w:r>
        <w:r w:rsidR="002239EC">
          <w:rPr>
            <w:webHidden/>
          </w:rPr>
          <w:t>32</w:t>
        </w:r>
        <w:r w:rsidR="002239EC">
          <w:rPr>
            <w:webHidden/>
          </w:rPr>
          <w:fldChar w:fldCharType="end"/>
        </w:r>
      </w:hyperlink>
    </w:p>
    <w:p w14:paraId="44A1AA68" w14:textId="1373DC5B" w:rsidR="002239EC" w:rsidRDefault="000619E2">
      <w:pPr>
        <w:pStyle w:val="TOC4"/>
        <w:rPr>
          <w:rFonts w:asciiTheme="minorHAnsi" w:eastAsiaTheme="minorEastAsia" w:hAnsiTheme="minorHAnsi" w:cstheme="minorBidi"/>
          <w:color w:val="auto"/>
          <w:spacing w:val="0"/>
          <w:sz w:val="22"/>
          <w:szCs w:val="22"/>
          <w:lang w:eastAsia="en-AU"/>
        </w:rPr>
      </w:pPr>
      <w:hyperlink w:anchor="_Toc26366378" w:history="1">
        <w:r w:rsidR="002239EC" w:rsidRPr="00091141">
          <w:rPr>
            <w:rStyle w:val="Hyperlink"/>
          </w:rPr>
          <w:t>5.2.5</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Appraisal and selection processes</w:t>
        </w:r>
        <w:r w:rsidR="002239EC">
          <w:rPr>
            <w:webHidden/>
          </w:rPr>
          <w:tab/>
        </w:r>
        <w:r w:rsidR="002239EC">
          <w:rPr>
            <w:webHidden/>
          </w:rPr>
          <w:fldChar w:fldCharType="begin"/>
        </w:r>
        <w:r w:rsidR="002239EC">
          <w:rPr>
            <w:webHidden/>
          </w:rPr>
          <w:instrText xml:space="preserve"> PAGEREF _Toc26366378 \h </w:instrText>
        </w:r>
        <w:r w:rsidR="002239EC">
          <w:rPr>
            <w:webHidden/>
          </w:rPr>
        </w:r>
        <w:r w:rsidR="002239EC">
          <w:rPr>
            <w:webHidden/>
          </w:rPr>
          <w:fldChar w:fldCharType="separate"/>
        </w:r>
        <w:r w:rsidR="002239EC">
          <w:rPr>
            <w:webHidden/>
          </w:rPr>
          <w:t>33</w:t>
        </w:r>
        <w:r w:rsidR="002239EC">
          <w:rPr>
            <w:webHidden/>
          </w:rPr>
          <w:fldChar w:fldCharType="end"/>
        </w:r>
      </w:hyperlink>
    </w:p>
    <w:p w14:paraId="09133C90" w14:textId="44C61D84" w:rsidR="002239EC" w:rsidRDefault="000619E2">
      <w:pPr>
        <w:pStyle w:val="TOC4"/>
        <w:rPr>
          <w:rFonts w:asciiTheme="minorHAnsi" w:eastAsiaTheme="minorEastAsia" w:hAnsiTheme="minorHAnsi" w:cstheme="minorBidi"/>
          <w:color w:val="auto"/>
          <w:spacing w:val="0"/>
          <w:sz w:val="22"/>
          <w:szCs w:val="22"/>
          <w:lang w:eastAsia="en-AU"/>
        </w:rPr>
      </w:pPr>
      <w:hyperlink w:anchor="_Toc26366379" w:history="1">
        <w:r w:rsidR="002239EC" w:rsidRPr="00091141">
          <w:rPr>
            <w:rStyle w:val="Hyperlink"/>
          </w:rPr>
          <w:t>5.2.6</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Transparency of decision-making</w:t>
        </w:r>
        <w:r w:rsidR="002239EC">
          <w:rPr>
            <w:webHidden/>
          </w:rPr>
          <w:tab/>
        </w:r>
        <w:r w:rsidR="002239EC">
          <w:rPr>
            <w:webHidden/>
          </w:rPr>
          <w:fldChar w:fldCharType="begin"/>
        </w:r>
        <w:r w:rsidR="002239EC">
          <w:rPr>
            <w:webHidden/>
          </w:rPr>
          <w:instrText xml:space="preserve"> PAGEREF _Toc26366379 \h </w:instrText>
        </w:r>
        <w:r w:rsidR="002239EC">
          <w:rPr>
            <w:webHidden/>
          </w:rPr>
        </w:r>
        <w:r w:rsidR="002239EC">
          <w:rPr>
            <w:webHidden/>
          </w:rPr>
          <w:fldChar w:fldCharType="separate"/>
        </w:r>
        <w:r w:rsidR="002239EC">
          <w:rPr>
            <w:webHidden/>
          </w:rPr>
          <w:t>34</w:t>
        </w:r>
        <w:r w:rsidR="002239EC">
          <w:rPr>
            <w:webHidden/>
          </w:rPr>
          <w:fldChar w:fldCharType="end"/>
        </w:r>
      </w:hyperlink>
    </w:p>
    <w:p w14:paraId="42071F8D" w14:textId="653C6943" w:rsidR="002239EC" w:rsidRDefault="000619E2">
      <w:pPr>
        <w:pStyle w:val="TOC4"/>
        <w:rPr>
          <w:rFonts w:asciiTheme="minorHAnsi" w:eastAsiaTheme="minorEastAsia" w:hAnsiTheme="minorHAnsi" w:cstheme="minorBidi"/>
          <w:color w:val="auto"/>
          <w:spacing w:val="0"/>
          <w:sz w:val="22"/>
          <w:szCs w:val="22"/>
          <w:lang w:eastAsia="en-AU"/>
        </w:rPr>
      </w:pPr>
      <w:hyperlink w:anchor="_Toc26366380" w:history="1">
        <w:r w:rsidR="002239EC" w:rsidRPr="00091141">
          <w:rPr>
            <w:rStyle w:val="Hyperlink"/>
          </w:rPr>
          <w:t>5.2.7</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Fostering an outcomes orientation for PTP trials</w:t>
        </w:r>
        <w:r w:rsidR="002239EC">
          <w:rPr>
            <w:webHidden/>
          </w:rPr>
          <w:tab/>
        </w:r>
        <w:r w:rsidR="002239EC">
          <w:rPr>
            <w:webHidden/>
          </w:rPr>
          <w:fldChar w:fldCharType="begin"/>
        </w:r>
        <w:r w:rsidR="002239EC">
          <w:rPr>
            <w:webHidden/>
          </w:rPr>
          <w:instrText xml:space="preserve"> PAGEREF _Toc26366380 \h </w:instrText>
        </w:r>
        <w:r w:rsidR="002239EC">
          <w:rPr>
            <w:webHidden/>
          </w:rPr>
        </w:r>
        <w:r w:rsidR="002239EC">
          <w:rPr>
            <w:webHidden/>
          </w:rPr>
          <w:fldChar w:fldCharType="separate"/>
        </w:r>
        <w:r w:rsidR="002239EC">
          <w:rPr>
            <w:webHidden/>
          </w:rPr>
          <w:t>36</w:t>
        </w:r>
        <w:r w:rsidR="002239EC">
          <w:rPr>
            <w:webHidden/>
          </w:rPr>
          <w:fldChar w:fldCharType="end"/>
        </w:r>
      </w:hyperlink>
    </w:p>
    <w:p w14:paraId="265249C1" w14:textId="46C0F3C0" w:rsidR="002239EC" w:rsidRDefault="000619E2">
      <w:pPr>
        <w:pStyle w:val="TOC4"/>
        <w:rPr>
          <w:rFonts w:asciiTheme="minorHAnsi" w:eastAsiaTheme="minorEastAsia" w:hAnsiTheme="minorHAnsi" w:cstheme="minorBidi"/>
          <w:color w:val="auto"/>
          <w:spacing w:val="0"/>
          <w:sz w:val="22"/>
          <w:szCs w:val="22"/>
          <w:lang w:eastAsia="en-AU"/>
        </w:rPr>
      </w:pPr>
      <w:hyperlink w:anchor="_Toc26366381" w:history="1">
        <w:r w:rsidR="002239EC" w:rsidRPr="00091141">
          <w:rPr>
            <w:rStyle w:val="Hyperlink"/>
          </w:rPr>
          <w:t>5.2.8</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Roles and responsibilities</w:t>
        </w:r>
        <w:r w:rsidR="002239EC">
          <w:rPr>
            <w:webHidden/>
          </w:rPr>
          <w:tab/>
        </w:r>
        <w:r w:rsidR="002239EC">
          <w:rPr>
            <w:webHidden/>
          </w:rPr>
          <w:fldChar w:fldCharType="begin"/>
        </w:r>
        <w:r w:rsidR="002239EC">
          <w:rPr>
            <w:webHidden/>
          </w:rPr>
          <w:instrText xml:space="preserve"> PAGEREF _Toc26366381 \h </w:instrText>
        </w:r>
        <w:r w:rsidR="002239EC">
          <w:rPr>
            <w:webHidden/>
          </w:rPr>
        </w:r>
        <w:r w:rsidR="002239EC">
          <w:rPr>
            <w:webHidden/>
          </w:rPr>
          <w:fldChar w:fldCharType="separate"/>
        </w:r>
        <w:r w:rsidR="002239EC">
          <w:rPr>
            <w:webHidden/>
          </w:rPr>
          <w:t>37</w:t>
        </w:r>
        <w:r w:rsidR="002239EC">
          <w:rPr>
            <w:webHidden/>
          </w:rPr>
          <w:fldChar w:fldCharType="end"/>
        </w:r>
      </w:hyperlink>
    </w:p>
    <w:p w14:paraId="3DE4294F" w14:textId="502F08DD" w:rsidR="002239EC" w:rsidRDefault="000619E2">
      <w:pPr>
        <w:pStyle w:val="TOC4"/>
        <w:rPr>
          <w:rFonts w:asciiTheme="minorHAnsi" w:eastAsiaTheme="minorEastAsia" w:hAnsiTheme="minorHAnsi" w:cstheme="minorBidi"/>
          <w:color w:val="auto"/>
          <w:spacing w:val="0"/>
          <w:sz w:val="22"/>
          <w:szCs w:val="22"/>
          <w:lang w:eastAsia="en-AU"/>
        </w:rPr>
      </w:pPr>
      <w:hyperlink w:anchor="_Toc26366382" w:history="1">
        <w:r w:rsidR="002239EC" w:rsidRPr="00091141">
          <w:rPr>
            <w:rStyle w:val="Hyperlink"/>
          </w:rPr>
          <w:t>5.2.9</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Suitability of record keeping and performance measures</w:t>
        </w:r>
        <w:r w:rsidR="002239EC">
          <w:rPr>
            <w:webHidden/>
          </w:rPr>
          <w:tab/>
        </w:r>
        <w:r w:rsidR="002239EC">
          <w:rPr>
            <w:webHidden/>
          </w:rPr>
          <w:fldChar w:fldCharType="begin"/>
        </w:r>
        <w:r w:rsidR="002239EC">
          <w:rPr>
            <w:webHidden/>
          </w:rPr>
          <w:instrText xml:space="preserve"> PAGEREF _Toc26366382 \h </w:instrText>
        </w:r>
        <w:r w:rsidR="002239EC">
          <w:rPr>
            <w:webHidden/>
          </w:rPr>
        </w:r>
        <w:r w:rsidR="002239EC">
          <w:rPr>
            <w:webHidden/>
          </w:rPr>
          <w:fldChar w:fldCharType="separate"/>
        </w:r>
        <w:r w:rsidR="002239EC">
          <w:rPr>
            <w:webHidden/>
          </w:rPr>
          <w:t>37</w:t>
        </w:r>
        <w:r w:rsidR="002239EC">
          <w:rPr>
            <w:webHidden/>
          </w:rPr>
          <w:fldChar w:fldCharType="end"/>
        </w:r>
      </w:hyperlink>
    </w:p>
    <w:p w14:paraId="75119E60" w14:textId="02BAB333" w:rsidR="002239EC" w:rsidRDefault="000619E2">
      <w:pPr>
        <w:pStyle w:val="TOC4"/>
        <w:rPr>
          <w:rFonts w:asciiTheme="minorHAnsi" w:eastAsiaTheme="minorEastAsia" w:hAnsiTheme="minorHAnsi" w:cstheme="minorBidi"/>
          <w:color w:val="auto"/>
          <w:spacing w:val="0"/>
          <w:sz w:val="22"/>
          <w:szCs w:val="22"/>
          <w:lang w:eastAsia="en-AU"/>
        </w:rPr>
      </w:pPr>
      <w:hyperlink w:anchor="_Toc26366383" w:history="1">
        <w:r w:rsidR="002239EC" w:rsidRPr="00091141">
          <w:rPr>
            <w:rStyle w:val="Hyperlink"/>
          </w:rPr>
          <w:t>5.2.10</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Completion of trials within the term of the 6CPA</w:t>
        </w:r>
        <w:r w:rsidR="002239EC">
          <w:rPr>
            <w:webHidden/>
          </w:rPr>
          <w:tab/>
        </w:r>
        <w:r w:rsidR="002239EC">
          <w:rPr>
            <w:webHidden/>
          </w:rPr>
          <w:fldChar w:fldCharType="begin"/>
        </w:r>
        <w:r w:rsidR="002239EC">
          <w:rPr>
            <w:webHidden/>
          </w:rPr>
          <w:instrText xml:space="preserve"> PAGEREF _Toc26366383 \h </w:instrText>
        </w:r>
        <w:r w:rsidR="002239EC">
          <w:rPr>
            <w:webHidden/>
          </w:rPr>
        </w:r>
        <w:r w:rsidR="002239EC">
          <w:rPr>
            <w:webHidden/>
          </w:rPr>
          <w:fldChar w:fldCharType="separate"/>
        </w:r>
        <w:r w:rsidR="002239EC">
          <w:rPr>
            <w:webHidden/>
          </w:rPr>
          <w:t>38</w:t>
        </w:r>
        <w:r w:rsidR="002239EC">
          <w:rPr>
            <w:webHidden/>
          </w:rPr>
          <w:fldChar w:fldCharType="end"/>
        </w:r>
      </w:hyperlink>
    </w:p>
    <w:p w14:paraId="3FF5D18B" w14:textId="3FA1B4AA" w:rsidR="002239EC" w:rsidRDefault="000619E2">
      <w:pPr>
        <w:pStyle w:val="TOC4"/>
        <w:rPr>
          <w:rFonts w:asciiTheme="minorHAnsi" w:eastAsiaTheme="minorEastAsia" w:hAnsiTheme="minorHAnsi" w:cstheme="minorBidi"/>
          <w:color w:val="auto"/>
          <w:spacing w:val="0"/>
          <w:sz w:val="22"/>
          <w:szCs w:val="22"/>
          <w:lang w:eastAsia="en-AU"/>
        </w:rPr>
      </w:pPr>
      <w:hyperlink w:anchor="_Toc26366384" w:history="1">
        <w:r w:rsidR="002239EC" w:rsidRPr="00091141">
          <w:rPr>
            <w:rStyle w:val="Hyperlink"/>
          </w:rPr>
          <w:t>5.2.11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Process for proceeding to health technology assessment</w:t>
        </w:r>
        <w:r w:rsidR="002239EC">
          <w:rPr>
            <w:webHidden/>
          </w:rPr>
          <w:tab/>
        </w:r>
        <w:r w:rsidR="002239EC">
          <w:rPr>
            <w:webHidden/>
          </w:rPr>
          <w:fldChar w:fldCharType="begin"/>
        </w:r>
        <w:r w:rsidR="002239EC">
          <w:rPr>
            <w:webHidden/>
          </w:rPr>
          <w:instrText xml:space="preserve"> PAGEREF _Toc26366384 \h </w:instrText>
        </w:r>
        <w:r w:rsidR="002239EC">
          <w:rPr>
            <w:webHidden/>
          </w:rPr>
        </w:r>
        <w:r w:rsidR="002239EC">
          <w:rPr>
            <w:webHidden/>
          </w:rPr>
          <w:fldChar w:fldCharType="separate"/>
        </w:r>
        <w:r w:rsidR="002239EC">
          <w:rPr>
            <w:webHidden/>
          </w:rPr>
          <w:t>38</w:t>
        </w:r>
        <w:r w:rsidR="002239EC">
          <w:rPr>
            <w:webHidden/>
          </w:rPr>
          <w:fldChar w:fldCharType="end"/>
        </w:r>
      </w:hyperlink>
    </w:p>
    <w:p w14:paraId="5474A753" w14:textId="0709EDBD"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85" w:history="1">
        <w:r w:rsidR="002239EC" w:rsidRPr="00091141">
          <w:rPr>
            <w:rStyle w:val="Hyperlink"/>
            <w:noProof/>
          </w:rPr>
          <w:t>5.3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Conclusion</w:t>
        </w:r>
        <w:r w:rsidR="002239EC">
          <w:rPr>
            <w:noProof/>
            <w:webHidden/>
          </w:rPr>
          <w:tab/>
        </w:r>
        <w:r w:rsidR="002239EC">
          <w:rPr>
            <w:noProof/>
            <w:webHidden/>
          </w:rPr>
          <w:fldChar w:fldCharType="begin"/>
        </w:r>
        <w:r w:rsidR="002239EC">
          <w:rPr>
            <w:noProof/>
            <w:webHidden/>
          </w:rPr>
          <w:instrText xml:space="preserve"> PAGEREF _Toc26366385 \h </w:instrText>
        </w:r>
        <w:r w:rsidR="002239EC">
          <w:rPr>
            <w:noProof/>
            <w:webHidden/>
          </w:rPr>
        </w:r>
        <w:r w:rsidR="002239EC">
          <w:rPr>
            <w:noProof/>
            <w:webHidden/>
          </w:rPr>
          <w:fldChar w:fldCharType="separate"/>
        </w:r>
        <w:r w:rsidR="002239EC">
          <w:rPr>
            <w:noProof/>
            <w:webHidden/>
          </w:rPr>
          <w:t>39</w:t>
        </w:r>
        <w:r w:rsidR="002239EC">
          <w:rPr>
            <w:noProof/>
            <w:webHidden/>
          </w:rPr>
          <w:fldChar w:fldCharType="end"/>
        </w:r>
      </w:hyperlink>
    </w:p>
    <w:p w14:paraId="1A43EF39" w14:textId="428136A6"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86" w:history="1">
        <w:r w:rsidR="002239EC" w:rsidRPr="00091141">
          <w:rPr>
            <w:rStyle w:val="Hyperlink"/>
            <w:noProof/>
          </w:rPr>
          <w:t>6</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Efficiency</w:t>
        </w:r>
        <w:r w:rsidR="002239EC">
          <w:rPr>
            <w:noProof/>
            <w:webHidden/>
          </w:rPr>
          <w:tab/>
        </w:r>
        <w:r w:rsidR="002239EC">
          <w:rPr>
            <w:noProof/>
            <w:webHidden/>
          </w:rPr>
          <w:fldChar w:fldCharType="begin"/>
        </w:r>
        <w:r w:rsidR="002239EC">
          <w:rPr>
            <w:noProof/>
            <w:webHidden/>
          </w:rPr>
          <w:instrText xml:space="preserve"> PAGEREF _Toc26366386 \h </w:instrText>
        </w:r>
        <w:r w:rsidR="002239EC">
          <w:rPr>
            <w:noProof/>
            <w:webHidden/>
          </w:rPr>
        </w:r>
        <w:r w:rsidR="002239EC">
          <w:rPr>
            <w:noProof/>
            <w:webHidden/>
          </w:rPr>
          <w:fldChar w:fldCharType="separate"/>
        </w:r>
        <w:r w:rsidR="002239EC">
          <w:rPr>
            <w:noProof/>
            <w:webHidden/>
          </w:rPr>
          <w:t>41</w:t>
        </w:r>
        <w:r w:rsidR="002239EC">
          <w:rPr>
            <w:noProof/>
            <w:webHidden/>
          </w:rPr>
          <w:fldChar w:fldCharType="end"/>
        </w:r>
      </w:hyperlink>
    </w:p>
    <w:p w14:paraId="3B3D2FE7" w14:textId="5BC4D6DF"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87" w:history="1">
        <w:r w:rsidR="002239EC" w:rsidRPr="00091141">
          <w:rPr>
            <w:rStyle w:val="Hyperlink"/>
            <w:noProof/>
          </w:rPr>
          <w:t>6.1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evaluation questions</w:t>
        </w:r>
        <w:r w:rsidR="002239EC">
          <w:rPr>
            <w:noProof/>
            <w:webHidden/>
          </w:rPr>
          <w:tab/>
        </w:r>
        <w:r w:rsidR="002239EC">
          <w:rPr>
            <w:noProof/>
            <w:webHidden/>
          </w:rPr>
          <w:fldChar w:fldCharType="begin"/>
        </w:r>
        <w:r w:rsidR="002239EC">
          <w:rPr>
            <w:noProof/>
            <w:webHidden/>
          </w:rPr>
          <w:instrText xml:space="preserve"> PAGEREF _Toc26366387 \h </w:instrText>
        </w:r>
        <w:r w:rsidR="002239EC">
          <w:rPr>
            <w:noProof/>
            <w:webHidden/>
          </w:rPr>
        </w:r>
        <w:r w:rsidR="002239EC">
          <w:rPr>
            <w:noProof/>
            <w:webHidden/>
          </w:rPr>
          <w:fldChar w:fldCharType="separate"/>
        </w:r>
        <w:r w:rsidR="002239EC">
          <w:rPr>
            <w:noProof/>
            <w:webHidden/>
          </w:rPr>
          <w:t>41</w:t>
        </w:r>
        <w:r w:rsidR="002239EC">
          <w:rPr>
            <w:noProof/>
            <w:webHidden/>
          </w:rPr>
          <w:fldChar w:fldCharType="end"/>
        </w:r>
      </w:hyperlink>
    </w:p>
    <w:p w14:paraId="356394B9" w14:textId="5B8449B4"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88" w:history="1">
        <w:r w:rsidR="002239EC" w:rsidRPr="00091141">
          <w:rPr>
            <w:rStyle w:val="Hyperlink"/>
            <w:noProof/>
          </w:rPr>
          <w:t>6.2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Analysis and findings</w:t>
        </w:r>
        <w:r w:rsidR="002239EC">
          <w:rPr>
            <w:noProof/>
            <w:webHidden/>
          </w:rPr>
          <w:tab/>
        </w:r>
        <w:r w:rsidR="002239EC">
          <w:rPr>
            <w:noProof/>
            <w:webHidden/>
          </w:rPr>
          <w:fldChar w:fldCharType="begin"/>
        </w:r>
        <w:r w:rsidR="002239EC">
          <w:rPr>
            <w:noProof/>
            <w:webHidden/>
          </w:rPr>
          <w:instrText xml:space="preserve"> PAGEREF _Toc26366388 \h </w:instrText>
        </w:r>
        <w:r w:rsidR="002239EC">
          <w:rPr>
            <w:noProof/>
            <w:webHidden/>
          </w:rPr>
        </w:r>
        <w:r w:rsidR="002239EC">
          <w:rPr>
            <w:noProof/>
            <w:webHidden/>
          </w:rPr>
          <w:fldChar w:fldCharType="separate"/>
        </w:r>
        <w:r w:rsidR="002239EC">
          <w:rPr>
            <w:noProof/>
            <w:webHidden/>
          </w:rPr>
          <w:t>41</w:t>
        </w:r>
        <w:r w:rsidR="002239EC">
          <w:rPr>
            <w:noProof/>
            <w:webHidden/>
          </w:rPr>
          <w:fldChar w:fldCharType="end"/>
        </w:r>
      </w:hyperlink>
    </w:p>
    <w:p w14:paraId="484D54F3" w14:textId="7A378EF1" w:rsidR="002239EC" w:rsidRDefault="000619E2">
      <w:pPr>
        <w:pStyle w:val="TOC4"/>
        <w:rPr>
          <w:rFonts w:asciiTheme="minorHAnsi" w:eastAsiaTheme="minorEastAsia" w:hAnsiTheme="minorHAnsi" w:cstheme="minorBidi"/>
          <w:color w:val="auto"/>
          <w:spacing w:val="0"/>
          <w:sz w:val="22"/>
          <w:szCs w:val="22"/>
          <w:lang w:eastAsia="en-AU"/>
        </w:rPr>
      </w:pPr>
      <w:hyperlink w:anchor="_Toc26366389" w:history="1">
        <w:r w:rsidR="002239EC" w:rsidRPr="00091141">
          <w:rPr>
            <w:rStyle w:val="Hyperlink"/>
          </w:rPr>
          <w:t>6.2.1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Equity of the PTP processes</w:t>
        </w:r>
        <w:r w:rsidR="002239EC">
          <w:rPr>
            <w:webHidden/>
          </w:rPr>
          <w:tab/>
        </w:r>
        <w:r w:rsidR="002239EC">
          <w:rPr>
            <w:webHidden/>
          </w:rPr>
          <w:fldChar w:fldCharType="begin"/>
        </w:r>
        <w:r w:rsidR="002239EC">
          <w:rPr>
            <w:webHidden/>
          </w:rPr>
          <w:instrText xml:space="preserve"> PAGEREF _Toc26366389 \h </w:instrText>
        </w:r>
        <w:r w:rsidR="002239EC">
          <w:rPr>
            <w:webHidden/>
          </w:rPr>
        </w:r>
        <w:r w:rsidR="002239EC">
          <w:rPr>
            <w:webHidden/>
          </w:rPr>
          <w:fldChar w:fldCharType="separate"/>
        </w:r>
        <w:r w:rsidR="002239EC">
          <w:rPr>
            <w:webHidden/>
          </w:rPr>
          <w:t>41</w:t>
        </w:r>
        <w:r w:rsidR="002239EC">
          <w:rPr>
            <w:webHidden/>
          </w:rPr>
          <w:fldChar w:fldCharType="end"/>
        </w:r>
      </w:hyperlink>
    </w:p>
    <w:p w14:paraId="59C0BCA7" w14:textId="7A822B99" w:rsidR="002239EC" w:rsidRDefault="000619E2">
      <w:pPr>
        <w:pStyle w:val="TOC4"/>
        <w:rPr>
          <w:rFonts w:asciiTheme="minorHAnsi" w:eastAsiaTheme="minorEastAsia" w:hAnsiTheme="minorHAnsi" w:cstheme="minorBidi"/>
          <w:color w:val="auto"/>
          <w:spacing w:val="0"/>
          <w:sz w:val="22"/>
          <w:szCs w:val="22"/>
          <w:lang w:eastAsia="en-AU"/>
        </w:rPr>
      </w:pPr>
      <w:hyperlink w:anchor="_Toc26366390" w:history="1">
        <w:r w:rsidR="002239EC" w:rsidRPr="00091141">
          <w:rPr>
            <w:rStyle w:val="Hyperlink"/>
          </w:rPr>
          <w:t>6.2.2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Rigour of the evidence base</w:t>
        </w:r>
        <w:r w:rsidR="002239EC">
          <w:rPr>
            <w:webHidden/>
          </w:rPr>
          <w:tab/>
        </w:r>
        <w:r w:rsidR="002239EC">
          <w:rPr>
            <w:webHidden/>
          </w:rPr>
          <w:fldChar w:fldCharType="begin"/>
        </w:r>
        <w:r w:rsidR="002239EC">
          <w:rPr>
            <w:webHidden/>
          </w:rPr>
          <w:instrText xml:space="preserve"> PAGEREF _Toc26366390 \h </w:instrText>
        </w:r>
        <w:r w:rsidR="002239EC">
          <w:rPr>
            <w:webHidden/>
          </w:rPr>
        </w:r>
        <w:r w:rsidR="002239EC">
          <w:rPr>
            <w:webHidden/>
          </w:rPr>
          <w:fldChar w:fldCharType="separate"/>
        </w:r>
        <w:r w:rsidR="002239EC">
          <w:rPr>
            <w:webHidden/>
          </w:rPr>
          <w:t>42</w:t>
        </w:r>
        <w:r w:rsidR="002239EC">
          <w:rPr>
            <w:webHidden/>
          </w:rPr>
          <w:fldChar w:fldCharType="end"/>
        </w:r>
      </w:hyperlink>
    </w:p>
    <w:p w14:paraId="52122C5B" w14:textId="11F55645"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91" w:history="1">
        <w:r w:rsidR="002239EC" w:rsidRPr="00091141">
          <w:rPr>
            <w:rStyle w:val="Hyperlink"/>
            <w:noProof/>
          </w:rPr>
          <w:t>6.3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Conclusion</w:t>
        </w:r>
        <w:r w:rsidR="002239EC">
          <w:rPr>
            <w:noProof/>
            <w:webHidden/>
          </w:rPr>
          <w:tab/>
        </w:r>
        <w:r w:rsidR="002239EC">
          <w:rPr>
            <w:noProof/>
            <w:webHidden/>
          </w:rPr>
          <w:fldChar w:fldCharType="begin"/>
        </w:r>
        <w:r w:rsidR="002239EC">
          <w:rPr>
            <w:noProof/>
            <w:webHidden/>
          </w:rPr>
          <w:instrText xml:space="preserve"> PAGEREF _Toc26366391 \h </w:instrText>
        </w:r>
        <w:r w:rsidR="002239EC">
          <w:rPr>
            <w:noProof/>
            <w:webHidden/>
          </w:rPr>
        </w:r>
        <w:r w:rsidR="002239EC">
          <w:rPr>
            <w:noProof/>
            <w:webHidden/>
          </w:rPr>
          <w:fldChar w:fldCharType="separate"/>
        </w:r>
        <w:r w:rsidR="002239EC">
          <w:rPr>
            <w:noProof/>
            <w:webHidden/>
          </w:rPr>
          <w:t>44</w:t>
        </w:r>
        <w:r w:rsidR="002239EC">
          <w:rPr>
            <w:noProof/>
            <w:webHidden/>
          </w:rPr>
          <w:fldChar w:fldCharType="end"/>
        </w:r>
      </w:hyperlink>
    </w:p>
    <w:p w14:paraId="1E3C8929" w14:textId="5E280EFC" w:rsidR="002239EC" w:rsidRDefault="000619E2">
      <w:pPr>
        <w:pStyle w:val="TOC5"/>
        <w:rPr>
          <w:rFonts w:asciiTheme="minorHAnsi" w:eastAsiaTheme="minorEastAsia" w:hAnsiTheme="minorHAnsi" w:cstheme="minorBidi"/>
          <w:caps w:val="0"/>
          <w:noProof/>
          <w:color w:val="auto"/>
          <w:spacing w:val="0"/>
          <w:sz w:val="22"/>
          <w:szCs w:val="22"/>
          <w:lang w:eastAsia="en-AU"/>
        </w:rPr>
      </w:pPr>
      <w:hyperlink w:anchor="_Toc26366392" w:history="1">
        <w:r w:rsidR="002239EC" w:rsidRPr="00091141">
          <w:rPr>
            <w:rStyle w:val="Hyperlink"/>
            <w:b/>
            <w:noProof/>
          </w:rPr>
          <w:t>Part C</w:t>
        </w:r>
        <w:r w:rsidR="002239EC">
          <w:rPr>
            <w:rFonts w:asciiTheme="minorHAnsi" w:eastAsiaTheme="minorEastAsia" w:hAnsiTheme="minorHAnsi" w:cstheme="minorBidi"/>
            <w:caps w:val="0"/>
            <w:noProof/>
            <w:color w:val="auto"/>
            <w:spacing w:val="0"/>
            <w:sz w:val="22"/>
            <w:szCs w:val="22"/>
            <w:lang w:eastAsia="en-AU"/>
          </w:rPr>
          <w:tab/>
        </w:r>
        <w:r w:rsidR="002239EC" w:rsidRPr="00091141">
          <w:rPr>
            <w:rStyle w:val="Hyperlink"/>
            <w:noProof/>
          </w:rPr>
          <w:t>Future directions</w:t>
        </w:r>
        <w:r w:rsidR="002239EC">
          <w:rPr>
            <w:noProof/>
            <w:webHidden/>
          </w:rPr>
          <w:tab/>
        </w:r>
        <w:r w:rsidR="002239EC">
          <w:rPr>
            <w:noProof/>
            <w:webHidden/>
          </w:rPr>
          <w:fldChar w:fldCharType="begin"/>
        </w:r>
        <w:r w:rsidR="002239EC">
          <w:rPr>
            <w:noProof/>
            <w:webHidden/>
          </w:rPr>
          <w:instrText xml:space="preserve"> PAGEREF _Toc26366392 \h </w:instrText>
        </w:r>
        <w:r w:rsidR="002239EC">
          <w:rPr>
            <w:noProof/>
            <w:webHidden/>
          </w:rPr>
        </w:r>
        <w:r w:rsidR="002239EC">
          <w:rPr>
            <w:noProof/>
            <w:webHidden/>
          </w:rPr>
          <w:fldChar w:fldCharType="separate"/>
        </w:r>
        <w:r w:rsidR="002239EC">
          <w:rPr>
            <w:noProof/>
            <w:webHidden/>
          </w:rPr>
          <w:t>45</w:t>
        </w:r>
        <w:r w:rsidR="002239EC">
          <w:rPr>
            <w:noProof/>
            <w:webHidden/>
          </w:rPr>
          <w:fldChar w:fldCharType="end"/>
        </w:r>
      </w:hyperlink>
    </w:p>
    <w:p w14:paraId="1366A52A" w14:textId="7E0A5ACD"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393" w:history="1">
        <w:r w:rsidR="002239EC" w:rsidRPr="00091141">
          <w:rPr>
            <w:rStyle w:val="Hyperlink"/>
            <w:noProof/>
          </w:rPr>
          <w:t>7</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Approach to emerging themes: possible directions</w:t>
        </w:r>
        <w:r w:rsidR="002239EC">
          <w:rPr>
            <w:noProof/>
            <w:webHidden/>
          </w:rPr>
          <w:tab/>
        </w:r>
        <w:r w:rsidR="002239EC">
          <w:rPr>
            <w:noProof/>
            <w:webHidden/>
          </w:rPr>
          <w:fldChar w:fldCharType="begin"/>
        </w:r>
        <w:r w:rsidR="002239EC">
          <w:rPr>
            <w:noProof/>
            <w:webHidden/>
          </w:rPr>
          <w:instrText xml:space="preserve"> PAGEREF _Toc26366393 \h </w:instrText>
        </w:r>
        <w:r w:rsidR="002239EC">
          <w:rPr>
            <w:noProof/>
            <w:webHidden/>
          </w:rPr>
        </w:r>
        <w:r w:rsidR="002239EC">
          <w:rPr>
            <w:noProof/>
            <w:webHidden/>
          </w:rPr>
          <w:fldChar w:fldCharType="separate"/>
        </w:r>
        <w:r w:rsidR="002239EC">
          <w:rPr>
            <w:noProof/>
            <w:webHidden/>
          </w:rPr>
          <w:t>46</w:t>
        </w:r>
        <w:r w:rsidR="002239EC">
          <w:rPr>
            <w:noProof/>
            <w:webHidden/>
          </w:rPr>
          <w:fldChar w:fldCharType="end"/>
        </w:r>
      </w:hyperlink>
    </w:p>
    <w:p w14:paraId="63DB09BB" w14:textId="292D6659"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94" w:history="1">
        <w:r w:rsidR="002239EC" w:rsidRPr="00091141">
          <w:rPr>
            <w:rStyle w:val="Hyperlink"/>
            <w:noProof/>
          </w:rPr>
          <w:t>7.1</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emerging theme 1: broadening the PTP objectives</w:t>
        </w:r>
        <w:r w:rsidR="002239EC">
          <w:rPr>
            <w:noProof/>
            <w:webHidden/>
          </w:rPr>
          <w:tab/>
        </w:r>
        <w:r w:rsidR="002239EC">
          <w:rPr>
            <w:noProof/>
            <w:webHidden/>
          </w:rPr>
          <w:fldChar w:fldCharType="begin"/>
        </w:r>
        <w:r w:rsidR="002239EC">
          <w:rPr>
            <w:noProof/>
            <w:webHidden/>
          </w:rPr>
          <w:instrText xml:space="preserve"> PAGEREF _Toc26366394 \h </w:instrText>
        </w:r>
        <w:r w:rsidR="002239EC">
          <w:rPr>
            <w:noProof/>
            <w:webHidden/>
          </w:rPr>
        </w:r>
        <w:r w:rsidR="002239EC">
          <w:rPr>
            <w:noProof/>
            <w:webHidden/>
          </w:rPr>
          <w:fldChar w:fldCharType="separate"/>
        </w:r>
        <w:r w:rsidR="002239EC">
          <w:rPr>
            <w:noProof/>
            <w:webHidden/>
          </w:rPr>
          <w:t>46</w:t>
        </w:r>
        <w:r w:rsidR="002239EC">
          <w:rPr>
            <w:noProof/>
            <w:webHidden/>
          </w:rPr>
          <w:fldChar w:fldCharType="end"/>
        </w:r>
      </w:hyperlink>
    </w:p>
    <w:p w14:paraId="65114417" w14:textId="222B5934" w:rsidR="002239EC" w:rsidRDefault="000619E2">
      <w:pPr>
        <w:pStyle w:val="TOC4"/>
        <w:rPr>
          <w:rFonts w:asciiTheme="minorHAnsi" w:eastAsiaTheme="minorEastAsia" w:hAnsiTheme="minorHAnsi" w:cstheme="minorBidi"/>
          <w:color w:val="auto"/>
          <w:spacing w:val="0"/>
          <w:sz w:val="22"/>
          <w:szCs w:val="22"/>
          <w:lang w:eastAsia="en-AU"/>
        </w:rPr>
      </w:pPr>
      <w:hyperlink w:anchor="_Toc26366395" w:history="1">
        <w:r w:rsidR="002239EC" w:rsidRPr="00091141">
          <w:rPr>
            <w:rStyle w:val="Hyperlink"/>
          </w:rPr>
          <w:t>7.1.1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Issue</w:t>
        </w:r>
        <w:r w:rsidR="002239EC">
          <w:rPr>
            <w:webHidden/>
          </w:rPr>
          <w:tab/>
        </w:r>
        <w:r w:rsidR="002239EC">
          <w:rPr>
            <w:webHidden/>
          </w:rPr>
          <w:fldChar w:fldCharType="begin"/>
        </w:r>
        <w:r w:rsidR="002239EC">
          <w:rPr>
            <w:webHidden/>
          </w:rPr>
          <w:instrText xml:space="preserve"> PAGEREF _Toc26366395 \h </w:instrText>
        </w:r>
        <w:r w:rsidR="002239EC">
          <w:rPr>
            <w:webHidden/>
          </w:rPr>
        </w:r>
        <w:r w:rsidR="002239EC">
          <w:rPr>
            <w:webHidden/>
          </w:rPr>
          <w:fldChar w:fldCharType="separate"/>
        </w:r>
        <w:r w:rsidR="002239EC">
          <w:rPr>
            <w:webHidden/>
          </w:rPr>
          <w:t>46</w:t>
        </w:r>
        <w:r w:rsidR="002239EC">
          <w:rPr>
            <w:webHidden/>
          </w:rPr>
          <w:fldChar w:fldCharType="end"/>
        </w:r>
      </w:hyperlink>
    </w:p>
    <w:p w14:paraId="626E1B8B" w14:textId="312A6988" w:rsidR="002239EC" w:rsidRDefault="000619E2">
      <w:pPr>
        <w:pStyle w:val="TOC4"/>
        <w:rPr>
          <w:rFonts w:asciiTheme="minorHAnsi" w:eastAsiaTheme="minorEastAsia" w:hAnsiTheme="minorHAnsi" w:cstheme="minorBidi"/>
          <w:color w:val="auto"/>
          <w:spacing w:val="0"/>
          <w:sz w:val="22"/>
          <w:szCs w:val="22"/>
          <w:lang w:eastAsia="en-AU"/>
        </w:rPr>
      </w:pPr>
      <w:hyperlink w:anchor="_Toc26366396" w:history="1">
        <w:r w:rsidR="002239EC" w:rsidRPr="00091141">
          <w:rPr>
            <w:rStyle w:val="Hyperlink"/>
          </w:rPr>
          <w:t>7.1.2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Rationale</w:t>
        </w:r>
        <w:r w:rsidR="002239EC">
          <w:rPr>
            <w:webHidden/>
          </w:rPr>
          <w:tab/>
        </w:r>
        <w:r w:rsidR="002239EC">
          <w:rPr>
            <w:webHidden/>
          </w:rPr>
          <w:fldChar w:fldCharType="begin"/>
        </w:r>
        <w:r w:rsidR="002239EC">
          <w:rPr>
            <w:webHidden/>
          </w:rPr>
          <w:instrText xml:space="preserve"> PAGEREF _Toc26366396 \h </w:instrText>
        </w:r>
        <w:r w:rsidR="002239EC">
          <w:rPr>
            <w:webHidden/>
          </w:rPr>
        </w:r>
        <w:r w:rsidR="002239EC">
          <w:rPr>
            <w:webHidden/>
          </w:rPr>
          <w:fldChar w:fldCharType="separate"/>
        </w:r>
        <w:r w:rsidR="002239EC">
          <w:rPr>
            <w:webHidden/>
          </w:rPr>
          <w:t>46</w:t>
        </w:r>
        <w:r w:rsidR="002239EC">
          <w:rPr>
            <w:webHidden/>
          </w:rPr>
          <w:fldChar w:fldCharType="end"/>
        </w:r>
      </w:hyperlink>
    </w:p>
    <w:p w14:paraId="352380A2" w14:textId="0CB98868" w:rsidR="002239EC" w:rsidRDefault="000619E2">
      <w:pPr>
        <w:pStyle w:val="TOC4"/>
        <w:rPr>
          <w:rFonts w:asciiTheme="minorHAnsi" w:eastAsiaTheme="minorEastAsia" w:hAnsiTheme="minorHAnsi" w:cstheme="minorBidi"/>
          <w:color w:val="auto"/>
          <w:spacing w:val="0"/>
          <w:sz w:val="22"/>
          <w:szCs w:val="22"/>
          <w:lang w:eastAsia="en-AU"/>
        </w:rPr>
      </w:pPr>
      <w:hyperlink w:anchor="_Toc26366397" w:history="1">
        <w:r w:rsidR="002239EC" w:rsidRPr="00091141">
          <w:rPr>
            <w:rStyle w:val="Hyperlink"/>
          </w:rPr>
          <w:t>7.1.3</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Options</w:t>
        </w:r>
        <w:r w:rsidR="002239EC">
          <w:rPr>
            <w:webHidden/>
          </w:rPr>
          <w:tab/>
        </w:r>
        <w:r w:rsidR="002239EC">
          <w:rPr>
            <w:webHidden/>
          </w:rPr>
          <w:fldChar w:fldCharType="begin"/>
        </w:r>
        <w:r w:rsidR="002239EC">
          <w:rPr>
            <w:webHidden/>
          </w:rPr>
          <w:instrText xml:space="preserve"> PAGEREF _Toc26366397 \h </w:instrText>
        </w:r>
        <w:r w:rsidR="002239EC">
          <w:rPr>
            <w:webHidden/>
          </w:rPr>
        </w:r>
        <w:r w:rsidR="002239EC">
          <w:rPr>
            <w:webHidden/>
          </w:rPr>
          <w:fldChar w:fldCharType="separate"/>
        </w:r>
        <w:r w:rsidR="002239EC">
          <w:rPr>
            <w:webHidden/>
          </w:rPr>
          <w:t>47</w:t>
        </w:r>
        <w:r w:rsidR="002239EC">
          <w:rPr>
            <w:webHidden/>
          </w:rPr>
          <w:fldChar w:fldCharType="end"/>
        </w:r>
      </w:hyperlink>
    </w:p>
    <w:p w14:paraId="2E0A983A" w14:textId="50234F85"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398" w:history="1">
        <w:r w:rsidR="002239EC" w:rsidRPr="00091141">
          <w:rPr>
            <w:rStyle w:val="Hyperlink"/>
            <w:noProof/>
          </w:rPr>
          <w:t>7.2</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emerging theme 2: greater consideration of consumer views</w:t>
        </w:r>
        <w:r w:rsidR="002239EC">
          <w:rPr>
            <w:noProof/>
            <w:webHidden/>
          </w:rPr>
          <w:tab/>
        </w:r>
        <w:r w:rsidR="002239EC">
          <w:rPr>
            <w:noProof/>
            <w:webHidden/>
          </w:rPr>
          <w:fldChar w:fldCharType="begin"/>
        </w:r>
        <w:r w:rsidR="002239EC">
          <w:rPr>
            <w:noProof/>
            <w:webHidden/>
          </w:rPr>
          <w:instrText xml:space="preserve"> PAGEREF _Toc26366398 \h </w:instrText>
        </w:r>
        <w:r w:rsidR="002239EC">
          <w:rPr>
            <w:noProof/>
            <w:webHidden/>
          </w:rPr>
        </w:r>
        <w:r w:rsidR="002239EC">
          <w:rPr>
            <w:noProof/>
            <w:webHidden/>
          </w:rPr>
          <w:fldChar w:fldCharType="separate"/>
        </w:r>
        <w:r w:rsidR="002239EC">
          <w:rPr>
            <w:noProof/>
            <w:webHidden/>
          </w:rPr>
          <w:t>48</w:t>
        </w:r>
        <w:r w:rsidR="002239EC">
          <w:rPr>
            <w:noProof/>
            <w:webHidden/>
          </w:rPr>
          <w:fldChar w:fldCharType="end"/>
        </w:r>
      </w:hyperlink>
    </w:p>
    <w:p w14:paraId="677EA696" w14:textId="6D762766" w:rsidR="002239EC" w:rsidRDefault="000619E2">
      <w:pPr>
        <w:pStyle w:val="TOC4"/>
        <w:rPr>
          <w:rFonts w:asciiTheme="minorHAnsi" w:eastAsiaTheme="minorEastAsia" w:hAnsiTheme="minorHAnsi" w:cstheme="minorBidi"/>
          <w:color w:val="auto"/>
          <w:spacing w:val="0"/>
          <w:sz w:val="22"/>
          <w:szCs w:val="22"/>
          <w:lang w:eastAsia="en-AU"/>
        </w:rPr>
      </w:pPr>
      <w:hyperlink w:anchor="_Toc26366399" w:history="1">
        <w:r w:rsidR="002239EC" w:rsidRPr="00091141">
          <w:rPr>
            <w:rStyle w:val="Hyperlink"/>
          </w:rPr>
          <w:t>7.2.1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Issue</w:t>
        </w:r>
        <w:r w:rsidR="002239EC">
          <w:rPr>
            <w:webHidden/>
          </w:rPr>
          <w:tab/>
        </w:r>
        <w:r w:rsidR="002239EC">
          <w:rPr>
            <w:webHidden/>
          </w:rPr>
          <w:fldChar w:fldCharType="begin"/>
        </w:r>
        <w:r w:rsidR="002239EC">
          <w:rPr>
            <w:webHidden/>
          </w:rPr>
          <w:instrText xml:space="preserve"> PAGEREF _Toc26366399 \h </w:instrText>
        </w:r>
        <w:r w:rsidR="002239EC">
          <w:rPr>
            <w:webHidden/>
          </w:rPr>
        </w:r>
        <w:r w:rsidR="002239EC">
          <w:rPr>
            <w:webHidden/>
          </w:rPr>
          <w:fldChar w:fldCharType="separate"/>
        </w:r>
        <w:r w:rsidR="002239EC">
          <w:rPr>
            <w:webHidden/>
          </w:rPr>
          <w:t>48</w:t>
        </w:r>
        <w:r w:rsidR="002239EC">
          <w:rPr>
            <w:webHidden/>
          </w:rPr>
          <w:fldChar w:fldCharType="end"/>
        </w:r>
      </w:hyperlink>
    </w:p>
    <w:p w14:paraId="00C9A735" w14:textId="6C858628" w:rsidR="002239EC" w:rsidRDefault="000619E2">
      <w:pPr>
        <w:pStyle w:val="TOC4"/>
        <w:rPr>
          <w:rFonts w:asciiTheme="minorHAnsi" w:eastAsiaTheme="minorEastAsia" w:hAnsiTheme="minorHAnsi" w:cstheme="minorBidi"/>
          <w:color w:val="auto"/>
          <w:spacing w:val="0"/>
          <w:sz w:val="22"/>
          <w:szCs w:val="22"/>
          <w:lang w:eastAsia="en-AU"/>
        </w:rPr>
      </w:pPr>
      <w:hyperlink w:anchor="_Toc26366400" w:history="1">
        <w:r w:rsidR="002239EC" w:rsidRPr="00091141">
          <w:rPr>
            <w:rStyle w:val="Hyperlink"/>
          </w:rPr>
          <w:t>7.2.2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Rationale</w:t>
        </w:r>
        <w:r w:rsidR="002239EC">
          <w:rPr>
            <w:webHidden/>
          </w:rPr>
          <w:tab/>
        </w:r>
        <w:r w:rsidR="002239EC">
          <w:rPr>
            <w:webHidden/>
          </w:rPr>
          <w:fldChar w:fldCharType="begin"/>
        </w:r>
        <w:r w:rsidR="002239EC">
          <w:rPr>
            <w:webHidden/>
          </w:rPr>
          <w:instrText xml:space="preserve"> PAGEREF _Toc26366400 \h </w:instrText>
        </w:r>
        <w:r w:rsidR="002239EC">
          <w:rPr>
            <w:webHidden/>
          </w:rPr>
        </w:r>
        <w:r w:rsidR="002239EC">
          <w:rPr>
            <w:webHidden/>
          </w:rPr>
          <w:fldChar w:fldCharType="separate"/>
        </w:r>
        <w:r w:rsidR="002239EC">
          <w:rPr>
            <w:webHidden/>
          </w:rPr>
          <w:t>48</w:t>
        </w:r>
        <w:r w:rsidR="002239EC">
          <w:rPr>
            <w:webHidden/>
          </w:rPr>
          <w:fldChar w:fldCharType="end"/>
        </w:r>
      </w:hyperlink>
    </w:p>
    <w:p w14:paraId="53204025" w14:textId="247D1D97" w:rsidR="002239EC" w:rsidRDefault="000619E2">
      <w:pPr>
        <w:pStyle w:val="TOC4"/>
        <w:rPr>
          <w:rFonts w:asciiTheme="minorHAnsi" w:eastAsiaTheme="minorEastAsia" w:hAnsiTheme="minorHAnsi" w:cstheme="minorBidi"/>
          <w:color w:val="auto"/>
          <w:spacing w:val="0"/>
          <w:sz w:val="22"/>
          <w:szCs w:val="22"/>
          <w:lang w:eastAsia="en-AU"/>
        </w:rPr>
      </w:pPr>
      <w:hyperlink w:anchor="_Toc26366401" w:history="1">
        <w:r w:rsidR="002239EC" w:rsidRPr="00091141">
          <w:rPr>
            <w:rStyle w:val="Hyperlink"/>
          </w:rPr>
          <w:t>7.2.3</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Options</w:t>
        </w:r>
        <w:r w:rsidR="002239EC">
          <w:rPr>
            <w:webHidden/>
          </w:rPr>
          <w:tab/>
        </w:r>
        <w:r w:rsidR="002239EC">
          <w:rPr>
            <w:webHidden/>
          </w:rPr>
          <w:fldChar w:fldCharType="begin"/>
        </w:r>
        <w:r w:rsidR="002239EC">
          <w:rPr>
            <w:webHidden/>
          </w:rPr>
          <w:instrText xml:space="preserve"> PAGEREF _Toc26366401 \h </w:instrText>
        </w:r>
        <w:r w:rsidR="002239EC">
          <w:rPr>
            <w:webHidden/>
          </w:rPr>
        </w:r>
        <w:r w:rsidR="002239EC">
          <w:rPr>
            <w:webHidden/>
          </w:rPr>
          <w:fldChar w:fldCharType="separate"/>
        </w:r>
        <w:r w:rsidR="002239EC">
          <w:rPr>
            <w:webHidden/>
          </w:rPr>
          <w:t>49</w:t>
        </w:r>
        <w:r w:rsidR="002239EC">
          <w:rPr>
            <w:webHidden/>
          </w:rPr>
          <w:fldChar w:fldCharType="end"/>
        </w:r>
      </w:hyperlink>
    </w:p>
    <w:p w14:paraId="1749A582" w14:textId="2F3C195C" w:rsidR="002239EC" w:rsidRDefault="000619E2">
      <w:pPr>
        <w:pStyle w:val="TOC3"/>
        <w:rPr>
          <w:rFonts w:asciiTheme="minorHAnsi" w:eastAsiaTheme="minorEastAsia" w:hAnsiTheme="minorHAnsi" w:cstheme="minorBidi"/>
          <w:caps w:val="0"/>
          <w:noProof/>
          <w:color w:val="auto"/>
          <w:sz w:val="22"/>
          <w:szCs w:val="22"/>
          <w:lang w:eastAsia="en-AU"/>
        </w:rPr>
      </w:pPr>
      <w:hyperlink w:anchor="_Toc26366402" w:history="1">
        <w:r w:rsidR="002239EC" w:rsidRPr="00091141">
          <w:rPr>
            <w:rStyle w:val="Hyperlink"/>
            <w:noProof/>
          </w:rPr>
          <w:t>7.3</w:t>
        </w:r>
        <w:r w:rsidR="002239EC">
          <w:rPr>
            <w:rFonts w:asciiTheme="minorHAnsi" w:eastAsiaTheme="minorEastAsia" w:hAnsiTheme="minorHAnsi" w:cstheme="minorBidi"/>
            <w:caps w:val="0"/>
            <w:noProof/>
            <w:color w:val="auto"/>
            <w:sz w:val="22"/>
            <w:szCs w:val="22"/>
            <w:lang w:eastAsia="en-AU"/>
          </w:rPr>
          <w:tab/>
        </w:r>
        <w:r w:rsidR="002239EC" w:rsidRPr="00091141">
          <w:rPr>
            <w:rStyle w:val="Hyperlink"/>
            <w:noProof/>
          </w:rPr>
          <w:t>emerging theme 3: changed program administration arrangements</w:t>
        </w:r>
        <w:r w:rsidR="002239EC">
          <w:rPr>
            <w:noProof/>
            <w:webHidden/>
          </w:rPr>
          <w:tab/>
        </w:r>
        <w:r w:rsidR="002239EC">
          <w:rPr>
            <w:noProof/>
            <w:webHidden/>
          </w:rPr>
          <w:fldChar w:fldCharType="begin"/>
        </w:r>
        <w:r w:rsidR="002239EC">
          <w:rPr>
            <w:noProof/>
            <w:webHidden/>
          </w:rPr>
          <w:instrText xml:space="preserve"> PAGEREF _Toc26366402 \h </w:instrText>
        </w:r>
        <w:r w:rsidR="002239EC">
          <w:rPr>
            <w:noProof/>
            <w:webHidden/>
          </w:rPr>
        </w:r>
        <w:r w:rsidR="002239EC">
          <w:rPr>
            <w:noProof/>
            <w:webHidden/>
          </w:rPr>
          <w:fldChar w:fldCharType="separate"/>
        </w:r>
        <w:r w:rsidR="002239EC">
          <w:rPr>
            <w:noProof/>
            <w:webHidden/>
          </w:rPr>
          <w:t>50</w:t>
        </w:r>
        <w:r w:rsidR="002239EC">
          <w:rPr>
            <w:noProof/>
            <w:webHidden/>
          </w:rPr>
          <w:fldChar w:fldCharType="end"/>
        </w:r>
      </w:hyperlink>
    </w:p>
    <w:p w14:paraId="7F5F37E7" w14:textId="78B81261" w:rsidR="002239EC" w:rsidRDefault="000619E2">
      <w:pPr>
        <w:pStyle w:val="TOC4"/>
        <w:rPr>
          <w:rFonts w:asciiTheme="minorHAnsi" w:eastAsiaTheme="minorEastAsia" w:hAnsiTheme="minorHAnsi" w:cstheme="minorBidi"/>
          <w:color w:val="auto"/>
          <w:spacing w:val="0"/>
          <w:sz w:val="22"/>
          <w:szCs w:val="22"/>
          <w:lang w:eastAsia="en-AU"/>
        </w:rPr>
      </w:pPr>
      <w:hyperlink w:anchor="_Toc26366403" w:history="1">
        <w:r w:rsidR="002239EC" w:rsidRPr="00091141">
          <w:rPr>
            <w:rStyle w:val="Hyperlink"/>
          </w:rPr>
          <w:t>7.3.1</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Issue</w:t>
        </w:r>
        <w:r w:rsidR="002239EC">
          <w:rPr>
            <w:webHidden/>
          </w:rPr>
          <w:tab/>
        </w:r>
        <w:r w:rsidR="002239EC">
          <w:rPr>
            <w:webHidden/>
          </w:rPr>
          <w:fldChar w:fldCharType="begin"/>
        </w:r>
        <w:r w:rsidR="002239EC">
          <w:rPr>
            <w:webHidden/>
          </w:rPr>
          <w:instrText xml:space="preserve"> PAGEREF _Toc26366403 \h </w:instrText>
        </w:r>
        <w:r w:rsidR="002239EC">
          <w:rPr>
            <w:webHidden/>
          </w:rPr>
        </w:r>
        <w:r w:rsidR="002239EC">
          <w:rPr>
            <w:webHidden/>
          </w:rPr>
          <w:fldChar w:fldCharType="separate"/>
        </w:r>
        <w:r w:rsidR="002239EC">
          <w:rPr>
            <w:webHidden/>
          </w:rPr>
          <w:t>50</w:t>
        </w:r>
        <w:r w:rsidR="002239EC">
          <w:rPr>
            <w:webHidden/>
          </w:rPr>
          <w:fldChar w:fldCharType="end"/>
        </w:r>
      </w:hyperlink>
    </w:p>
    <w:p w14:paraId="02F0844B" w14:textId="56717EC2" w:rsidR="002239EC" w:rsidRDefault="000619E2">
      <w:pPr>
        <w:pStyle w:val="TOC4"/>
        <w:rPr>
          <w:rFonts w:asciiTheme="minorHAnsi" w:eastAsiaTheme="minorEastAsia" w:hAnsiTheme="minorHAnsi" w:cstheme="minorBidi"/>
          <w:color w:val="auto"/>
          <w:spacing w:val="0"/>
          <w:sz w:val="22"/>
          <w:szCs w:val="22"/>
          <w:lang w:eastAsia="en-AU"/>
        </w:rPr>
      </w:pPr>
      <w:hyperlink w:anchor="_Toc26366404" w:history="1">
        <w:r w:rsidR="002239EC" w:rsidRPr="00091141">
          <w:rPr>
            <w:rStyle w:val="Hyperlink"/>
          </w:rPr>
          <w:t>7.3.2</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Rationale</w:t>
        </w:r>
        <w:r w:rsidR="002239EC">
          <w:rPr>
            <w:webHidden/>
          </w:rPr>
          <w:tab/>
        </w:r>
        <w:r w:rsidR="002239EC">
          <w:rPr>
            <w:webHidden/>
          </w:rPr>
          <w:fldChar w:fldCharType="begin"/>
        </w:r>
        <w:r w:rsidR="002239EC">
          <w:rPr>
            <w:webHidden/>
          </w:rPr>
          <w:instrText xml:space="preserve"> PAGEREF _Toc26366404 \h </w:instrText>
        </w:r>
        <w:r w:rsidR="002239EC">
          <w:rPr>
            <w:webHidden/>
          </w:rPr>
        </w:r>
        <w:r w:rsidR="002239EC">
          <w:rPr>
            <w:webHidden/>
          </w:rPr>
          <w:fldChar w:fldCharType="separate"/>
        </w:r>
        <w:r w:rsidR="002239EC">
          <w:rPr>
            <w:webHidden/>
          </w:rPr>
          <w:t>50</w:t>
        </w:r>
        <w:r w:rsidR="002239EC">
          <w:rPr>
            <w:webHidden/>
          </w:rPr>
          <w:fldChar w:fldCharType="end"/>
        </w:r>
      </w:hyperlink>
    </w:p>
    <w:p w14:paraId="600FEFF6" w14:textId="180F13E2" w:rsidR="002239EC" w:rsidRDefault="000619E2">
      <w:pPr>
        <w:pStyle w:val="TOC4"/>
        <w:rPr>
          <w:rFonts w:asciiTheme="minorHAnsi" w:eastAsiaTheme="minorEastAsia" w:hAnsiTheme="minorHAnsi" w:cstheme="minorBidi"/>
          <w:color w:val="auto"/>
          <w:spacing w:val="0"/>
          <w:sz w:val="22"/>
          <w:szCs w:val="22"/>
          <w:lang w:eastAsia="en-AU"/>
        </w:rPr>
      </w:pPr>
      <w:hyperlink w:anchor="_Toc26366405" w:history="1">
        <w:r w:rsidR="002239EC" w:rsidRPr="00091141">
          <w:rPr>
            <w:rStyle w:val="Hyperlink"/>
          </w:rPr>
          <w:t>7.3.3</w:t>
        </w:r>
        <w:r w:rsidR="002239EC">
          <w:rPr>
            <w:rFonts w:asciiTheme="minorHAnsi" w:eastAsiaTheme="minorEastAsia" w:hAnsiTheme="minorHAnsi" w:cstheme="minorBidi"/>
            <w:color w:val="auto"/>
            <w:spacing w:val="0"/>
            <w:sz w:val="22"/>
            <w:szCs w:val="22"/>
            <w:lang w:eastAsia="en-AU"/>
          </w:rPr>
          <w:tab/>
        </w:r>
        <w:r w:rsidR="002239EC" w:rsidRPr="00091141">
          <w:rPr>
            <w:rStyle w:val="Hyperlink"/>
          </w:rPr>
          <w:t>Options</w:t>
        </w:r>
        <w:r w:rsidR="002239EC">
          <w:rPr>
            <w:webHidden/>
          </w:rPr>
          <w:tab/>
        </w:r>
        <w:r w:rsidR="002239EC">
          <w:rPr>
            <w:webHidden/>
          </w:rPr>
          <w:fldChar w:fldCharType="begin"/>
        </w:r>
        <w:r w:rsidR="002239EC">
          <w:rPr>
            <w:webHidden/>
          </w:rPr>
          <w:instrText xml:space="preserve"> PAGEREF _Toc26366405 \h </w:instrText>
        </w:r>
        <w:r w:rsidR="002239EC">
          <w:rPr>
            <w:webHidden/>
          </w:rPr>
        </w:r>
        <w:r w:rsidR="002239EC">
          <w:rPr>
            <w:webHidden/>
          </w:rPr>
          <w:fldChar w:fldCharType="separate"/>
        </w:r>
        <w:r w:rsidR="002239EC">
          <w:rPr>
            <w:webHidden/>
          </w:rPr>
          <w:t>50</w:t>
        </w:r>
        <w:r w:rsidR="002239EC">
          <w:rPr>
            <w:webHidden/>
          </w:rPr>
          <w:fldChar w:fldCharType="end"/>
        </w:r>
      </w:hyperlink>
    </w:p>
    <w:p w14:paraId="5E758B7B" w14:textId="65EBD9DB"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406" w:history="1">
        <w:r w:rsidR="002239EC" w:rsidRPr="00091141">
          <w:rPr>
            <w:rStyle w:val="Hyperlink"/>
            <w:noProof/>
          </w:rPr>
          <w:t>8</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Appendices</w:t>
        </w:r>
        <w:r w:rsidR="002239EC">
          <w:rPr>
            <w:noProof/>
            <w:webHidden/>
          </w:rPr>
          <w:tab/>
        </w:r>
        <w:r w:rsidR="002239EC">
          <w:rPr>
            <w:noProof/>
            <w:webHidden/>
          </w:rPr>
          <w:fldChar w:fldCharType="begin"/>
        </w:r>
        <w:r w:rsidR="002239EC">
          <w:rPr>
            <w:noProof/>
            <w:webHidden/>
          </w:rPr>
          <w:instrText xml:space="preserve"> PAGEREF _Toc26366406 \h </w:instrText>
        </w:r>
        <w:r w:rsidR="002239EC">
          <w:rPr>
            <w:noProof/>
            <w:webHidden/>
          </w:rPr>
        </w:r>
        <w:r w:rsidR="002239EC">
          <w:rPr>
            <w:noProof/>
            <w:webHidden/>
          </w:rPr>
          <w:fldChar w:fldCharType="separate"/>
        </w:r>
        <w:r w:rsidR="002239EC">
          <w:rPr>
            <w:noProof/>
            <w:webHidden/>
          </w:rPr>
          <w:t>52</w:t>
        </w:r>
        <w:r w:rsidR="002239EC">
          <w:rPr>
            <w:noProof/>
            <w:webHidden/>
          </w:rPr>
          <w:fldChar w:fldCharType="end"/>
        </w:r>
      </w:hyperlink>
    </w:p>
    <w:p w14:paraId="5E74D9BB" w14:textId="5FE97240" w:rsidR="002239EC" w:rsidRDefault="000619E2">
      <w:pPr>
        <w:pStyle w:val="TOC2"/>
        <w:rPr>
          <w:rFonts w:asciiTheme="minorHAnsi" w:eastAsiaTheme="minorEastAsia" w:hAnsiTheme="minorHAnsi" w:cstheme="minorBidi"/>
          <w:caps w:val="0"/>
          <w:noProof/>
          <w:color w:val="auto"/>
          <w:spacing w:val="0"/>
          <w:sz w:val="22"/>
          <w:szCs w:val="22"/>
          <w:u w:val="none"/>
          <w:lang w:eastAsia="en-AU"/>
        </w:rPr>
      </w:pPr>
      <w:hyperlink w:anchor="_Toc26366407" w:history="1">
        <w:r w:rsidR="002239EC" w:rsidRPr="00091141">
          <w:rPr>
            <w:rStyle w:val="Hyperlink"/>
            <w:noProof/>
          </w:rPr>
          <w:t>9</w:t>
        </w:r>
        <w:r w:rsidR="002239EC">
          <w:rPr>
            <w:rFonts w:asciiTheme="minorHAnsi" w:eastAsiaTheme="minorEastAsia" w:hAnsiTheme="minorHAnsi" w:cstheme="minorBidi"/>
            <w:caps w:val="0"/>
            <w:noProof/>
            <w:color w:val="auto"/>
            <w:spacing w:val="0"/>
            <w:sz w:val="22"/>
            <w:szCs w:val="22"/>
            <w:u w:val="none"/>
            <w:lang w:eastAsia="en-AU"/>
          </w:rPr>
          <w:tab/>
        </w:r>
        <w:r w:rsidR="002239EC" w:rsidRPr="00091141">
          <w:rPr>
            <w:rStyle w:val="Hyperlink"/>
            <w:noProof/>
          </w:rPr>
          <w:t>References</w:t>
        </w:r>
        <w:r w:rsidR="002239EC">
          <w:rPr>
            <w:noProof/>
            <w:webHidden/>
          </w:rPr>
          <w:tab/>
        </w:r>
        <w:r w:rsidR="002239EC">
          <w:rPr>
            <w:noProof/>
            <w:webHidden/>
          </w:rPr>
          <w:fldChar w:fldCharType="begin"/>
        </w:r>
        <w:r w:rsidR="002239EC">
          <w:rPr>
            <w:noProof/>
            <w:webHidden/>
          </w:rPr>
          <w:instrText xml:space="preserve"> PAGEREF _Toc26366407 \h </w:instrText>
        </w:r>
        <w:r w:rsidR="002239EC">
          <w:rPr>
            <w:noProof/>
            <w:webHidden/>
          </w:rPr>
        </w:r>
        <w:r w:rsidR="002239EC">
          <w:rPr>
            <w:noProof/>
            <w:webHidden/>
          </w:rPr>
          <w:fldChar w:fldCharType="separate"/>
        </w:r>
        <w:r w:rsidR="002239EC">
          <w:rPr>
            <w:noProof/>
            <w:webHidden/>
          </w:rPr>
          <w:t>58</w:t>
        </w:r>
        <w:r w:rsidR="002239EC">
          <w:rPr>
            <w:noProof/>
            <w:webHidden/>
          </w:rPr>
          <w:fldChar w:fldCharType="end"/>
        </w:r>
      </w:hyperlink>
    </w:p>
    <w:p w14:paraId="7BFA40BA" w14:textId="43D1B1ED" w:rsidR="003B3C06" w:rsidRPr="00150F81" w:rsidRDefault="00BD7746" w:rsidP="00150F81">
      <w:r>
        <w:rPr>
          <w:rFonts w:asciiTheme="majorHAnsi" w:hAnsiTheme="majorHAnsi" w:cs="Times New Roman"/>
          <w:color w:val="000000" w:themeColor="text1"/>
          <w:sz w:val="28"/>
          <w:szCs w:val="20"/>
          <w:u w:val="single"/>
        </w:rPr>
        <w:fldChar w:fldCharType="end"/>
      </w:r>
    </w:p>
    <w:p w14:paraId="4A920A1E" w14:textId="77777777" w:rsidR="003B3C06" w:rsidRPr="00150F81" w:rsidRDefault="003B3C06" w:rsidP="00150F81"/>
    <w:p w14:paraId="5F9B0620" w14:textId="77777777" w:rsidR="003B3C06" w:rsidRPr="00150F81" w:rsidRDefault="003B3C06" w:rsidP="00150F81">
      <w:pPr>
        <w:sectPr w:rsidR="003B3C06" w:rsidRPr="00150F81" w:rsidSect="00D67E4D">
          <w:headerReference w:type="even" r:id="rId10"/>
          <w:headerReference w:type="default" r:id="rId11"/>
          <w:pgSz w:w="16840" w:h="11901" w:orient="landscape" w:code="9"/>
          <w:pgMar w:top="737" w:right="1304" w:bottom="1134" w:left="737" w:header="567" w:footer="284" w:gutter="0"/>
          <w:pgNumType w:start="0"/>
          <w:cols w:num="2" w:space="708"/>
          <w:formProt w:val="0"/>
          <w:docGrid w:linePitch="272"/>
        </w:sectPr>
      </w:pPr>
    </w:p>
    <w:p w14:paraId="5946E2AC" w14:textId="77777777" w:rsidR="003B3C06" w:rsidRDefault="00047030" w:rsidP="00CB14E9">
      <w:pPr>
        <w:pStyle w:val="ES-Heading1"/>
        <w:framePr w:wrap="around"/>
      </w:pPr>
      <w:bookmarkStart w:id="1" w:name="_Toc26366343"/>
      <w:r>
        <w:lastRenderedPageBreak/>
        <w:t>Abbreviations</w:t>
      </w:r>
      <w:bookmarkEnd w:id="1"/>
    </w:p>
    <w:tbl>
      <w:tblPr>
        <w:tblStyle w:val="HMATable-Abbreviations"/>
        <w:tblW w:w="5000" w:type="pct"/>
        <w:tblLayout w:type="fixed"/>
        <w:tblLook w:val="00A0" w:firstRow="1" w:lastRow="0" w:firstColumn="1" w:lastColumn="0" w:noHBand="0" w:noVBand="0"/>
        <w:tblCaption w:val="Header"/>
      </w:tblPr>
      <w:tblGrid>
        <w:gridCol w:w="1532"/>
        <w:gridCol w:w="5512"/>
      </w:tblGrid>
      <w:tr w:rsidR="00523359" w:rsidRPr="00523359" w14:paraId="08B27409" w14:textId="77777777" w:rsidTr="002B1F8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532" w:type="dxa"/>
            <w:vAlign w:val="top"/>
          </w:tcPr>
          <w:p w14:paraId="538AC8F1" w14:textId="4D2244B6" w:rsidR="00523359" w:rsidRPr="00523359" w:rsidRDefault="00523359" w:rsidP="00523359">
            <w:pPr>
              <w:pStyle w:val="TableHeading"/>
              <w:rPr>
                <w:b/>
                <w:bCs/>
              </w:rPr>
            </w:pPr>
            <w:r w:rsidRPr="002B1F8C">
              <w:rPr>
                <w:b/>
                <w:bCs/>
                <w:sz w:val="18"/>
                <w:szCs w:val="16"/>
              </w:rPr>
              <w:t>Abbreviation</w:t>
            </w:r>
          </w:p>
        </w:tc>
        <w:tc>
          <w:tcPr>
            <w:tcW w:w="5512" w:type="dxa"/>
            <w:vAlign w:val="top"/>
          </w:tcPr>
          <w:p w14:paraId="0E4BB02D" w14:textId="6C133670" w:rsidR="00523359" w:rsidRPr="00523359" w:rsidRDefault="00523359" w:rsidP="00523359">
            <w:pPr>
              <w:pStyle w:val="TableHeading"/>
              <w:cnfStyle w:val="100000000000" w:firstRow="1" w:lastRow="0" w:firstColumn="0" w:lastColumn="0" w:oddVBand="0" w:evenVBand="0" w:oddHBand="0" w:evenHBand="0" w:firstRowFirstColumn="0" w:firstRowLastColumn="0" w:lastRowFirstColumn="0" w:lastRowLastColumn="0"/>
              <w:rPr>
                <w:b/>
                <w:bCs/>
              </w:rPr>
            </w:pPr>
            <w:r w:rsidRPr="002B1F8C">
              <w:rPr>
                <w:b/>
                <w:bCs/>
                <w:sz w:val="18"/>
                <w:szCs w:val="16"/>
              </w:rPr>
              <w:t>Definition</w:t>
            </w:r>
          </w:p>
        </w:tc>
      </w:tr>
      <w:tr w:rsidR="00AA105B" w:rsidRPr="006A731F" w14:paraId="2967E356"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30552EA4" w14:textId="77777777" w:rsidR="00AA105B" w:rsidRDefault="00AA105B" w:rsidP="00781A26">
            <w:pPr>
              <w:pStyle w:val="Abbreviations1"/>
            </w:pPr>
            <w:r>
              <w:t>6CPA</w:t>
            </w:r>
          </w:p>
        </w:tc>
        <w:tc>
          <w:tcPr>
            <w:tcW w:w="5512" w:type="dxa"/>
            <w:vAlign w:val="top"/>
          </w:tcPr>
          <w:p w14:paraId="4EEB0692"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Sixth Community Pharmacy Agreement </w:t>
            </w:r>
          </w:p>
        </w:tc>
      </w:tr>
      <w:tr w:rsidR="00AA105B" w:rsidRPr="006A731F" w14:paraId="5C8860FD"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1891AFC" w14:textId="77777777" w:rsidR="00AA105B" w:rsidRDefault="00AA105B" w:rsidP="00781A26">
            <w:pPr>
              <w:pStyle w:val="Abbreviations1"/>
            </w:pPr>
            <w:r>
              <w:t>AACP</w:t>
            </w:r>
          </w:p>
        </w:tc>
        <w:tc>
          <w:tcPr>
            <w:tcW w:w="5512" w:type="dxa"/>
            <w:vAlign w:val="top"/>
          </w:tcPr>
          <w:p w14:paraId="53DCE6A0"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Australian Association of Consultant Pharmacists</w:t>
            </w:r>
          </w:p>
        </w:tc>
      </w:tr>
      <w:tr w:rsidR="00AA105B" w:rsidRPr="006A731F" w14:paraId="59150ACA"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6FDB415" w14:textId="77777777" w:rsidR="00AA105B" w:rsidRDefault="00AA105B" w:rsidP="00781A26">
            <w:pPr>
              <w:pStyle w:val="Abbreviations1"/>
            </w:pPr>
            <w:r>
              <w:t>ACCHO</w:t>
            </w:r>
          </w:p>
        </w:tc>
        <w:tc>
          <w:tcPr>
            <w:tcW w:w="5512" w:type="dxa"/>
            <w:vAlign w:val="top"/>
          </w:tcPr>
          <w:p w14:paraId="7DF2723A"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Aboriginal Community Controlled Health Organisation</w:t>
            </w:r>
          </w:p>
        </w:tc>
      </w:tr>
      <w:tr w:rsidR="00AA105B" w:rsidRPr="006A731F" w14:paraId="6C48F13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74BBAA2" w14:textId="77777777" w:rsidR="00AA105B" w:rsidRDefault="00AA105B" w:rsidP="00781A26">
            <w:pPr>
              <w:pStyle w:val="Abbreviations1"/>
            </w:pPr>
            <w:r>
              <w:t>ACCHS</w:t>
            </w:r>
          </w:p>
        </w:tc>
        <w:tc>
          <w:tcPr>
            <w:tcW w:w="5512" w:type="dxa"/>
            <w:vAlign w:val="top"/>
          </w:tcPr>
          <w:p w14:paraId="4F4384C2"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Aboriginal Community Controlled Health Service</w:t>
            </w:r>
          </w:p>
        </w:tc>
      </w:tr>
      <w:tr w:rsidR="00AA105B" w:rsidRPr="006A731F" w14:paraId="7AFAB301"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55BF7DF" w14:textId="77777777" w:rsidR="00AA105B" w:rsidRDefault="00AA105B" w:rsidP="00781A26">
            <w:pPr>
              <w:pStyle w:val="Abbreviations1"/>
            </w:pPr>
            <w:r>
              <w:t>ACRRM</w:t>
            </w:r>
          </w:p>
        </w:tc>
        <w:tc>
          <w:tcPr>
            <w:tcW w:w="5512" w:type="dxa"/>
            <w:vAlign w:val="top"/>
          </w:tcPr>
          <w:p w14:paraId="7440F4C2" w14:textId="77777777" w:rsidR="00AA105B" w:rsidRDefault="00AA105B" w:rsidP="005134E9">
            <w:pPr>
              <w:pStyle w:val="Abbreviations2definition"/>
              <w:cnfStyle w:val="000000000000" w:firstRow="0" w:lastRow="0" w:firstColumn="0" w:lastColumn="0" w:oddVBand="0" w:evenVBand="0" w:oddHBand="0" w:evenHBand="0" w:firstRowFirstColumn="0" w:firstRowLastColumn="0" w:lastRowFirstColumn="0" w:lastRowLastColumn="0"/>
            </w:pPr>
            <w:r>
              <w:t>Australian College of Rural and Remote Medicine</w:t>
            </w:r>
          </w:p>
        </w:tc>
      </w:tr>
      <w:tr w:rsidR="00AA105B" w:rsidRPr="006A731F" w14:paraId="102916C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EB2295E" w14:textId="77777777" w:rsidR="00AA105B" w:rsidRDefault="00AA105B" w:rsidP="00781A26">
            <w:pPr>
              <w:pStyle w:val="Abbreviations1"/>
            </w:pPr>
            <w:r>
              <w:t>ADHA</w:t>
            </w:r>
          </w:p>
        </w:tc>
        <w:tc>
          <w:tcPr>
            <w:tcW w:w="5512" w:type="dxa"/>
            <w:vAlign w:val="top"/>
          </w:tcPr>
          <w:p w14:paraId="13E9ECAB"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Australian Digital Health Agency </w:t>
            </w:r>
          </w:p>
        </w:tc>
      </w:tr>
      <w:tr w:rsidR="00AA105B" w:rsidRPr="006A731F" w14:paraId="7EE3250D"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35C25D7" w14:textId="77777777" w:rsidR="00AA105B" w:rsidRDefault="00AA105B" w:rsidP="00781A26">
            <w:pPr>
              <w:pStyle w:val="Abbreviations1"/>
            </w:pPr>
            <w:r>
              <w:t>AHPA</w:t>
            </w:r>
          </w:p>
        </w:tc>
        <w:tc>
          <w:tcPr>
            <w:tcW w:w="5512" w:type="dxa"/>
            <w:vAlign w:val="top"/>
          </w:tcPr>
          <w:p w14:paraId="51247681"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Allied Health Professionals Australia</w:t>
            </w:r>
          </w:p>
        </w:tc>
      </w:tr>
      <w:tr w:rsidR="00AA105B" w:rsidRPr="006A731F" w14:paraId="4AC9CCF6"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6B115D07" w14:textId="77777777" w:rsidR="00AA105B" w:rsidRDefault="00AA105B" w:rsidP="00781A26">
            <w:pPr>
              <w:pStyle w:val="Abbreviations1"/>
            </w:pPr>
            <w:r>
              <w:t>AIHW</w:t>
            </w:r>
          </w:p>
        </w:tc>
        <w:tc>
          <w:tcPr>
            <w:tcW w:w="5512" w:type="dxa"/>
            <w:vAlign w:val="top"/>
          </w:tcPr>
          <w:p w14:paraId="142AD8BF"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Australian Institute of Health and Welfare</w:t>
            </w:r>
          </w:p>
        </w:tc>
      </w:tr>
      <w:tr w:rsidR="00AA105B" w:rsidRPr="006A731F" w14:paraId="5F1A9F9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3AC8CE56" w14:textId="77777777" w:rsidR="00AA105B" w:rsidRDefault="00AA105B" w:rsidP="00781A26">
            <w:pPr>
              <w:pStyle w:val="Abbreviations1"/>
            </w:pPr>
            <w:r>
              <w:t>AMA</w:t>
            </w:r>
          </w:p>
        </w:tc>
        <w:tc>
          <w:tcPr>
            <w:tcW w:w="5512" w:type="dxa"/>
            <w:vAlign w:val="top"/>
          </w:tcPr>
          <w:p w14:paraId="44A09255"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Australian Medical Association</w:t>
            </w:r>
          </w:p>
        </w:tc>
      </w:tr>
      <w:tr w:rsidR="00AA105B" w:rsidRPr="006A731F" w14:paraId="65716C27"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B696675" w14:textId="77777777" w:rsidR="00AA105B" w:rsidRDefault="00AA105B" w:rsidP="00781A26">
            <w:pPr>
              <w:pStyle w:val="Abbreviations1"/>
              <w:keepNext/>
            </w:pPr>
            <w:r>
              <w:t>AMS</w:t>
            </w:r>
          </w:p>
        </w:tc>
        <w:tc>
          <w:tcPr>
            <w:tcW w:w="5512" w:type="dxa"/>
            <w:vAlign w:val="top"/>
          </w:tcPr>
          <w:p w14:paraId="358C60FC"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Aboriginal Medical Service</w:t>
            </w:r>
          </w:p>
        </w:tc>
      </w:tr>
      <w:tr w:rsidR="00AA105B" w:rsidRPr="006A731F" w14:paraId="0162F7E7"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B4EEE62" w14:textId="77777777" w:rsidR="00AA105B" w:rsidRDefault="00AA105B" w:rsidP="00781A26">
            <w:pPr>
              <w:pStyle w:val="Abbreviations1"/>
            </w:pPr>
            <w:r>
              <w:t>Asthma Trial</w:t>
            </w:r>
          </w:p>
        </w:tc>
        <w:tc>
          <w:tcPr>
            <w:tcW w:w="5512" w:type="dxa"/>
            <w:vAlign w:val="top"/>
          </w:tcPr>
          <w:p w14:paraId="2E1BF3C1"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Getting Asthma Under Control Trial</w:t>
            </w:r>
          </w:p>
        </w:tc>
      </w:tr>
      <w:tr w:rsidR="00AA105B" w:rsidRPr="006A731F" w14:paraId="3D931EDA"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CCD02A7" w14:textId="77777777" w:rsidR="00AA105B" w:rsidRDefault="00AA105B" w:rsidP="00781A26">
            <w:pPr>
              <w:pStyle w:val="Abbreviations1"/>
            </w:pPr>
            <w:r>
              <w:t>CGRG</w:t>
            </w:r>
          </w:p>
        </w:tc>
        <w:tc>
          <w:tcPr>
            <w:tcW w:w="5512" w:type="dxa"/>
            <w:vAlign w:val="top"/>
          </w:tcPr>
          <w:p w14:paraId="6FEBA12D"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Commonwealth Grants Rules and Guidelines</w:t>
            </w:r>
          </w:p>
        </w:tc>
      </w:tr>
      <w:tr w:rsidR="00AA105B" w:rsidRPr="006A731F" w14:paraId="529E8FB2" w14:textId="77777777" w:rsidTr="002B1F8C">
        <w:trPr>
          <w:trHeight w:val="79"/>
        </w:trPr>
        <w:tc>
          <w:tcPr>
            <w:cnfStyle w:val="001000000000" w:firstRow="0" w:lastRow="0" w:firstColumn="1" w:lastColumn="0" w:oddVBand="0" w:evenVBand="0" w:oddHBand="0" w:evenHBand="0" w:firstRowFirstColumn="0" w:firstRowLastColumn="0" w:lastRowFirstColumn="0" w:lastRowLastColumn="0"/>
            <w:tcW w:w="1532" w:type="dxa"/>
            <w:vAlign w:val="top"/>
          </w:tcPr>
          <w:p w14:paraId="5013736D" w14:textId="77777777" w:rsidR="00AA105B" w:rsidRDefault="00AA105B" w:rsidP="00781A26">
            <w:pPr>
              <w:pStyle w:val="Abbreviations1"/>
            </w:pPr>
            <w:r>
              <w:t>CHF</w:t>
            </w:r>
          </w:p>
        </w:tc>
        <w:tc>
          <w:tcPr>
            <w:tcW w:w="5512" w:type="dxa"/>
            <w:vAlign w:val="top"/>
          </w:tcPr>
          <w:p w14:paraId="153FFB76"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Consumers Health Forum of Australia </w:t>
            </w:r>
          </w:p>
        </w:tc>
      </w:tr>
      <w:tr w:rsidR="00AA105B" w:rsidRPr="006A731F" w14:paraId="77CBEDD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27FB717D" w14:textId="77777777" w:rsidR="00AA105B" w:rsidRDefault="00AA105B" w:rsidP="00781A26">
            <w:pPr>
              <w:pStyle w:val="Abbreviations1"/>
            </w:pPr>
            <w:r>
              <w:t>CPA</w:t>
            </w:r>
          </w:p>
        </w:tc>
        <w:tc>
          <w:tcPr>
            <w:tcW w:w="5512" w:type="dxa"/>
            <w:vAlign w:val="top"/>
          </w:tcPr>
          <w:p w14:paraId="743D895F"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Community Pharmacy Agreement </w:t>
            </w:r>
          </w:p>
        </w:tc>
      </w:tr>
      <w:tr w:rsidR="00AA105B" w:rsidRPr="006A731F" w14:paraId="7EE5EA17"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6570DD92" w14:textId="77777777" w:rsidR="00AA105B" w:rsidRDefault="00AA105B" w:rsidP="00781A26">
            <w:pPr>
              <w:pStyle w:val="Abbreviations1"/>
            </w:pPr>
            <w:r>
              <w:t>CVD Trial</w:t>
            </w:r>
          </w:p>
        </w:tc>
        <w:tc>
          <w:tcPr>
            <w:tcW w:w="5512" w:type="dxa"/>
            <w:vAlign w:val="top"/>
          </w:tcPr>
          <w:p w14:paraId="35F12359"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Early Detection and Management of Cardiovascular Disease Risk Factors and Chronic Disease Markers in Community Pharmacy Trial</w:t>
            </w:r>
          </w:p>
        </w:tc>
      </w:tr>
      <w:tr w:rsidR="00AA105B" w:rsidRPr="006A731F" w14:paraId="072C373E"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55526F9D" w14:textId="77777777" w:rsidR="00AA105B" w:rsidRDefault="00AA105B" w:rsidP="00781A26">
            <w:pPr>
              <w:pStyle w:val="Abbreviations1"/>
            </w:pPr>
            <w:r>
              <w:t>DALY</w:t>
            </w:r>
          </w:p>
        </w:tc>
        <w:tc>
          <w:tcPr>
            <w:tcW w:w="5512" w:type="dxa"/>
            <w:vAlign w:val="top"/>
          </w:tcPr>
          <w:p w14:paraId="5690AC3B"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 xml:space="preserve">Disability adjusted life year </w:t>
            </w:r>
          </w:p>
        </w:tc>
      </w:tr>
      <w:tr w:rsidR="00AA105B" w:rsidRPr="006A731F" w14:paraId="4CC078E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64FF6E7" w14:textId="77777777" w:rsidR="00AA105B" w:rsidRDefault="00AA105B" w:rsidP="00781A26">
            <w:pPr>
              <w:pStyle w:val="Abbreviations1"/>
            </w:pPr>
            <w:r>
              <w:t>Department</w:t>
            </w:r>
          </w:p>
        </w:tc>
        <w:tc>
          <w:tcPr>
            <w:tcW w:w="5512" w:type="dxa"/>
            <w:vAlign w:val="top"/>
          </w:tcPr>
          <w:p w14:paraId="04BFCA4C"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The Australian Government Department of Health</w:t>
            </w:r>
          </w:p>
        </w:tc>
      </w:tr>
      <w:tr w:rsidR="00AA105B" w:rsidRPr="006A731F" w14:paraId="031228A1"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0EEC52ED" w14:textId="77777777" w:rsidR="00AA105B" w:rsidRDefault="00AA105B" w:rsidP="00781A26">
            <w:pPr>
              <w:pStyle w:val="Abbreviations1"/>
            </w:pPr>
            <w:r>
              <w:t>Diabetes Screening Trial</w:t>
            </w:r>
          </w:p>
        </w:tc>
        <w:tc>
          <w:tcPr>
            <w:tcW w:w="5512" w:type="dxa"/>
            <w:vAlign w:val="top"/>
          </w:tcPr>
          <w:p w14:paraId="1B36095E"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Pharmacy Diabetes Screening Trial</w:t>
            </w:r>
          </w:p>
        </w:tc>
      </w:tr>
      <w:tr w:rsidR="00AA105B" w:rsidRPr="006A731F" w14:paraId="0745521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6AAD54EB" w14:textId="77777777" w:rsidR="00AA105B" w:rsidRDefault="00AA105B" w:rsidP="00781A26">
            <w:pPr>
              <w:pStyle w:val="Abbreviations1"/>
            </w:pPr>
            <w:r>
              <w:t>EOI</w:t>
            </w:r>
          </w:p>
        </w:tc>
        <w:tc>
          <w:tcPr>
            <w:tcW w:w="5512" w:type="dxa"/>
            <w:vAlign w:val="top"/>
          </w:tcPr>
          <w:p w14:paraId="169FB090"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Expressions of Interest </w:t>
            </w:r>
          </w:p>
        </w:tc>
      </w:tr>
      <w:tr w:rsidR="00AA105B" w:rsidRPr="006A731F" w14:paraId="073D19B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096B04AA" w14:textId="77777777" w:rsidR="00AA105B" w:rsidRDefault="00AA105B" w:rsidP="00781A26">
            <w:pPr>
              <w:pStyle w:val="Abbreviations1"/>
            </w:pPr>
            <w:r>
              <w:t>ePIP</w:t>
            </w:r>
          </w:p>
        </w:tc>
        <w:tc>
          <w:tcPr>
            <w:tcW w:w="5512" w:type="dxa"/>
            <w:vAlign w:val="top"/>
          </w:tcPr>
          <w:p w14:paraId="699EAC19"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rPr>
                <w:lang w:val="en-US"/>
              </w:rPr>
            </w:pPr>
            <w:r>
              <w:t>Practice Incentives Program eHealth Incentive</w:t>
            </w:r>
          </w:p>
        </w:tc>
      </w:tr>
      <w:tr w:rsidR="00AA105B" w:rsidRPr="006A731F" w14:paraId="544F1130"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E106B21" w14:textId="77777777" w:rsidR="00AA105B" w:rsidRDefault="00AA105B" w:rsidP="00781A26">
            <w:pPr>
              <w:pStyle w:val="Abbreviations1"/>
            </w:pPr>
            <w:r>
              <w:t>ESC</w:t>
            </w:r>
          </w:p>
        </w:tc>
        <w:tc>
          <w:tcPr>
            <w:tcW w:w="5512" w:type="dxa"/>
            <w:vAlign w:val="top"/>
          </w:tcPr>
          <w:p w14:paraId="66EAAF2C" w14:textId="77777777" w:rsidR="00AA105B" w:rsidRPr="00767F96" w:rsidRDefault="00AA105B" w:rsidP="000E7C09">
            <w:pPr>
              <w:pStyle w:val="Abbreviations2definition"/>
              <w:cnfStyle w:val="000000000000" w:firstRow="0" w:lastRow="0" w:firstColumn="0" w:lastColumn="0" w:oddVBand="0" w:evenVBand="0" w:oddHBand="0" w:evenHBand="0" w:firstRowFirstColumn="0" w:firstRowLastColumn="0" w:lastRowFirstColumn="0" w:lastRowLastColumn="0"/>
            </w:pPr>
            <w:r w:rsidRPr="00767F96">
              <w:t>Evaluation Sub-Committee</w:t>
            </w:r>
          </w:p>
        </w:tc>
      </w:tr>
      <w:tr w:rsidR="00AA105B" w:rsidRPr="006A731F" w14:paraId="3595DD54"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8532EFB" w14:textId="77777777" w:rsidR="00AA105B" w:rsidRDefault="00AA105B" w:rsidP="00781A26">
            <w:pPr>
              <w:pStyle w:val="Abbreviations1"/>
            </w:pPr>
            <w:r>
              <w:t>GP</w:t>
            </w:r>
          </w:p>
        </w:tc>
        <w:tc>
          <w:tcPr>
            <w:tcW w:w="5512" w:type="dxa"/>
            <w:vAlign w:val="top"/>
          </w:tcPr>
          <w:p w14:paraId="2A3E5D81"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General practitioner / general practice </w:t>
            </w:r>
          </w:p>
        </w:tc>
      </w:tr>
      <w:tr w:rsidR="00AA105B" w:rsidRPr="006A731F" w14:paraId="1C0D6AB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5158B396" w14:textId="77777777" w:rsidR="00AA105B" w:rsidRDefault="00AA105B" w:rsidP="00781A26">
            <w:pPr>
              <w:pStyle w:val="Abbreviations1"/>
            </w:pPr>
            <w:r>
              <w:t>Guild</w:t>
            </w:r>
          </w:p>
        </w:tc>
        <w:tc>
          <w:tcPr>
            <w:tcW w:w="5512" w:type="dxa"/>
            <w:vAlign w:val="top"/>
          </w:tcPr>
          <w:p w14:paraId="52EE53B0"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The Pharmacy Guild of Australia</w:t>
            </w:r>
          </w:p>
        </w:tc>
      </w:tr>
      <w:tr w:rsidR="00AA105B" w:rsidRPr="006A731F" w14:paraId="24B64275"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9C4D2C4" w14:textId="77777777" w:rsidR="00AA105B" w:rsidRDefault="00AA105B" w:rsidP="00781A26">
            <w:pPr>
              <w:pStyle w:val="Abbreviations1"/>
            </w:pPr>
            <w:r>
              <w:t>HMA</w:t>
            </w:r>
          </w:p>
        </w:tc>
        <w:tc>
          <w:tcPr>
            <w:tcW w:w="5512" w:type="dxa"/>
            <w:vAlign w:val="top"/>
          </w:tcPr>
          <w:p w14:paraId="1ED67795"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Healthcare Management Advisors </w:t>
            </w:r>
          </w:p>
        </w:tc>
      </w:tr>
      <w:tr w:rsidR="00AA105B" w:rsidRPr="006A731F" w14:paraId="14EE004D"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F20463C" w14:textId="77777777" w:rsidR="00AA105B" w:rsidRDefault="00AA105B" w:rsidP="00781A26">
            <w:pPr>
              <w:pStyle w:val="Abbreviations1"/>
            </w:pPr>
            <w:r>
              <w:t>HMR</w:t>
            </w:r>
          </w:p>
        </w:tc>
        <w:tc>
          <w:tcPr>
            <w:tcW w:w="5512" w:type="dxa"/>
            <w:vAlign w:val="top"/>
          </w:tcPr>
          <w:p w14:paraId="143373CB"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Home Medicines Review</w:t>
            </w:r>
          </w:p>
        </w:tc>
      </w:tr>
      <w:tr w:rsidR="00AA105B" w14:paraId="0367494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098E3D61" w14:textId="77777777" w:rsidR="00AA105B" w:rsidRDefault="00AA105B" w:rsidP="006B745C">
            <w:pPr>
              <w:pStyle w:val="Abbreviations1"/>
            </w:pPr>
            <w:r>
              <w:t>HMRO</w:t>
            </w:r>
          </w:p>
        </w:tc>
        <w:tc>
          <w:tcPr>
            <w:tcW w:w="5512" w:type="dxa"/>
            <w:vAlign w:val="top"/>
          </w:tcPr>
          <w:p w14:paraId="30D55694"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Health and Medical Research Office</w:t>
            </w:r>
          </w:p>
        </w:tc>
      </w:tr>
      <w:tr w:rsidR="00AA105B" w:rsidRPr="006A731F" w14:paraId="59EF0990"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2C72F6A5" w14:textId="77777777" w:rsidR="00AA105B" w:rsidRDefault="00AA105B" w:rsidP="00781A26">
            <w:pPr>
              <w:pStyle w:val="Abbreviations1"/>
            </w:pPr>
            <w:r>
              <w:t>HTA</w:t>
            </w:r>
          </w:p>
        </w:tc>
        <w:tc>
          <w:tcPr>
            <w:tcW w:w="5512" w:type="dxa"/>
            <w:vAlign w:val="top"/>
          </w:tcPr>
          <w:p w14:paraId="516CE737"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 xml:space="preserve">Health Technology Assessment </w:t>
            </w:r>
          </w:p>
        </w:tc>
      </w:tr>
      <w:tr w:rsidR="00AA105B" w:rsidRPr="006A731F" w14:paraId="25F68BF4"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24EB852" w14:textId="77777777" w:rsidR="00AA105B" w:rsidRDefault="00AA105B" w:rsidP="00781A26">
            <w:pPr>
              <w:pStyle w:val="Abbreviations1"/>
            </w:pPr>
            <w:r>
              <w:lastRenderedPageBreak/>
              <w:t>IMeRSe Feasibility Study</w:t>
            </w:r>
          </w:p>
        </w:tc>
        <w:tc>
          <w:tcPr>
            <w:tcW w:w="5512" w:type="dxa"/>
            <w:vAlign w:val="top"/>
          </w:tcPr>
          <w:p w14:paraId="610207EA"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 xml:space="preserve">Improved Medication Management for Aboriginal and Torres Strait Islanders Feasibility Study </w:t>
            </w:r>
          </w:p>
        </w:tc>
      </w:tr>
      <w:tr w:rsidR="00AA105B" w:rsidRPr="006A731F" w14:paraId="3ADA7CA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E63D159" w14:textId="77777777" w:rsidR="00AA105B" w:rsidRDefault="00AA105B" w:rsidP="0073741B">
            <w:pPr>
              <w:pStyle w:val="Abbreviations1"/>
            </w:pPr>
            <w:r>
              <w:t>IPAC Project</w:t>
            </w:r>
          </w:p>
        </w:tc>
        <w:tc>
          <w:tcPr>
            <w:tcW w:w="5512" w:type="dxa"/>
            <w:vAlign w:val="top"/>
          </w:tcPr>
          <w:p w14:paraId="56634EFF"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Integrating Practice Pharmacists into Aboriginal Community Controlled Health Services Project</w:t>
            </w:r>
          </w:p>
        </w:tc>
      </w:tr>
      <w:tr w:rsidR="00AA105B" w:rsidRPr="006A731F" w14:paraId="1B4B4814"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6AED01B6" w14:textId="77777777" w:rsidR="00AA105B" w:rsidRDefault="00AA105B" w:rsidP="00781A26">
            <w:pPr>
              <w:pStyle w:val="Abbreviations1"/>
            </w:pPr>
            <w:r>
              <w:t>MBS</w:t>
            </w:r>
          </w:p>
        </w:tc>
        <w:tc>
          <w:tcPr>
            <w:tcW w:w="5512" w:type="dxa"/>
            <w:vAlign w:val="top"/>
          </w:tcPr>
          <w:p w14:paraId="2167844D"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Medicare Benefits Schedule</w:t>
            </w:r>
          </w:p>
        </w:tc>
      </w:tr>
      <w:tr w:rsidR="00AA105B" w:rsidRPr="006A731F" w14:paraId="2716A815"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3218F365" w14:textId="77777777" w:rsidR="00AA105B" w:rsidRDefault="00AA105B" w:rsidP="00781A26">
            <w:pPr>
              <w:pStyle w:val="Abbreviations1"/>
            </w:pPr>
            <w:r>
              <w:t>MRFF</w:t>
            </w:r>
          </w:p>
        </w:tc>
        <w:tc>
          <w:tcPr>
            <w:tcW w:w="5512" w:type="dxa"/>
            <w:vAlign w:val="top"/>
          </w:tcPr>
          <w:p w14:paraId="023E3227"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rsidRPr="00702A9B">
              <w:t>Medical Research Future Fund</w:t>
            </w:r>
          </w:p>
        </w:tc>
      </w:tr>
      <w:tr w:rsidR="00AA105B" w:rsidRPr="006A731F" w14:paraId="7904736A"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2B3B0406" w14:textId="77777777" w:rsidR="00AA105B" w:rsidRDefault="00AA105B" w:rsidP="00781A26">
            <w:pPr>
              <w:pStyle w:val="Abbreviations1"/>
            </w:pPr>
            <w:r>
              <w:t>MSAC</w:t>
            </w:r>
          </w:p>
        </w:tc>
        <w:tc>
          <w:tcPr>
            <w:tcW w:w="5512" w:type="dxa"/>
            <w:vAlign w:val="top"/>
          </w:tcPr>
          <w:p w14:paraId="12163538" w14:textId="77777777" w:rsidR="00AA105B" w:rsidRPr="00681087"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rsidRPr="00681087">
              <w:t>Medical Services Advisory Committee</w:t>
            </w:r>
          </w:p>
        </w:tc>
      </w:tr>
      <w:tr w:rsidR="00AA105B" w:rsidRPr="006A731F" w14:paraId="38931F8E"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3ACCB40D" w14:textId="77777777" w:rsidR="00AA105B" w:rsidRDefault="00AA105B" w:rsidP="00781A26">
            <w:pPr>
              <w:pStyle w:val="Abbreviations1"/>
              <w:keepNext/>
            </w:pPr>
            <w:r>
              <w:t>NACCHO</w:t>
            </w:r>
          </w:p>
        </w:tc>
        <w:tc>
          <w:tcPr>
            <w:tcW w:w="5512" w:type="dxa"/>
            <w:vAlign w:val="top"/>
          </w:tcPr>
          <w:p w14:paraId="5A242B04"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National Aboriginal Community Controlled Health Organisation</w:t>
            </w:r>
          </w:p>
        </w:tc>
      </w:tr>
      <w:tr w:rsidR="00AA105B" w:rsidRPr="006A731F" w14:paraId="36EBA31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F2E6206" w14:textId="77777777" w:rsidR="00AA105B" w:rsidRDefault="00AA105B" w:rsidP="00781A26">
            <w:pPr>
              <w:pStyle w:val="Abbreviations1"/>
            </w:pPr>
            <w:r>
              <w:t>NHMRC</w:t>
            </w:r>
          </w:p>
        </w:tc>
        <w:tc>
          <w:tcPr>
            <w:tcW w:w="5512" w:type="dxa"/>
            <w:vAlign w:val="top"/>
          </w:tcPr>
          <w:p w14:paraId="31737F69" w14:textId="77777777" w:rsidR="00AA105B" w:rsidRDefault="00AA105B" w:rsidP="00781A26">
            <w:pPr>
              <w:pStyle w:val="Abbreviations2definition"/>
              <w:cnfStyle w:val="000000000000" w:firstRow="0" w:lastRow="0" w:firstColumn="0" w:lastColumn="0" w:oddVBand="0" w:evenVBand="0" w:oddHBand="0" w:evenHBand="0" w:firstRowFirstColumn="0" w:firstRowLastColumn="0" w:lastRowFirstColumn="0" w:lastRowLastColumn="0"/>
            </w:pPr>
            <w:r>
              <w:t>National Health and Medical Research Council</w:t>
            </w:r>
          </w:p>
        </w:tc>
      </w:tr>
      <w:tr w:rsidR="00AA105B" w14:paraId="15F53D51"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08DD12FC" w14:textId="77777777" w:rsidR="00AA105B" w:rsidRDefault="00AA105B" w:rsidP="006B745C">
            <w:pPr>
              <w:pStyle w:val="Abbreviations1"/>
            </w:pPr>
            <w:r>
              <w:t>NMHCCF</w:t>
            </w:r>
          </w:p>
        </w:tc>
        <w:tc>
          <w:tcPr>
            <w:tcW w:w="5512" w:type="dxa"/>
            <w:vAlign w:val="top"/>
            <w:hideMark/>
          </w:tcPr>
          <w:p w14:paraId="242E0EA9"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National Mental Health Consumer and Carer Forum</w:t>
            </w:r>
          </w:p>
        </w:tc>
      </w:tr>
      <w:tr w:rsidR="00AA105B" w14:paraId="1665ABE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C3E10AF" w14:textId="77777777" w:rsidR="00AA105B" w:rsidRDefault="00AA105B" w:rsidP="006B745C">
            <w:pPr>
              <w:pStyle w:val="Abbreviations1"/>
            </w:pPr>
            <w:r>
              <w:t>NMP</w:t>
            </w:r>
          </w:p>
        </w:tc>
        <w:tc>
          <w:tcPr>
            <w:tcW w:w="5512" w:type="dxa"/>
            <w:vAlign w:val="top"/>
          </w:tcPr>
          <w:p w14:paraId="7412F59E"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National Medicines Policy</w:t>
            </w:r>
          </w:p>
        </w:tc>
      </w:tr>
      <w:tr w:rsidR="00AA105B" w14:paraId="4F0B1733"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5580A059" w14:textId="77777777" w:rsidR="00AA105B" w:rsidRDefault="00AA105B" w:rsidP="006B745C">
            <w:pPr>
              <w:pStyle w:val="Abbreviations1"/>
            </w:pPr>
            <w:r>
              <w:t>NPS</w:t>
            </w:r>
          </w:p>
        </w:tc>
        <w:tc>
          <w:tcPr>
            <w:tcW w:w="5512" w:type="dxa"/>
            <w:vAlign w:val="top"/>
            <w:hideMark/>
          </w:tcPr>
          <w:p w14:paraId="42945198"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National Prescribing Service</w:t>
            </w:r>
          </w:p>
        </w:tc>
      </w:tr>
      <w:tr w:rsidR="00AA105B" w14:paraId="611B72B4"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7785D757" w14:textId="77777777" w:rsidR="00AA105B" w:rsidRDefault="00AA105B" w:rsidP="006B745C">
            <w:pPr>
              <w:pStyle w:val="Abbreviations1"/>
            </w:pPr>
            <w:r>
              <w:t>NRHA</w:t>
            </w:r>
          </w:p>
        </w:tc>
        <w:tc>
          <w:tcPr>
            <w:tcW w:w="5512" w:type="dxa"/>
            <w:vAlign w:val="top"/>
            <w:hideMark/>
          </w:tcPr>
          <w:p w14:paraId="64A3204F"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National Rural Health Alliance</w:t>
            </w:r>
          </w:p>
        </w:tc>
      </w:tr>
      <w:tr w:rsidR="00AA105B" w14:paraId="4C4E7AD5"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750C54D4" w14:textId="77777777" w:rsidR="00AA105B" w:rsidRDefault="00AA105B" w:rsidP="006B745C">
            <w:pPr>
              <w:pStyle w:val="Abbreviations1"/>
            </w:pPr>
            <w:r>
              <w:t>PA</w:t>
            </w:r>
          </w:p>
        </w:tc>
        <w:tc>
          <w:tcPr>
            <w:tcW w:w="5512" w:type="dxa"/>
            <w:vAlign w:val="top"/>
            <w:hideMark/>
          </w:tcPr>
          <w:p w14:paraId="751F495D"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Pain Australia</w:t>
            </w:r>
          </w:p>
        </w:tc>
      </w:tr>
      <w:tr w:rsidR="00AA105B" w14:paraId="5729063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9CB1591" w14:textId="77777777" w:rsidR="00AA105B" w:rsidRDefault="00AA105B" w:rsidP="006B745C">
            <w:pPr>
              <w:pStyle w:val="Abbreviations1"/>
            </w:pPr>
            <w:r>
              <w:t>PASC</w:t>
            </w:r>
          </w:p>
        </w:tc>
        <w:tc>
          <w:tcPr>
            <w:tcW w:w="5512" w:type="dxa"/>
            <w:vAlign w:val="top"/>
          </w:tcPr>
          <w:p w14:paraId="7F0753DB" w14:textId="77777777" w:rsidR="00AA105B" w:rsidRPr="00767F96"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 xml:space="preserve">PICO </w:t>
            </w:r>
            <w:r w:rsidRPr="00767F96">
              <w:t>Advisory Sub-Committee</w:t>
            </w:r>
          </w:p>
        </w:tc>
      </w:tr>
      <w:tr w:rsidR="00AA105B" w14:paraId="78FA3DC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5BE18B4E" w14:textId="77777777" w:rsidR="00AA105B" w:rsidRDefault="00AA105B" w:rsidP="006B745C">
            <w:pPr>
              <w:pStyle w:val="Abbreviations1"/>
            </w:pPr>
            <w:r>
              <w:t>PBAC</w:t>
            </w:r>
          </w:p>
        </w:tc>
        <w:tc>
          <w:tcPr>
            <w:tcW w:w="5512" w:type="dxa"/>
            <w:vAlign w:val="top"/>
          </w:tcPr>
          <w:p w14:paraId="76AA292B" w14:textId="77777777" w:rsidR="00AA105B" w:rsidRPr="00681087"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681087">
              <w:t>Pharmaceutical Benefits Advisory Committee</w:t>
            </w:r>
          </w:p>
        </w:tc>
      </w:tr>
      <w:tr w:rsidR="00AA105B" w14:paraId="5B876BC2"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33219998" w14:textId="77777777" w:rsidR="00AA105B" w:rsidRDefault="00AA105B" w:rsidP="006B745C">
            <w:pPr>
              <w:pStyle w:val="Abbreviations1"/>
            </w:pPr>
            <w:r>
              <w:t>PBS</w:t>
            </w:r>
          </w:p>
        </w:tc>
        <w:tc>
          <w:tcPr>
            <w:tcW w:w="5512" w:type="dxa"/>
            <w:vAlign w:val="top"/>
          </w:tcPr>
          <w:p w14:paraId="2B0E3802"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Pharmaceutical Benefits Scheme</w:t>
            </w:r>
          </w:p>
        </w:tc>
      </w:tr>
      <w:tr w:rsidR="00AA105B" w14:paraId="5C6459B0"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53DD2CE" w14:textId="77777777" w:rsidR="00AA105B" w:rsidRDefault="00AA105B" w:rsidP="006B745C">
            <w:pPr>
              <w:pStyle w:val="Abbreviations1"/>
            </w:pPr>
            <w:r>
              <w:t>PharMIbridge Trial</w:t>
            </w:r>
          </w:p>
        </w:tc>
        <w:tc>
          <w:tcPr>
            <w:tcW w:w="5512" w:type="dxa"/>
            <w:vAlign w:val="top"/>
          </w:tcPr>
          <w:p w14:paraId="5FCD272A"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rPr>
                <w:lang w:val="en-US"/>
              </w:rPr>
            </w:pPr>
            <w:r>
              <w:rPr>
                <w:lang w:val="en-US"/>
              </w:rPr>
              <w:t>Bridging the Gap between Physical and Mental Illness in Community Pharmacy Trial</w:t>
            </w:r>
          </w:p>
        </w:tc>
      </w:tr>
      <w:tr w:rsidR="00AA105B" w14:paraId="59796E0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0D19034" w14:textId="77777777" w:rsidR="00AA105B" w:rsidRDefault="00AA105B" w:rsidP="006B745C">
            <w:pPr>
              <w:pStyle w:val="Abbreviations1"/>
            </w:pPr>
            <w:r>
              <w:t>PHN</w:t>
            </w:r>
          </w:p>
        </w:tc>
        <w:tc>
          <w:tcPr>
            <w:tcW w:w="5512" w:type="dxa"/>
            <w:vAlign w:val="top"/>
          </w:tcPr>
          <w:p w14:paraId="5295D782"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Primary Health Network</w:t>
            </w:r>
          </w:p>
        </w:tc>
      </w:tr>
      <w:tr w:rsidR="00AA105B" w14:paraId="46103E75"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227F7157" w14:textId="77777777" w:rsidR="00AA105B" w:rsidRDefault="00AA105B" w:rsidP="006B745C">
            <w:pPr>
              <w:pStyle w:val="Abbreviations1"/>
            </w:pPr>
            <w:r>
              <w:t>PICO</w:t>
            </w:r>
          </w:p>
        </w:tc>
        <w:tc>
          <w:tcPr>
            <w:tcW w:w="5512" w:type="dxa"/>
            <w:vAlign w:val="top"/>
          </w:tcPr>
          <w:p w14:paraId="0E2BEC2D"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Pr>
                <w:lang w:val="en-US"/>
              </w:rPr>
              <w:t>Population, Intervention, Comparator, Outcomes</w:t>
            </w:r>
          </w:p>
        </w:tc>
      </w:tr>
      <w:tr w:rsidR="00AA105B" w14:paraId="5D6185C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7838EC9C" w14:textId="77777777" w:rsidR="00AA105B" w:rsidRDefault="00AA105B" w:rsidP="006B745C">
            <w:pPr>
              <w:pStyle w:val="Abbreviations1"/>
            </w:pPr>
            <w:r>
              <w:t>PLAC</w:t>
            </w:r>
          </w:p>
        </w:tc>
        <w:tc>
          <w:tcPr>
            <w:tcW w:w="5512" w:type="dxa"/>
            <w:vAlign w:val="top"/>
          </w:tcPr>
          <w:p w14:paraId="3ADA2245" w14:textId="77777777" w:rsidR="00AA105B" w:rsidRPr="00681087"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681087">
              <w:t>Prostheses List Advisory Committee</w:t>
            </w:r>
          </w:p>
        </w:tc>
      </w:tr>
      <w:tr w:rsidR="00AA105B" w14:paraId="5A8CE45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015740C0" w14:textId="77777777" w:rsidR="00AA105B" w:rsidRDefault="00AA105B" w:rsidP="006B745C">
            <w:pPr>
              <w:pStyle w:val="Abbreviations1"/>
            </w:pPr>
            <w:r>
              <w:t>PSA</w:t>
            </w:r>
          </w:p>
        </w:tc>
        <w:tc>
          <w:tcPr>
            <w:tcW w:w="5512" w:type="dxa"/>
            <w:vAlign w:val="top"/>
            <w:hideMark/>
          </w:tcPr>
          <w:p w14:paraId="0B5BC478"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Pharmaceutical Society of Australia</w:t>
            </w:r>
          </w:p>
        </w:tc>
      </w:tr>
      <w:tr w:rsidR="00AA105B" w14:paraId="0374FC8E"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6A20E483" w14:textId="77777777" w:rsidR="00AA105B" w:rsidRPr="00F406BE" w:rsidRDefault="00AA105B" w:rsidP="006B745C">
            <w:pPr>
              <w:pStyle w:val="Abbreviations1"/>
            </w:pPr>
            <w:r w:rsidRPr="00F406BE">
              <w:t>PSML</w:t>
            </w:r>
          </w:p>
        </w:tc>
        <w:tc>
          <w:tcPr>
            <w:tcW w:w="5512" w:type="dxa"/>
            <w:vAlign w:val="top"/>
          </w:tcPr>
          <w:p w14:paraId="0AEB6456" w14:textId="77777777" w:rsidR="00AA105B" w:rsidRPr="00F406BE"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F406BE">
              <w:t>Pharmacists Shared Medicines List</w:t>
            </w:r>
          </w:p>
        </w:tc>
      </w:tr>
      <w:tr w:rsidR="00AA105B" w14:paraId="65702173"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3A0987BD" w14:textId="77777777" w:rsidR="00AA105B" w:rsidRPr="00F406BE" w:rsidRDefault="00AA105B" w:rsidP="006B745C">
            <w:pPr>
              <w:pStyle w:val="Abbreviations1"/>
            </w:pPr>
            <w:r w:rsidRPr="00F406BE">
              <w:t>PTP</w:t>
            </w:r>
          </w:p>
        </w:tc>
        <w:tc>
          <w:tcPr>
            <w:tcW w:w="5512" w:type="dxa"/>
            <w:vAlign w:val="top"/>
            <w:hideMark/>
          </w:tcPr>
          <w:p w14:paraId="1AA92153" w14:textId="77777777" w:rsidR="00AA105B" w:rsidRPr="00F406BE"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F406BE">
              <w:t>Pharmacy Trial Program</w:t>
            </w:r>
          </w:p>
        </w:tc>
      </w:tr>
      <w:tr w:rsidR="00AA105B" w14:paraId="7FD618F9"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19C030BD" w14:textId="77777777" w:rsidR="00AA105B" w:rsidRPr="00F406BE" w:rsidRDefault="00AA105B" w:rsidP="006B745C">
            <w:pPr>
              <w:pStyle w:val="Abbreviations1"/>
            </w:pPr>
            <w:r>
              <w:t>QALY</w:t>
            </w:r>
          </w:p>
        </w:tc>
        <w:tc>
          <w:tcPr>
            <w:tcW w:w="5512" w:type="dxa"/>
            <w:vAlign w:val="top"/>
          </w:tcPr>
          <w:p w14:paraId="7D1A9514" w14:textId="77777777" w:rsidR="00AA105B" w:rsidRPr="00F406BE" w:rsidRDefault="00AA105B" w:rsidP="005A5851">
            <w:pPr>
              <w:pStyle w:val="Abbreviations2definition"/>
              <w:cnfStyle w:val="000000000000" w:firstRow="0" w:lastRow="0" w:firstColumn="0" w:lastColumn="0" w:oddVBand="0" w:evenVBand="0" w:oddHBand="0" w:evenHBand="0" w:firstRowFirstColumn="0" w:firstRowLastColumn="0" w:lastRowFirstColumn="0" w:lastRowLastColumn="0"/>
            </w:pPr>
            <w:r>
              <w:t>Quality adjusted life year</w:t>
            </w:r>
          </w:p>
        </w:tc>
      </w:tr>
      <w:tr w:rsidR="00AA105B" w14:paraId="261B936E"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5388FA46" w14:textId="77777777" w:rsidR="00AA105B" w:rsidRPr="00F406BE" w:rsidRDefault="00AA105B" w:rsidP="006B745C">
            <w:pPr>
              <w:pStyle w:val="Abbreviations1"/>
            </w:pPr>
            <w:r w:rsidRPr="00F406BE">
              <w:t>QUM</w:t>
            </w:r>
          </w:p>
        </w:tc>
        <w:tc>
          <w:tcPr>
            <w:tcW w:w="5512" w:type="dxa"/>
            <w:vAlign w:val="top"/>
            <w:hideMark/>
          </w:tcPr>
          <w:p w14:paraId="48F625F9" w14:textId="77777777" w:rsidR="00AA105B" w:rsidRPr="00F406BE"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F406BE">
              <w:t>Quality Use of Medicines</w:t>
            </w:r>
          </w:p>
        </w:tc>
      </w:tr>
      <w:tr w:rsidR="00AA105B" w14:paraId="5B61BEC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0AF3B1DD" w14:textId="77777777" w:rsidR="00AA105B" w:rsidRDefault="00AA105B" w:rsidP="006B745C">
            <w:pPr>
              <w:pStyle w:val="Abbreviations1"/>
            </w:pPr>
            <w:r>
              <w:t>R&amp;D</w:t>
            </w:r>
          </w:p>
        </w:tc>
        <w:tc>
          <w:tcPr>
            <w:tcW w:w="5512" w:type="dxa"/>
            <w:vAlign w:val="top"/>
            <w:hideMark/>
          </w:tcPr>
          <w:p w14:paraId="41FB2907"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 xml:space="preserve">Research and Development </w:t>
            </w:r>
          </w:p>
        </w:tc>
      </w:tr>
      <w:tr w:rsidR="00AA105B" w14:paraId="15AC2274"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FE15600" w14:textId="77777777" w:rsidR="00AA105B" w:rsidRDefault="00AA105B" w:rsidP="006B745C">
            <w:pPr>
              <w:pStyle w:val="Abbreviations1"/>
            </w:pPr>
            <w:r>
              <w:t>RACF</w:t>
            </w:r>
          </w:p>
        </w:tc>
        <w:tc>
          <w:tcPr>
            <w:tcW w:w="5512" w:type="dxa"/>
            <w:vAlign w:val="top"/>
          </w:tcPr>
          <w:p w14:paraId="12AD1931"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 xml:space="preserve">Residential Aged Care Facility </w:t>
            </w:r>
          </w:p>
        </w:tc>
      </w:tr>
      <w:tr w:rsidR="00AA105B" w14:paraId="09EB6AD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07B271B8" w14:textId="77777777" w:rsidR="00AA105B" w:rsidRDefault="00AA105B" w:rsidP="006B745C">
            <w:pPr>
              <w:pStyle w:val="Abbreviations1"/>
            </w:pPr>
            <w:r>
              <w:t>RACGP</w:t>
            </w:r>
          </w:p>
        </w:tc>
        <w:tc>
          <w:tcPr>
            <w:tcW w:w="5512" w:type="dxa"/>
            <w:vAlign w:val="top"/>
            <w:hideMark/>
          </w:tcPr>
          <w:p w14:paraId="63C14E73"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The Royal Australian College of General Practitioners</w:t>
            </w:r>
          </w:p>
        </w:tc>
      </w:tr>
      <w:tr w:rsidR="00AA105B" w14:paraId="6E18A3A8" w14:textId="77777777" w:rsidTr="002B1F8C">
        <w:trPr>
          <w:trHeight w:val="79"/>
        </w:trPr>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276F9F5E" w14:textId="77777777" w:rsidR="00AA105B" w:rsidRDefault="00AA105B" w:rsidP="006B745C">
            <w:pPr>
              <w:pStyle w:val="Abbreviations1"/>
            </w:pPr>
            <w:r>
              <w:t>RCT</w:t>
            </w:r>
          </w:p>
        </w:tc>
        <w:tc>
          <w:tcPr>
            <w:tcW w:w="5512" w:type="dxa"/>
            <w:vAlign w:val="top"/>
            <w:hideMark/>
          </w:tcPr>
          <w:p w14:paraId="00418F07"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Randomised controlled trial</w:t>
            </w:r>
          </w:p>
        </w:tc>
      </w:tr>
      <w:tr w:rsidR="00AA105B" w14:paraId="6FB2302B"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424B5300" w14:textId="77777777" w:rsidR="00AA105B" w:rsidRDefault="00AA105B" w:rsidP="006B745C">
            <w:pPr>
              <w:pStyle w:val="Abbreviations1"/>
            </w:pPr>
            <w:r>
              <w:t>ReMInDAR Trial</w:t>
            </w:r>
          </w:p>
        </w:tc>
        <w:tc>
          <w:tcPr>
            <w:tcW w:w="5512" w:type="dxa"/>
            <w:vAlign w:val="top"/>
          </w:tcPr>
          <w:p w14:paraId="5EBC0FAC"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Reducing Medicine Induced Deterioration and Adverse Reactions Trial</w:t>
            </w:r>
          </w:p>
        </w:tc>
      </w:tr>
      <w:tr w:rsidR="00AA105B" w14:paraId="6AF0F22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21EED709" w14:textId="77777777" w:rsidR="00AA105B" w:rsidRDefault="00AA105B" w:rsidP="006B745C">
            <w:pPr>
              <w:pStyle w:val="Abbreviations1"/>
            </w:pPr>
            <w:r>
              <w:t>RMMR</w:t>
            </w:r>
          </w:p>
        </w:tc>
        <w:tc>
          <w:tcPr>
            <w:tcW w:w="5512" w:type="dxa"/>
            <w:vAlign w:val="top"/>
          </w:tcPr>
          <w:p w14:paraId="62BC4005" w14:textId="77777777" w:rsidR="00AA105B" w:rsidRDefault="00AA105B">
            <w:pPr>
              <w:pStyle w:val="Abbreviations2definition"/>
              <w:cnfStyle w:val="000000000000" w:firstRow="0" w:lastRow="0" w:firstColumn="0" w:lastColumn="0" w:oddVBand="0" w:evenVBand="0" w:oddHBand="0" w:evenHBand="0" w:firstRowFirstColumn="0" w:firstRowLastColumn="0" w:lastRowFirstColumn="0" w:lastRowLastColumn="0"/>
            </w:pPr>
            <w:r>
              <w:t>Residential Medication Management Review</w:t>
            </w:r>
          </w:p>
        </w:tc>
      </w:tr>
      <w:tr w:rsidR="00AA105B" w14:paraId="12E20E0F"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3886C96A" w14:textId="77777777" w:rsidR="00AA105B" w:rsidRDefault="00AA105B" w:rsidP="006B745C">
            <w:pPr>
              <w:pStyle w:val="Abbreviations1"/>
            </w:pPr>
            <w:r>
              <w:lastRenderedPageBreak/>
              <w:t>SHPA</w:t>
            </w:r>
          </w:p>
        </w:tc>
        <w:tc>
          <w:tcPr>
            <w:tcW w:w="5512" w:type="dxa"/>
            <w:vAlign w:val="top"/>
            <w:hideMark/>
          </w:tcPr>
          <w:p w14:paraId="25E9BC1B"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Society of Hospital Pharmacists of Australia</w:t>
            </w:r>
          </w:p>
        </w:tc>
      </w:tr>
      <w:tr w:rsidR="00AA105B" w14:paraId="009B1388"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05421C69" w14:textId="77777777" w:rsidR="00AA105B" w:rsidRDefault="00AA105B" w:rsidP="006B745C">
            <w:pPr>
              <w:pStyle w:val="Abbreviations1"/>
            </w:pPr>
            <w:r>
              <w:t>TAAD</w:t>
            </w:r>
          </w:p>
        </w:tc>
        <w:tc>
          <w:tcPr>
            <w:tcW w:w="5512" w:type="dxa"/>
            <w:vAlign w:val="top"/>
          </w:tcPr>
          <w:p w14:paraId="54489C25"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rsidRPr="006870F7">
              <w:t>Technology Assessment and Access Division</w:t>
            </w:r>
          </w:p>
        </w:tc>
      </w:tr>
      <w:tr w:rsidR="00AA105B" w14:paraId="7FFE438D"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hideMark/>
          </w:tcPr>
          <w:p w14:paraId="584904F2" w14:textId="77777777" w:rsidR="00AA105B" w:rsidRDefault="00AA105B" w:rsidP="006B745C">
            <w:pPr>
              <w:pStyle w:val="Abbreviations1"/>
            </w:pPr>
            <w:r>
              <w:t>TAG</w:t>
            </w:r>
          </w:p>
        </w:tc>
        <w:tc>
          <w:tcPr>
            <w:tcW w:w="5512" w:type="dxa"/>
            <w:vAlign w:val="top"/>
            <w:hideMark/>
          </w:tcPr>
          <w:p w14:paraId="044FAF21" w14:textId="77777777" w:rsidR="00AA105B"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pPr>
            <w:r>
              <w:t>Trials Advisory Group</w:t>
            </w:r>
          </w:p>
        </w:tc>
      </w:tr>
      <w:tr w:rsidR="00AA105B" w14:paraId="787A6BAC" w14:textId="77777777" w:rsidTr="002B1F8C">
        <w:tc>
          <w:tcPr>
            <w:cnfStyle w:val="001000000000" w:firstRow="0" w:lastRow="0" w:firstColumn="1" w:lastColumn="0" w:oddVBand="0" w:evenVBand="0" w:oddHBand="0" w:evenHBand="0" w:firstRowFirstColumn="0" w:firstRowLastColumn="0" w:lastRowFirstColumn="0" w:lastRowLastColumn="0"/>
            <w:tcW w:w="1532" w:type="dxa"/>
            <w:vAlign w:val="top"/>
          </w:tcPr>
          <w:p w14:paraId="58726BC3" w14:textId="77777777" w:rsidR="00AA105B" w:rsidRDefault="00AA105B" w:rsidP="006B745C">
            <w:pPr>
              <w:pStyle w:val="Abbreviations1"/>
            </w:pPr>
            <w:r>
              <w:t>TGA</w:t>
            </w:r>
          </w:p>
        </w:tc>
        <w:tc>
          <w:tcPr>
            <w:tcW w:w="5512" w:type="dxa"/>
            <w:vAlign w:val="top"/>
          </w:tcPr>
          <w:p w14:paraId="389CF547" w14:textId="77777777" w:rsidR="00AA105B" w:rsidRPr="003013E2" w:rsidRDefault="00AA105B" w:rsidP="006B745C">
            <w:pPr>
              <w:pStyle w:val="Abbreviations2definition"/>
              <w:cnfStyle w:val="000000000000" w:firstRow="0" w:lastRow="0" w:firstColumn="0" w:lastColumn="0" w:oddVBand="0" w:evenVBand="0" w:oddHBand="0" w:evenHBand="0" w:firstRowFirstColumn="0" w:firstRowLastColumn="0" w:lastRowFirstColumn="0" w:lastRowLastColumn="0"/>
              <w:rPr>
                <w:highlight w:val="yellow"/>
              </w:rPr>
            </w:pPr>
            <w:r w:rsidRPr="00681087">
              <w:t>Therapeutic Goods Administration</w:t>
            </w:r>
          </w:p>
        </w:tc>
      </w:tr>
    </w:tbl>
    <w:p w14:paraId="003F3C78" w14:textId="77777777" w:rsidR="00892E8B" w:rsidRDefault="00892E8B" w:rsidP="003B3C06">
      <w:pPr>
        <w:pStyle w:val="BodyCopy"/>
      </w:pPr>
    </w:p>
    <w:p w14:paraId="14FF7621" w14:textId="77777777" w:rsidR="00CB14E9" w:rsidRDefault="00CB14E9" w:rsidP="00BE17E5">
      <w:pPr>
        <w:pStyle w:val="ES-Heading1"/>
        <w:framePr w:wrap="around"/>
      </w:pPr>
      <w:bookmarkStart w:id="2" w:name="_Toc26366344"/>
      <w:r>
        <w:lastRenderedPageBreak/>
        <w:t>Executive summary</w:t>
      </w:r>
      <w:bookmarkEnd w:id="2"/>
    </w:p>
    <w:p w14:paraId="140ADA86" w14:textId="77777777" w:rsidR="006A4A32" w:rsidRDefault="00781A26" w:rsidP="00781A26">
      <w:pPr>
        <w:pStyle w:val="ESHeading2"/>
        <w:spacing w:before="0"/>
      </w:pPr>
      <w:r>
        <w:t>Background</w:t>
      </w:r>
    </w:p>
    <w:p w14:paraId="2E8F3997" w14:textId="2AA84279" w:rsidR="00781A26" w:rsidRPr="007E1212" w:rsidRDefault="00781A26" w:rsidP="00781A26">
      <w:pPr>
        <w:pStyle w:val="BodyCopy"/>
      </w:pPr>
      <w:r w:rsidRPr="00C2174A">
        <w:t xml:space="preserve">The </w:t>
      </w:r>
      <w:r>
        <w:t xml:space="preserve">Australian Government </w:t>
      </w:r>
      <w:r w:rsidRPr="00C2174A">
        <w:t xml:space="preserve">Department of Health (Department) </w:t>
      </w:r>
      <w:r>
        <w:t>engaged Healthcare Management Advisors (HMA) to:</w:t>
      </w:r>
    </w:p>
    <w:p w14:paraId="1FFCDC5F" w14:textId="77777777" w:rsidR="006A4A32" w:rsidRDefault="00781A26" w:rsidP="00781A26">
      <w:pPr>
        <w:pStyle w:val="Quote"/>
      </w:pPr>
      <w:r w:rsidRPr="00C2174A">
        <w:t>‘Review the implementation of the Pharmacy Trial Program (PTP) under the Sixth Community Pharmacy Agreement (6CPA)’</w:t>
      </w:r>
    </w:p>
    <w:p w14:paraId="583CF3A1" w14:textId="59CCC70B" w:rsidR="00E57F4F" w:rsidRDefault="00781A26" w:rsidP="00781A26">
      <w:pPr>
        <w:pStyle w:val="BodyCopy"/>
      </w:pPr>
      <w:r>
        <w:t>The P</w:t>
      </w:r>
      <w:r w:rsidR="00C97716">
        <w:t xml:space="preserve">harmacy </w:t>
      </w:r>
      <w:r>
        <w:t>T</w:t>
      </w:r>
      <w:r w:rsidR="00C97716">
        <w:t xml:space="preserve">rial </w:t>
      </w:r>
      <w:r>
        <w:t>P</w:t>
      </w:r>
      <w:r w:rsidR="00C97716">
        <w:t>rogram (PTP)</w:t>
      </w:r>
      <w:r>
        <w:t xml:space="preserve"> is a component (clause 6.1.4) of the Community Pharmacy Programmes of the </w:t>
      </w:r>
      <w:r w:rsidR="00C97716">
        <w:t>Sixth Community Pharmacy Agreement (</w:t>
      </w:r>
      <w:r>
        <w:t>6CPA</w:t>
      </w:r>
      <w:r w:rsidR="00C97716">
        <w:t>)</w:t>
      </w:r>
      <w:r>
        <w:t xml:space="preserve">. This includes an </w:t>
      </w:r>
      <w:r w:rsidRPr="00FC64C0">
        <w:t xml:space="preserve">investment of </w:t>
      </w:r>
      <w:r>
        <w:rPr>
          <w:rFonts w:ascii="Times New Roman" w:hAnsi="Times New Roman"/>
        </w:rPr>
        <w:t>$</w:t>
      </w:r>
      <w:r w:rsidRPr="00FC64C0">
        <w:t>50 mil</w:t>
      </w:r>
      <w:r w:rsidRPr="00FD4891">
        <w:t>l</w:t>
      </w:r>
      <w:r w:rsidRPr="006A6C92">
        <w:t>io</w:t>
      </w:r>
      <w:r w:rsidRPr="00100152">
        <w:t>n</w:t>
      </w:r>
      <w:r w:rsidRPr="00C70D33">
        <w:t xml:space="preserve"> for the PTP to trial new </w:t>
      </w:r>
      <w:r w:rsidR="00A738FA">
        <w:t xml:space="preserve">and </w:t>
      </w:r>
      <w:r w:rsidRPr="00C70D33">
        <w:t xml:space="preserve">expanded </w:t>
      </w:r>
      <w:r w:rsidRPr="00AD61FA">
        <w:t>Community Pharmacy Programmes</w:t>
      </w:r>
      <w:r>
        <w:t>,</w:t>
      </w:r>
      <w:r w:rsidRPr="00AD61FA">
        <w:t xml:space="preserve"> </w:t>
      </w:r>
      <w:r w:rsidRPr="00FC64C0">
        <w:t>which see</w:t>
      </w:r>
      <w:r w:rsidRPr="00FD4891">
        <w:t>k</w:t>
      </w:r>
      <w:r w:rsidRPr="006A6C92">
        <w:t xml:space="preserve"> t</w:t>
      </w:r>
      <w:r w:rsidRPr="00100152">
        <w:t>o</w:t>
      </w:r>
      <w:r w:rsidRPr="00C70D33">
        <w:t xml:space="preserve"> improve clinical outcomes for consumers and/or extend the role of pharmacists in the delivery of primary </w:t>
      </w:r>
      <w:r>
        <w:t>health care</w:t>
      </w:r>
      <w:r w:rsidRPr="00C70D33">
        <w:t xml:space="preserve"> services</w:t>
      </w:r>
      <w:r w:rsidRPr="00AD61FA">
        <w:t xml:space="preserve"> through community pharmacy</w:t>
      </w:r>
      <w:r w:rsidR="003A485C">
        <w:t>.</w:t>
      </w:r>
      <w:r w:rsidRPr="00AD61FA">
        <w:t xml:space="preserve"> </w:t>
      </w:r>
      <w:sdt>
        <w:sdtPr>
          <w:id w:val="1023214661"/>
          <w:citation/>
        </w:sdtPr>
        <w:sdtContent>
          <w:r w:rsidRPr="00AD61FA">
            <w:fldChar w:fldCharType="begin"/>
          </w:r>
          <w:r w:rsidR="00820D12">
            <w:rPr>
              <w:lang w:val="en-US"/>
            </w:rPr>
            <w:instrText xml:space="preserve">CITATION Dep17 \l 1033 </w:instrText>
          </w:r>
          <w:r w:rsidRPr="00AD61FA">
            <w:fldChar w:fldCharType="separate"/>
          </w:r>
          <w:r w:rsidR="008B7448" w:rsidRPr="008B7448">
            <w:rPr>
              <w:noProof/>
              <w:lang w:val="en-US"/>
            </w:rPr>
            <w:t>[1]</w:t>
          </w:r>
          <w:r w:rsidRPr="00AD61FA">
            <w:fldChar w:fldCharType="end"/>
          </w:r>
        </w:sdtContent>
      </w:sdt>
    </w:p>
    <w:p w14:paraId="3682A796" w14:textId="178158EB" w:rsidR="002E69C7" w:rsidRDefault="002E69C7" w:rsidP="00781A26">
      <w:pPr>
        <w:pStyle w:val="BodyCopy"/>
      </w:pPr>
      <w:r>
        <w:t>The objective of the PTP was to:</w:t>
      </w:r>
    </w:p>
    <w:p w14:paraId="0E73088C" w14:textId="6D46B39A" w:rsidR="00781A26" w:rsidRPr="00AD61FA" w:rsidRDefault="002E69C7" w:rsidP="002E69C7">
      <w:pPr>
        <w:pStyle w:val="Quote"/>
      </w:pPr>
      <w:r>
        <w:t>‘I</w:t>
      </w:r>
      <w:r w:rsidRPr="002E69C7">
        <w:t>mprove clinical outcomes for consumers by extending the role of pharmacists in the delivery of effective and cost-effective primary health care services</w:t>
      </w:r>
      <w:r>
        <w:t>.’</w:t>
      </w:r>
    </w:p>
    <w:p w14:paraId="6516974F" w14:textId="77777777" w:rsidR="006A4A32" w:rsidRDefault="00781A26" w:rsidP="00781A26">
      <w:pPr>
        <w:pStyle w:val="ESHeading3"/>
      </w:pPr>
      <w:r>
        <w:t>Implementation review</w:t>
      </w:r>
    </w:p>
    <w:p w14:paraId="319187DE" w14:textId="429EE727" w:rsidR="00781A26" w:rsidRPr="006336F4" w:rsidRDefault="00781A26" w:rsidP="00781A26">
      <w:pPr>
        <w:pStyle w:val="BodyCopy"/>
      </w:pPr>
      <w:r w:rsidRPr="006336F4">
        <w:t xml:space="preserve">The objectives of the </w:t>
      </w:r>
      <w:r w:rsidRPr="00EA5869">
        <w:t>implementation</w:t>
      </w:r>
      <w:r w:rsidRPr="006336F4">
        <w:t xml:space="preserve"> review </w:t>
      </w:r>
      <w:r>
        <w:t xml:space="preserve">were </w:t>
      </w:r>
      <w:r w:rsidRPr="006336F4">
        <w:t>to:</w:t>
      </w:r>
    </w:p>
    <w:p w14:paraId="3716121C" w14:textId="55075C8F" w:rsidR="00781A26" w:rsidRPr="006336F4" w:rsidRDefault="00781A26" w:rsidP="002C22EF">
      <w:pPr>
        <w:pStyle w:val="ListBullet"/>
      </w:pPr>
      <w:r w:rsidRPr="006336F4">
        <w:t>inform and assess the appropriateness of the PTP including identifying the alignment between the program response (administrative activities and outputs) and the intended outcomes</w:t>
      </w:r>
      <w:r w:rsidR="005F4563">
        <w:t>;</w:t>
      </w:r>
    </w:p>
    <w:p w14:paraId="5816DDC1" w14:textId="77777777" w:rsidR="006A4A32" w:rsidRDefault="00781A26" w:rsidP="002C22EF">
      <w:pPr>
        <w:pStyle w:val="ListBullet"/>
      </w:pPr>
      <w:r w:rsidRPr="006336F4">
        <w:t>identify early insights into implementation, including lessons learnt, potential design issues and opportunities for program improvement, and</w:t>
      </w:r>
    </w:p>
    <w:p w14:paraId="1A765B4A" w14:textId="77777777" w:rsidR="006A4A32" w:rsidRDefault="00781A26" w:rsidP="002C22EF">
      <w:pPr>
        <w:pStyle w:val="ListBullet"/>
      </w:pPr>
      <w:r w:rsidRPr="006336F4">
        <w:t xml:space="preserve">provide recommendations and/or options </w:t>
      </w:r>
      <w:r>
        <w:t>for</w:t>
      </w:r>
      <w:r w:rsidRPr="006336F4">
        <w:t xml:space="preserve"> possible enhancements or improvements to the design and implementation of the PTP.</w:t>
      </w:r>
    </w:p>
    <w:p w14:paraId="0A7B0013" w14:textId="77777777" w:rsidR="006A4A32" w:rsidRDefault="00781A26" w:rsidP="00B4131C">
      <w:pPr>
        <w:pStyle w:val="BodyCopy"/>
        <w:keepNext/>
      </w:pPr>
      <w:r w:rsidRPr="00A61304">
        <w:t xml:space="preserve">The three key review questions </w:t>
      </w:r>
      <w:r>
        <w:t>were</w:t>
      </w:r>
      <w:r w:rsidRPr="00A61304">
        <w:t xml:space="preserve"> as follows</w:t>
      </w:r>
      <w:r>
        <w:t>:</w:t>
      </w:r>
    </w:p>
    <w:p w14:paraId="1636FDA0" w14:textId="4998EAF8" w:rsidR="00781A26" w:rsidRPr="00E57F4F" w:rsidRDefault="00781A26" w:rsidP="00E57F4F">
      <w:pPr>
        <w:pStyle w:val="Numbers1"/>
      </w:pPr>
      <w:r w:rsidRPr="00A61304">
        <w:t xml:space="preserve">Is </w:t>
      </w:r>
      <w:r w:rsidRPr="00E57F4F">
        <w:t>the program the appropriate response for the program’s objectives? (Appropriateness)</w:t>
      </w:r>
    </w:p>
    <w:p w14:paraId="56AC9EEB" w14:textId="41318328" w:rsidR="00781A26" w:rsidRPr="00E57F4F" w:rsidRDefault="00781A26" w:rsidP="00E57F4F">
      <w:pPr>
        <w:pStyle w:val="Numbers1"/>
      </w:pPr>
      <w:r w:rsidRPr="00E57F4F">
        <w:t>How well is the PTP being delivered and is it working as expected?</w:t>
      </w:r>
      <w:r w:rsidR="00E57F4F" w:rsidRPr="00E57F4F">
        <w:t xml:space="preserve"> </w:t>
      </w:r>
      <w:r w:rsidRPr="00E57F4F">
        <w:t>Effectiveness)</w:t>
      </w:r>
    </w:p>
    <w:p w14:paraId="37597543" w14:textId="6D0190D4" w:rsidR="00781A26" w:rsidRDefault="00E57F4F" w:rsidP="00E57F4F">
      <w:pPr>
        <w:pStyle w:val="Numbers1"/>
      </w:pPr>
      <w:r w:rsidRPr="00E57F4F">
        <w:t xml:space="preserve">What alternative models could be considered to improve clinical outcomes for consumers by extending the role of pharmacists in the delivery of cost effective primary health care services? </w:t>
      </w:r>
      <w:r w:rsidR="00781A26" w:rsidRPr="00E57F4F">
        <w:t>(Efficiency)</w:t>
      </w:r>
    </w:p>
    <w:p w14:paraId="4719828D" w14:textId="77777777" w:rsidR="006A4A32" w:rsidRDefault="00781A26" w:rsidP="00781A26">
      <w:pPr>
        <w:pStyle w:val="ESHeading3"/>
      </w:pPr>
      <w:r>
        <w:t>PTP priority areas</w:t>
      </w:r>
    </w:p>
    <w:p w14:paraId="25B08F3F" w14:textId="77777777" w:rsidR="006A4A32" w:rsidRDefault="00781A26" w:rsidP="00781A26">
      <w:pPr>
        <w:pStyle w:val="BodyCopy"/>
      </w:pPr>
      <w:r>
        <w:t xml:space="preserve">The PTP was conducted as three tranches. </w:t>
      </w:r>
      <w:r w:rsidRPr="00A63E01">
        <w:t>The priority areas selected for each</w:t>
      </w:r>
      <w:r>
        <w:t xml:space="preserve"> tranche were:</w:t>
      </w:r>
    </w:p>
    <w:p w14:paraId="43D09A75" w14:textId="38B227E0" w:rsidR="00781A26" w:rsidRDefault="00781A26" w:rsidP="002C22EF">
      <w:pPr>
        <w:pStyle w:val="ListBullet"/>
      </w:pPr>
      <w:r w:rsidRPr="00466E28">
        <w:t>Tranche 1 topics</w:t>
      </w:r>
      <w:r w:rsidRPr="00951C73">
        <w:t>:</w:t>
      </w:r>
    </w:p>
    <w:p w14:paraId="62D5A139" w14:textId="77777777" w:rsidR="006A4A32" w:rsidRDefault="00781A26" w:rsidP="002C22EF">
      <w:pPr>
        <w:pStyle w:val="ListBullet2"/>
      </w:pPr>
      <w:r w:rsidRPr="00951C73">
        <w:t>pharmacy</w:t>
      </w:r>
      <w:r>
        <w:t>-</w:t>
      </w:r>
      <w:r w:rsidRPr="00951C73">
        <w:t>based screening and referral for diabetes</w:t>
      </w:r>
      <w:r w:rsidR="005F4563">
        <w:t>;</w:t>
      </w:r>
    </w:p>
    <w:p w14:paraId="13E0E0C0" w14:textId="77777777" w:rsidR="006A4A32" w:rsidRDefault="00781A26" w:rsidP="002C22EF">
      <w:pPr>
        <w:pStyle w:val="ListBullet2"/>
      </w:pPr>
      <w:r w:rsidRPr="00951C73">
        <w:t>improved medication management for Aboriginal and Torres Strait Islander people through pharmacist advice and culturally appropriate services</w:t>
      </w:r>
      <w:r>
        <w:t>,</w:t>
      </w:r>
      <w:r w:rsidRPr="00951C73">
        <w:t xml:space="preserve"> and</w:t>
      </w:r>
    </w:p>
    <w:p w14:paraId="3EAA58B5" w14:textId="3896FFD2" w:rsidR="00781A26" w:rsidRPr="00951C73" w:rsidRDefault="00781A26" w:rsidP="002C22EF">
      <w:pPr>
        <w:pStyle w:val="ListBullet2"/>
      </w:pPr>
      <w:r w:rsidRPr="00951C73">
        <w:t>improved continuity in the management of patients’ medications when they are discharged from hospital.</w:t>
      </w:r>
    </w:p>
    <w:p w14:paraId="643CDE86" w14:textId="77777777" w:rsidR="006A4A32" w:rsidRDefault="00781A26" w:rsidP="002C22EF">
      <w:pPr>
        <w:pStyle w:val="ListBullet"/>
      </w:pPr>
      <w:r w:rsidRPr="00466E28">
        <w:t>Tranche 2 priorities</w:t>
      </w:r>
      <w:r w:rsidRPr="00951C73">
        <w:t>:</w:t>
      </w:r>
    </w:p>
    <w:p w14:paraId="1F57E146" w14:textId="77777777" w:rsidR="006A4A32" w:rsidRDefault="00781A26" w:rsidP="002C22EF">
      <w:pPr>
        <w:pStyle w:val="ListBullet2"/>
      </w:pPr>
      <w:r w:rsidRPr="00951C73">
        <w:t>community pharmacist outreach to residential aged care facilities</w:t>
      </w:r>
      <w:r w:rsidR="005F4563">
        <w:t>;</w:t>
      </w:r>
    </w:p>
    <w:p w14:paraId="440E9E75" w14:textId="77777777" w:rsidR="006A4A32" w:rsidRDefault="00781A26" w:rsidP="002C22EF">
      <w:pPr>
        <w:pStyle w:val="ListBullet2"/>
      </w:pPr>
      <w:r w:rsidRPr="00951C73">
        <w:t>medicines management and medicines reconciliation services</w:t>
      </w:r>
      <w:r w:rsidR="005F4563">
        <w:t>;</w:t>
      </w:r>
    </w:p>
    <w:p w14:paraId="121D9D2C" w14:textId="77777777" w:rsidR="006A4A32" w:rsidRDefault="00781A26" w:rsidP="002C22EF">
      <w:pPr>
        <w:pStyle w:val="ListBullet2"/>
      </w:pPr>
      <w:r w:rsidRPr="00951C73">
        <w:t>disease management for appropriate conditions</w:t>
      </w:r>
      <w:r>
        <w:t>,</w:t>
      </w:r>
      <w:r w:rsidRPr="00951C73">
        <w:t xml:space="preserve"> and</w:t>
      </w:r>
    </w:p>
    <w:p w14:paraId="1D36D3B5" w14:textId="7FE1BD06" w:rsidR="00781A26" w:rsidRPr="00951C73" w:rsidRDefault="00781A26" w:rsidP="002C22EF">
      <w:pPr>
        <w:pStyle w:val="ListBullet2"/>
      </w:pPr>
      <w:r w:rsidRPr="00951C73">
        <w:t>screening and referral by pharmacists for cardiovascular risk.</w:t>
      </w:r>
    </w:p>
    <w:p w14:paraId="5B6484F1" w14:textId="77777777" w:rsidR="00781A26" w:rsidRPr="00951C73" w:rsidRDefault="00781A26" w:rsidP="002C22EF">
      <w:pPr>
        <w:pStyle w:val="ListBullet"/>
      </w:pPr>
      <w:r w:rsidRPr="00466E28">
        <w:rPr>
          <w:b/>
        </w:rPr>
        <w:t xml:space="preserve">Tranche 3 </w:t>
      </w:r>
      <w:r w:rsidRPr="00951C73">
        <w:t xml:space="preserve">trials </w:t>
      </w:r>
      <w:r>
        <w:t>were</w:t>
      </w:r>
      <w:r w:rsidRPr="00951C73">
        <w:t xml:space="preserve"> targeted grant opportunities.</w:t>
      </w:r>
    </w:p>
    <w:p w14:paraId="08A27693" w14:textId="77777777" w:rsidR="006A4A32" w:rsidRDefault="00781A26" w:rsidP="000D5CD4">
      <w:pPr>
        <w:pStyle w:val="BodyCopy"/>
        <w:keepNext/>
      </w:pPr>
      <w:r>
        <w:lastRenderedPageBreak/>
        <w:t>In addition, it was intended that the Community Pharmacy Programmes, including the PTP, would have a focus on benefits for:</w:t>
      </w:r>
    </w:p>
    <w:p w14:paraId="634DE7CD" w14:textId="77777777" w:rsidR="006A4A32" w:rsidRDefault="00781A26" w:rsidP="002C22EF">
      <w:pPr>
        <w:pStyle w:val="ListBullet"/>
      </w:pPr>
      <w:r>
        <w:t>Aboriginal and Torres Strait Islander people, and</w:t>
      </w:r>
    </w:p>
    <w:p w14:paraId="78E383BF" w14:textId="5BABA7B6" w:rsidR="00781A26" w:rsidRDefault="00781A26" w:rsidP="002C22EF">
      <w:pPr>
        <w:pStyle w:val="ListBullet"/>
      </w:pPr>
      <w:r>
        <w:t>Consumers in rural and remote areas</w:t>
      </w:r>
      <w:r w:rsidR="003A485C">
        <w:t>.</w:t>
      </w:r>
      <w:r>
        <w:t xml:space="preserve"> </w:t>
      </w:r>
      <w:sdt>
        <w:sdtPr>
          <w:id w:val="156734004"/>
          <w:citation/>
        </w:sdtPr>
        <w:sdtContent>
          <w:r w:rsidRPr="00AD61FA">
            <w:fldChar w:fldCharType="begin"/>
          </w:r>
          <w:r w:rsidR="00820D12">
            <w:rPr>
              <w:lang w:val="en-US"/>
            </w:rPr>
            <w:instrText xml:space="preserve">CITATION Dep17 \l 1033 </w:instrText>
          </w:r>
          <w:r w:rsidRPr="00AD61FA">
            <w:fldChar w:fldCharType="separate"/>
          </w:r>
          <w:r w:rsidR="008B7448" w:rsidRPr="008B7448">
            <w:rPr>
              <w:noProof/>
              <w:lang w:val="en-US"/>
            </w:rPr>
            <w:t>[1]</w:t>
          </w:r>
          <w:r w:rsidRPr="00AD61FA">
            <w:fldChar w:fldCharType="end"/>
          </w:r>
        </w:sdtContent>
      </w:sdt>
    </w:p>
    <w:p w14:paraId="488378C8" w14:textId="77777777" w:rsidR="006A4A32" w:rsidRDefault="00781A26" w:rsidP="00781A26">
      <w:pPr>
        <w:pStyle w:val="BodyCopy"/>
        <w:keepNext/>
      </w:pPr>
      <w:r>
        <w:t>At the time of this review (February to June 2019), seven trials had signed funding agreements, as follows:</w:t>
      </w:r>
    </w:p>
    <w:p w14:paraId="435DD166" w14:textId="46F53873" w:rsidR="00781A26" w:rsidRDefault="00781A26" w:rsidP="002C22EF">
      <w:pPr>
        <w:pStyle w:val="ListBullet"/>
      </w:pPr>
      <w:r>
        <w:t>Tranche 1</w:t>
      </w:r>
    </w:p>
    <w:p w14:paraId="0136FDD7" w14:textId="5A76F920" w:rsidR="00781A26" w:rsidRDefault="00781A26" w:rsidP="002C22EF">
      <w:pPr>
        <w:pStyle w:val="ListBullet2"/>
      </w:pPr>
      <w:r>
        <w:t xml:space="preserve">Pharmacy Diabetes Screening Trial (Diabetes </w:t>
      </w:r>
      <w:r w:rsidR="006C4C15">
        <w:t xml:space="preserve">Screening </w:t>
      </w:r>
      <w:r>
        <w:t>Trial)</w:t>
      </w:r>
    </w:p>
    <w:p w14:paraId="35B4D508" w14:textId="77777777" w:rsidR="00781A26" w:rsidRDefault="00781A26" w:rsidP="002C22EF">
      <w:pPr>
        <w:pStyle w:val="ListBullet2"/>
      </w:pPr>
      <w:r>
        <w:t>Indigenous Medication Review Service Feasibility Study (IMeRSe Feasibility Study )</w:t>
      </w:r>
    </w:p>
    <w:p w14:paraId="755D6906" w14:textId="77777777" w:rsidR="00781A26" w:rsidRDefault="00781A26" w:rsidP="002C22EF">
      <w:pPr>
        <w:pStyle w:val="ListBullet"/>
      </w:pPr>
      <w:r>
        <w:t>Tranche 2</w:t>
      </w:r>
    </w:p>
    <w:p w14:paraId="1B92FDAC" w14:textId="624B4A2D" w:rsidR="00781A26" w:rsidRDefault="00781A26" w:rsidP="002C22EF">
      <w:pPr>
        <w:pStyle w:val="ListBullet2"/>
      </w:pPr>
      <w:r>
        <w:t xml:space="preserve">Integrating Practice Pharmacists into Aboriginal Community Controlled Health Services </w:t>
      </w:r>
      <w:r w:rsidR="009075B3">
        <w:t xml:space="preserve">Project </w:t>
      </w:r>
      <w:r>
        <w:t xml:space="preserve">(IPAC </w:t>
      </w:r>
      <w:r w:rsidR="009075B3">
        <w:t>Project</w:t>
      </w:r>
      <w:r>
        <w:t>)</w:t>
      </w:r>
    </w:p>
    <w:p w14:paraId="711A77F0" w14:textId="77777777" w:rsidR="00781A26" w:rsidRDefault="00781A26" w:rsidP="002C22EF">
      <w:pPr>
        <w:pStyle w:val="ListBullet2"/>
      </w:pPr>
      <w:r>
        <w:t>Getting Asthma Under Control Trial (Asthma Trial)</w:t>
      </w:r>
    </w:p>
    <w:p w14:paraId="1F7824D5" w14:textId="77777777" w:rsidR="00781A26" w:rsidRDefault="00781A26" w:rsidP="002C22EF">
      <w:pPr>
        <w:pStyle w:val="ListBullet2"/>
      </w:pPr>
      <w:r>
        <w:t>Reducing Medicine Induced Deterioration and Adverse Reactions Trial (ReMInDAR Trial)</w:t>
      </w:r>
    </w:p>
    <w:p w14:paraId="5AD0E5A3" w14:textId="77777777" w:rsidR="006A4A32" w:rsidRDefault="00781A26" w:rsidP="002C22EF">
      <w:pPr>
        <w:pStyle w:val="ListBullet2"/>
      </w:pPr>
      <w:r>
        <w:t xml:space="preserve">Early Detection and Management of Cardiovascular Disease Risk Factors and Chronic Disease Markers </w:t>
      </w:r>
      <w:r w:rsidR="009075B3">
        <w:t xml:space="preserve">in Community Pharmacy </w:t>
      </w:r>
      <w:r>
        <w:t>Trial (CVD Trial), and</w:t>
      </w:r>
    </w:p>
    <w:p w14:paraId="5D40D2EB" w14:textId="76BD64CC" w:rsidR="00781A26" w:rsidRDefault="00781A26" w:rsidP="002C22EF">
      <w:pPr>
        <w:pStyle w:val="ListBullet"/>
      </w:pPr>
      <w:r>
        <w:t>Tranche 3</w:t>
      </w:r>
    </w:p>
    <w:p w14:paraId="631E7869" w14:textId="77777777" w:rsidR="006A4A32" w:rsidRDefault="00781A26" w:rsidP="002C22EF">
      <w:pPr>
        <w:pStyle w:val="ListBullet2"/>
      </w:pPr>
      <w:r>
        <w:t>Chronic Pain MedsCheck Trial.</w:t>
      </w:r>
    </w:p>
    <w:p w14:paraId="631C08F4" w14:textId="1B067E0D" w:rsidR="00781A26" w:rsidRDefault="00781A26" w:rsidP="00781A26">
      <w:pPr>
        <w:pStyle w:val="ESHeading3"/>
      </w:pPr>
      <w:r>
        <w:t>Changing landscape of pharmacy in primary care</w:t>
      </w:r>
    </w:p>
    <w:p w14:paraId="45906C41" w14:textId="77777777" w:rsidR="00781A26" w:rsidRDefault="00781A26" w:rsidP="00781A26">
      <w:pPr>
        <w:pStyle w:val="BodyCopy"/>
      </w:pPr>
      <w:r>
        <w:t>Primary health care has an integral role in supporting the health and wellbeing of Australians and can be delivered by a variety of health professionals, including general practitioners, nurses, nurse practitioners, allied health professionals, midwives, pharmacists, dentists, and Aboriginal and Torres Strait Islander health workers.</w:t>
      </w:r>
    </w:p>
    <w:p w14:paraId="0E7B9419" w14:textId="77777777" w:rsidR="006A4A32" w:rsidRDefault="00781A26" w:rsidP="00781A26">
      <w:pPr>
        <w:pStyle w:val="BodyCopy"/>
      </w:pPr>
      <w:r>
        <w:t>Medication misadventure has been identified as a key issue for health and wellbeing, with approximately 125,000</w:t>
      </w:r>
      <w:r w:rsidRPr="00A11B27">
        <w:t xml:space="preserve"> Australians admitted to hospital </w:t>
      </w:r>
      <w:r>
        <w:t xml:space="preserve">annually </w:t>
      </w:r>
      <w:r w:rsidRPr="00A11B27">
        <w:t xml:space="preserve">for </w:t>
      </w:r>
      <w:r>
        <w:t xml:space="preserve">potentially preventable </w:t>
      </w:r>
      <w:r w:rsidRPr="00A11B27">
        <w:t>issues relating to medicine safety</w:t>
      </w:r>
      <w:r>
        <w:t>,</w:t>
      </w:r>
      <w:r w:rsidRPr="00A11B27">
        <w:t xml:space="preserve"> including adverse reactions</w:t>
      </w:r>
      <w:r>
        <w:t>.</w:t>
      </w:r>
    </w:p>
    <w:p w14:paraId="206D68D7" w14:textId="22FE3D1F" w:rsidR="00781A26" w:rsidRDefault="00781A26" w:rsidP="00781A26">
      <w:pPr>
        <w:pStyle w:val="BodyCopy"/>
      </w:pPr>
      <w:r>
        <w:t>Proper medication management requires an interdisciplinary approach with pharmacists as a key member of the primary care team. The scope and range of services provided by pharmacists has expanded over the last 30 years, with the introduction of Community Pharmacy Programmes in successive CPAs. This has also enabled pharmacists to extend services beyond the retail pharmacy outlet into people’s homes (Home Medicines Review Program) and residential aged care facilities (Residential Medication Management Review Program).</w:t>
      </w:r>
    </w:p>
    <w:p w14:paraId="69FC4A7B" w14:textId="77777777" w:rsidR="006A4A32" w:rsidRDefault="00781A26" w:rsidP="00781A26">
      <w:pPr>
        <w:pStyle w:val="BodyCopy"/>
      </w:pPr>
      <w:r>
        <w:t>In addition, advances in e-health impact on the capacity of pharmacists to deliver services to consumers. For example, My Health Record is designed to equip pharmacists with additional information to provide greater patient care, especially during transition of care (from the hospital to the community and vice versa) when medication errors are most likely to occur.</w:t>
      </w:r>
    </w:p>
    <w:p w14:paraId="4A6A6267" w14:textId="77777777" w:rsidR="006A4A32" w:rsidRDefault="00781A26" w:rsidP="00781A26">
      <w:pPr>
        <w:pStyle w:val="ESHeading3"/>
      </w:pPr>
      <w:r>
        <w:t>Funding of primary health care</w:t>
      </w:r>
    </w:p>
    <w:p w14:paraId="548E8CB1" w14:textId="0EC22DF9" w:rsidR="00781A26" w:rsidRDefault="00781A26" w:rsidP="00781A26">
      <w:pPr>
        <w:pStyle w:val="BodyCopy"/>
      </w:pPr>
      <w:r>
        <w:t xml:space="preserve">Increasingly, the Australian Government is requiring ongoing evaluation of existing services and an improved evidence base for funding future services. Therefore, new models of care and services delivery must have robust evidence to demonstrate their clinical effectiveness as well as expected economic benefits for implementation. As such, the trials implemented under the PTP are required to include robust clinical evidence and </w:t>
      </w:r>
      <w:r w:rsidR="00D6707B">
        <w:t xml:space="preserve">an </w:t>
      </w:r>
      <w:r>
        <w:t xml:space="preserve">economic assessment. </w:t>
      </w:r>
      <w:r w:rsidR="00E57F4F">
        <w:t>E</w:t>
      </w:r>
      <w:r>
        <w:t>valuations of the trials are expected to estimate costs to implement an ongoing program.</w:t>
      </w:r>
    </w:p>
    <w:p w14:paraId="3D59298C" w14:textId="77777777" w:rsidR="006A4A32" w:rsidRDefault="00781A26" w:rsidP="00781A26">
      <w:pPr>
        <w:pStyle w:val="ESHeading2"/>
      </w:pPr>
      <w:r>
        <w:t>Method</w:t>
      </w:r>
    </w:p>
    <w:p w14:paraId="0DD18080" w14:textId="77777777" w:rsidR="006A4A32" w:rsidRDefault="00781A26" w:rsidP="00781A26">
      <w:pPr>
        <w:pStyle w:val="BodyCopy"/>
      </w:pPr>
      <w:r>
        <w:t>The implementation review of the PTP was undertaken in five stages, as follows:</w:t>
      </w:r>
    </w:p>
    <w:p w14:paraId="3766B744" w14:textId="77777777" w:rsidR="006A4A32" w:rsidRDefault="00781A26" w:rsidP="002C22EF">
      <w:pPr>
        <w:pStyle w:val="Numbers1"/>
        <w:numPr>
          <w:ilvl w:val="0"/>
          <w:numId w:val="22"/>
        </w:numPr>
      </w:pPr>
      <w:r>
        <w:t>Development of a program logic and key review areas</w:t>
      </w:r>
    </w:p>
    <w:p w14:paraId="3CB9EBCA" w14:textId="77777777" w:rsidR="006A4A32" w:rsidRDefault="00781A26" w:rsidP="002C22EF">
      <w:pPr>
        <w:pStyle w:val="Numbers1"/>
        <w:numPr>
          <w:ilvl w:val="0"/>
          <w:numId w:val="20"/>
        </w:numPr>
      </w:pPr>
      <w:r>
        <w:t>Review of relevant documentation</w:t>
      </w:r>
    </w:p>
    <w:p w14:paraId="232BC0E7" w14:textId="77777777" w:rsidR="006A4A32" w:rsidRDefault="00781A26" w:rsidP="002C22EF">
      <w:pPr>
        <w:pStyle w:val="Numbers1"/>
        <w:numPr>
          <w:ilvl w:val="0"/>
          <w:numId w:val="20"/>
        </w:numPr>
      </w:pPr>
      <w:r>
        <w:t>Consultation with stakeholders</w:t>
      </w:r>
    </w:p>
    <w:p w14:paraId="7AF49B7C" w14:textId="43976C8A" w:rsidR="00781A26" w:rsidRDefault="00781A26" w:rsidP="002C22EF">
      <w:pPr>
        <w:pStyle w:val="Numbers1"/>
        <w:numPr>
          <w:ilvl w:val="0"/>
          <w:numId w:val="20"/>
        </w:numPr>
      </w:pPr>
      <w:r>
        <w:lastRenderedPageBreak/>
        <w:t>Online survey of pharmacists, and</w:t>
      </w:r>
    </w:p>
    <w:p w14:paraId="2D604ADD" w14:textId="77777777" w:rsidR="006A4A32" w:rsidRDefault="00781A26" w:rsidP="002C22EF">
      <w:pPr>
        <w:pStyle w:val="Numbers1"/>
        <w:numPr>
          <w:ilvl w:val="0"/>
          <w:numId w:val="20"/>
        </w:numPr>
      </w:pPr>
      <w:r>
        <w:t>Triangulation of evidence to identify findings and potential future options for the PTP, should it continue, into a final report.</w:t>
      </w:r>
    </w:p>
    <w:p w14:paraId="277028DD" w14:textId="60941E6E" w:rsidR="00781A26" w:rsidRDefault="00781A26" w:rsidP="00781A26">
      <w:pPr>
        <w:pStyle w:val="ESHeading2"/>
      </w:pPr>
      <w:r>
        <w:t>SUMMARY of Review findings</w:t>
      </w:r>
    </w:p>
    <w:p w14:paraId="14DC7231" w14:textId="77777777" w:rsidR="00781A26" w:rsidRDefault="00781A26" w:rsidP="00781A26">
      <w:pPr>
        <w:pStyle w:val="ESHeading3"/>
      </w:pPr>
      <w:r>
        <w:t>Appropriateness</w:t>
      </w:r>
    </w:p>
    <w:p w14:paraId="36C5FDDB" w14:textId="77777777" w:rsidR="006A4A32" w:rsidRDefault="00781A26" w:rsidP="00781A26">
      <w:pPr>
        <w:pStyle w:val="StrategicDirection"/>
      </w:pPr>
      <w:r>
        <w:t>Funding of a program for service delivery trials is an appropriate response for the stated objectives of the PTP, which are to improve clinical outcomes for consumers, and/or extend the role of pharmacists in the delivery of primary health care services through community pharmacy. This is evidenced by the sector support to expand pharmacy service delivery, including greater collaboration with other health care professionals. The PTP is not duplicative of other research funding and aligns with the evidence building approach of the National Strategy for Quality Use of Medicines and the principles of the National Medicines Policy that support the 6CPA. It seems unlikely that the expected outcomes of the PTP could be achieved without the financial support for trials offered by the program.</w:t>
      </w:r>
    </w:p>
    <w:p w14:paraId="305DB53B" w14:textId="77777777" w:rsidR="006A4A32" w:rsidRDefault="00781A26" w:rsidP="00781A26">
      <w:pPr>
        <w:pStyle w:val="BodyCopy"/>
      </w:pPr>
      <w:r>
        <w:t xml:space="preserve">Evidence suggests that research to validate the clinical and economic effectiveness of new or expanded Community Pharmacy Programmes is appropriate and that there was support for the objectives of the PTP among the community pharmacy and broader pharmacy sector. Many stakeholders expressed interest in a broader interpretation of the PTP objectives to include alternative locations of service delivery within the community and engagement of consultant pharmacists in addition to community pharmacists. Although PTP trials linked into general practice via referral or case conferencing, </w:t>
      </w:r>
      <w:r w:rsidRPr="005675B6">
        <w:t xml:space="preserve">interdisciplinary collaboration </w:t>
      </w:r>
      <w:r>
        <w:t>was an area noted by professional and advocacy peak bodies</w:t>
      </w:r>
      <w:r w:rsidRPr="005675B6">
        <w:t xml:space="preserve"> </w:t>
      </w:r>
      <w:r>
        <w:t>that could be strengthened.</w:t>
      </w:r>
    </w:p>
    <w:p w14:paraId="5B9B4E4F" w14:textId="77777777" w:rsidR="006A4A32" w:rsidRDefault="00781A26" w:rsidP="00781A26">
      <w:pPr>
        <w:pStyle w:val="BodyCopy"/>
      </w:pPr>
      <w:r>
        <w:t>There were mixed views among stakeholders as to whether the expected outcomes of the PTP would be achieved without PTP funding, depending on the nature of the individual trial. Considering the limited funding specifically available for health service research in pharmacy through other research grant programs, it is unlikely that PTP objectives would be achieved without the dedicated funding provided by the PTP. Given the limited capacity of community pharmacy to implement programs without financial incentives for staff time, expanding programs would be challenging without funding for trials.</w:t>
      </w:r>
    </w:p>
    <w:p w14:paraId="23094E31" w14:textId="15FE65FD" w:rsidR="00781A26" w:rsidRDefault="00781A26" w:rsidP="00781A26">
      <w:pPr>
        <w:pStyle w:val="BodyCopy"/>
      </w:pPr>
      <w:r>
        <w:t>The review concluded that funding of a program for service delivery trials is an appropriate response for the stated objectives of the PTP, which are to improve clinical outcomes for consumers, and/or extend the role of pharmacists in the delivery of primary health care services through community pharmacy</w:t>
      </w:r>
      <w:r w:rsidRPr="00AD61FA">
        <w:t>.</w:t>
      </w:r>
    </w:p>
    <w:p w14:paraId="683AC5B6" w14:textId="77777777" w:rsidR="006A4A32" w:rsidRDefault="00781A26" w:rsidP="00781A26">
      <w:pPr>
        <w:pStyle w:val="ESHeading3"/>
      </w:pPr>
      <w:r>
        <w:t>Effectiveness</w:t>
      </w:r>
    </w:p>
    <w:p w14:paraId="0101EEA5" w14:textId="70181DC3" w:rsidR="00781A26" w:rsidRDefault="00781A26" w:rsidP="00781A26">
      <w:pPr>
        <w:pStyle w:val="StrategicDirection"/>
      </w:pPr>
      <w:r>
        <w:t>Setting of PTP priority areas included reference to expert opinion and stakeholder consultation. Increased engagement of consumer groups from a broader range of health needs perspectives may further enhance trial design in the future. Further focus on the needs of consumers in rural and remote areas could also be considered.</w:t>
      </w:r>
    </w:p>
    <w:p w14:paraId="422CEC55" w14:textId="4957E736" w:rsidR="00781A26" w:rsidRDefault="00781A26" w:rsidP="00781A26">
      <w:pPr>
        <w:pStyle w:val="StrategicDirection"/>
      </w:pPr>
      <w:r>
        <w:t>Issues that delayed implementation of PTP milestones included the unanticipated time required to refine trial protocols to meet requirements of prospective</w:t>
      </w:r>
      <w:r w:rsidR="005F4563">
        <w:t xml:space="preserve"> independent</w:t>
      </w:r>
      <w:r>
        <w:t xml:space="preserve"> health technology assessment (HTA). Factors that could streamline implementation include increased clarity of application processes to reduce ineligible applications and further documentation of administrative processes associated with decision making.</w:t>
      </w:r>
    </w:p>
    <w:p w14:paraId="50736227" w14:textId="6695D6C2" w:rsidR="00781A26" w:rsidRDefault="00D6707B" w:rsidP="00781A26">
      <w:pPr>
        <w:pStyle w:val="StrategicDirection"/>
      </w:pPr>
      <w:r>
        <w:lastRenderedPageBreak/>
        <w:t xml:space="preserve">At the time of the evaluation conclusion, </w:t>
      </w:r>
      <w:r w:rsidR="00781A26">
        <w:t xml:space="preserve">seven trials had signed funding agreements, and an additional trial had approval from the Minister for Health </w:t>
      </w:r>
      <w:r w:rsidR="00FD2054">
        <w:t xml:space="preserve">to be undertaken in 2019–20 financial year. </w:t>
      </w:r>
      <w:r w:rsidR="00781A26">
        <w:t xml:space="preserve">One trial was completed and five more are scheduled to be completed by the end of the 6CPA. </w:t>
      </w:r>
      <w:r w:rsidR="00895BEC">
        <w:t xml:space="preserve">As at </w:t>
      </w:r>
      <w:r w:rsidR="00781A26">
        <w:t>June 2019, no trial had undergone an</w:t>
      </w:r>
      <w:r w:rsidR="005F4563">
        <w:t xml:space="preserve"> independent</w:t>
      </w:r>
      <w:r w:rsidR="00781A26">
        <w:t xml:space="preserve"> HTA. The selected HTA advisory body should consider the service delivery nature and qualitative consumer experience aspects of the PTP trials as part </w:t>
      </w:r>
      <w:r w:rsidR="00895BEC">
        <w:t>its</w:t>
      </w:r>
      <w:r w:rsidR="00781A26">
        <w:t xml:space="preserve"> assessment.</w:t>
      </w:r>
    </w:p>
    <w:p w14:paraId="75895F56" w14:textId="77777777" w:rsidR="00781A26" w:rsidRDefault="00781A26" w:rsidP="00781A26">
      <w:pPr>
        <w:pStyle w:val="Heading4"/>
      </w:pPr>
      <w:r>
        <w:t>Program development processes</w:t>
      </w:r>
    </w:p>
    <w:p w14:paraId="25E84B28" w14:textId="77777777" w:rsidR="006A4A32" w:rsidRDefault="00781A26" w:rsidP="00781A26">
      <w:pPr>
        <w:pStyle w:val="BodyCopy"/>
      </w:pPr>
      <w:r>
        <w:t>The Department undertook several processes to seek stakeholder input into development and design of the PTP and setting priority areas. This included a stakeholder forum, a ‘call for ideas’ and convening a Trials Advisory Group (TAG). Many professional and advocacy peak bodies would have liked greater engagement in the developmental stages. In addition, stakeholder engagement diminished when the TAG ceased meeting prior to the submission of grant applications under Tranche 2.</w:t>
      </w:r>
    </w:p>
    <w:p w14:paraId="70085FC2" w14:textId="77777777" w:rsidR="006A4A32" w:rsidRDefault="00781A26" w:rsidP="00781A26">
      <w:pPr>
        <w:pStyle w:val="Heading4"/>
      </w:pPr>
      <w:r>
        <w:t>Trial design and selection processes</w:t>
      </w:r>
    </w:p>
    <w:p w14:paraId="39E8B2F7" w14:textId="77777777" w:rsidR="006A4A32" w:rsidRDefault="00781A26" w:rsidP="00781A26">
      <w:pPr>
        <w:pStyle w:val="BodyCopy"/>
      </w:pPr>
      <w:r>
        <w:t xml:space="preserve">The term of the 6CPA was sufficient time to develop guidelines and processes and implemented at least one </w:t>
      </w:r>
      <w:r w:rsidR="00E96273">
        <w:t xml:space="preserve">tranche </w:t>
      </w:r>
      <w:r>
        <w:t>of trials. Unexpected delays encountered in protocol development stages led to truncated trial implementation time. Combined with time required for ethics approval, shortened implementation times may have affected trial recruitment and hence potential outcomes that were achievable in the life of the agreement.</w:t>
      </w:r>
    </w:p>
    <w:p w14:paraId="32593788" w14:textId="0C4E7B9B" w:rsidR="00781A26" w:rsidRDefault="00781A26" w:rsidP="00781A26">
      <w:pPr>
        <w:pStyle w:val="Heading4"/>
      </w:pPr>
      <w:r>
        <w:t>Administrative processes</w:t>
      </w:r>
    </w:p>
    <w:p w14:paraId="71997B53" w14:textId="77777777" w:rsidR="006A4A32" w:rsidRDefault="00781A26" w:rsidP="00781A26">
      <w:pPr>
        <w:pStyle w:val="BodyCopy"/>
      </w:pPr>
      <w:r>
        <w:t xml:space="preserve">The administrative processes of the PTP were guided by </w:t>
      </w:r>
      <w:r w:rsidRPr="00E42131">
        <w:t xml:space="preserve">the </w:t>
      </w:r>
      <w:r w:rsidRPr="00E42131">
        <w:rPr>
          <w:i/>
          <w:iCs/>
        </w:rPr>
        <w:t>Commonwealth Grant Rules and Guidelines</w:t>
      </w:r>
      <w:r w:rsidRPr="00E42131">
        <w:t>; the PTP grant guideline</w:t>
      </w:r>
      <w:r>
        <w:t>s</w:t>
      </w:r>
      <w:r w:rsidRPr="00E42131">
        <w:t xml:space="preserve"> met those requirements. There are several areas of the program guidelines that could be strengthened in the</w:t>
      </w:r>
      <w:r>
        <w:t xml:space="preserve"> future, such as increased clarity of application processes to reduce ineligible applications, </w:t>
      </w:r>
      <w:r>
        <w:t>and further documentation of administrative processes associated with decision making.</w:t>
      </w:r>
    </w:p>
    <w:p w14:paraId="7DEA3304" w14:textId="77777777" w:rsidR="006A4A32" w:rsidRDefault="00781A26" w:rsidP="00781A26">
      <w:pPr>
        <w:pStyle w:val="Heading4"/>
      </w:pPr>
      <w:r>
        <w:t>Program outputs</w:t>
      </w:r>
    </w:p>
    <w:p w14:paraId="4358D5BE" w14:textId="77777777" w:rsidR="006A4A32" w:rsidRDefault="00781A26" w:rsidP="00781A26">
      <w:pPr>
        <w:pStyle w:val="BodyCopy"/>
      </w:pPr>
      <w:r>
        <w:t>It is likely that only one PTP trial will undergo an</w:t>
      </w:r>
      <w:r w:rsidR="005F4563">
        <w:t xml:space="preserve"> independent</w:t>
      </w:r>
      <w:r>
        <w:t xml:space="preserve"> HTA during the term of the 6CPA.</w:t>
      </w:r>
    </w:p>
    <w:p w14:paraId="7E767EC5" w14:textId="77777777" w:rsidR="006A4A32" w:rsidRDefault="00781A26" w:rsidP="00781A26">
      <w:pPr>
        <w:pStyle w:val="ESHeading3"/>
      </w:pPr>
      <w:r>
        <w:t>Efficiency</w:t>
      </w:r>
    </w:p>
    <w:p w14:paraId="79048BAD" w14:textId="420CC1E0" w:rsidR="00781A26" w:rsidRDefault="00781A26" w:rsidP="00781A26">
      <w:pPr>
        <w:pStyle w:val="StrategicDirection"/>
        <w:pBdr>
          <w:left w:val="single" w:sz="4" w:space="7" w:color="DCDCDC" w:themeColor="accent6"/>
        </w:pBdr>
      </w:pPr>
      <w:r w:rsidRPr="001E3F87">
        <w:t>Implementing RCT methodologies can be challenging in the context of service delivery trials in the community. Approval of PTP study design should be guided by an assessment of whether the proposed method is appropriate and sufficiently robust to enable a</w:t>
      </w:r>
      <w:r>
        <w:t>n</w:t>
      </w:r>
      <w:r w:rsidR="005F4563">
        <w:t xml:space="preserve"> independent</w:t>
      </w:r>
      <w:r w:rsidR="00425FF5">
        <w:t xml:space="preserve"> </w:t>
      </w:r>
      <w:r>
        <w:t xml:space="preserve">HTA </w:t>
      </w:r>
      <w:r w:rsidRPr="001E3F87">
        <w:t>upon completion.</w:t>
      </w:r>
    </w:p>
    <w:p w14:paraId="10D6FCD6" w14:textId="77777777" w:rsidR="006A4A32" w:rsidRDefault="00781A26" w:rsidP="00781A26">
      <w:pPr>
        <w:pStyle w:val="BodyCopy"/>
      </w:pPr>
      <w:r>
        <w:t>There is a need for PTP trials to undergo an evaluation of clinical and economic merit before they can justify a submission for a broader rollout. Typically, these evaluations require rigorous evidence, such as that provided by RCTs. The PTP processes generally favoured an approach to trial development that emphasised use of RCTs.</w:t>
      </w:r>
    </w:p>
    <w:p w14:paraId="171DA41C" w14:textId="77777777" w:rsidR="006A4A32" w:rsidRDefault="00781A26" w:rsidP="00150F81">
      <w:r>
        <w:t xml:space="preserve">An RCT methodology </w:t>
      </w:r>
      <w:r w:rsidR="00E96273">
        <w:t xml:space="preserve">presented challenges </w:t>
      </w:r>
      <w:r>
        <w:t xml:space="preserve">for PTP trials </w:t>
      </w:r>
      <w:r w:rsidR="00A738FA">
        <w:t xml:space="preserve">that </w:t>
      </w:r>
      <w:r w:rsidR="00BA2955">
        <w:t>have</w:t>
      </w:r>
      <w:r w:rsidR="00A738FA">
        <w:t xml:space="preserve"> a particular </w:t>
      </w:r>
      <w:r>
        <w:t xml:space="preserve">focus on </w:t>
      </w:r>
      <w:r w:rsidR="00A738FA">
        <w:t xml:space="preserve">interventions which </w:t>
      </w:r>
      <w:r w:rsidR="00A76D43">
        <w:t xml:space="preserve">benefit </w:t>
      </w:r>
      <w:r w:rsidRPr="00B4131C">
        <w:rPr>
          <w:rFonts w:cs="Times New Roman"/>
          <w:color w:val="000000" w:themeColor="text1"/>
          <w:szCs w:val="20"/>
        </w:rPr>
        <w:t xml:space="preserve">Aboriginal and Torres Strait Islander </w:t>
      </w:r>
      <w:r w:rsidR="00A76D43" w:rsidRPr="00B4131C">
        <w:rPr>
          <w:rFonts w:cs="Times New Roman"/>
          <w:color w:val="000000" w:themeColor="text1"/>
          <w:szCs w:val="20"/>
        </w:rPr>
        <w:t>peoples</w:t>
      </w:r>
      <w:r w:rsidR="00B4131C">
        <w:t>.</w:t>
      </w:r>
    </w:p>
    <w:p w14:paraId="7565892C" w14:textId="22AE6321" w:rsidR="00E423E1" w:rsidRDefault="00E423E1" w:rsidP="00150F81">
      <w:pPr>
        <w:sectPr w:rsidR="00E423E1" w:rsidSect="00E423E1">
          <w:headerReference w:type="default" r:id="rId12"/>
          <w:footerReference w:type="default" r:id="rId13"/>
          <w:pgSz w:w="16838" w:h="11906" w:orient="landscape" w:code="9"/>
          <w:pgMar w:top="737" w:right="1304" w:bottom="1134" w:left="737" w:header="567" w:footer="284" w:gutter="0"/>
          <w:pgNumType w:fmt="lowerRoman" w:start="1"/>
          <w:cols w:num="2" w:space="708"/>
          <w:docGrid w:linePitch="360"/>
        </w:sectPr>
      </w:pPr>
    </w:p>
    <w:p w14:paraId="534C4FA9" w14:textId="77777777" w:rsidR="00DD4580" w:rsidRPr="00597301" w:rsidRDefault="00781A26" w:rsidP="00781A26">
      <w:pPr>
        <w:pStyle w:val="DividerPageTitle"/>
        <w:framePr w:wrap="around"/>
      </w:pPr>
      <w:bookmarkStart w:id="3" w:name="_Toc26366345"/>
      <w:r>
        <w:lastRenderedPageBreak/>
        <w:t>Context</w:t>
      </w:r>
      <w:bookmarkEnd w:id="3"/>
    </w:p>
    <w:p w14:paraId="3198F391" w14:textId="77777777" w:rsidR="002B51BB" w:rsidRDefault="00781A26" w:rsidP="00AE14F0">
      <w:pPr>
        <w:pStyle w:val="Heading1"/>
        <w:framePr w:wrap="around"/>
        <w:numPr>
          <w:ilvl w:val="0"/>
          <w:numId w:val="23"/>
        </w:numPr>
      </w:pPr>
      <w:bookmarkStart w:id="4" w:name="_Toc26366346"/>
      <w:r>
        <w:lastRenderedPageBreak/>
        <w:t>Introduction</w:t>
      </w:r>
      <w:bookmarkEnd w:id="4"/>
    </w:p>
    <w:p w14:paraId="53C4CE1A" w14:textId="36D74D72" w:rsidR="00781A26" w:rsidRDefault="00781A26" w:rsidP="00781A26">
      <w:pPr>
        <w:pStyle w:val="BodyCopy"/>
      </w:pPr>
      <w:r w:rsidRPr="007513BA">
        <w:t xml:space="preserve">In response to a greater focus on primary care across the health system and </w:t>
      </w:r>
      <w:r w:rsidRPr="00E42131">
        <w:t>changing consumer expectations surrounding service delivery and access, the Australian Government and the community pharmacy sector recognised an opportunity to expand the</w:t>
      </w:r>
      <w:r>
        <w:t xml:space="preserve"> role of community pharmacy to meet the needs of the population. This goal was reflected in the design of the PTP</w:t>
      </w:r>
      <w:r w:rsidR="00B4131C">
        <w:t xml:space="preserve"> </w:t>
      </w:r>
      <w:r w:rsidR="00C97716">
        <w:t>funded under the</w:t>
      </w:r>
      <w:r>
        <w:t xml:space="preserve"> </w:t>
      </w:r>
      <w:r w:rsidRPr="00C2174A">
        <w:t>6CPA</w:t>
      </w:r>
      <w:r>
        <w:t>.</w:t>
      </w:r>
    </w:p>
    <w:p w14:paraId="40239FC6" w14:textId="6EAF9BE7" w:rsidR="00781A26" w:rsidRPr="007E1212" w:rsidRDefault="00781A26" w:rsidP="00781A26">
      <w:pPr>
        <w:pStyle w:val="BodyCopy"/>
      </w:pPr>
      <w:r w:rsidRPr="00C2174A">
        <w:t xml:space="preserve">The </w:t>
      </w:r>
      <w:r w:rsidR="00F23A23">
        <w:t xml:space="preserve">Department </w:t>
      </w:r>
      <w:r>
        <w:t>engaged Healthcare Management Advisors (HMA) to:</w:t>
      </w:r>
    </w:p>
    <w:p w14:paraId="31B55116" w14:textId="1416C44A" w:rsidR="00781A26" w:rsidRPr="00C2174A" w:rsidRDefault="00781A26" w:rsidP="00781A26">
      <w:pPr>
        <w:pStyle w:val="Quote"/>
      </w:pPr>
      <w:r w:rsidRPr="00C2174A">
        <w:t>‘Review the implementation of the Pharmacy Trial Program (PTP)</w:t>
      </w:r>
      <w:r w:rsidR="003A485C">
        <w:t>.</w:t>
      </w:r>
      <w:r w:rsidRPr="00C2174A">
        <w:t>’</w:t>
      </w:r>
    </w:p>
    <w:p w14:paraId="7FEABC7C" w14:textId="77777777" w:rsidR="006A4A32" w:rsidRDefault="00781A26" w:rsidP="00781A26">
      <w:pPr>
        <w:pStyle w:val="Heading2"/>
        <w:spacing w:before="369" w:after="170" w:line="384" w:lineRule="atLeast"/>
        <w:ind w:left="992" w:hanging="992"/>
      </w:pPr>
      <w:bookmarkStart w:id="5" w:name="_Toc19097741"/>
      <w:bookmarkStart w:id="6" w:name="_Toc26366347"/>
      <w:r>
        <w:t>Background</w:t>
      </w:r>
      <w:bookmarkEnd w:id="5"/>
      <w:bookmarkEnd w:id="6"/>
    </w:p>
    <w:p w14:paraId="24EF8FA0" w14:textId="77777777" w:rsidR="006A4A32" w:rsidRDefault="00781A26" w:rsidP="00781A26">
      <w:pPr>
        <w:pStyle w:val="BodyCopy"/>
      </w:pPr>
      <w:r>
        <w:t xml:space="preserve">The PTP is a component (clause 6.1.4) of the Community Pharmacy Programmes of the 6CPA. Funding for </w:t>
      </w:r>
      <w:r w:rsidRPr="00B4131C">
        <w:t xml:space="preserve">Community Pharmacy Programmes was </w:t>
      </w:r>
      <w:r w:rsidR="00F23A23" w:rsidRPr="00B4131C">
        <w:t xml:space="preserve">approved by the Minister for Health, following consultation by the Department with a range of </w:t>
      </w:r>
      <w:r w:rsidR="003A1CB8" w:rsidRPr="00B4131C">
        <w:t xml:space="preserve">stakeholders </w:t>
      </w:r>
      <w:r w:rsidR="00F23A23" w:rsidRPr="00B4131C">
        <w:t>(including the Pharmacy Guild of Australia (the Guild)</w:t>
      </w:r>
      <w:r w:rsidR="00455B96" w:rsidRPr="00B4131C">
        <w:t>)</w:t>
      </w:r>
      <w:r w:rsidR="00F23A23" w:rsidRPr="00B4131C">
        <w:t>, and is expected to be</w:t>
      </w:r>
      <w:r w:rsidRPr="00B4131C">
        <w:t xml:space="preserve"> up to </w:t>
      </w:r>
      <w:r w:rsidRPr="00B4131C">
        <w:rPr>
          <w:rFonts w:ascii="Times New Roman" w:hAnsi="Times New Roman"/>
        </w:rPr>
        <w:t>$</w:t>
      </w:r>
      <w:r w:rsidRPr="00B4131C">
        <w:t>1.26 billion over the term of the 6CPA from 1 July 2015 to 30 June 2020 (Term)</w:t>
      </w:r>
      <w:r w:rsidR="00F64B00" w:rsidRPr="00B4131C">
        <w:t>. The</w:t>
      </w:r>
      <w:r w:rsidR="00B4131C" w:rsidRPr="00B4131C">
        <w:t xml:space="preserve"> </w:t>
      </w:r>
      <w:r w:rsidR="00F23A23" w:rsidRPr="00B4131C">
        <w:t xml:space="preserve">expected </w:t>
      </w:r>
      <w:r w:rsidR="00F64B00" w:rsidRPr="00B4131C">
        <w:t>allocation is</w:t>
      </w:r>
      <w:r w:rsidR="00B4131C" w:rsidRPr="00B4131C">
        <w:t xml:space="preserve"> as </w:t>
      </w:r>
      <w:r w:rsidRPr="00B4131C">
        <w:t>follows:</w:t>
      </w:r>
    </w:p>
    <w:p w14:paraId="140755F5" w14:textId="6B4DDBA1" w:rsidR="00781A26" w:rsidRPr="00B4131C" w:rsidRDefault="00F23A23" w:rsidP="002C22EF">
      <w:pPr>
        <w:pStyle w:val="ListBullet"/>
      </w:pPr>
      <w:r w:rsidRPr="00B4131C">
        <w:t xml:space="preserve">be at a level of $613 million over the Term as </w:t>
      </w:r>
      <w:r w:rsidR="00781A26" w:rsidRPr="00B4131C">
        <w:t xml:space="preserve">continued investment in </w:t>
      </w:r>
      <w:r w:rsidRPr="00B4131C">
        <w:t xml:space="preserve">a </w:t>
      </w:r>
      <w:r w:rsidR="00781A26" w:rsidRPr="00B4131C">
        <w:t>range of Community Pharmacy Programmes</w:t>
      </w:r>
      <w:r w:rsidRPr="00B4131C">
        <w:t>;</w:t>
      </w:r>
    </w:p>
    <w:p w14:paraId="77140283" w14:textId="77777777" w:rsidR="006A4A32" w:rsidRDefault="00F23A23" w:rsidP="002C22EF">
      <w:pPr>
        <w:pStyle w:val="ListBullet"/>
      </w:pPr>
      <w:r w:rsidRPr="00B4131C">
        <w:t xml:space="preserve">be at a level of </w:t>
      </w:r>
      <w:r w:rsidR="00781A26" w:rsidRPr="00B4131C">
        <w:rPr>
          <w:rFonts w:ascii="Times New Roman" w:hAnsi="Times New Roman"/>
        </w:rPr>
        <w:t>$</w:t>
      </w:r>
      <w:r w:rsidR="00781A26" w:rsidRPr="00B4131C">
        <w:t xml:space="preserve">50 million </w:t>
      </w:r>
      <w:r w:rsidRPr="00B4131C">
        <w:t xml:space="preserve">over the Term as funding </w:t>
      </w:r>
      <w:r w:rsidR="00781A26" w:rsidRPr="00B4131C">
        <w:t>for the PTP to trial new and expanded Community Pharmacy Programmes, which seek to improve clinical outcomes for consumers and/or extend the role of pharmacists in the delivery of primary health care services through community pharmacy</w:t>
      </w:r>
      <w:r w:rsidRPr="00B4131C">
        <w:t>; and</w:t>
      </w:r>
    </w:p>
    <w:p w14:paraId="62DE01FF" w14:textId="1565A267" w:rsidR="00781A26" w:rsidRPr="00AD61FA" w:rsidRDefault="00F23A23" w:rsidP="002C22EF">
      <w:pPr>
        <w:pStyle w:val="ListBullet"/>
      </w:pPr>
      <w:r w:rsidRPr="00B4131C">
        <w:t>include access to additional funding of</w:t>
      </w:r>
      <w:r w:rsidR="00781A26" w:rsidRPr="00B4131C">
        <w:t xml:space="preserve"> up to </w:t>
      </w:r>
      <w:r w:rsidR="00781A26" w:rsidRPr="00B4131C">
        <w:rPr>
          <w:rFonts w:ascii="Times New Roman" w:hAnsi="Times New Roman"/>
        </w:rPr>
        <w:t>$</w:t>
      </w:r>
      <w:r w:rsidR="00781A26" w:rsidRPr="00B4131C">
        <w:t>600 million over the Term</w:t>
      </w:r>
      <w:r w:rsidR="00781A26">
        <w:t xml:space="preserve"> to support new and expanded Community Pharmacy Programmes which are intended to be delivered through </w:t>
      </w:r>
      <w:r w:rsidR="00781A26" w:rsidRPr="00AD61FA">
        <w:t xml:space="preserve">community pharmacies </w:t>
      </w:r>
      <w:sdt>
        <w:sdtPr>
          <w:id w:val="-896508485"/>
          <w:citation/>
        </w:sdtPr>
        <w:sdtContent>
          <w:r w:rsidR="00781A26" w:rsidRPr="00AD61FA">
            <w:fldChar w:fldCharType="begin"/>
          </w:r>
          <w:r w:rsidR="00820D12">
            <w:rPr>
              <w:lang w:val="en-US"/>
            </w:rPr>
            <w:instrText xml:space="preserve">CITATION Dep17 \l 1033 </w:instrText>
          </w:r>
          <w:r w:rsidR="00781A26" w:rsidRPr="00AD61FA">
            <w:fldChar w:fldCharType="separate"/>
          </w:r>
          <w:r w:rsidR="008B7448" w:rsidRPr="008B7448">
            <w:rPr>
              <w:noProof/>
              <w:lang w:val="en-US"/>
            </w:rPr>
            <w:t>[1]</w:t>
          </w:r>
          <w:r w:rsidR="00781A26" w:rsidRPr="00AD61FA">
            <w:fldChar w:fldCharType="end"/>
          </w:r>
        </w:sdtContent>
      </w:sdt>
      <w:r w:rsidR="00781A26" w:rsidRPr="00AD61FA">
        <w:t>.</w:t>
      </w:r>
    </w:p>
    <w:p w14:paraId="48EB6B38" w14:textId="77777777" w:rsidR="006A4A32" w:rsidRDefault="00781A26" w:rsidP="00AE14F0">
      <w:pPr>
        <w:pStyle w:val="BodyCopy"/>
        <w:keepNext/>
        <w:spacing w:before="120"/>
      </w:pPr>
      <w:r w:rsidRPr="00AD61FA">
        <w:t xml:space="preserve">In July </w:t>
      </w:r>
      <w:r w:rsidRPr="00E42131">
        <w:t>2017 a compact to the</w:t>
      </w:r>
      <w:r w:rsidRPr="00AD61FA">
        <w:t xml:space="preserve"> 6CPA</w:t>
      </w:r>
      <w:r>
        <w:t xml:space="preserve"> was signed. The amended and restated 6CPA reallocated the </w:t>
      </w:r>
      <w:r>
        <w:rPr>
          <w:rFonts w:ascii="Times New Roman" w:hAnsi="Times New Roman"/>
        </w:rPr>
        <w:t>$</w:t>
      </w:r>
      <w:r>
        <w:t xml:space="preserve">600 million originally held in a contingency reserve </w:t>
      </w:r>
      <w:r w:rsidR="00CB7D12">
        <w:t xml:space="preserve">to support </w:t>
      </w:r>
      <w:r>
        <w:t xml:space="preserve">new and expanded Community Pharmacy Programs. As of 1 July 2017, the </w:t>
      </w:r>
      <w:r>
        <w:rPr>
          <w:rFonts w:ascii="Times New Roman" w:hAnsi="Times New Roman"/>
        </w:rPr>
        <w:t>$</w:t>
      </w:r>
      <w:r>
        <w:t>600 million was committed to support the following Community Pharmacy Program</w:t>
      </w:r>
      <w:r w:rsidR="00CB7D12">
        <w:t>me</w:t>
      </w:r>
      <w:r>
        <w:t>s:</w:t>
      </w:r>
    </w:p>
    <w:p w14:paraId="5A92CAE6" w14:textId="6B417326" w:rsidR="00781A26" w:rsidRDefault="00781A26" w:rsidP="002C22EF">
      <w:pPr>
        <w:pStyle w:val="ListBullet"/>
      </w:pPr>
      <w:r>
        <w:t>Dose Administration Aids (</w:t>
      </w:r>
      <w:r>
        <w:rPr>
          <w:rFonts w:ascii="Times New Roman" w:hAnsi="Times New Roman"/>
        </w:rPr>
        <w:t>$</w:t>
      </w:r>
      <w:r>
        <w:t>340 million)</w:t>
      </w:r>
      <w:r w:rsidR="00CB7D12">
        <w:t>;</w:t>
      </w:r>
    </w:p>
    <w:p w14:paraId="4C7ECDC5" w14:textId="049A0590" w:rsidR="00781A26" w:rsidRDefault="00781A26" w:rsidP="002C22EF">
      <w:pPr>
        <w:pStyle w:val="ListBullet"/>
      </w:pPr>
      <w:r>
        <w:t>Staged Supply (</w:t>
      </w:r>
      <w:r>
        <w:rPr>
          <w:rFonts w:ascii="Times New Roman" w:hAnsi="Times New Roman"/>
        </w:rPr>
        <w:t>$</w:t>
      </w:r>
      <w:r>
        <w:t>80 million)</w:t>
      </w:r>
      <w:r w:rsidR="00CB7D12">
        <w:t>;</w:t>
      </w:r>
    </w:p>
    <w:p w14:paraId="7EF1CD6E" w14:textId="77777777" w:rsidR="006A4A32" w:rsidRDefault="00781A26" w:rsidP="002C22EF">
      <w:pPr>
        <w:pStyle w:val="ListBullet"/>
      </w:pPr>
      <w:r>
        <w:t>Expansion of MedsCheck and Diabetes MedsCheck (</w:t>
      </w:r>
      <w:r>
        <w:rPr>
          <w:rFonts w:ascii="Times New Roman" w:hAnsi="Times New Roman"/>
        </w:rPr>
        <w:t>$</w:t>
      </w:r>
      <w:r>
        <w:t>90 million)</w:t>
      </w:r>
      <w:r w:rsidR="00CB7D12">
        <w:t>;</w:t>
      </w:r>
    </w:p>
    <w:p w14:paraId="77336BB6" w14:textId="77777777" w:rsidR="006A4A32" w:rsidRDefault="00781A26" w:rsidP="002C22EF">
      <w:pPr>
        <w:pStyle w:val="ListBullet"/>
      </w:pPr>
      <w:r>
        <w:t>Home Medicines Review (</w:t>
      </w:r>
      <w:r>
        <w:rPr>
          <w:rFonts w:ascii="Times New Roman" w:hAnsi="Times New Roman"/>
        </w:rPr>
        <w:t>$</w:t>
      </w:r>
      <w:r>
        <w:t>60 million</w:t>
      </w:r>
      <w:r w:rsidR="00B4131C">
        <w:t>)</w:t>
      </w:r>
      <w:r w:rsidR="00CB7D12">
        <w:t xml:space="preserve">; </w:t>
      </w:r>
      <w:r>
        <w:t>and</w:t>
      </w:r>
    </w:p>
    <w:p w14:paraId="71FAEBF2" w14:textId="1D62ED39" w:rsidR="00781A26" w:rsidRDefault="00781A26" w:rsidP="002C22EF">
      <w:pPr>
        <w:pStyle w:val="ListBullet"/>
      </w:pPr>
      <w:r>
        <w:t xml:space="preserve">Incorporating medication management programs within Health Care Homes </w:t>
      </w:r>
      <w:r>
        <w:rPr>
          <w:rFonts w:ascii="Times New Roman" w:hAnsi="Times New Roman"/>
        </w:rPr>
        <w:t>$</w:t>
      </w:r>
      <w:r>
        <w:t>30 million)</w:t>
      </w:r>
      <w:r w:rsidR="003A485C">
        <w:t>.</w:t>
      </w:r>
      <w:r>
        <w:t xml:space="preserve"> </w:t>
      </w:r>
      <w:sdt>
        <w:sdtPr>
          <w:id w:val="405110850"/>
          <w:citation/>
        </w:sdtPr>
        <w:sdtContent>
          <w:r>
            <w:fldChar w:fldCharType="begin"/>
          </w:r>
          <w:r w:rsidR="00820D12">
            <w:rPr>
              <w:lang w:val="en-US"/>
            </w:rPr>
            <w:instrText xml:space="preserve">CITATION Dep17 \l 1033 </w:instrText>
          </w:r>
          <w:r>
            <w:fldChar w:fldCharType="separate"/>
          </w:r>
          <w:r w:rsidR="008B7448" w:rsidRPr="008B7448">
            <w:rPr>
              <w:noProof/>
              <w:lang w:val="en-US"/>
            </w:rPr>
            <w:t>[1]</w:t>
          </w:r>
          <w:r>
            <w:fldChar w:fldCharType="end"/>
          </w:r>
        </w:sdtContent>
      </w:sdt>
    </w:p>
    <w:p w14:paraId="423A890B" w14:textId="77777777" w:rsidR="00781A26" w:rsidRDefault="00781A26" w:rsidP="00781A26">
      <w:pPr>
        <w:pStyle w:val="Heading2"/>
        <w:spacing w:before="369" w:after="170" w:line="384" w:lineRule="atLeast"/>
        <w:ind w:left="992" w:hanging="992"/>
      </w:pPr>
      <w:bookmarkStart w:id="7" w:name="_Toc19097742"/>
      <w:bookmarkStart w:id="8" w:name="_Toc26366348"/>
      <w:r>
        <w:t>Objectives of the implementation Review</w:t>
      </w:r>
      <w:bookmarkEnd w:id="7"/>
      <w:bookmarkEnd w:id="8"/>
    </w:p>
    <w:p w14:paraId="5AA834A6" w14:textId="77777777" w:rsidR="00781A26" w:rsidRPr="006336F4" w:rsidRDefault="00781A26" w:rsidP="00781A26">
      <w:pPr>
        <w:pStyle w:val="BodyCopy"/>
        <w:keepNext/>
        <w:keepLines/>
      </w:pPr>
      <w:r w:rsidRPr="006336F4">
        <w:t xml:space="preserve">The objectives of the implementation review </w:t>
      </w:r>
      <w:r>
        <w:t>were</w:t>
      </w:r>
      <w:r w:rsidRPr="006336F4">
        <w:t xml:space="preserve"> to:</w:t>
      </w:r>
    </w:p>
    <w:p w14:paraId="01F8B35A" w14:textId="7E37C17A" w:rsidR="00781A26" w:rsidRPr="006336F4" w:rsidRDefault="00781A26" w:rsidP="002C22EF">
      <w:pPr>
        <w:pStyle w:val="ListBullet"/>
      </w:pPr>
      <w:r w:rsidRPr="006336F4">
        <w:t>inform and assess the appropriateness of the PTP</w:t>
      </w:r>
      <w:r>
        <w:t>,</w:t>
      </w:r>
      <w:r w:rsidRPr="006336F4">
        <w:t xml:space="preserve"> including identifying the alignment between the program response (administrative activities and outputs) and the intended outcomes</w:t>
      </w:r>
      <w:r w:rsidR="006C4C15">
        <w:t>;</w:t>
      </w:r>
    </w:p>
    <w:p w14:paraId="16D8E82D" w14:textId="77777777" w:rsidR="006A4A32" w:rsidRDefault="00781A26" w:rsidP="002C22EF">
      <w:pPr>
        <w:pStyle w:val="ListBullet"/>
      </w:pPr>
      <w:r w:rsidRPr="006336F4">
        <w:t>identify early insights into implementation, including lessons learnt, potential design issues and opportunities for program improvement</w:t>
      </w:r>
      <w:r w:rsidR="006C4C15">
        <w:t>;</w:t>
      </w:r>
      <w:r w:rsidRPr="006336F4">
        <w:t xml:space="preserve"> and</w:t>
      </w:r>
    </w:p>
    <w:p w14:paraId="024D6629" w14:textId="77777777" w:rsidR="006A4A32" w:rsidRDefault="00781A26" w:rsidP="002C22EF">
      <w:pPr>
        <w:pStyle w:val="ListBullet"/>
      </w:pPr>
      <w:r w:rsidRPr="006336F4">
        <w:t>provide recommendations and/or options on possible enhancements or improvements to the design and implementation of the PTP.</w:t>
      </w:r>
    </w:p>
    <w:p w14:paraId="4AA93597" w14:textId="77777777" w:rsidR="006A4A32" w:rsidRDefault="00781A26" w:rsidP="00781A26">
      <w:pPr>
        <w:pStyle w:val="BodyCopy"/>
      </w:pPr>
      <w:r w:rsidRPr="00A61304">
        <w:t xml:space="preserve">The three key review questions </w:t>
      </w:r>
      <w:r>
        <w:t>were</w:t>
      </w:r>
      <w:r w:rsidRPr="00A61304">
        <w:t xml:space="preserve"> as follows</w:t>
      </w:r>
      <w:r>
        <w:t>:</w:t>
      </w:r>
    </w:p>
    <w:p w14:paraId="6A4EDBA0" w14:textId="6E54EA30" w:rsidR="00781A26" w:rsidRPr="00A61304" w:rsidRDefault="00781A26" w:rsidP="002C22EF">
      <w:pPr>
        <w:pStyle w:val="Numbers1"/>
        <w:numPr>
          <w:ilvl w:val="0"/>
          <w:numId w:val="39"/>
        </w:numPr>
      </w:pPr>
      <w:r w:rsidRPr="00A61304">
        <w:t>Is the program the appropriate response for the program’s objectives? (Appropriateness)</w:t>
      </w:r>
    </w:p>
    <w:p w14:paraId="6E4C7C36" w14:textId="77777777" w:rsidR="00781A26" w:rsidRPr="00A61304" w:rsidRDefault="00781A26" w:rsidP="002C22EF">
      <w:pPr>
        <w:pStyle w:val="Numbers1"/>
        <w:numPr>
          <w:ilvl w:val="0"/>
          <w:numId w:val="39"/>
        </w:numPr>
      </w:pPr>
      <w:r w:rsidRPr="00A61304">
        <w:t xml:space="preserve">How well is the PTP being delivered and </w:t>
      </w:r>
      <w:r>
        <w:t xml:space="preserve">is it </w:t>
      </w:r>
      <w:r w:rsidRPr="00A61304">
        <w:t>working as expected? (Effectiveness)</w:t>
      </w:r>
    </w:p>
    <w:p w14:paraId="074623D3" w14:textId="60E59648" w:rsidR="00781A26" w:rsidRPr="00A61304" w:rsidRDefault="00E57F4F" w:rsidP="002C22EF">
      <w:pPr>
        <w:pStyle w:val="Numbers1"/>
        <w:numPr>
          <w:ilvl w:val="0"/>
          <w:numId w:val="39"/>
        </w:numPr>
      </w:pPr>
      <w:r w:rsidRPr="00E57F4F">
        <w:lastRenderedPageBreak/>
        <w:t xml:space="preserve">What alternative models could be considered to improve clinical outcomes for consumers by extending the role of pharmacists in the delivery of cost effective primary health care services? </w:t>
      </w:r>
      <w:r w:rsidR="00781A26" w:rsidRPr="00A61304">
        <w:t>(Efficiency)</w:t>
      </w:r>
    </w:p>
    <w:p w14:paraId="28D9010A" w14:textId="77777777" w:rsidR="00781A26" w:rsidRDefault="00781A26" w:rsidP="00781A26">
      <w:pPr>
        <w:pStyle w:val="Heading2"/>
        <w:spacing w:before="369" w:after="170" w:line="384" w:lineRule="atLeast"/>
        <w:ind w:left="992" w:hanging="992"/>
      </w:pPr>
      <w:bookmarkStart w:id="9" w:name="_Toc19097743"/>
      <w:bookmarkStart w:id="10" w:name="_Toc26366349"/>
      <w:r>
        <w:t>Report structure</w:t>
      </w:r>
      <w:bookmarkEnd w:id="9"/>
      <w:bookmarkEnd w:id="10"/>
    </w:p>
    <w:p w14:paraId="51C36618" w14:textId="77777777" w:rsidR="006A4A32" w:rsidRDefault="00781A26" w:rsidP="00781A26">
      <w:pPr>
        <w:pStyle w:val="BodyCopy"/>
      </w:pPr>
      <w:r>
        <w:t>This report presents the findings of the Implementation Review of the PTP and is structured as follows:</w:t>
      </w:r>
    </w:p>
    <w:p w14:paraId="12E46898" w14:textId="5879BFE4" w:rsidR="00781A26" w:rsidRPr="00191C3A" w:rsidRDefault="00781A26" w:rsidP="002C22EF">
      <w:pPr>
        <w:pStyle w:val="ListBullet"/>
      </w:pPr>
      <w:r w:rsidRPr="00191C3A">
        <w:t>Part A: Context</w:t>
      </w:r>
    </w:p>
    <w:p w14:paraId="6F98816E" w14:textId="77777777" w:rsidR="006A4A32" w:rsidRDefault="00781A26" w:rsidP="002C22EF">
      <w:pPr>
        <w:pStyle w:val="ListBullet2"/>
      </w:pPr>
      <w:r>
        <w:t>Introduction (this chapter)</w:t>
      </w:r>
    </w:p>
    <w:p w14:paraId="4CF62DCA" w14:textId="50307F82" w:rsidR="00781A26" w:rsidRDefault="00781A26" w:rsidP="002C22EF">
      <w:pPr>
        <w:pStyle w:val="ListBullet2"/>
      </w:pPr>
      <w:r>
        <w:t>Situation Analysis (Chapter 2)</w:t>
      </w:r>
    </w:p>
    <w:p w14:paraId="1B476AAA" w14:textId="77777777" w:rsidR="00781A26" w:rsidRDefault="00781A26" w:rsidP="002C22EF">
      <w:pPr>
        <w:pStyle w:val="ListBullet2"/>
      </w:pPr>
      <w:r>
        <w:t>Review methodology (Chapter 3)</w:t>
      </w:r>
    </w:p>
    <w:p w14:paraId="474013A1" w14:textId="77777777" w:rsidR="006A4A32" w:rsidRDefault="00781A26" w:rsidP="002C22EF">
      <w:pPr>
        <w:pStyle w:val="ListBullet"/>
      </w:pPr>
      <w:r w:rsidRPr="00191C3A">
        <w:t>Part B: Review findings</w:t>
      </w:r>
    </w:p>
    <w:p w14:paraId="5C72286B" w14:textId="48AA45AF" w:rsidR="00781A26" w:rsidRDefault="00781A26" w:rsidP="002C22EF">
      <w:pPr>
        <w:pStyle w:val="ListBullet2"/>
      </w:pPr>
      <w:r>
        <w:t>Appropriateness (Chapter 4)</w:t>
      </w:r>
    </w:p>
    <w:p w14:paraId="22856804" w14:textId="77777777" w:rsidR="00781A26" w:rsidRDefault="00781A26" w:rsidP="002C22EF">
      <w:pPr>
        <w:pStyle w:val="ListBullet2"/>
      </w:pPr>
      <w:r>
        <w:t>Effectiveness (Chapter 5)</w:t>
      </w:r>
    </w:p>
    <w:p w14:paraId="72F41E71" w14:textId="77777777" w:rsidR="00781A26" w:rsidRDefault="00781A26" w:rsidP="002C22EF">
      <w:pPr>
        <w:pStyle w:val="ListBullet2"/>
      </w:pPr>
      <w:r>
        <w:t>Efficiency (Chapter 6)</w:t>
      </w:r>
    </w:p>
    <w:p w14:paraId="618CBE97" w14:textId="77777777" w:rsidR="006A4A32" w:rsidRDefault="00781A26" w:rsidP="002C22EF">
      <w:pPr>
        <w:pStyle w:val="ListBullet"/>
      </w:pPr>
      <w:r w:rsidRPr="00191C3A">
        <w:t>Part C: Future directions</w:t>
      </w:r>
    </w:p>
    <w:p w14:paraId="4AD668C1" w14:textId="003DE527" w:rsidR="00DC7DE8" w:rsidRDefault="00781A26" w:rsidP="006A4A32">
      <w:r>
        <w:t>Ap</w:t>
      </w:r>
      <w:r w:rsidRPr="00191C3A">
        <w:t>proach to emerging themes: possible directions</w:t>
      </w:r>
      <w:r>
        <w:t xml:space="preserve"> (Chapter 7).</w:t>
      </w:r>
    </w:p>
    <w:p w14:paraId="1E7D9EAA" w14:textId="77777777" w:rsidR="00DC7DE8" w:rsidRDefault="00781A26" w:rsidP="00DC7DE8">
      <w:pPr>
        <w:pStyle w:val="Heading1"/>
        <w:framePr w:wrap="around"/>
      </w:pPr>
      <w:bookmarkStart w:id="11" w:name="_Toc26366350"/>
      <w:r>
        <w:lastRenderedPageBreak/>
        <w:t>Situation analysis</w:t>
      </w:r>
      <w:bookmarkEnd w:id="11"/>
    </w:p>
    <w:p w14:paraId="543C9E79" w14:textId="77777777" w:rsidR="00FF3B67" w:rsidRDefault="00FF3B67" w:rsidP="00FF3B67">
      <w:pPr>
        <w:pStyle w:val="Heading2"/>
        <w:spacing w:before="0" w:after="170" w:line="384" w:lineRule="atLeast"/>
        <w:ind w:left="992" w:hanging="992"/>
      </w:pPr>
      <w:bookmarkStart w:id="12" w:name="_Toc19097745"/>
      <w:bookmarkStart w:id="13" w:name="_Toc26366351"/>
      <w:r>
        <w:t>Pharmacy Trial Program</w:t>
      </w:r>
      <w:bookmarkEnd w:id="12"/>
      <w:bookmarkEnd w:id="13"/>
    </w:p>
    <w:p w14:paraId="7FDC4AF7" w14:textId="77777777" w:rsidR="006A4A32" w:rsidRDefault="00FF3B67" w:rsidP="00FF3B67">
      <w:pPr>
        <w:pStyle w:val="BodyCopy"/>
      </w:pPr>
      <w:r>
        <w:t>The PTP aims to:</w:t>
      </w:r>
    </w:p>
    <w:p w14:paraId="2468DEF4" w14:textId="77777777" w:rsidR="006A4A32" w:rsidRDefault="00FF3B67" w:rsidP="002C22EF">
      <w:pPr>
        <w:pStyle w:val="Numbers1"/>
        <w:numPr>
          <w:ilvl w:val="0"/>
          <w:numId w:val="24"/>
        </w:numPr>
      </w:pPr>
      <w:r>
        <w:t>improve clinical outcomes for consumers</w:t>
      </w:r>
      <w:r w:rsidR="00662B8C">
        <w:t>;</w:t>
      </w:r>
      <w:r>
        <w:t xml:space="preserve"> and/or</w:t>
      </w:r>
    </w:p>
    <w:p w14:paraId="678DFA2F" w14:textId="4134DF57" w:rsidR="00FF3B67" w:rsidRDefault="00FF3B67" w:rsidP="002C22EF">
      <w:pPr>
        <w:pStyle w:val="Numbers1"/>
        <w:numPr>
          <w:ilvl w:val="0"/>
          <w:numId w:val="24"/>
        </w:numPr>
      </w:pPr>
      <w:r>
        <w:t xml:space="preserve">extend the role of pharmacists in the delivery of primary health care services through community pharmacy </w:t>
      </w:r>
      <w:sdt>
        <w:sdtPr>
          <w:id w:val="623427878"/>
          <w:citation/>
        </w:sdtPr>
        <w:sdtContent>
          <w:r w:rsidRPr="00AD61FA">
            <w:fldChar w:fldCharType="begin"/>
          </w:r>
          <w:r w:rsidR="00820D12">
            <w:rPr>
              <w:lang w:val="en-US"/>
            </w:rPr>
            <w:instrText xml:space="preserve">CITATION Dep17 \l 1033 </w:instrText>
          </w:r>
          <w:r w:rsidRPr="00AD61FA">
            <w:fldChar w:fldCharType="separate"/>
          </w:r>
          <w:r w:rsidR="008B7448" w:rsidRPr="008B7448">
            <w:rPr>
              <w:noProof/>
              <w:lang w:val="en-US"/>
            </w:rPr>
            <w:t>[1]</w:t>
          </w:r>
          <w:r w:rsidRPr="00AD61FA">
            <w:fldChar w:fldCharType="end"/>
          </w:r>
        </w:sdtContent>
      </w:sdt>
      <w:r w:rsidRPr="00AD61FA">
        <w:t>.</w:t>
      </w:r>
    </w:p>
    <w:p w14:paraId="4CC3D808" w14:textId="77777777" w:rsidR="00FF3B67" w:rsidRDefault="00FF3B67" w:rsidP="00AE14F0">
      <w:pPr>
        <w:pStyle w:val="BodyCopy"/>
        <w:spacing w:before="120"/>
      </w:pPr>
      <w:r>
        <w:t>The alternative models of care explored through the trials under the PTP are intended to:</w:t>
      </w:r>
    </w:p>
    <w:p w14:paraId="10438785" w14:textId="7D4AE8B9" w:rsidR="00FF3B67" w:rsidRPr="0038751A" w:rsidRDefault="00FF3B67" w:rsidP="002C22EF">
      <w:pPr>
        <w:pStyle w:val="ListBullet"/>
      </w:pPr>
      <w:r>
        <w:t xml:space="preserve">use an integrated care approach to improve </w:t>
      </w:r>
      <w:r w:rsidRPr="0038751A">
        <w:t>health outcomes for consumers or patients</w:t>
      </w:r>
      <w:r w:rsidR="00662B8C" w:rsidRPr="0038751A">
        <w:t>;</w:t>
      </w:r>
    </w:p>
    <w:p w14:paraId="2F1C2EDF" w14:textId="77777777" w:rsidR="006A4A32" w:rsidRDefault="00FF3B67" w:rsidP="002C22EF">
      <w:pPr>
        <w:pStyle w:val="ListBullet"/>
      </w:pPr>
      <w:r w:rsidRPr="0038751A">
        <w:t>support innovation in pharmacy</w:t>
      </w:r>
      <w:r w:rsidR="00662B8C" w:rsidRPr="0038751A">
        <w:t>;</w:t>
      </w:r>
    </w:p>
    <w:p w14:paraId="298717CB" w14:textId="7E69778C" w:rsidR="00FF3B67" w:rsidRPr="0038751A" w:rsidRDefault="00FF3B67" w:rsidP="003A1CB8">
      <w:pPr>
        <w:pStyle w:val="ListBullet"/>
      </w:pPr>
      <w:bookmarkStart w:id="14" w:name="_Hlk4512516"/>
      <w:r w:rsidRPr="0038751A">
        <w:t xml:space="preserve">develop activities or programs that could </w:t>
      </w:r>
      <w:r w:rsidR="005C576E" w:rsidRPr="0038751A">
        <w:t xml:space="preserve">potentially </w:t>
      </w:r>
      <w:r w:rsidRPr="0038751A">
        <w:t>be rolled out nationally</w:t>
      </w:r>
      <w:bookmarkEnd w:id="14"/>
      <w:r w:rsidR="005C576E" w:rsidRPr="0038751A">
        <w:t>,</w:t>
      </w:r>
      <w:r w:rsidR="00662B8C" w:rsidRPr="0038751A">
        <w:t xml:space="preserve"> </w:t>
      </w:r>
      <w:r w:rsidR="003A1CB8" w:rsidRPr="0038751A">
        <w:t xml:space="preserve">and if so, in what circumstances, </w:t>
      </w:r>
      <w:r w:rsidR="00662B8C" w:rsidRPr="0038751A">
        <w:t>subject to an assessment of their comparative safety, clinical effectiveness and cost-effectiveness using best available evidence</w:t>
      </w:r>
      <w:r w:rsidR="003A1CB8" w:rsidRPr="0038751A">
        <w:t>. The trialled service would also need to satisfy funding priorities as determined by the Minister</w:t>
      </w:r>
      <w:r w:rsidR="00662B8C" w:rsidRPr="0038751A">
        <w:t>;</w:t>
      </w:r>
    </w:p>
    <w:p w14:paraId="7AF51BB7" w14:textId="77777777" w:rsidR="006A4A32" w:rsidRDefault="00FF3B67" w:rsidP="002C22EF">
      <w:pPr>
        <w:pStyle w:val="ListBullet"/>
      </w:pPr>
      <w:r w:rsidRPr="0038751A">
        <w:t>undergo continued improvement through an iterative process with opportunities for consultation</w:t>
      </w:r>
      <w:r w:rsidR="00662B8C" w:rsidRPr="0038751A">
        <w:t>;</w:t>
      </w:r>
      <w:r w:rsidRPr="0038751A">
        <w:t xml:space="preserve"> and</w:t>
      </w:r>
    </w:p>
    <w:p w14:paraId="3E1C206F" w14:textId="77777777" w:rsidR="006A4A32" w:rsidRDefault="00FF3B67" w:rsidP="002C22EF">
      <w:pPr>
        <w:pStyle w:val="ListBullet"/>
      </w:pPr>
      <w:r w:rsidRPr="0038751A">
        <w:t xml:space="preserve">provide opportunities for the expansion or improvement of existing 6CPA programs and services. </w:t>
      </w:r>
      <w:sdt>
        <w:sdtPr>
          <w:id w:val="1832486536"/>
          <w:citation/>
        </w:sdtPr>
        <w:sdtContent>
          <w:r w:rsidRPr="0038751A">
            <w:fldChar w:fldCharType="begin"/>
          </w:r>
          <w:r w:rsidR="00820D12">
            <w:instrText xml:space="preserve">CITATION Com151 \l 3081 </w:instrText>
          </w:r>
          <w:r w:rsidRPr="0038751A">
            <w:fldChar w:fldCharType="separate"/>
          </w:r>
          <w:r w:rsidR="008B7448" w:rsidRPr="008B7448">
            <w:rPr>
              <w:noProof/>
            </w:rPr>
            <w:t>[2]</w:t>
          </w:r>
          <w:r w:rsidRPr="0038751A">
            <w:fldChar w:fldCharType="end"/>
          </w:r>
        </w:sdtContent>
      </w:sdt>
      <w:r w:rsidRPr="0038751A">
        <w:t>.</w:t>
      </w:r>
    </w:p>
    <w:p w14:paraId="30F3C95E" w14:textId="4AD3E59A" w:rsidR="00FF3B67" w:rsidRPr="0038751A" w:rsidRDefault="00FF3B67" w:rsidP="00FF3B67">
      <w:pPr>
        <w:pStyle w:val="Heading4"/>
      </w:pPr>
      <w:r w:rsidRPr="0038751A">
        <w:t>Priority areas of the Pharmacy Trial Program</w:t>
      </w:r>
    </w:p>
    <w:p w14:paraId="1380F49E" w14:textId="099C267D" w:rsidR="00FF3B67" w:rsidRPr="0038751A" w:rsidRDefault="00FF3B67" w:rsidP="00FF3B67">
      <w:pPr>
        <w:pStyle w:val="BodyCopy"/>
      </w:pPr>
      <w:r w:rsidRPr="0038751A">
        <w:t>The PTP has been conducted under three tranches. Priority research areas for the PTP were based on stakeholder consultation including:</w:t>
      </w:r>
    </w:p>
    <w:p w14:paraId="5535003A" w14:textId="4383EBE9" w:rsidR="00FF3B67" w:rsidRPr="0038751A" w:rsidRDefault="00FF3B67" w:rsidP="002C22EF">
      <w:pPr>
        <w:pStyle w:val="ListBullet"/>
      </w:pPr>
      <w:r w:rsidRPr="0038751A">
        <w:t>a stakeholder meeting on 26 October 2015 with a large range of peak bodies and representative organisations</w:t>
      </w:r>
      <w:r w:rsidR="005C576E" w:rsidRPr="0038751A">
        <w:t>;</w:t>
      </w:r>
    </w:p>
    <w:p w14:paraId="3BA73749" w14:textId="77777777" w:rsidR="006A4A32" w:rsidRDefault="00FF3B67" w:rsidP="002C22EF">
      <w:pPr>
        <w:pStyle w:val="ListBullet"/>
      </w:pPr>
      <w:r w:rsidRPr="0038751A">
        <w:t>bilateral meetings with over 20 key stakeholder groups in 2016</w:t>
      </w:r>
      <w:r w:rsidR="005C576E" w:rsidRPr="0038751A">
        <w:t>;</w:t>
      </w:r>
      <w:r w:rsidRPr="0038751A">
        <w:t xml:space="preserve"> and</w:t>
      </w:r>
    </w:p>
    <w:p w14:paraId="2F211B87" w14:textId="581513D8" w:rsidR="00FF3B67" w:rsidRPr="0038751A" w:rsidRDefault="00FF3B67" w:rsidP="002C22EF">
      <w:pPr>
        <w:pStyle w:val="ListBullet"/>
      </w:pPr>
      <w:r w:rsidRPr="0038751A">
        <w:t xml:space="preserve">108 submissions to a call for ideas from the release of a discussion paper, ‘Supporting pharmacist delivery of primary health care services through the Pharmacy Trial Programme’ between 17 March and 29 April 2016 </w:t>
      </w:r>
      <w:sdt>
        <w:sdtPr>
          <w:id w:val="740143973"/>
          <w:citation/>
        </w:sdtPr>
        <w:sdtContent>
          <w:r w:rsidRPr="0038751A">
            <w:fldChar w:fldCharType="begin"/>
          </w:r>
          <w:r w:rsidR="00820D12">
            <w:rPr>
              <w:lang w:val="en-US"/>
            </w:rPr>
            <w:instrText xml:space="preserve">CITATION Dep187 \l 1033 </w:instrText>
          </w:r>
          <w:r w:rsidRPr="0038751A">
            <w:fldChar w:fldCharType="separate"/>
          </w:r>
          <w:r w:rsidR="008B7448" w:rsidRPr="008B7448">
            <w:rPr>
              <w:noProof/>
              <w:lang w:val="en-US"/>
            </w:rPr>
            <w:t>[3]</w:t>
          </w:r>
          <w:r w:rsidRPr="0038751A">
            <w:fldChar w:fldCharType="end"/>
          </w:r>
        </w:sdtContent>
      </w:sdt>
      <w:r w:rsidRPr="0038751A">
        <w:t>.</w:t>
      </w:r>
    </w:p>
    <w:p w14:paraId="53CADD46" w14:textId="77777777" w:rsidR="006A4A32" w:rsidRDefault="00FF3B67" w:rsidP="00FD2054">
      <w:pPr>
        <w:pStyle w:val="BodyCopy"/>
        <w:keepNext/>
        <w:spacing w:before="120"/>
      </w:pPr>
      <w:r w:rsidRPr="0038751A">
        <w:t>The PTP priorities areas selected for each tranche were:</w:t>
      </w:r>
    </w:p>
    <w:p w14:paraId="76A22090" w14:textId="3267D108" w:rsidR="00FF3B67" w:rsidRPr="0038751A" w:rsidRDefault="00FF3B67" w:rsidP="002C22EF">
      <w:pPr>
        <w:pStyle w:val="ListBullet"/>
      </w:pPr>
      <w:r w:rsidRPr="0038751A">
        <w:t>Tranche 1 topics:</w:t>
      </w:r>
    </w:p>
    <w:p w14:paraId="5A907863" w14:textId="77777777" w:rsidR="006A4A32" w:rsidRDefault="00FF3B67" w:rsidP="002C22EF">
      <w:pPr>
        <w:pStyle w:val="ListBullet2"/>
      </w:pPr>
      <w:r w:rsidRPr="0038751A">
        <w:t>pharmacy-based screening and referral for diabetes</w:t>
      </w:r>
      <w:r w:rsidR="005C576E" w:rsidRPr="0038751A">
        <w:t>;</w:t>
      </w:r>
    </w:p>
    <w:p w14:paraId="5C265C69" w14:textId="77777777" w:rsidR="006A4A32" w:rsidRDefault="00FF3B67" w:rsidP="002C22EF">
      <w:pPr>
        <w:pStyle w:val="ListBullet2"/>
      </w:pPr>
      <w:r w:rsidRPr="0038751A">
        <w:t>improved medication management for Aboriginal and Torres Strait Islander people through pharmacist advice and culturally appropriate services</w:t>
      </w:r>
      <w:r w:rsidR="005C576E" w:rsidRPr="0038751A">
        <w:t>;</w:t>
      </w:r>
      <w:r w:rsidRPr="0038751A">
        <w:t xml:space="preserve"> and</w:t>
      </w:r>
    </w:p>
    <w:p w14:paraId="5CA289C9" w14:textId="73674747" w:rsidR="00FF3B67" w:rsidRPr="0038751A" w:rsidRDefault="00FF3B67" w:rsidP="002C22EF">
      <w:pPr>
        <w:pStyle w:val="ListBullet2"/>
      </w:pPr>
      <w:r w:rsidRPr="0038751A">
        <w:t>improved continuity in the management of patients’ medications when they are discharged from hospital.</w:t>
      </w:r>
    </w:p>
    <w:p w14:paraId="07014114" w14:textId="77777777" w:rsidR="006A4A32" w:rsidRDefault="00FF3B67" w:rsidP="002C22EF">
      <w:pPr>
        <w:pStyle w:val="ListBullet"/>
      </w:pPr>
      <w:r w:rsidRPr="0038751A">
        <w:t>Tranche 2 priorities:</w:t>
      </w:r>
    </w:p>
    <w:p w14:paraId="50AC40EF" w14:textId="46B41E75" w:rsidR="00FF3B67" w:rsidRPr="0038751A" w:rsidRDefault="00FF3B67" w:rsidP="002C22EF">
      <w:pPr>
        <w:pStyle w:val="ListBullet2"/>
      </w:pPr>
      <w:r w:rsidRPr="0038751A">
        <w:t>community pharmacist outreach to residential aged care facilities (RACFs)</w:t>
      </w:r>
      <w:r w:rsidR="005C576E" w:rsidRPr="0038751A">
        <w:t>;</w:t>
      </w:r>
    </w:p>
    <w:p w14:paraId="31393293" w14:textId="77777777" w:rsidR="006A4A32" w:rsidRDefault="00FF3B67" w:rsidP="002C22EF">
      <w:pPr>
        <w:pStyle w:val="ListBullet2"/>
      </w:pPr>
      <w:r w:rsidRPr="0038751A">
        <w:t>medicines management and medicines reconciliation services</w:t>
      </w:r>
      <w:r w:rsidR="005C576E" w:rsidRPr="0038751A">
        <w:t>;</w:t>
      </w:r>
    </w:p>
    <w:p w14:paraId="508A2BC0" w14:textId="77777777" w:rsidR="006A4A32" w:rsidRDefault="00FF3B67" w:rsidP="002C22EF">
      <w:pPr>
        <w:pStyle w:val="ListBullet2"/>
      </w:pPr>
      <w:r w:rsidRPr="0038751A">
        <w:t>disease management for appropriate conditions</w:t>
      </w:r>
      <w:r w:rsidR="005C576E" w:rsidRPr="0038751A">
        <w:t>;</w:t>
      </w:r>
      <w:r w:rsidRPr="0038751A">
        <w:t xml:space="preserve"> and</w:t>
      </w:r>
    </w:p>
    <w:p w14:paraId="7061E100" w14:textId="7A5601A6" w:rsidR="00FF3B67" w:rsidRPr="0038751A" w:rsidRDefault="00FF3B67" w:rsidP="002C22EF">
      <w:pPr>
        <w:pStyle w:val="ListBullet2"/>
      </w:pPr>
      <w:r w:rsidRPr="0038751A">
        <w:t>screening and referral by pharmacists for cardiovascular risk.</w:t>
      </w:r>
    </w:p>
    <w:p w14:paraId="7601A5D2" w14:textId="77777777" w:rsidR="00FF3B67" w:rsidRPr="0038751A" w:rsidRDefault="00FF3B67" w:rsidP="002C22EF">
      <w:pPr>
        <w:pStyle w:val="ListBullet"/>
      </w:pPr>
      <w:r w:rsidRPr="0038751A">
        <w:rPr>
          <w:b/>
        </w:rPr>
        <w:t xml:space="preserve">Tranche 3 </w:t>
      </w:r>
      <w:r w:rsidRPr="0038751A">
        <w:t>trials are further targeted grant opportunities.</w:t>
      </w:r>
    </w:p>
    <w:p w14:paraId="789B8998" w14:textId="77777777" w:rsidR="006A4A32" w:rsidRDefault="00FF3B67" w:rsidP="00AE14F0">
      <w:pPr>
        <w:pStyle w:val="BodyCopy"/>
        <w:spacing w:before="120"/>
      </w:pPr>
      <w:r w:rsidRPr="0038751A">
        <w:t>In addition, it was intended that the Community Pharmacy Programmes, including the PTP, would have a focus on benefits for:</w:t>
      </w:r>
    </w:p>
    <w:p w14:paraId="04E111DD" w14:textId="77777777" w:rsidR="006A4A32" w:rsidRDefault="00FF3B67" w:rsidP="002C22EF">
      <w:pPr>
        <w:pStyle w:val="ListBullet"/>
      </w:pPr>
      <w:r w:rsidRPr="0038751A">
        <w:t>Aboriginal and Torres Strait Islander people</w:t>
      </w:r>
      <w:r w:rsidR="005C576E" w:rsidRPr="0038751A">
        <w:t>;</w:t>
      </w:r>
      <w:r w:rsidRPr="0038751A">
        <w:t xml:space="preserve"> and</w:t>
      </w:r>
    </w:p>
    <w:p w14:paraId="4B2A181D" w14:textId="01FA92DE" w:rsidR="00FF3B67" w:rsidRPr="0038751A" w:rsidRDefault="00FF3B67" w:rsidP="002C22EF">
      <w:pPr>
        <w:pStyle w:val="ListBullet"/>
      </w:pPr>
      <w:r w:rsidRPr="0038751A">
        <w:t xml:space="preserve">Consumers in rural and remote areas </w:t>
      </w:r>
      <w:sdt>
        <w:sdtPr>
          <w:id w:val="-1884935267"/>
          <w:citation/>
        </w:sdtPr>
        <w:sdtContent>
          <w:r w:rsidRPr="0038751A">
            <w:fldChar w:fldCharType="begin"/>
          </w:r>
          <w:r w:rsidR="00820D12">
            <w:rPr>
              <w:lang w:val="en-US"/>
            </w:rPr>
            <w:instrText xml:space="preserve">CITATION Dep17 \l 1033 </w:instrText>
          </w:r>
          <w:r w:rsidRPr="0038751A">
            <w:fldChar w:fldCharType="separate"/>
          </w:r>
          <w:r w:rsidR="008B7448" w:rsidRPr="008B7448">
            <w:rPr>
              <w:noProof/>
              <w:lang w:val="en-US"/>
            </w:rPr>
            <w:t>[1]</w:t>
          </w:r>
          <w:r w:rsidRPr="0038751A">
            <w:fldChar w:fldCharType="end"/>
          </w:r>
        </w:sdtContent>
      </w:sdt>
      <w:r w:rsidRPr="0038751A">
        <w:t>.</w:t>
      </w:r>
    </w:p>
    <w:p w14:paraId="7E8DEAE7" w14:textId="31C97C39" w:rsidR="00DC7DE8" w:rsidRDefault="00FF3B67" w:rsidP="0038751A">
      <w:pPr>
        <w:pStyle w:val="BodyCopy"/>
        <w:spacing w:before="120"/>
      </w:pPr>
      <w:r w:rsidRPr="0038751A">
        <w:t>A summary of the PTP trials that are the subject of this Review is provided in</w:t>
      </w:r>
      <w:r w:rsidRPr="0038751A">
        <w:br/>
      </w:r>
      <w:r w:rsidRPr="0038751A">
        <w:fldChar w:fldCharType="begin"/>
      </w:r>
      <w:r w:rsidRPr="0038751A">
        <w:instrText xml:space="preserve"> REF _Ref9952161 \h </w:instrText>
      </w:r>
      <w:r w:rsidR="0038751A">
        <w:instrText xml:space="preserve"> \* MERGEFORMAT </w:instrText>
      </w:r>
      <w:r w:rsidRPr="0038751A">
        <w:fldChar w:fldCharType="separate"/>
      </w:r>
      <w:r w:rsidR="006B6B4C">
        <w:t xml:space="preserve">Table </w:t>
      </w:r>
      <w:r w:rsidR="006B6B4C">
        <w:rPr>
          <w:noProof/>
        </w:rPr>
        <w:t>2.1</w:t>
      </w:r>
      <w:r w:rsidRPr="0038751A">
        <w:fldChar w:fldCharType="end"/>
      </w:r>
      <w:r w:rsidRPr="0038751A">
        <w:t>. A further trial under Tranche 3 was announced in March 2019. The Bridging the Gap between Physical and Mental Illness in Community Pharmacy Trial (PharMIbridge</w:t>
      </w:r>
      <w:r w:rsidR="00051612" w:rsidRPr="0038751A">
        <w:t xml:space="preserve"> Trial</w:t>
      </w:r>
      <w:r w:rsidRPr="0038751A">
        <w:t xml:space="preserve">) will </w:t>
      </w:r>
      <w:r w:rsidR="00CB7D12" w:rsidRPr="0038751A">
        <w:t>commence</w:t>
      </w:r>
      <w:r w:rsidRPr="0038751A">
        <w:t xml:space="preserve"> in the 2019–20</w:t>
      </w:r>
      <w:r>
        <w:t xml:space="preserve"> financial year.</w:t>
      </w:r>
    </w:p>
    <w:p w14:paraId="2579AC69" w14:textId="77777777" w:rsidR="008C0AA9" w:rsidRDefault="008C0AA9" w:rsidP="00DC7DE8">
      <w:pPr>
        <w:spacing w:after="160" w:line="259" w:lineRule="auto"/>
      </w:pPr>
    </w:p>
    <w:p w14:paraId="47D801CD" w14:textId="77777777" w:rsidR="000230CC" w:rsidRDefault="000230CC" w:rsidP="008C0AA9">
      <w:pPr>
        <w:sectPr w:rsidR="000230CC" w:rsidSect="00DD4580">
          <w:headerReference w:type="default" r:id="rId14"/>
          <w:pgSz w:w="16838" w:h="11906" w:orient="landscape" w:code="9"/>
          <w:pgMar w:top="737" w:right="1304" w:bottom="1134" w:left="737" w:header="567" w:footer="284" w:gutter="0"/>
          <w:pgNumType w:start="1"/>
          <w:cols w:num="2" w:space="708"/>
          <w:docGrid w:linePitch="360"/>
        </w:sectPr>
      </w:pPr>
    </w:p>
    <w:p w14:paraId="44C9DE27" w14:textId="2A86B82F" w:rsidR="000230CC" w:rsidRDefault="000230CC" w:rsidP="000230CC">
      <w:pPr>
        <w:pStyle w:val="Caption"/>
      </w:pPr>
      <w:bookmarkStart w:id="15" w:name="_Ref9952161"/>
      <w:r>
        <w:lastRenderedPageBreak/>
        <w:t xml:space="preserve">Table </w:t>
      </w:r>
      <w:r>
        <w:rPr>
          <w:noProof/>
        </w:rPr>
        <w:fldChar w:fldCharType="begin"/>
      </w:r>
      <w:r>
        <w:rPr>
          <w:noProof/>
        </w:rPr>
        <w:instrText xml:space="preserve"> STYLEREF 1 \s </w:instrText>
      </w:r>
      <w:r>
        <w:rPr>
          <w:noProof/>
        </w:rPr>
        <w:fldChar w:fldCharType="separate"/>
      </w:r>
      <w:r w:rsidR="008B7448">
        <w:rPr>
          <w:noProof/>
        </w:rPr>
        <w:t>2</w:t>
      </w:r>
      <w:r>
        <w:rPr>
          <w:noProof/>
        </w:rPr>
        <w:fldChar w:fldCharType="end"/>
      </w:r>
      <w:r>
        <w:t>.</w:t>
      </w:r>
      <w:r>
        <w:rPr>
          <w:noProof/>
        </w:rPr>
        <w:fldChar w:fldCharType="begin"/>
      </w:r>
      <w:r>
        <w:rPr>
          <w:noProof/>
        </w:rPr>
        <w:instrText xml:space="preserve"> SEQ Table \* ARABIC \s 1 </w:instrText>
      </w:r>
      <w:r>
        <w:rPr>
          <w:noProof/>
        </w:rPr>
        <w:fldChar w:fldCharType="separate"/>
      </w:r>
      <w:r w:rsidR="008B7448">
        <w:rPr>
          <w:noProof/>
        </w:rPr>
        <w:t>1</w:t>
      </w:r>
      <w:r>
        <w:rPr>
          <w:noProof/>
        </w:rPr>
        <w:fldChar w:fldCharType="end"/>
      </w:r>
      <w:bookmarkEnd w:id="15"/>
      <w:r>
        <w:t xml:space="preserve"> </w:t>
      </w:r>
      <w:r w:rsidRPr="00B3226F">
        <w:rPr>
          <w:rStyle w:val="Captionnotbold"/>
        </w:rPr>
        <w:t>Summary of PTP trials</w:t>
      </w:r>
    </w:p>
    <w:tbl>
      <w:tblPr>
        <w:tblStyle w:val="HMATableB"/>
        <w:tblW w:w="5000" w:type="pct"/>
        <w:tblLook w:val="04A0" w:firstRow="1" w:lastRow="0" w:firstColumn="1" w:lastColumn="0" w:noHBand="0" w:noVBand="1"/>
        <w:tblCaption w:val="Table 2.1: Summary of PTP Trials"/>
        <w:tblDescription w:val="Table 2.1 Summary of PTP Trials"/>
      </w:tblPr>
      <w:tblGrid>
        <w:gridCol w:w="1427"/>
        <w:gridCol w:w="2524"/>
        <w:gridCol w:w="3770"/>
        <w:gridCol w:w="2489"/>
        <w:gridCol w:w="2489"/>
        <w:gridCol w:w="2098"/>
      </w:tblGrid>
      <w:tr w:rsidR="000230CC" w14:paraId="7EE1A35B" w14:textId="77777777" w:rsidTr="000619E2">
        <w:trPr>
          <w:cnfStyle w:val="100000000000" w:firstRow="1" w:lastRow="0" w:firstColumn="0" w:lastColumn="0" w:oddVBand="0" w:evenVBand="0" w:oddHBand="0" w:evenHBand="0" w:firstRowFirstColumn="0" w:firstRowLastColumn="0" w:lastRowFirstColumn="0" w:lastRowLastColumn="0"/>
          <w:trHeight w:val="516"/>
          <w:tblHeader/>
        </w:trPr>
        <w:tc>
          <w:tcPr>
            <w:cnfStyle w:val="001000000000" w:firstRow="0" w:lastRow="0" w:firstColumn="1" w:lastColumn="0" w:oddVBand="0" w:evenVBand="0" w:oddHBand="0" w:evenHBand="0" w:firstRowFirstColumn="0" w:firstRowLastColumn="0" w:lastRowFirstColumn="0" w:lastRowLastColumn="0"/>
            <w:tcW w:w="482" w:type="pct"/>
            <w:shd w:val="clear" w:color="auto" w:fill="E4E4E4" w:themeFill="accent3" w:themeFillTint="33"/>
          </w:tcPr>
          <w:p w14:paraId="0F5C5F5A" w14:textId="77777777" w:rsidR="000230CC" w:rsidRPr="006F48FD" w:rsidRDefault="000230CC" w:rsidP="000230CC">
            <w:pPr>
              <w:pStyle w:val="TableColumnHeading"/>
            </w:pPr>
            <w:r w:rsidRPr="006F48FD">
              <w:t>Tranche</w:t>
            </w:r>
          </w:p>
        </w:tc>
        <w:tc>
          <w:tcPr>
            <w:tcW w:w="853" w:type="pct"/>
            <w:shd w:val="clear" w:color="auto" w:fill="E4E4E4" w:themeFill="accent3" w:themeFillTint="33"/>
          </w:tcPr>
          <w:p w14:paraId="65C2C9B9" w14:textId="77777777" w:rsidR="000230CC" w:rsidRPr="006F48FD" w:rsidRDefault="000230CC" w:rsidP="000230CC">
            <w:pPr>
              <w:pStyle w:val="TableColumnHeading"/>
              <w:cnfStyle w:val="100000000000" w:firstRow="1" w:lastRow="0" w:firstColumn="0" w:lastColumn="0" w:oddVBand="0" w:evenVBand="0" w:oddHBand="0" w:evenHBand="0" w:firstRowFirstColumn="0" w:firstRowLastColumn="0" w:lastRowFirstColumn="0" w:lastRowLastColumn="0"/>
            </w:pPr>
            <w:r w:rsidRPr="006F48FD">
              <w:t>Recipient</w:t>
            </w:r>
          </w:p>
        </w:tc>
        <w:tc>
          <w:tcPr>
            <w:tcW w:w="1274" w:type="pct"/>
            <w:shd w:val="clear" w:color="auto" w:fill="E4E4E4" w:themeFill="accent3" w:themeFillTint="33"/>
          </w:tcPr>
          <w:p w14:paraId="7CC1A9BA" w14:textId="77777777" w:rsidR="000230CC" w:rsidRPr="006F48FD" w:rsidRDefault="000230CC" w:rsidP="000230CC">
            <w:pPr>
              <w:pStyle w:val="TableColumnHeading"/>
              <w:cnfStyle w:val="100000000000" w:firstRow="1" w:lastRow="0" w:firstColumn="0" w:lastColumn="0" w:oddVBand="0" w:evenVBand="0" w:oddHBand="0" w:evenHBand="0" w:firstRowFirstColumn="0" w:firstRowLastColumn="0" w:lastRowFirstColumn="0" w:lastRowLastColumn="0"/>
            </w:pPr>
            <w:r w:rsidRPr="006F48FD">
              <w:t>Trial Name</w:t>
            </w:r>
          </w:p>
        </w:tc>
        <w:tc>
          <w:tcPr>
            <w:tcW w:w="841" w:type="pct"/>
            <w:shd w:val="clear" w:color="auto" w:fill="E4E4E4" w:themeFill="accent3" w:themeFillTint="33"/>
          </w:tcPr>
          <w:p w14:paraId="2C993783" w14:textId="77777777" w:rsidR="000230CC" w:rsidRPr="006F48FD" w:rsidRDefault="000230CC" w:rsidP="000230CC">
            <w:pPr>
              <w:pStyle w:val="TableColumnHeading"/>
              <w:cnfStyle w:val="100000000000" w:firstRow="1" w:lastRow="0" w:firstColumn="0" w:lastColumn="0" w:oddVBand="0" w:evenVBand="0" w:oddHBand="0" w:evenHBand="0" w:firstRowFirstColumn="0" w:firstRowLastColumn="0" w:lastRowFirstColumn="0" w:lastRowLastColumn="0"/>
            </w:pPr>
            <w:r>
              <w:t xml:space="preserve">Trial location sites </w:t>
            </w:r>
          </w:p>
        </w:tc>
        <w:tc>
          <w:tcPr>
            <w:tcW w:w="841" w:type="pct"/>
            <w:shd w:val="clear" w:color="auto" w:fill="E4E4E4" w:themeFill="accent3" w:themeFillTint="33"/>
          </w:tcPr>
          <w:p w14:paraId="0CF368A5" w14:textId="77777777" w:rsidR="000230CC" w:rsidRPr="006F48FD" w:rsidRDefault="000230CC" w:rsidP="000230CC">
            <w:pPr>
              <w:pStyle w:val="TableColumnHeading"/>
              <w:cnfStyle w:val="100000000000" w:firstRow="1" w:lastRow="0" w:firstColumn="0" w:lastColumn="0" w:oddVBand="0" w:evenVBand="0" w:oddHBand="0" w:evenHBand="0" w:firstRowFirstColumn="0" w:firstRowLastColumn="0" w:lastRowFirstColumn="0" w:lastRowLastColumn="0"/>
            </w:pPr>
            <w:r>
              <w:t>Agreement</w:t>
            </w:r>
            <w:r w:rsidRPr="006F48FD">
              <w:t xml:space="preserve"> date</w:t>
            </w:r>
          </w:p>
        </w:tc>
        <w:tc>
          <w:tcPr>
            <w:tcW w:w="709" w:type="pct"/>
            <w:shd w:val="clear" w:color="auto" w:fill="E4E4E4" w:themeFill="accent3" w:themeFillTint="33"/>
          </w:tcPr>
          <w:p w14:paraId="7102436D" w14:textId="77777777" w:rsidR="000230CC" w:rsidRPr="006F48FD" w:rsidRDefault="000230CC" w:rsidP="000230CC">
            <w:pPr>
              <w:pStyle w:val="TableColumnHeading"/>
              <w:jc w:val="center"/>
              <w:cnfStyle w:val="100000000000" w:firstRow="1" w:lastRow="0" w:firstColumn="0" w:lastColumn="0" w:oddVBand="0" w:evenVBand="0" w:oddHBand="0" w:evenHBand="0" w:firstRowFirstColumn="0" w:firstRowLastColumn="0" w:lastRowFirstColumn="0" w:lastRowLastColumn="0"/>
            </w:pPr>
            <w:r w:rsidRPr="006F48FD">
              <w:t>Value (excl. GST)</w:t>
            </w:r>
          </w:p>
        </w:tc>
      </w:tr>
      <w:tr w:rsidR="000230CC" w14:paraId="6250EE03" w14:textId="77777777" w:rsidTr="000619E2">
        <w:trPr>
          <w:trHeight w:val="425"/>
        </w:trPr>
        <w:tc>
          <w:tcPr>
            <w:cnfStyle w:val="001000000000" w:firstRow="0" w:lastRow="0" w:firstColumn="1" w:lastColumn="0" w:oddVBand="0" w:evenVBand="0" w:oddHBand="0" w:evenHBand="0" w:firstRowFirstColumn="0" w:firstRowLastColumn="0" w:lastRowFirstColumn="0" w:lastRowLastColumn="0"/>
            <w:tcW w:w="482" w:type="pct"/>
            <w:vMerge w:val="restart"/>
          </w:tcPr>
          <w:p w14:paraId="3144D684" w14:textId="77777777" w:rsidR="000230CC" w:rsidRPr="006F48FD" w:rsidRDefault="000230CC" w:rsidP="000230CC">
            <w:pPr>
              <w:pStyle w:val="TableCopy"/>
              <w:rPr>
                <w:b/>
              </w:rPr>
            </w:pPr>
            <w:r w:rsidRPr="006F48FD">
              <w:t>1</w:t>
            </w:r>
          </w:p>
        </w:tc>
        <w:tc>
          <w:tcPr>
            <w:tcW w:w="853" w:type="pct"/>
            <w:vMerge w:val="restart"/>
          </w:tcPr>
          <w:p w14:paraId="38E6548E"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The Pharmacy Guild of Australia (the Guild)</w:t>
            </w:r>
          </w:p>
        </w:tc>
        <w:tc>
          <w:tcPr>
            <w:tcW w:w="1274" w:type="pct"/>
          </w:tcPr>
          <w:p w14:paraId="774693D0" w14:textId="5C166BB4" w:rsidR="000230CC" w:rsidRPr="006F48FD" w:rsidRDefault="000230CC" w:rsidP="000230CC">
            <w:pPr>
              <w:pStyle w:val="TableCopy"/>
              <w:cnfStyle w:val="000000000000" w:firstRow="0" w:lastRow="0" w:firstColumn="0" w:lastColumn="0" w:oddVBand="0" w:evenVBand="0" w:oddHBand="0" w:evenHBand="0" w:firstRowFirstColumn="0" w:firstRowLastColumn="0" w:lastRowFirstColumn="0" w:lastRowLastColumn="0"/>
              <w:rPr>
                <w:b/>
              </w:rPr>
            </w:pPr>
            <w:r>
              <w:rPr>
                <w:b/>
              </w:rPr>
              <w:t xml:space="preserve">Pharmacy Diabetes Screening </w:t>
            </w:r>
            <w:r w:rsidR="006C4C15">
              <w:rPr>
                <w:b/>
              </w:rPr>
              <w:br/>
            </w:r>
            <w:r>
              <w:rPr>
                <w:b/>
              </w:rPr>
              <w:t xml:space="preserve">(Diabetes </w:t>
            </w:r>
            <w:r w:rsidR="006C4C15">
              <w:rPr>
                <w:b/>
              </w:rPr>
              <w:t xml:space="preserve">Screening </w:t>
            </w:r>
            <w:r>
              <w:rPr>
                <w:b/>
              </w:rPr>
              <w:t>Trial)</w:t>
            </w:r>
          </w:p>
        </w:tc>
        <w:tc>
          <w:tcPr>
            <w:tcW w:w="841" w:type="pct"/>
          </w:tcPr>
          <w:p w14:paraId="69A196A9"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 xml:space="preserve">National </w:t>
            </w:r>
          </w:p>
        </w:tc>
        <w:tc>
          <w:tcPr>
            <w:tcW w:w="841" w:type="pct"/>
          </w:tcPr>
          <w:p w14:paraId="771DB439"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rsidRPr="00C70D33">
              <w:t>5 May 2016</w:t>
            </w:r>
          </w:p>
        </w:tc>
        <w:tc>
          <w:tcPr>
            <w:tcW w:w="709" w:type="pct"/>
          </w:tcPr>
          <w:p w14:paraId="4997DEF3"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3.05 million</w:t>
            </w:r>
          </w:p>
        </w:tc>
      </w:tr>
      <w:tr w:rsidR="000230CC" w14:paraId="02771C0A" w14:textId="77777777" w:rsidTr="000619E2">
        <w:trPr>
          <w:trHeight w:val="741"/>
        </w:trPr>
        <w:tc>
          <w:tcPr>
            <w:cnfStyle w:val="001000000000" w:firstRow="0" w:lastRow="0" w:firstColumn="1" w:lastColumn="0" w:oddVBand="0" w:evenVBand="0" w:oddHBand="0" w:evenHBand="0" w:firstRowFirstColumn="0" w:firstRowLastColumn="0" w:lastRowFirstColumn="0" w:lastRowLastColumn="0"/>
            <w:tcW w:w="482" w:type="pct"/>
            <w:vMerge/>
          </w:tcPr>
          <w:p w14:paraId="55C7CBD8" w14:textId="77777777" w:rsidR="000230CC" w:rsidRDefault="000230CC" w:rsidP="000230CC">
            <w:pPr>
              <w:pStyle w:val="TableCopy"/>
            </w:pPr>
          </w:p>
        </w:tc>
        <w:tc>
          <w:tcPr>
            <w:tcW w:w="853" w:type="pct"/>
            <w:vMerge/>
          </w:tcPr>
          <w:p w14:paraId="6CE406BE"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p>
        </w:tc>
        <w:tc>
          <w:tcPr>
            <w:tcW w:w="1274" w:type="pct"/>
          </w:tcPr>
          <w:p w14:paraId="02E388BC" w14:textId="4CBB7C64" w:rsidR="000230CC" w:rsidRPr="006F48FD" w:rsidRDefault="006C4C15">
            <w:pPr>
              <w:pStyle w:val="TableCopy"/>
              <w:cnfStyle w:val="000000000000" w:firstRow="0" w:lastRow="0" w:firstColumn="0" w:lastColumn="0" w:oddVBand="0" w:evenVBand="0" w:oddHBand="0" w:evenHBand="0" w:firstRowFirstColumn="0" w:firstRowLastColumn="0" w:lastRowFirstColumn="0" w:lastRowLastColumn="0"/>
              <w:rPr>
                <w:b/>
              </w:rPr>
            </w:pPr>
            <w:r>
              <w:rPr>
                <w:b/>
              </w:rPr>
              <w:t xml:space="preserve">Improved </w:t>
            </w:r>
            <w:r w:rsidR="000230CC">
              <w:rPr>
                <w:b/>
              </w:rPr>
              <w:t xml:space="preserve">Medication </w:t>
            </w:r>
            <w:r>
              <w:rPr>
                <w:b/>
              </w:rPr>
              <w:t>Management</w:t>
            </w:r>
            <w:r w:rsidR="006A4A32">
              <w:rPr>
                <w:b/>
              </w:rPr>
              <w:t xml:space="preserve"> </w:t>
            </w:r>
            <w:r>
              <w:rPr>
                <w:b/>
              </w:rPr>
              <w:t xml:space="preserve">for Aboriginal and Torres Strait Islanders Feasibility Study </w:t>
            </w:r>
            <w:r w:rsidR="0038751A">
              <w:rPr>
                <w:b/>
              </w:rPr>
              <w:t>(</w:t>
            </w:r>
            <w:r w:rsidR="000230CC">
              <w:rPr>
                <w:b/>
              </w:rPr>
              <w:t>IM</w:t>
            </w:r>
            <w:r w:rsidR="0052440B">
              <w:rPr>
                <w:b/>
              </w:rPr>
              <w:t>e</w:t>
            </w:r>
            <w:r w:rsidR="000230CC">
              <w:rPr>
                <w:b/>
              </w:rPr>
              <w:t>RS</w:t>
            </w:r>
            <w:r w:rsidR="0052440B">
              <w:rPr>
                <w:b/>
              </w:rPr>
              <w:t>e</w:t>
            </w:r>
            <w:r w:rsidR="000230CC">
              <w:rPr>
                <w:b/>
              </w:rPr>
              <w:t xml:space="preserve"> Feasibility Study</w:t>
            </w:r>
            <w:r w:rsidR="0038751A">
              <w:rPr>
                <w:b/>
              </w:rPr>
              <w:t>)</w:t>
            </w:r>
          </w:p>
        </w:tc>
        <w:tc>
          <w:tcPr>
            <w:tcW w:w="841" w:type="pct"/>
          </w:tcPr>
          <w:p w14:paraId="6E014260"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QLD, NSW, NT</w:t>
            </w:r>
          </w:p>
        </w:tc>
        <w:tc>
          <w:tcPr>
            <w:tcW w:w="841" w:type="pct"/>
          </w:tcPr>
          <w:p w14:paraId="415C51EA"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17 October 2017</w:t>
            </w:r>
          </w:p>
        </w:tc>
        <w:tc>
          <w:tcPr>
            <w:tcW w:w="709" w:type="pct"/>
          </w:tcPr>
          <w:p w14:paraId="0DBF644A"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3.47 million</w:t>
            </w:r>
          </w:p>
        </w:tc>
      </w:tr>
      <w:tr w:rsidR="000230CC" w14:paraId="1610649F" w14:textId="77777777" w:rsidTr="000619E2">
        <w:trPr>
          <w:trHeight w:val="754"/>
        </w:trPr>
        <w:tc>
          <w:tcPr>
            <w:cnfStyle w:val="001000000000" w:firstRow="0" w:lastRow="0" w:firstColumn="1" w:lastColumn="0" w:oddVBand="0" w:evenVBand="0" w:oddHBand="0" w:evenHBand="0" w:firstRowFirstColumn="0" w:firstRowLastColumn="0" w:lastRowFirstColumn="0" w:lastRowLastColumn="0"/>
            <w:tcW w:w="482" w:type="pct"/>
            <w:vMerge w:val="restart"/>
          </w:tcPr>
          <w:p w14:paraId="2E7B651B" w14:textId="77777777" w:rsidR="000230CC" w:rsidRPr="00F02C97" w:rsidRDefault="000230CC" w:rsidP="000230CC">
            <w:pPr>
              <w:pStyle w:val="TableCopy"/>
              <w:rPr>
                <w:b/>
              </w:rPr>
            </w:pPr>
            <w:r w:rsidRPr="00F02C97">
              <w:t>2</w:t>
            </w:r>
          </w:p>
        </w:tc>
        <w:tc>
          <w:tcPr>
            <w:tcW w:w="853" w:type="pct"/>
          </w:tcPr>
          <w:p w14:paraId="4EE27C80"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Pharmaceutical Society of Australia (PSA)</w:t>
            </w:r>
          </w:p>
        </w:tc>
        <w:tc>
          <w:tcPr>
            <w:tcW w:w="1274" w:type="pct"/>
          </w:tcPr>
          <w:p w14:paraId="61CF141D" w14:textId="431C0426" w:rsidR="000230CC" w:rsidRPr="00F02C97" w:rsidRDefault="000230CC">
            <w:pPr>
              <w:pStyle w:val="TableCopy"/>
              <w:cnfStyle w:val="000000000000" w:firstRow="0" w:lastRow="0" w:firstColumn="0" w:lastColumn="0" w:oddVBand="0" w:evenVBand="0" w:oddHBand="0" w:evenHBand="0" w:firstRowFirstColumn="0" w:firstRowLastColumn="0" w:lastRowFirstColumn="0" w:lastRowLastColumn="0"/>
              <w:rPr>
                <w:b/>
              </w:rPr>
            </w:pPr>
            <w:bookmarkStart w:id="16" w:name="_Hlk12375696"/>
            <w:r w:rsidRPr="00F02C97">
              <w:rPr>
                <w:b/>
              </w:rPr>
              <w:t>Integrating Practice Pharmacists into Aboriginal Community Controlled Health Services</w:t>
            </w:r>
            <w:r w:rsidR="006A4A32">
              <w:rPr>
                <w:b/>
              </w:rPr>
              <w:t xml:space="preserve"> </w:t>
            </w:r>
            <w:r>
              <w:rPr>
                <w:b/>
              </w:rPr>
              <w:t>(IPAC</w:t>
            </w:r>
            <w:r w:rsidR="00CB7D12">
              <w:rPr>
                <w:b/>
              </w:rPr>
              <w:t xml:space="preserve"> Project</w:t>
            </w:r>
            <w:r>
              <w:rPr>
                <w:b/>
              </w:rPr>
              <w:t>)</w:t>
            </w:r>
            <w:bookmarkEnd w:id="16"/>
          </w:p>
        </w:tc>
        <w:tc>
          <w:tcPr>
            <w:tcW w:w="841" w:type="pct"/>
          </w:tcPr>
          <w:p w14:paraId="60437FAA"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QLD, VIC, NT</w:t>
            </w:r>
          </w:p>
        </w:tc>
        <w:tc>
          <w:tcPr>
            <w:tcW w:w="841" w:type="pct"/>
          </w:tcPr>
          <w:p w14:paraId="18858283"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20 December 2017</w:t>
            </w:r>
          </w:p>
        </w:tc>
        <w:tc>
          <w:tcPr>
            <w:tcW w:w="709" w:type="pct"/>
          </w:tcPr>
          <w:p w14:paraId="54ECA8B1"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5 million</w:t>
            </w:r>
          </w:p>
        </w:tc>
      </w:tr>
      <w:tr w:rsidR="000230CC" w14:paraId="4C921156" w14:textId="77777777" w:rsidTr="000619E2">
        <w:trPr>
          <w:trHeight w:val="440"/>
        </w:trPr>
        <w:tc>
          <w:tcPr>
            <w:cnfStyle w:val="001000000000" w:firstRow="0" w:lastRow="0" w:firstColumn="1" w:lastColumn="0" w:oddVBand="0" w:evenVBand="0" w:oddHBand="0" w:evenHBand="0" w:firstRowFirstColumn="0" w:firstRowLastColumn="0" w:lastRowFirstColumn="0" w:lastRowLastColumn="0"/>
            <w:tcW w:w="482" w:type="pct"/>
            <w:vMerge/>
          </w:tcPr>
          <w:p w14:paraId="0DF0E4D5" w14:textId="77777777" w:rsidR="000230CC" w:rsidRDefault="000230CC" w:rsidP="000230CC">
            <w:pPr>
              <w:pStyle w:val="TableCopy"/>
            </w:pPr>
          </w:p>
        </w:tc>
        <w:tc>
          <w:tcPr>
            <w:tcW w:w="853" w:type="pct"/>
          </w:tcPr>
          <w:p w14:paraId="6D877447"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Woolcock Institute</w:t>
            </w:r>
          </w:p>
        </w:tc>
        <w:tc>
          <w:tcPr>
            <w:tcW w:w="1274" w:type="pct"/>
          </w:tcPr>
          <w:p w14:paraId="0084AAC7" w14:textId="77777777" w:rsidR="000230CC" w:rsidRPr="00F02C97" w:rsidRDefault="000230CC" w:rsidP="000230CC">
            <w:pPr>
              <w:pStyle w:val="TableCopy"/>
              <w:cnfStyle w:val="000000000000" w:firstRow="0" w:lastRow="0" w:firstColumn="0" w:lastColumn="0" w:oddVBand="0" w:evenVBand="0" w:oddHBand="0" w:evenHBand="0" w:firstRowFirstColumn="0" w:firstRowLastColumn="0" w:lastRowFirstColumn="0" w:lastRowLastColumn="0"/>
              <w:rPr>
                <w:b/>
              </w:rPr>
            </w:pPr>
            <w:r w:rsidRPr="00F02C97">
              <w:rPr>
                <w:b/>
              </w:rPr>
              <w:t>Getting Asthma Under Control</w:t>
            </w:r>
            <w:r>
              <w:rPr>
                <w:b/>
              </w:rPr>
              <w:t xml:space="preserve"> (Asthma Trial)</w:t>
            </w:r>
          </w:p>
        </w:tc>
        <w:tc>
          <w:tcPr>
            <w:tcW w:w="841" w:type="pct"/>
          </w:tcPr>
          <w:p w14:paraId="7C9845D1"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NSW, WA, Tas</w:t>
            </w:r>
          </w:p>
        </w:tc>
        <w:tc>
          <w:tcPr>
            <w:tcW w:w="841" w:type="pct"/>
          </w:tcPr>
          <w:p w14:paraId="78BB6599"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3 November 2017</w:t>
            </w:r>
          </w:p>
        </w:tc>
        <w:tc>
          <w:tcPr>
            <w:tcW w:w="709" w:type="pct"/>
          </w:tcPr>
          <w:p w14:paraId="4835A1EE"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2.07 million</w:t>
            </w:r>
          </w:p>
        </w:tc>
      </w:tr>
      <w:tr w:rsidR="000230CC" w14:paraId="6AEB9957" w14:textId="77777777" w:rsidTr="000619E2">
        <w:trPr>
          <w:trHeight w:val="452"/>
        </w:trPr>
        <w:tc>
          <w:tcPr>
            <w:cnfStyle w:val="001000000000" w:firstRow="0" w:lastRow="0" w:firstColumn="1" w:lastColumn="0" w:oddVBand="0" w:evenVBand="0" w:oddHBand="0" w:evenHBand="0" w:firstRowFirstColumn="0" w:firstRowLastColumn="0" w:lastRowFirstColumn="0" w:lastRowLastColumn="0"/>
            <w:tcW w:w="482" w:type="pct"/>
            <w:vMerge/>
          </w:tcPr>
          <w:p w14:paraId="1AAFDCF9" w14:textId="77777777" w:rsidR="000230CC" w:rsidRDefault="000230CC" w:rsidP="000230CC">
            <w:pPr>
              <w:pStyle w:val="TableCopy"/>
            </w:pPr>
          </w:p>
        </w:tc>
        <w:tc>
          <w:tcPr>
            <w:tcW w:w="853" w:type="pct"/>
          </w:tcPr>
          <w:p w14:paraId="67BCEFEE"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University of South Australia</w:t>
            </w:r>
          </w:p>
        </w:tc>
        <w:tc>
          <w:tcPr>
            <w:tcW w:w="1274" w:type="pct"/>
          </w:tcPr>
          <w:p w14:paraId="564D757F" w14:textId="77777777" w:rsidR="000230CC" w:rsidRPr="00F02C97" w:rsidRDefault="000230CC" w:rsidP="000230CC">
            <w:pPr>
              <w:pStyle w:val="TableCopy"/>
              <w:cnfStyle w:val="000000000000" w:firstRow="0" w:lastRow="0" w:firstColumn="0" w:lastColumn="0" w:oddVBand="0" w:evenVBand="0" w:oddHBand="0" w:evenHBand="0" w:firstRowFirstColumn="0" w:firstRowLastColumn="0" w:lastRowFirstColumn="0" w:lastRowLastColumn="0"/>
              <w:rPr>
                <w:b/>
              </w:rPr>
            </w:pPr>
            <w:r w:rsidRPr="00F02C97">
              <w:rPr>
                <w:b/>
              </w:rPr>
              <w:t xml:space="preserve">Reducing Medicine Induced Deterioration and Adverse Reactions </w:t>
            </w:r>
            <w:r>
              <w:rPr>
                <w:b/>
              </w:rPr>
              <w:t>(ReMInDAR) Trial</w:t>
            </w:r>
          </w:p>
        </w:tc>
        <w:tc>
          <w:tcPr>
            <w:tcW w:w="841" w:type="pct"/>
          </w:tcPr>
          <w:p w14:paraId="74A16286"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SA, TAS</w:t>
            </w:r>
          </w:p>
        </w:tc>
        <w:tc>
          <w:tcPr>
            <w:tcW w:w="841" w:type="pct"/>
          </w:tcPr>
          <w:p w14:paraId="6E4DA344"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6 April 2018</w:t>
            </w:r>
          </w:p>
        </w:tc>
        <w:tc>
          <w:tcPr>
            <w:tcW w:w="709" w:type="pct"/>
          </w:tcPr>
          <w:p w14:paraId="337D59D2"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2.85 million</w:t>
            </w:r>
          </w:p>
        </w:tc>
      </w:tr>
      <w:tr w:rsidR="000230CC" w14:paraId="320DF93A" w14:textId="77777777" w:rsidTr="000619E2">
        <w:trPr>
          <w:trHeight w:val="440"/>
        </w:trPr>
        <w:tc>
          <w:tcPr>
            <w:cnfStyle w:val="001000000000" w:firstRow="0" w:lastRow="0" w:firstColumn="1" w:lastColumn="0" w:oddVBand="0" w:evenVBand="0" w:oddHBand="0" w:evenHBand="0" w:firstRowFirstColumn="0" w:firstRowLastColumn="0" w:lastRowFirstColumn="0" w:lastRowLastColumn="0"/>
            <w:tcW w:w="482" w:type="pct"/>
            <w:vMerge/>
          </w:tcPr>
          <w:p w14:paraId="6B668674" w14:textId="77777777" w:rsidR="000230CC" w:rsidRDefault="000230CC" w:rsidP="000230CC">
            <w:pPr>
              <w:pStyle w:val="TableCopy"/>
            </w:pPr>
          </w:p>
        </w:tc>
        <w:tc>
          <w:tcPr>
            <w:tcW w:w="853" w:type="pct"/>
          </w:tcPr>
          <w:p w14:paraId="5741070D"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Black Swan Health</w:t>
            </w:r>
          </w:p>
        </w:tc>
        <w:tc>
          <w:tcPr>
            <w:tcW w:w="1274" w:type="pct"/>
          </w:tcPr>
          <w:p w14:paraId="74B861C0" w14:textId="0BA2A3B2" w:rsidR="000230CC" w:rsidRPr="00F02C97" w:rsidRDefault="000230CC" w:rsidP="000230CC">
            <w:pPr>
              <w:pStyle w:val="TableCopy"/>
              <w:cnfStyle w:val="000000000000" w:firstRow="0" w:lastRow="0" w:firstColumn="0" w:lastColumn="0" w:oddVBand="0" w:evenVBand="0" w:oddHBand="0" w:evenHBand="0" w:firstRowFirstColumn="0" w:firstRowLastColumn="0" w:lastRowFirstColumn="0" w:lastRowLastColumn="0"/>
              <w:rPr>
                <w:b/>
              </w:rPr>
            </w:pPr>
            <w:r w:rsidRPr="00F02C97">
              <w:rPr>
                <w:b/>
              </w:rPr>
              <w:t>Early Detection and Management of Cardiovascular Disease Risk Factors and Chronic Disease Markers</w:t>
            </w:r>
            <w:r w:rsidR="00CB7D12">
              <w:rPr>
                <w:b/>
              </w:rPr>
              <w:t xml:space="preserve"> in Community Pharmacy</w:t>
            </w:r>
            <w:r w:rsidR="006A4A32">
              <w:rPr>
                <w:b/>
              </w:rPr>
              <w:t xml:space="preserve"> </w:t>
            </w:r>
            <w:r>
              <w:rPr>
                <w:b/>
              </w:rPr>
              <w:t>(CVD Trial)</w:t>
            </w:r>
          </w:p>
        </w:tc>
        <w:tc>
          <w:tcPr>
            <w:tcW w:w="841" w:type="pct"/>
          </w:tcPr>
          <w:p w14:paraId="608AEF65"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 xml:space="preserve">WA </w:t>
            </w:r>
          </w:p>
        </w:tc>
        <w:tc>
          <w:tcPr>
            <w:tcW w:w="841" w:type="pct"/>
          </w:tcPr>
          <w:p w14:paraId="4D0EDE37"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13 June 2018</w:t>
            </w:r>
          </w:p>
        </w:tc>
        <w:tc>
          <w:tcPr>
            <w:tcW w:w="709" w:type="pct"/>
          </w:tcPr>
          <w:p w14:paraId="4E6FCCBB"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2.04 million</w:t>
            </w:r>
          </w:p>
        </w:tc>
      </w:tr>
      <w:tr w:rsidR="000230CC" w14:paraId="7AC4A6D1" w14:textId="77777777" w:rsidTr="000619E2">
        <w:trPr>
          <w:trHeight w:val="462"/>
        </w:trPr>
        <w:tc>
          <w:tcPr>
            <w:cnfStyle w:val="001000000000" w:firstRow="0" w:lastRow="0" w:firstColumn="1" w:lastColumn="0" w:oddVBand="0" w:evenVBand="0" w:oddHBand="0" w:evenHBand="0" w:firstRowFirstColumn="0" w:firstRowLastColumn="0" w:lastRowFirstColumn="0" w:lastRowLastColumn="0"/>
            <w:tcW w:w="482" w:type="pct"/>
          </w:tcPr>
          <w:p w14:paraId="5D1EF0FF" w14:textId="77777777" w:rsidR="000230CC" w:rsidRPr="00B3226F" w:rsidRDefault="000230CC" w:rsidP="000230CC">
            <w:pPr>
              <w:pStyle w:val="TableCopy"/>
              <w:rPr>
                <w:b/>
              </w:rPr>
            </w:pPr>
            <w:r w:rsidRPr="00B3226F">
              <w:t>3</w:t>
            </w:r>
          </w:p>
        </w:tc>
        <w:tc>
          <w:tcPr>
            <w:tcW w:w="853" w:type="pct"/>
          </w:tcPr>
          <w:p w14:paraId="0710590E"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The Guild and PSA</w:t>
            </w:r>
          </w:p>
        </w:tc>
        <w:tc>
          <w:tcPr>
            <w:tcW w:w="1274" w:type="pct"/>
          </w:tcPr>
          <w:p w14:paraId="19352F93" w14:textId="77777777" w:rsidR="000230CC" w:rsidRPr="00F02C97" w:rsidRDefault="000230CC" w:rsidP="000230CC">
            <w:pPr>
              <w:pStyle w:val="TableCopy"/>
              <w:cnfStyle w:val="000000000000" w:firstRow="0" w:lastRow="0" w:firstColumn="0" w:lastColumn="0" w:oddVBand="0" w:evenVBand="0" w:oddHBand="0" w:evenHBand="0" w:firstRowFirstColumn="0" w:firstRowLastColumn="0" w:lastRowFirstColumn="0" w:lastRowLastColumn="0"/>
              <w:rPr>
                <w:b/>
              </w:rPr>
            </w:pPr>
            <w:r w:rsidRPr="00F02C97">
              <w:rPr>
                <w:b/>
              </w:rPr>
              <w:t>Chronic Pain Med</w:t>
            </w:r>
            <w:r>
              <w:rPr>
                <w:b/>
              </w:rPr>
              <w:t>s</w:t>
            </w:r>
            <w:r w:rsidRPr="00F02C97">
              <w:rPr>
                <w:b/>
              </w:rPr>
              <w:t>Check</w:t>
            </w:r>
            <w:r>
              <w:rPr>
                <w:b/>
              </w:rPr>
              <w:t xml:space="preserve"> Trial</w:t>
            </w:r>
          </w:p>
        </w:tc>
        <w:tc>
          <w:tcPr>
            <w:tcW w:w="841" w:type="pct"/>
          </w:tcPr>
          <w:p w14:paraId="286EEACD"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 xml:space="preserve">National </w:t>
            </w:r>
          </w:p>
        </w:tc>
        <w:tc>
          <w:tcPr>
            <w:tcW w:w="841" w:type="pct"/>
          </w:tcPr>
          <w:p w14:paraId="4232907E" w14:textId="77777777" w:rsidR="000230CC" w:rsidRDefault="000230CC" w:rsidP="000230CC">
            <w:pPr>
              <w:pStyle w:val="TableCopy"/>
              <w:cnfStyle w:val="000000000000" w:firstRow="0" w:lastRow="0" w:firstColumn="0" w:lastColumn="0" w:oddVBand="0" w:evenVBand="0" w:oddHBand="0" w:evenHBand="0" w:firstRowFirstColumn="0" w:firstRowLastColumn="0" w:lastRowFirstColumn="0" w:lastRowLastColumn="0"/>
            </w:pPr>
            <w:r>
              <w:t>11 April 2018</w:t>
            </w:r>
          </w:p>
        </w:tc>
        <w:tc>
          <w:tcPr>
            <w:tcW w:w="709" w:type="pct"/>
          </w:tcPr>
          <w:p w14:paraId="28DDF955"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20.85 million (the Guild)</w:t>
            </w:r>
          </w:p>
          <w:p w14:paraId="66B2F743" w14:textId="77777777" w:rsidR="000230CC"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pPr>
            <w:r w:rsidRPr="00B3226F">
              <w:rPr>
                <w:rFonts w:ascii="Times New Roman" w:hAnsi="Times New Roman"/>
                <w:sz w:val="17"/>
                <w:szCs w:val="17"/>
              </w:rPr>
              <w:t>$</w:t>
            </w:r>
            <w:r>
              <w:t>500,000 (PSA)</w:t>
            </w:r>
          </w:p>
        </w:tc>
      </w:tr>
      <w:tr w:rsidR="000230CC" w:rsidRPr="008C60E6" w14:paraId="03B23C2F" w14:textId="77777777" w:rsidTr="000619E2">
        <w:trPr>
          <w:trHeight w:val="227"/>
        </w:trPr>
        <w:tc>
          <w:tcPr>
            <w:cnfStyle w:val="001000000000" w:firstRow="0" w:lastRow="0" w:firstColumn="1" w:lastColumn="0" w:oddVBand="0" w:evenVBand="0" w:oddHBand="0" w:evenHBand="0" w:firstRowFirstColumn="0" w:firstRowLastColumn="0" w:lastRowFirstColumn="0" w:lastRowLastColumn="0"/>
            <w:tcW w:w="4291" w:type="pct"/>
            <w:gridSpan w:val="5"/>
          </w:tcPr>
          <w:p w14:paraId="6540AC31" w14:textId="77777777" w:rsidR="000230CC" w:rsidRDefault="000230CC" w:rsidP="000230CC">
            <w:pPr>
              <w:pStyle w:val="TableCopy"/>
            </w:pPr>
            <w:r>
              <w:t>Total value of PTP funds awarded at March 2019</w:t>
            </w:r>
          </w:p>
        </w:tc>
        <w:tc>
          <w:tcPr>
            <w:tcW w:w="709" w:type="pct"/>
          </w:tcPr>
          <w:p w14:paraId="7D1AAED6" w14:textId="527FEF96" w:rsidR="000230CC" w:rsidRPr="008C60E6" w:rsidRDefault="000230CC" w:rsidP="000230CC">
            <w:pPr>
              <w:pStyle w:val="TableCopy"/>
              <w:jc w:val="right"/>
              <w:cnfStyle w:val="000000000000" w:firstRow="0" w:lastRow="0" w:firstColumn="0" w:lastColumn="0" w:oddVBand="0" w:evenVBand="0" w:oddHBand="0" w:evenHBand="0" w:firstRowFirstColumn="0" w:firstRowLastColumn="0" w:lastRowFirstColumn="0" w:lastRowLastColumn="0"/>
              <w:rPr>
                <w:b/>
              </w:rPr>
            </w:pPr>
            <w:r w:rsidRPr="008C60E6">
              <w:rPr>
                <w:rFonts w:ascii="Times New Roman" w:hAnsi="Times New Roman"/>
                <w:b/>
                <w:sz w:val="17"/>
                <w:szCs w:val="17"/>
              </w:rPr>
              <w:t>$</w:t>
            </w:r>
            <w:r>
              <w:rPr>
                <w:b/>
              </w:rPr>
              <w:t>39</w:t>
            </w:r>
            <w:r w:rsidRPr="008C60E6">
              <w:rPr>
                <w:b/>
              </w:rPr>
              <w:t>.83 million</w:t>
            </w:r>
          </w:p>
        </w:tc>
      </w:tr>
    </w:tbl>
    <w:p w14:paraId="67BB950A" w14:textId="2AA895C1" w:rsidR="000230CC" w:rsidRDefault="000230CC" w:rsidP="000230CC">
      <w:pPr>
        <w:pStyle w:val="TableNotes"/>
      </w:pPr>
      <w:r>
        <w:t xml:space="preserve">Source: Internal Audit Report: Audit of the Management of the Pharmacy Trial Program under the Sixth Community Pharmacy Agreement, page 6 </w:t>
      </w:r>
      <w:sdt>
        <w:sdtPr>
          <w:id w:val="2116010252"/>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p>
    <w:p w14:paraId="307D5C85" w14:textId="77777777" w:rsidR="000230CC" w:rsidRDefault="000230CC" w:rsidP="008C0AA9"/>
    <w:p w14:paraId="54531582" w14:textId="77777777" w:rsidR="000230CC" w:rsidRDefault="000230CC" w:rsidP="008C0AA9">
      <w:pPr>
        <w:sectPr w:rsidR="000230CC" w:rsidSect="00796783">
          <w:pgSz w:w="16838" w:h="11906" w:orient="landscape" w:code="9"/>
          <w:pgMar w:top="737" w:right="1304" w:bottom="1134" w:left="737" w:header="567" w:footer="284" w:gutter="0"/>
          <w:cols w:space="708"/>
          <w:docGrid w:linePitch="360"/>
        </w:sectPr>
      </w:pPr>
    </w:p>
    <w:p w14:paraId="48A6F1C5" w14:textId="77777777" w:rsidR="006A4A32" w:rsidRDefault="000230CC" w:rsidP="000230CC">
      <w:pPr>
        <w:pStyle w:val="Heading2"/>
        <w:spacing w:before="0" w:after="170" w:line="384" w:lineRule="atLeast"/>
        <w:ind w:left="992" w:hanging="992"/>
      </w:pPr>
      <w:bookmarkStart w:id="17" w:name="_Ref10216863"/>
      <w:bookmarkStart w:id="18" w:name="_Toc19097746"/>
      <w:bookmarkStart w:id="19" w:name="_Toc26366352"/>
      <w:r>
        <w:lastRenderedPageBreak/>
        <w:t>policy context</w:t>
      </w:r>
      <w:bookmarkEnd w:id="17"/>
      <w:bookmarkEnd w:id="18"/>
      <w:bookmarkEnd w:id="19"/>
    </w:p>
    <w:p w14:paraId="3FBD6450" w14:textId="77777777" w:rsidR="006A4A32" w:rsidRDefault="000230CC" w:rsidP="000230CC">
      <w:pPr>
        <w:pStyle w:val="Heading4"/>
      </w:pPr>
      <w:bookmarkStart w:id="20" w:name="_Toc8216996"/>
      <w:r>
        <w:t>National Medicines Policy</w:t>
      </w:r>
      <w:bookmarkEnd w:id="20"/>
    </w:p>
    <w:p w14:paraId="6D88D169" w14:textId="77777777" w:rsidR="006A4A32" w:rsidRDefault="000230CC" w:rsidP="000230CC">
      <w:pPr>
        <w:pStyle w:val="BodyCopy"/>
      </w:pPr>
      <w:r>
        <w:t xml:space="preserve">The National Medicines Policy (NMP) was established in 2000 as a partnership between governments, health educators, health practitioners and other health care providers and suppliers, the medicines industry, health care consumers, and the media </w:t>
      </w:r>
      <w:sdt>
        <w:sdtPr>
          <w:id w:val="-1835996223"/>
          <w:citation/>
        </w:sdtPr>
        <w:sdtContent>
          <w:r>
            <w:fldChar w:fldCharType="begin"/>
          </w:r>
          <w:r w:rsidR="00820D12">
            <w:rPr>
              <w:lang w:val="en-US"/>
            </w:rPr>
            <w:instrText xml:space="preserve">CITATION Com00 \l 1033 </w:instrText>
          </w:r>
          <w:r>
            <w:fldChar w:fldCharType="separate"/>
          </w:r>
          <w:r w:rsidR="008B7448" w:rsidRPr="008B7448">
            <w:rPr>
              <w:noProof/>
              <w:lang w:val="en-US"/>
            </w:rPr>
            <w:t>[5]</w:t>
          </w:r>
          <w:r>
            <w:fldChar w:fldCharType="end"/>
          </w:r>
        </w:sdtContent>
      </w:sdt>
      <w:r>
        <w:t>. The aim of the NMP is to meet medication and related service needs, so that both optimal health outcomes and economic objectives are achieved. The central objectives of the policy are:</w:t>
      </w:r>
    </w:p>
    <w:p w14:paraId="3445E583" w14:textId="6F10AB4E" w:rsidR="000230CC" w:rsidRDefault="000230CC" w:rsidP="002C22EF">
      <w:pPr>
        <w:pStyle w:val="ListBullet"/>
      </w:pPr>
      <w:r>
        <w:t>timely access to the medicines that Australians need, at a cost individuals and the community can afford</w:t>
      </w:r>
      <w:r w:rsidR="005C576E">
        <w:t>;</w:t>
      </w:r>
    </w:p>
    <w:p w14:paraId="7882992B" w14:textId="18EFCB78" w:rsidR="000230CC" w:rsidRDefault="000230CC" w:rsidP="002C22EF">
      <w:pPr>
        <w:pStyle w:val="ListBullet"/>
      </w:pPr>
      <w:r>
        <w:t>medicines meeting appropriate standards of quality, safety and efficacy</w:t>
      </w:r>
      <w:r w:rsidR="005C576E">
        <w:t>;</w:t>
      </w:r>
    </w:p>
    <w:p w14:paraId="453B0ADF" w14:textId="62FF69E2" w:rsidR="000230CC" w:rsidRDefault="000230CC" w:rsidP="002C22EF">
      <w:pPr>
        <w:pStyle w:val="ListBullet"/>
      </w:pPr>
      <w:r>
        <w:t>quality use of medicines</w:t>
      </w:r>
      <w:r w:rsidR="005C576E">
        <w:t>;</w:t>
      </w:r>
      <w:r>
        <w:t xml:space="preserve"> and</w:t>
      </w:r>
    </w:p>
    <w:p w14:paraId="051CD76B" w14:textId="1ED3DF11" w:rsidR="000230CC" w:rsidRDefault="000230CC" w:rsidP="002C22EF">
      <w:pPr>
        <w:pStyle w:val="ListBullet"/>
      </w:pPr>
      <w:r>
        <w:t>maintaining a responsible and viable medicines industry</w:t>
      </w:r>
      <w:sdt>
        <w:sdtPr>
          <w:id w:val="-1251501926"/>
          <w:citation/>
        </w:sdtPr>
        <w:sdtContent>
          <w:r>
            <w:fldChar w:fldCharType="begin"/>
          </w:r>
          <w:r w:rsidR="00820D12">
            <w:rPr>
              <w:lang w:val="en-US"/>
            </w:rPr>
            <w:instrText xml:space="preserve">CITATION Com00 \l 1033 </w:instrText>
          </w:r>
          <w:r>
            <w:fldChar w:fldCharType="separate"/>
          </w:r>
          <w:r w:rsidR="008B7448">
            <w:rPr>
              <w:noProof/>
              <w:lang w:val="en-US"/>
            </w:rPr>
            <w:t xml:space="preserve"> </w:t>
          </w:r>
          <w:r w:rsidR="008B7448" w:rsidRPr="008B7448">
            <w:rPr>
              <w:noProof/>
              <w:lang w:val="en-US"/>
            </w:rPr>
            <w:t>[5]</w:t>
          </w:r>
          <w:r>
            <w:fldChar w:fldCharType="end"/>
          </w:r>
        </w:sdtContent>
      </w:sdt>
      <w:r>
        <w:t>.</w:t>
      </w:r>
    </w:p>
    <w:p w14:paraId="4A1669F3" w14:textId="77777777" w:rsidR="006A4A32" w:rsidRDefault="000230CC" w:rsidP="000230CC">
      <w:pPr>
        <w:pStyle w:val="BodyCopy"/>
      </w:pPr>
      <w:r>
        <w:t>The 6CPA supports the NMP as detailed in Section 3: Pharmaceutical Benefits Scheme (PBS) Access and Sustainability Package</w:t>
      </w:r>
      <w:r>
        <w:rPr>
          <w:rStyle w:val="FootnoteReference"/>
        </w:rPr>
        <w:footnoteReference w:id="1"/>
      </w:r>
      <w:r>
        <w:t xml:space="preserve"> that seeks to establish pharmacy funding and medicines pricing arrangements and a range of sector improvements </w:t>
      </w:r>
      <w:sdt>
        <w:sdtPr>
          <w:id w:val="1665969812"/>
          <w:citation/>
        </w:sdtPr>
        <w:sdtContent>
          <w:r>
            <w:fldChar w:fldCharType="begin"/>
          </w:r>
          <w:r w:rsidR="00820D12">
            <w:rPr>
              <w:lang w:val="en-US"/>
            </w:rPr>
            <w:instrText xml:space="preserve">CITATION Dep17 \l 1033 </w:instrText>
          </w:r>
          <w:r>
            <w:fldChar w:fldCharType="separate"/>
          </w:r>
          <w:r w:rsidR="008B7448" w:rsidRPr="008B7448">
            <w:rPr>
              <w:noProof/>
              <w:lang w:val="en-US"/>
            </w:rPr>
            <w:t>[1]</w:t>
          </w:r>
          <w:r>
            <w:fldChar w:fldCharType="end"/>
          </w:r>
        </w:sdtContent>
      </w:sdt>
      <w:r>
        <w:t>. The funding arrangements noted in the 6CPA seek to:</w:t>
      </w:r>
    </w:p>
    <w:p w14:paraId="5B296A30" w14:textId="77777777" w:rsidR="006A4A32" w:rsidRDefault="000230CC" w:rsidP="002C22EF">
      <w:pPr>
        <w:pStyle w:val="ListBullet"/>
      </w:pPr>
      <w:r>
        <w:t>ensure consumers can continue to have access to new and innovative PBS subsidised medicines at an affordable price</w:t>
      </w:r>
      <w:r w:rsidR="005C576E">
        <w:t>;</w:t>
      </w:r>
    </w:p>
    <w:p w14:paraId="2ADB4B08" w14:textId="77777777" w:rsidR="006A4A32" w:rsidRDefault="000230CC" w:rsidP="002C22EF">
      <w:pPr>
        <w:pStyle w:val="ListBullet"/>
      </w:pPr>
      <w:r>
        <w:t>promote and improve the quality use of medicines</w:t>
      </w:r>
      <w:r w:rsidR="005C576E">
        <w:t>;</w:t>
      </w:r>
      <w:r>
        <w:t xml:space="preserve"> and</w:t>
      </w:r>
    </w:p>
    <w:p w14:paraId="50A12ECF" w14:textId="5EDBA1CE" w:rsidR="000230CC" w:rsidRDefault="000230CC" w:rsidP="002C22EF">
      <w:pPr>
        <w:pStyle w:val="ListBullet"/>
      </w:pPr>
      <w:r>
        <w:t>ensure a cost-effective and sustainable PBS</w:t>
      </w:r>
      <w:r>
        <w:rPr>
          <w:rStyle w:val="FootnoteReference"/>
        </w:rPr>
        <w:t xml:space="preserve"> </w:t>
      </w:r>
      <w:r>
        <w:rPr>
          <w:rStyle w:val="FootnoteReference"/>
        </w:rPr>
        <w:footnoteReference w:id="2"/>
      </w:r>
      <w:r>
        <w:t xml:space="preserve"> </w:t>
      </w:r>
      <w:sdt>
        <w:sdtPr>
          <w:id w:val="328638799"/>
          <w:citation/>
        </w:sdtPr>
        <w:sdtContent>
          <w:r>
            <w:fldChar w:fldCharType="begin"/>
          </w:r>
          <w:r w:rsidR="00820D12">
            <w:rPr>
              <w:lang w:val="en-US"/>
            </w:rPr>
            <w:instrText xml:space="preserve">CITATION Dep17 \l 1033 </w:instrText>
          </w:r>
          <w:r>
            <w:fldChar w:fldCharType="separate"/>
          </w:r>
          <w:r w:rsidR="008B7448" w:rsidRPr="008B7448">
            <w:rPr>
              <w:noProof/>
              <w:lang w:val="en-US"/>
            </w:rPr>
            <w:t>[1]</w:t>
          </w:r>
          <w:r>
            <w:fldChar w:fldCharType="end"/>
          </w:r>
        </w:sdtContent>
      </w:sdt>
      <w:r>
        <w:t>.</w:t>
      </w:r>
    </w:p>
    <w:p w14:paraId="75138019" w14:textId="77777777" w:rsidR="006A4A32" w:rsidRDefault="000230CC" w:rsidP="000230CC">
      <w:pPr>
        <w:pStyle w:val="Heading4"/>
      </w:pPr>
      <w:bookmarkStart w:id="21" w:name="_Toc8216997"/>
      <w:r>
        <w:t>Quality use of medicines</w:t>
      </w:r>
      <w:bookmarkEnd w:id="21"/>
    </w:p>
    <w:p w14:paraId="0108BC80" w14:textId="05EEC307" w:rsidR="006A4A32" w:rsidRDefault="000230CC" w:rsidP="000230CC">
      <w:pPr>
        <w:pStyle w:val="BodyCopy"/>
      </w:pPr>
      <w:r>
        <w:t xml:space="preserve">Quality use of medicines (QUM) is one of the four objectives of the NMP. In 2002, the National Strategy for QUM was established and integrates with the strategies for the other NMP objectives as shown in </w:t>
      </w:r>
      <w:r>
        <w:fldChar w:fldCharType="begin"/>
      </w:r>
      <w:r>
        <w:instrText xml:space="preserve"> REF _Ref4065351 \h </w:instrText>
      </w:r>
      <w:r>
        <w:fldChar w:fldCharType="separate"/>
      </w:r>
      <w:r w:rsidR="006B6B4C">
        <w:t xml:space="preserve">Figure </w:t>
      </w:r>
      <w:r w:rsidR="006B6B4C">
        <w:rPr>
          <w:noProof/>
        </w:rPr>
        <w:t>2</w:t>
      </w:r>
      <w:r w:rsidR="006B6B4C">
        <w:t>.</w:t>
      </w:r>
      <w:r w:rsidR="006B6B4C">
        <w:rPr>
          <w:noProof/>
        </w:rPr>
        <w:t>1</w:t>
      </w:r>
      <w:r>
        <w:fldChar w:fldCharType="end"/>
      </w:r>
      <w:sdt>
        <w:sdtPr>
          <w:id w:val="-1356576397"/>
          <w:citation/>
        </w:sdtPr>
        <w:sdtContent>
          <w:r>
            <w:fldChar w:fldCharType="begin"/>
          </w:r>
          <w:r>
            <w:rPr>
              <w:lang w:val="en-US"/>
            </w:rPr>
            <w:instrText xml:space="preserve"> CITATION Com02 \l 1033 </w:instrText>
          </w:r>
          <w:r>
            <w:fldChar w:fldCharType="separate"/>
          </w:r>
          <w:r w:rsidR="008B7448">
            <w:rPr>
              <w:noProof/>
              <w:lang w:val="en-US"/>
            </w:rPr>
            <w:t xml:space="preserve"> </w:t>
          </w:r>
          <w:r w:rsidR="008B7448" w:rsidRPr="008B7448">
            <w:rPr>
              <w:noProof/>
              <w:lang w:val="en-US"/>
            </w:rPr>
            <w:t>[6]</w:t>
          </w:r>
          <w:r>
            <w:fldChar w:fldCharType="end"/>
          </w:r>
        </w:sdtContent>
      </w:sdt>
      <w:r>
        <w:t>.</w:t>
      </w:r>
    </w:p>
    <w:p w14:paraId="0BB5B6ED" w14:textId="77777777" w:rsidR="006A4A32" w:rsidRDefault="000230CC" w:rsidP="0059791D">
      <w:pPr>
        <w:pStyle w:val="Caption"/>
        <w:keepNext/>
        <w:spacing w:after="120"/>
        <w:rPr>
          <w:rStyle w:val="Captionnotbold"/>
        </w:rPr>
      </w:pPr>
      <w:bookmarkStart w:id="22" w:name="_Ref4065351"/>
      <w:r>
        <w:t xml:space="preserve">Figure </w:t>
      </w:r>
      <w:r>
        <w:rPr>
          <w:noProof/>
        </w:rPr>
        <w:fldChar w:fldCharType="begin"/>
      </w:r>
      <w:r>
        <w:rPr>
          <w:noProof/>
        </w:rPr>
        <w:instrText xml:space="preserve"> STYLEREF 1 \s </w:instrText>
      </w:r>
      <w:r>
        <w:rPr>
          <w:noProof/>
        </w:rPr>
        <w:fldChar w:fldCharType="separate"/>
      </w:r>
      <w:r w:rsidR="008B7448">
        <w:rPr>
          <w:noProof/>
        </w:rPr>
        <w:t>2</w:t>
      </w:r>
      <w:r>
        <w:rPr>
          <w:noProof/>
        </w:rPr>
        <w:fldChar w:fldCharType="end"/>
      </w:r>
      <w:r>
        <w:t>.</w:t>
      </w:r>
      <w:r>
        <w:rPr>
          <w:noProof/>
        </w:rPr>
        <w:fldChar w:fldCharType="begin"/>
      </w:r>
      <w:r>
        <w:rPr>
          <w:noProof/>
        </w:rPr>
        <w:instrText xml:space="preserve"> SEQ Figure \* ARABIC \s 1 </w:instrText>
      </w:r>
      <w:r>
        <w:rPr>
          <w:noProof/>
        </w:rPr>
        <w:fldChar w:fldCharType="separate"/>
      </w:r>
      <w:r w:rsidR="008B7448">
        <w:rPr>
          <w:noProof/>
        </w:rPr>
        <w:t>1</w:t>
      </w:r>
      <w:r>
        <w:rPr>
          <w:noProof/>
        </w:rPr>
        <w:fldChar w:fldCharType="end"/>
      </w:r>
      <w:bookmarkEnd w:id="22"/>
      <w:r>
        <w:t xml:space="preserve">: </w:t>
      </w:r>
      <w:r w:rsidRPr="00911E60">
        <w:rPr>
          <w:rStyle w:val="Captionnotbold"/>
        </w:rPr>
        <w:t>Relationship of Quality Use of Medicines to other National Medicine Policy objectives</w:t>
      </w:r>
    </w:p>
    <w:p w14:paraId="224AA7EA" w14:textId="4AA08907" w:rsidR="000230CC" w:rsidRDefault="000230CC" w:rsidP="000230CC">
      <w:pPr>
        <w:pStyle w:val="BodyCopy"/>
        <w:jc w:val="center"/>
      </w:pPr>
      <w:r w:rsidRPr="00911E60">
        <w:rPr>
          <w:noProof/>
          <w:lang w:val="en-US"/>
        </w:rPr>
        <w:drawing>
          <wp:inline distT="0" distB="0" distL="0" distR="0" wp14:anchorId="334241EF" wp14:editId="5E0F21E5">
            <wp:extent cx="3657600" cy="3811817"/>
            <wp:effectExtent l="0" t="0" r="0" b="0"/>
            <wp:docPr id="1" name="Picture 1" descr="Figure 2.1 Image: graphic showing relationship of Quality Use of Medicines to other National Medicine Policy object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662853" cy="3817292"/>
                    </a:xfrm>
                    <a:prstGeom prst="rect">
                      <a:avLst/>
                    </a:prstGeom>
                  </pic:spPr>
                </pic:pic>
              </a:graphicData>
            </a:graphic>
          </wp:inline>
        </w:drawing>
      </w:r>
    </w:p>
    <w:p w14:paraId="25187900" w14:textId="1FC93D70" w:rsidR="000230CC" w:rsidRDefault="000230CC" w:rsidP="000230CC">
      <w:pPr>
        <w:pStyle w:val="TableNotes"/>
      </w:pPr>
      <w:r>
        <w:t xml:space="preserve">Source: National Strategy for Quality Use of Medicine, Plain English Version, page 4 </w:t>
      </w:r>
      <w:sdt>
        <w:sdtPr>
          <w:id w:val="1277908374"/>
          <w:citation/>
        </w:sdtPr>
        <w:sdtContent>
          <w:r>
            <w:fldChar w:fldCharType="begin"/>
          </w:r>
          <w:r>
            <w:rPr>
              <w:lang w:val="en-US"/>
            </w:rPr>
            <w:instrText xml:space="preserve"> CITATION Com02 \l 1033 </w:instrText>
          </w:r>
          <w:r>
            <w:fldChar w:fldCharType="separate"/>
          </w:r>
          <w:r w:rsidR="008B7448" w:rsidRPr="008B7448">
            <w:rPr>
              <w:noProof/>
              <w:lang w:val="en-US"/>
            </w:rPr>
            <w:t>[6]</w:t>
          </w:r>
          <w:r>
            <w:fldChar w:fldCharType="end"/>
          </w:r>
        </w:sdtContent>
      </w:sdt>
    </w:p>
    <w:p w14:paraId="36E6C94C" w14:textId="538CF7FB" w:rsidR="000230CC" w:rsidRDefault="000230CC" w:rsidP="000230CC">
      <w:pPr>
        <w:pStyle w:val="BodyCopy"/>
      </w:pPr>
      <w:r>
        <w:t xml:space="preserve">QUM recognises the joint responsibility of key partners, which includes consumers, health practitioners, government and the pharmaceutical industry, for the safe and effective use of medicines in Australia </w:t>
      </w:r>
      <w:sdt>
        <w:sdtPr>
          <w:id w:val="-1121688364"/>
          <w:citation/>
        </w:sdtPr>
        <w:sdtContent>
          <w:r>
            <w:fldChar w:fldCharType="begin"/>
          </w:r>
          <w:r>
            <w:instrText xml:space="preserve"> CITATION Com02 \l 3081 </w:instrText>
          </w:r>
          <w:r>
            <w:fldChar w:fldCharType="separate"/>
          </w:r>
          <w:r w:rsidR="008B7448" w:rsidRPr="008B7448">
            <w:rPr>
              <w:noProof/>
            </w:rPr>
            <w:t>[6]</w:t>
          </w:r>
          <w:r>
            <w:fldChar w:fldCharType="end"/>
          </w:r>
        </w:sdtContent>
      </w:sdt>
      <w:r>
        <w:t>. However, there is an emphasis placed on the pivotal role of practitioners in promoting QUM through:</w:t>
      </w:r>
    </w:p>
    <w:p w14:paraId="1835FC9B" w14:textId="77777777" w:rsidR="006A4A32" w:rsidRDefault="000230CC" w:rsidP="002C22EF">
      <w:pPr>
        <w:pStyle w:val="ListBullet"/>
      </w:pPr>
      <w:r>
        <w:lastRenderedPageBreak/>
        <w:t>making well-informed choices on treatment</w:t>
      </w:r>
      <w:r w:rsidR="005C576E">
        <w:t>;</w:t>
      </w:r>
    </w:p>
    <w:p w14:paraId="7CD012C5" w14:textId="0A87D654" w:rsidR="000230CC" w:rsidRDefault="000230CC" w:rsidP="002C22EF">
      <w:pPr>
        <w:pStyle w:val="ListBullet"/>
      </w:pPr>
      <w:r>
        <w:t>communicating with consumers</w:t>
      </w:r>
      <w:r w:rsidR="005C576E">
        <w:t>;</w:t>
      </w:r>
    </w:p>
    <w:p w14:paraId="556D0ECB" w14:textId="77777777" w:rsidR="000230CC" w:rsidRDefault="000230CC" w:rsidP="002C22EF">
      <w:pPr>
        <w:pStyle w:val="ListBullet"/>
      </w:pPr>
      <w:r>
        <w:t>collaborating with other health practitioners outside of their own discipline</w:t>
      </w:r>
    </w:p>
    <w:p w14:paraId="2EDA79ED" w14:textId="77777777" w:rsidR="006A4A32" w:rsidRDefault="000230CC" w:rsidP="002C22EF">
      <w:pPr>
        <w:pStyle w:val="ListBullet"/>
      </w:pPr>
      <w:r>
        <w:t>developing and implementing models of best practice</w:t>
      </w:r>
      <w:r w:rsidR="005C576E">
        <w:t>;</w:t>
      </w:r>
      <w:r>
        <w:t xml:space="preserve"> and</w:t>
      </w:r>
    </w:p>
    <w:p w14:paraId="6A3C1892" w14:textId="77777777" w:rsidR="006A4A32" w:rsidRDefault="000230CC" w:rsidP="002C22EF">
      <w:pPr>
        <w:pStyle w:val="ListBullet"/>
      </w:pPr>
      <w:r>
        <w:t xml:space="preserve">maximising professional roles to provide optimal contribution </w:t>
      </w:r>
      <w:sdt>
        <w:sdtPr>
          <w:id w:val="-1007514276"/>
          <w:citation/>
        </w:sdtPr>
        <w:sdtContent>
          <w:r>
            <w:fldChar w:fldCharType="begin"/>
          </w:r>
          <w:r w:rsidR="00820D12">
            <w:instrText xml:space="preserve">CITATION Com00 \l 3081 </w:instrText>
          </w:r>
          <w:r>
            <w:fldChar w:fldCharType="separate"/>
          </w:r>
          <w:r w:rsidR="008B7448" w:rsidRPr="008B7448">
            <w:rPr>
              <w:noProof/>
            </w:rPr>
            <w:t>[5]</w:t>
          </w:r>
          <w:r>
            <w:fldChar w:fldCharType="end"/>
          </w:r>
        </w:sdtContent>
      </w:sdt>
      <w:r>
        <w:t>.</w:t>
      </w:r>
    </w:p>
    <w:p w14:paraId="22AC3398" w14:textId="652C295F" w:rsidR="000230CC" w:rsidRDefault="000230CC" w:rsidP="00AE14F0">
      <w:pPr>
        <w:pStyle w:val="BodyCopy"/>
        <w:spacing w:before="120"/>
      </w:pPr>
      <w:r>
        <w:t xml:space="preserve">The Strategy highlights a need to undertake strategic research for the development of QUM initiatives that includes building the evidence base, trialling evidence-based interventions and the monitoring and evaluation of effective interventions </w:t>
      </w:r>
      <w:sdt>
        <w:sdtPr>
          <w:id w:val="634452487"/>
          <w:citation/>
        </w:sdtPr>
        <w:sdtContent>
          <w:r>
            <w:fldChar w:fldCharType="begin"/>
          </w:r>
          <w:r>
            <w:rPr>
              <w:lang w:val="en-US"/>
            </w:rPr>
            <w:instrText xml:space="preserve"> CITATION Com02 \l 1033 </w:instrText>
          </w:r>
          <w:r>
            <w:fldChar w:fldCharType="separate"/>
          </w:r>
          <w:r w:rsidR="008B7448" w:rsidRPr="008B7448">
            <w:rPr>
              <w:noProof/>
              <w:lang w:val="en-US"/>
            </w:rPr>
            <w:t>[6]</w:t>
          </w:r>
          <w:r>
            <w:fldChar w:fldCharType="end"/>
          </w:r>
        </w:sdtContent>
      </w:sdt>
      <w:r>
        <w:t>.</w:t>
      </w:r>
    </w:p>
    <w:p w14:paraId="43442237" w14:textId="2BE65A96" w:rsidR="000230CC" w:rsidRDefault="000230CC" w:rsidP="000230CC">
      <w:pPr>
        <w:pStyle w:val="BodyCopy"/>
      </w:pPr>
      <w:r>
        <w:t xml:space="preserve">The relationship between the actions described by the National Strategy are illustrated in </w:t>
      </w:r>
      <w:r>
        <w:fldChar w:fldCharType="begin"/>
      </w:r>
      <w:r>
        <w:instrText xml:space="preserve"> REF _Ref3385252 \h </w:instrText>
      </w:r>
      <w:r>
        <w:fldChar w:fldCharType="separate"/>
      </w:r>
      <w:r w:rsidR="006B6B4C">
        <w:t xml:space="preserve">Figure </w:t>
      </w:r>
      <w:r w:rsidR="006B6B4C">
        <w:rPr>
          <w:noProof/>
        </w:rPr>
        <w:t>2</w:t>
      </w:r>
      <w:r w:rsidR="006B6B4C">
        <w:t>.</w:t>
      </w:r>
      <w:r w:rsidR="006B6B4C">
        <w:rPr>
          <w:noProof/>
        </w:rPr>
        <w:t>2</w:t>
      </w:r>
      <w:r>
        <w:fldChar w:fldCharType="end"/>
      </w:r>
      <w:r>
        <w:t>.</w:t>
      </w:r>
    </w:p>
    <w:p w14:paraId="27E16336" w14:textId="30E2151B" w:rsidR="000230CC" w:rsidRDefault="000230CC" w:rsidP="000230CC">
      <w:pPr>
        <w:pStyle w:val="Caption"/>
      </w:pPr>
      <w:bookmarkStart w:id="23" w:name="_Ref3385252"/>
      <w:r>
        <w:t xml:space="preserve">Figure </w:t>
      </w:r>
      <w:r>
        <w:rPr>
          <w:noProof/>
        </w:rPr>
        <w:fldChar w:fldCharType="begin"/>
      </w:r>
      <w:r>
        <w:rPr>
          <w:noProof/>
        </w:rPr>
        <w:instrText xml:space="preserve"> STYLEREF 1 \s </w:instrText>
      </w:r>
      <w:r>
        <w:rPr>
          <w:noProof/>
        </w:rPr>
        <w:fldChar w:fldCharType="separate"/>
      </w:r>
      <w:r w:rsidR="008B7448">
        <w:rPr>
          <w:noProof/>
        </w:rPr>
        <w:t>2</w:t>
      </w:r>
      <w:r>
        <w:rPr>
          <w:noProof/>
        </w:rPr>
        <w:fldChar w:fldCharType="end"/>
      </w:r>
      <w:r>
        <w:t>.</w:t>
      </w:r>
      <w:r>
        <w:rPr>
          <w:noProof/>
        </w:rPr>
        <w:fldChar w:fldCharType="begin"/>
      </w:r>
      <w:r>
        <w:rPr>
          <w:noProof/>
        </w:rPr>
        <w:instrText xml:space="preserve"> SEQ Figure \* ARABIC \s 1 </w:instrText>
      </w:r>
      <w:r>
        <w:rPr>
          <w:noProof/>
        </w:rPr>
        <w:fldChar w:fldCharType="separate"/>
      </w:r>
      <w:r w:rsidR="008B7448">
        <w:rPr>
          <w:noProof/>
        </w:rPr>
        <w:t>2</w:t>
      </w:r>
      <w:r>
        <w:rPr>
          <w:noProof/>
        </w:rPr>
        <w:fldChar w:fldCharType="end"/>
      </w:r>
      <w:bookmarkEnd w:id="23"/>
      <w:r>
        <w:t xml:space="preserve"> </w:t>
      </w:r>
      <w:r w:rsidRPr="00F36870">
        <w:rPr>
          <w:rStyle w:val="Captionnotbold"/>
        </w:rPr>
        <w:t xml:space="preserve">Strategic research, evaluation and routine data collection </w:t>
      </w:r>
      <w:r>
        <w:rPr>
          <w:rStyle w:val="Captionnotbold"/>
        </w:rPr>
        <w:br/>
      </w:r>
      <w:r w:rsidRPr="00F36870">
        <w:rPr>
          <w:rStyle w:val="Captionnotbold"/>
        </w:rPr>
        <w:t>to support the development of QUM initiatives</w:t>
      </w:r>
    </w:p>
    <w:p w14:paraId="0CA7D02F" w14:textId="77777777" w:rsidR="000230CC" w:rsidRDefault="000230CC" w:rsidP="000230CC">
      <w:pPr>
        <w:pStyle w:val="BodyCopy"/>
        <w:jc w:val="center"/>
      </w:pPr>
      <w:r>
        <w:rPr>
          <w:noProof/>
          <w:lang w:val="en-US"/>
        </w:rPr>
        <w:drawing>
          <wp:inline distT="0" distB="0" distL="0" distR="0" wp14:anchorId="5AF2CEDF" wp14:editId="147C361F">
            <wp:extent cx="4306830" cy="3221764"/>
            <wp:effectExtent l="0" t="0" r="0" b="0"/>
            <wp:docPr id="6" name="Picture 6" descr="Figure 2.2 Diagram: strategic research, evaluation and routine data collection to support the development of QUM initiat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316671" cy="3229126"/>
                    </a:xfrm>
                    <a:prstGeom prst="rect">
                      <a:avLst/>
                    </a:prstGeom>
                    <a:noFill/>
                  </pic:spPr>
                </pic:pic>
              </a:graphicData>
            </a:graphic>
          </wp:inline>
        </w:drawing>
      </w:r>
    </w:p>
    <w:p w14:paraId="1CEA4C14" w14:textId="77777777" w:rsidR="000230CC" w:rsidRDefault="000230CC" w:rsidP="000230CC">
      <w:pPr>
        <w:pStyle w:val="TableNotes"/>
      </w:pPr>
      <w:r>
        <w:t>Source: Adapted from Commonwealth Department of Health (2002) ‘National Strategy for Quality Use of Medicines’</w:t>
      </w:r>
    </w:p>
    <w:p w14:paraId="1751C21C" w14:textId="77777777" w:rsidR="006A4A32" w:rsidRDefault="000230CC" w:rsidP="000230CC">
      <w:pPr>
        <w:pStyle w:val="BodyCopy"/>
      </w:pPr>
      <w:r>
        <w:t>The principles within the National Strategy for QUM are applicable to the PTP. The focus on research and evaluation is consistent with the intended outcomes of the PTP to provide robust clinical and economic evidence prior to funding ongoing programs.</w:t>
      </w:r>
    </w:p>
    <w:p w14:paraId="0BC2FED7" w14:textId="77777777" w:rsidR="006A4A32" w:rsidRDefault="000230CC" w:rsidP="000230CC">
      <w:pPr>
        <w:pStyle w:val="Heading2"/>
        <w:spacing w:before="369" w:after="170" w:line="384" w:lineRule="atLeast"/>
        <w:ind w:left="992" w:hanging="992"/>
      </w:pPr>
      <w:bookmarkStart w:id="24" w:name="_Ref10278958"/>
      <w:bookmarkStart w:id="25" w:name="_Ref10278962"/>
      <w:bookmarkStart w:id="26" w:name="_Ref10315458"/>
      <w:bookmarkStart w:id="27" w:name="_Ref10379839"/>
      <w:bookmarkStart w:id="28" w:name="_Ref10379844"/>
      <w:bookmarkStart w:id="29" w:name="_Ref10380338"/>
      <w:bookmarkStart w:id="30" w:name="_Toc19097747"/>
      <w:bookmarkStart w:id="31" w:name="_Toc26366353"/>
      <w:r>
        <w:t>CHANGING LANDSCAPE of Pharmacy in primary care</w:t>
      </w:r>
      <w:bookmarkEnd w:id="24"/>
      <w:bookmarkEnd w:id="25"/>
      <w:bookmarkEnd w:id="26"/>
      <w:bookmarkEnd w:id="27"/>
      <w:bookmarkEnd w:id="28"/>
      <w:bookmarkEnd w:id="29"/>
      <w:bookmarkEnd w:id="30"/>
      <w:bookmarkEnd w:id="31"/>
    </w:p>
    <w:p w14:paraId="3855C484" w14:textId="77777777" w:rsidR="006A4A32" w:rsidRDefault="000230CC" w:rsidP="000230CC">
      <w:pPr>
        <w:pStyle w:val="BodyCopy"/>
      </w:pPr>
      <w:r>
        <w:t xml:space="preserve">In the latest report on Australia’s Health (2018), the Australian Institute of Health and Welfare (AIHW) notes that, although </w:t>
      </w:r>
      <w:r w:rsidRPr="00871194">
        <w:t xml:space="preserve">Australians are living longer, </w:t>
      </w:r>
      <w:r>
        <w:t xml:space="preserve">half </w:t>
      </w:r>
      <w:r w:rsidRPr="00871194">
        <w:t>are living with at least one chronic condition</w:t>
      </w:r>
      <w:r>
        <w:t xml:space="preserve">, which collectively are the </w:t>
      </w:r>
      <w:r w:rsidRPr="00871194">
        <w:t>leading cause</w:t>
      </w:r>
      <w:r>
        <w:t>s</w:t>
      </w:r>
      <w:r w:rsidRPr="00871194">
        <w:t xml:space="preserve"> of ill health </w:t>
      </w:r>
      <w:r>
        <w:t xml:space="preserve">in Australia </w:t>
      </w:r>
      <w:sdt>
        <w:sdtPr>
          <w:id w:val="-830901748"/>
          <w:citation/>
        </w:sdtPr>
        <w:sdtContent>
          <w:r>
            <w:fldChar w:fldCharType="begin"/>
          </w:r>
          <w:r>
            <w:rPr>
              <w:lang w:val="en-US"/>
            </w:rPr>
            <w:instrText xml:space="preserve">CITATION Aus185 \l 1033 </w:instrText>
          </w:r>
          <w:r>
            <w:fldChar w:fldCharType="separate"/>
          </w:r>
          <w:r w:rsidR="008B7448" w:rsidRPr="008B7448">
            <w:rPr>
              <w:noProof/>
              <w:lang w:val="en-US"/>
            </w:rPr>
            <w:t>[7]</w:t>
          </w:r>
          <w:r>
            <w:fldChar w:fldCharType="end"/>
          </w:r>
        </w:sdtContent>
      </w:sdt>
      <w:r>
        <w:t xml:space="preserve">. Accordingly, primary health care has an integral role in supporting the health and wellbeing of Australians. Primary health care is typically a person’s first contact with the health system </w:t>
      </w:r>
      <w:sdt>
        <w:sdtPr>
          <w:id w:val="-1384554373"/>
          <w:citation/>
        </w:sdtPr>
        <w:sdtContent>
          <w:r>
            <w:fldChar w:fldCharType="begin"/>
          </w:r>
          <w:r w:rsidR="00820D12">
            <w:rPr>
              <w:lang w:val="en-US"/>
            </w:rPr>
            <w:instrText xml:space="preserve">CITATION Dep15 \l 1033 </w:instrText>
          </w:r>
          <w:r>
            <w:fldChar w:fldCharType="separate"/>
          </w:r>
          <w:r w:rsidR="008B7448" w:rsidRPr="008B7448">
            <w:rPr>
              <w:noProof/>
              <w:lang w:val="en-US"/>
            </w:rPr>
            <w:t>[8]</w:t>
          </w:r>
          <w:r>
            <w:fldChar w:fldCharType="end"/>
          </w:r>
        </w:sdtContent>
      </w:sdt>
      <w:r>
        <w:t>, and can be delivered by a variety of health professionals, including general practitioners (GPs), nurses, nurse practitioners, allied health professionals, midwives, pharmacists, dentists, and Aboriginal and Torres Strait Islander health workers.</w:t>
      </w:r>
    </w:p>
    <w:p w14:paraId="7099AC49" w14:textId="77777777" w:rsidR="006A4A32" w:rsidRDefault="000230CC" w:rsidP="000230CC">
      <w:pPr>
        <w:pStyle w:val="BodyCopy"/>
      </w:pPr>
      <w:r>
        <w:t>Medicare Benefits Schedule (MBS) and</w:t>
      </w:r>
      <w:r w:rsidRPr="00620639">
        <w:t xml:space="preserve"> </w:t>
      </w:r>
      <w:r>
        <w:t>PBS data indicated that in 2018, approximately 148.2 million visits were made to a GP and approximately 283.6</w:t>
      </w:r>
      <w:r w:rsidR="0038751A">
        <w:t> </w:t>
      </w:r>
      <w:r>
        <w:t xml:space="preserve">million prescriptions were filled (under the PBS) in Australia </w:t>
      </w:r>
      <w:sdt>
        <w:sdtPr>
          <w:id w:val="-1332220504"/>
          <w:citation/>
        </w:sdtPr>
        <w:sdtContent>
          <w:r>
            <w:fldChar w:fldCharType="begin"/>
          </w:r>
          <w:r>
            <w:rPr>
              <w:lang w:val="en-US"/>
            </w:rPr>
            <w:instrText xml:space="preserve">CITATION Aus186 \l 1033 </w:instrText>
          </w:r>
          <w:r>
            <w:fldChar w:fldCharType="separate"/>
          </w:r>
          <w:r w:rsidR="008B7448" w:rsidRPr="008B7448">
            <w:rPr>
              <w:noProof/>
              <w:lang w:val="en-US"/>
            </w:rPr>
            <w:t>[9]</w:t>
          </w:r>
          <w:r>
            <w:fldChar w:fldCharType="end"/>
          </w:r>
        </w:sdtContent>
      </w:sdt>
      <w:r>
        <w:t>. Extrapolation of this information would suggest an average of two prescriptions are filled per GP visit. This demonstrates the important relationship between GP and pharmacist in the management of primary health care.</w:t>
      </w:r>
    </w:p>
    <w:p w14:paraId="0F9D99A1" w14:textId="7AA6EB31" w:rsidR="000230CC" w:rsidRDefault="000230CC" w:rsidP="000230CC">
      <w:pPr>
        <w:pStyle w:val="Heading4"/>
      </w:pPr>
      <w:r>
        <w:t>Medication misadventure and non-dispensing pharmacist roles</w:t>
      </w:r>
    </w:p>
    <w:p w14:paraId="2C1B7EFF" w14:textId="6DCEBD34" w:rsidR="000230CC" w:rsidRDefault="000230CC" w:rsidP="000230CC">
      <w:pPr>
        <w:pStyle w:val="BodyCopy"/>
        <w:keepNext/>
      </w:pPr>
      <w:r>
        <w:t xml:space="preserve">It is estimated that approximately </w:t>
      </w:r>
      <w:r w:rsidRPr="00244896">
        <w:t xml:space="preserve">125,000 </w:t>
      </w:r>
      <w:r w:rsidRPr="00A11B27">
        <w:t xml:space="preserve">Australians </w:t>
      </w:r>
      <w:r>
        <w:t xml:space="preserve">are </w:t>
      </w:r>
      <w:r w:rsidRPr="00A11B27">
        <w:t xml:space="preserve">admitted to hospital </w:t>
      </w:r>
      <w:r>
        <w:t xml:space="preserve">annually </w:t>
      </w:r>
      <w:r w:rsidRPr="00A11B27">
        <w:t xml:space="preserve">for </w:t>
      </w:r>
      <w:r>
        <w:t xml:space="preserve">potentially preventable </w:t>
      </w:r>
      <w:r w:rsidRPr="00A11B27">
        <w:t>issues relating to medicine safety including adverse reactions</w:t>
      </w:r>
      <w:sdt>
        <w:sdtPr>
          <w:id w:val="-1162310105"/>
          <w:citation/>
        </w:sdtPr>
        <w:sdtContent>
          <w:r>
            <w:fldChar w:fldCharType="begin"/>
          </w:r>
          <w:r>
            <w:rPr>
              <w:lang w:val="en-US"/>
            </w:rPr>
            <w:instrText xml:space="preserve"> CITATION Pha19 \l 1033 </w:instrText>
          </w:r>
          <w:r>
            <w:fldChar w:fldCharType="separate"/>
          </w:r>
          <w:r w:rsidR="008B7448">
            <w:rPr>
              <w:noProof/>
              <w:lang w:val="en-US"/>
            </w:rPr>
            <w:t xml:space="preserve"> </w:t>
          </w:r>
          <w:r w:rsidR="008B7448" w:rsidRPr="008B7448">
            <w:rPr>
              <w:noProof/>
              <w:lang w:val="en-US"/>
            </w:rPr>
            <w:t>[10]</w:t>
          </w:r>
          <w:r>
            <w:fldChar w:fldCharType="end"/>
          </w:r>
        </w:sdtContent>
      </w:sdt>
      <w:r w:rsidRPr="00A11B27">
        <w:t>.</w:t>
      </w:r>
      <w:r>
        <w:t xml:space="preserve"> In 2019, the Pharmaceutical Society of Australia (PSA) report on medicines safety identified four key issues related to medicine safety in Australia. These were:</w:t>
      </w:r>
    </w:p>
    <w:p w14:paraId="198239A4" w14:textId="77777777" w:rsidR="006A4A32" w:rsidRDefault="000230CC" w:rsidP="002C22EF">
      <w:pPr>
        <w:pStyle w:val="ListBullet"/>
      </w:pPr>
      <w:r>
        <w:t>hospital admissions due to medicine misuse</w:t>
      </w:r>
      <w:r w:rsidR="002F59D8">
        <w:t>;</w:t>
      </w:r>
    </w:p>
    <w:p w14:paraId="351538A0" w14:textId="77777777" w:rsidR="006A4A32" w:rsidRDefault="000230CC" w:rsidP="002C22EF">
      <w:pPr>
        <w:pStyle w:val="ListBullet"/>
      </w:pPr>
      <w:r>
        <w:lastRenderedPageBreak/>
        <w:t>poor hospital discharge processes</w:t>
      </w:r>
      <w:r w:rsidR="002F59D8">
        <w:t>;</w:t>
      </w:r>
    </w:p>
    <w:p w14:paraId="0EA9171F" w14:textId="77777777" w:rsidR="006A4A32" w:rsidRDefault="000230CC" w:rsidP="002C22EF">
      <w:pPr>
        <w:pStyle w:val="ListBullet"/>
      </w:pPr>
      <w:r>
        <w:t>medication management in residential aged care</w:t>
      </w:r>
      <w:r w:rsidR="002F59D8">
        <w:t>;</w:t>
      </w:r>
      <w:r>
        <w:t xml:space="preserve"> and</w:t>
      </w:r>
    </w:p>
    <w:p w14:paraId="672E8FA3" w14:textId="77777777" w:rsidR="006A4A32" w:rsidRDefault="000230CC" w:rsidP="002C22EF">
      <w:pPr>
        <w:pStyle w:val="ListBullet"/>
      </w:pPr>
      <w:r>
        <w:t xml:space="preserve">adverse medication reactions within the community </w:t>
      </w:r>
      <w:sdt>
        <w:sdtPr>
          <w:id w:val="764579874"/>
          <w:citation/>
        </w:sdtPr>
        <w:sdtContent>
          <w:r>
            <w:fldChar w:fldCharType="begin"/>
          </w:r>
          <w:r>
            <w:instrText xml:space="preserve"> CITATION Pha19 \l 3081 </w:instrText>
          </w:r>
          <w:r>
            <w:fldChar w:fldCharType="separate"/>
          </w:r>
          <w:r w:rsidR="008B7448" w:rsidRPr="008B7448">
            <w:rPr>
              <w:noProof/>
            </w:rPr>
            <w:t>[10]</w:t>
          </w:r>
          <w:r>
            <w:fldChar w:fldCharType="end"/>
          </w:r>
        </w:sdtContent>
      </w:sdt>
      <w:r>
        <w:t>.</w:t>
      </w:r>
    </w:p>
    <w:p w14:paraId="082A1BFC" w14:textId="7BA0E999" w:rsidR="000230CC" w:rsidRDefault="000230CC" w:rsidP="00AE14F0">
      <w:pPr>
        <w:pStyle w:val="BodyCopy"/>
        <w:spacing w:before="120"/>
      </w:pPr>
      <w:r>
        <w:t>Proper medication management requires an interdisciplinary approach with pharmacists as key members of the primary care team. The scope and range of services provided by pharmacists has expanded over the last 30 years, with the introduction of Community Pharmacy Programmes in successive CPAs. This has also enabled pharmacists to extend services beyond the retail pharmacy outlet into people’s homes (Home Medicine Review</w:t>
      </w:r>
      <w:r w:rsidR="00AF35A4">
        <w:t>s</w:t>
      </w:r>
      <w:r>
        <w:t>) and RACFs (Residential Medication Management Reviews</w:t>
      </w:r>
      <w:r w:rsidR="006B745C">
        <w:t xml:space="preserve"> (RMMRs)</w:t>
      </w:r>
      <w:r>
        <w:t>). This recognises the potential value of extending pharmacy services into active medicines management interventions with the aim of improving consumer health outcomes</w:t>
      </w:r>
      <w:sdt>
        <w:sdtPr>
          <w:id w:val="817390810"/>
          <w:citation/>
        </w:sdtPr>
        <w:sdtContent>
          <w:r>
            <w:fldChar w:fldCharType="begin"/>
          </w:r>
          <w:r w:rsidR="00820D12">
            <w:rPr>
              <w:lang w:val="en-US"/>
            </w:rPr>
            <w:instrText xml:space="preserve">CITATION Com164 \l 1033 </w:instrText>
          </w:r>
          <w:r>
            <w:fldChar w:fldCharType="separate"/>
          </w:r>
          <w:r w:rsidR="008B7448">
            <w:rPr>
              <w:noProof/>
              <w:lang w:val="en-US"/>
            </w:rPr>
            <w:t xml:space="preserve"> </w:t>
          </w:r>
          <w:r w:rsidR="008B7448" w:rsidRPr="008B7448">
            <w:rPr>
              <w:noProof/>
              <w:lang w:val="en-US"/>
            </w:rPr>
            <w:t>[11]</w:t>
          </w:r>
          <w:r>
            <w:fldChar w:fldCharType="end"/>
          </w:r>
        </w:sdtContent>
      </w:sdt>
      <w:r>
        <w:t>.</w:t>
      </w:r>
    </w:p>
    <w:p w14:paraId="624C9FF4" w14:textId="77777777" w:rsidR="006A4A32" w:rsidRDefault="000230CC" w:rsidP="000230CC">
      <w:pPr>
        <w:pStyle w:val="BodyCopy"/>
      </w:pPr>
      <w:r>
        <w:t>The Australian Government recognises the important role that the pharmacy profession</w:t>
      </w:r>
      <w:r w:rsidR="00425FF5">
        <w:t xml:space="preserve"> </w:t>
      </w:r>
      <w:r>
        <w:t>plays in primary health care and in improving patient health outcomes. For example, the Community Pharmacy in Health Care Homes Trial Program is an initiative (funded under the 6CPA) to support the incorporation of medication management planning and programs within Health Care Homes</w:t>
      </w:r>
      <w:r w:rsidRPr="002575BB">
        <w:t xml:space="preserve"> </w:t>
      </w:r>
      <w:sdt>
        <w:sdtPr>
          <w:id w:val="-2009900010"/>
          <w:citation/>
        </w:sdtPr>
        <w:sdtContent>
          <w:r>
            <w:fldChar w:fldCharType="begin"/>
          </w:r>
          <w:r w:rsidR="00820D12">
            <w:rPr>
              <w:lang w:val="en-US"/>
            </w:rPr>
            <w:instrText xml:space="preserve">CITATION Six19 \l 1033 </w:instrText>
          </w:r>
          <w:r>
            <w:fldChar w:fldCharType="separate"/>
          </w:r>
          <w:r w:rsidR="008B7448" w:rsidRPr="008B7448">
            <w:rPr>
              <w:noProof/>
              <w:lang w:val="en-US"/>
            </w:rPr>
            <w:t>[12]</w:t>
          </w:r>
          <w:r>
            <w:fldChar w:fldCharType="end"/>
          </w:r>
        </w:sdtContent>
      </w:sdt>
      <w:r>
        <w:t xml:space="preserve">. </w:t>
      </w:r>
      <w:r w:rsidRPr="00F0043F">
        <w:t xml:space="preserve">Health Care Homes </w:t>
      </w:r>
      <w:r>
        <w:t xml:space="preserve">aims to provide </w:t>
      </w:r>
      <w:r w:rsidRPr="00F0043F">
        <w:t>better manage</w:t>
      </w:r>
      <w:r>
        <w:t xml:space="preserve">ment of chronic conditions through </w:t>
      </w:r>
      <w:r w:rsidRPr="00F0043F">
        <w:t xml:space="preserve">coordinated, integrated care, provided at </w:t>
      </w:r>
      <w:r>
        <w:t xml:space="preserve">the </w:t>
      </w:r>
      <w:r w:rsidRPr="00F0043F">
        <w:t xml:space="preserve">usual GP clinic or </w:t>
      </w:r>
      <w:r>
        <w:t>Aboriginal Community Controlled Health Service (A</w:t>
      </w:r>
      <w:r w:rsidRPr="00F0043F">
        <w:t>CCHS</w:t>
      </w:r>
      <w:r>
        <w:t xml:space="preserve">) </w:t>
      </w:r>
      <w:sdt>
        <w:sdtPr>
          <w:id w:val="1137916962"/>
          <w:citation/>
        </w:sdtPr>
        <w:sdtContent>
          <w:r>
            <w:fldChar w:fldCharType="begin"/>
          </w:r>
          <w:r w:rsidR="00820D12">
            <w:rPr>
              <w:lang w:val="en-US"/>
            </w:rPr>
            <w:instrText xml:space="preserve">CITATION Dep19 \l 1033 </w:instrText>
          </w:r>
          <w:r>
            <w:fldChar w:fldCharType="separate"/>
          </w:r>
          <w:r w:rsidR="008B7448" w:rsidRPr="008B7448">
            <w:rPr>
              <w:noProof/>
              <w:lang w:val="en-US"/>
            </w:rPr>
            <w:t>[13]</w:t>
          </w:r>
          <w:r>
            <w:fldChar w:fldCharType="end"/>
          </w:r>
        </w:sdtContent>
      </w:sdt>
      <w:r w:rsidRPr="00F0043F">
        <w:t>.</w:t>
      </w:r>
      <w:r>
        <w:t xml:space="preserve"> Community pharmacy’s role in Health Care Homes is to conduct an initial reconciliation of the patient’s medications and develop a collaborative Medication Management Plan </w:t>
      </w:r>
      <w:sdt>
        <w:sdtPr>
          <w:id w:val="475573150"/>
          <w:citation/>
        </w:sdtPr>
        <w:sdtContent>
          <w:r>
            <w:fldChar w:fldCharType="begin"/>
          </w:r>
          <w:r w:rsidR="00820D12">
            <w:rPr>
              <w:lang w:val="en-US"/>
            </w:rPr>
            <w:instrText xml:space="preserve">CITATION Six19 \l 1033 </w:instrText>
          </w:r>
          <w:r>
            <w:fldChar w:fldCharType="separate"/>
          </w:r>
          <w:r w:rsidR="008B7448" w:rsidRPr="008B7448">
            <w:rPr>
              <w:noProof/>
              <w:lang w:val="en-US"/>
            </w:rPr>
            <w:t>[12]</w:t>
          </w:r>
          <w:r>
            <w:fldChar w:fldCharType="end"/>
          </w:r>
        </w:sdtContent>
      </w:sdt>
      <w:r>
        <w:t>. Within this trial, community pharmacists provide services in the GP clinic setting. Health Care Homes is being trialled in ten Primary Health Networks (PHNs) across Australia.</w:t>
      </w:r>
    </w:p>
    <w:p w14:paraId="0BA85D7C" w14:textId="77777777" w:rsidR="006A4A32" w:rsidRDefault="000230CC" w:rsidP="000230CC">
      <w:pPr>
        <w:pStyle w:val="BodyCopy"/>
      </w:pPr>
      <w:r>
        <w:t xml:space="preserve">Use of non-dispensing pharmacists within GP clinics is supported by the Australian Medical Association (AMA) </w:t>
      </w:r>
      <w:sdt>
        <w:sdtPr>
          <w:id w:val="1334342130"/>
          <w:citation/>
        </w:sdtPr>
        <w:sdtContent>
          <w:r>
            <w:fldChar w:fldCharType="begin"/>
          </w:r>
          <w:r>
            <w:rPr>
              <w:lang w:val="en-US"/>
            </w:rPr>
            <w:instrText xml:space="preserve">CITATION Aus193 \l 1033 </w:instrText>
          </w:r>
          <w:r>
            <w:fldChar w:fldCharType="separate"/>
          </w:r>
          <w:r w:rsidR="008B7448" w:rsidRPr="008B7448">
            <w:rPr>
              <w:noProof/>
              <w:lang w:val="en-US"/>
            </w:rPr>
            <w:t>[14]</w:t>
          </w:r>
          <w:r>
            <w:fldChar w:fldCharType="end"/>
          </w:r>
        </w:sdtContent>
      </w:sdt>
      <w:r>
        <w:t xml:space="preserve"> and the PSA </w:t>
      </w:r>
      <w:sdt>
        <w:sdtPr>
          <w:id w:val="417609480"/>
          <w:citation/>
        </w:sdtPr>
        <w:sdtContent>
          <w:r>
            <w:fldChar w:fldCharType="begin"/>
          </w:r>
          <w:r w:rsidR="00820D12">
            <w:rPr>
              <w:lang w:val="en-US"/>
            </w:rPr>
            <w:instrText xml:space="preserve">CITATION AJP19 \l 1033 </w:instrText>
          </w:r>
          <w:r>
            <w:fldChar w:fldCharType="separate"/>
          </w:r>
          <w:r w:rsidR="008B7448" w:rsidRPr="008B7448">
            <w:rPr>
              <w:noProof/>
              <w:lang w:val="en-US"/>
            </w:rPr>
            <w:t>[15]</w:t>
          </w:r>
          <w:r>
            <w:fldChar w:fldCharType="end"/>
          </w:r>
        </w:sdtContent>
      </w:sdt>
      <w:r>
        <w:t>. In addition to the Health Care Homes trials, numerous PHNs across Australia are also investigating the effectiveness of having non-dispensing pharmacists in GP clinics, including North Western Melbourne PHN, Eastern Melbourne PHN, and the Australian Capital Territory PHN.</w:t>
      </w:r>
    </w:p>
    <w:p w14:paraId="1C87B174" w14:textId="77777777" w:rsidR="006A4A32" w:rsidRDefault="000230CC" w:rsidP="000230CC">
      <w:pPr>
        <w:pStyle w:val="BodyCopy"/>
      </w:pPr>
      <w:r w:rsidRPr="003013E2">
        <w:t xml:space="preserve">The PSA </w:t>
      </w:r>
      <w:r>
        <w:t xml:space="preserve">also supports the </w:t>
      </w:r>
      <w:r w:rsidRPr="003013E2">
        <w:t xml:space="preserve">integration of pharmacists into residential aged care due to the high prevalence of medication related issues in this setting </w:t>
      </w:r>
      <w:sdt>
        <w:sdtPr>
          <w:id w:val="-248280063"/>
          <w:citation/>
        </w:sdtPr>
        <w:sdtContent>
          <w:r w:rsidRPr="003013E2">
            <w:fldChar w:fldCharType="begin"/>
          </w:r>
          <w:r w:rsidRPr="003013E2">
            <w:rPr>
              <w:lang w:val="en-US"/>
            </w:rPr>
            <w:instrText xml:space="preserve"> CITATION Pha19 \l 1033 </w:instrText>
          </w:r>
          <w:r w:rsidRPr="003013E2">
            <w:fldChar w:fldCharType="separate"/>
          </w:r>
          <w:r w:rsidR="008B7448" w:rsidRPr="008B7448">
            <w:rPr>
              <w:noProof/>
              <w:lang w:val="en-US"/>
            </w:rPr>
            <w:t>[10]</w:t>
          </w:r>
          <w:r w:rsidRPr="003013E2">
            <w:fldChar w:fldCharType="end"/>
          </w:r>
        </w:sdtContent>
      </w:sdt>
      <w:r w:rsidRPr="003013E2">
        <w:t>.</w:t>
      </w:r>
    </w:p>
    <w:p w14:paraId="0ECBE00F" w14:textId="77777777" w:rsidR="006A4A32" w:rsidRDefault="000230CC" w:rsidP="000230CC">
      <w:pPr>
        <w:pStyle w:val="BodyCopy"/>
      </w:pPr>
      <w:r>
        <w:t>Trialling of non-dispensing pharmacist roles expands the capacity of services that pharmacists could deliver in primary health care in future. The challenge will be to ensure the workforce and funding streams are available, and that the model enhances, but does not compete, with existing community pharmacy models.</w:t>
      </w:r>
    </w:p>
    <w:p w14:paraId="68C6ADBC" w14:textId="77777777" w:rsidR="006A4A32" w:rsidRDefault="000230CC" w:rsidP="000230CC">
      <w:pPr>
        <w:pStyle w:val="Heading4"/>
      </w:pPr>
      <w:r>
        <w:t>Digital Health – My Health Record</w:t>
      </w:r>
    </w:p>
    <w:p w14:paraId="233C2A27" w14:textId="77777777" w:rsidR="006A4A32" w:rsidRDefault="000230CC" w:rsidP="000230CC">
      <w:pPr>
        <w:pStyle w:val="BodyCopy"/>
      </w:pPr>
      <w:r>
        <w:t>The Australian Government has invested in electronic medical records (My Health Record). My Health Record is a secure online summary of an individual’s health information</w:t>
      </w:r>
      <w:sdt>
        <w:sdtPr>
          <w:id w:val="1643615222"/>
          <w:citation/>
        </w:sdtPr>
        <w:sdtContent>
          <w:r>
            <w:fldChar w:fldCharType="begin"/>
          </w:r>
          <w:r>
            <w:rPr>
              <w:lang w:val="en-US"/>
            </w:rPr>
            <w:instrText xml:space="preserve"> CITATION Hea19 \l 1033 </w:instrText>
          </w:r>
          <w:r>
            <w:fldChar w:fldCharType="separate"/>
          </w:r>
          <w:r w:rsidR="008B7448">
            <w:rPr>
              <w:noProof/>
              <w:lang w:val="en-US"/>
            </w:rPr>
            <w:t xml:space="preserve"> </w:t>
          </w:r>
          <w:r w:rsidR="008B7448" w:rsidRPr="008B7448">
            <w:rPr>
              <w:noProof/>
              <w:lang w:val="en-US"/>
            </w:rPr>
            <w:t>[16]</w:t>
          </w:r>
          <w:r>
            <w:fldChar w:fldCharType="end"/>
          </w:r>
        </w:sdtContent>
      </w:sdt>
      <w:r>
        <w:t xml:space="preserve">. As at February 2019, there was a 90 per cent participation rate for My Health Record and over 15,000 health care provider organisations registered, including 4,609 pharmacies </w:t>
      </w:r>
      <w:sdt>
        <w:sdtPr>
          <w:id w:val="-585310757"/>
          <w:citation/>
        </w:sdtPr>
        <w:sdtContent>
          <w:r>
            <w:fldChar w:fldCharType="begin"/>
          </w:r>
          <w:r>
            <w:rPr>
              <w:lang w:val="en-US"/>
            </w:rPr>
            <w:instrText xml:space="preserve">CITATION Aus192 \l 1033 </w:instrText>
          </w:r>
          <w:r>
            <w:fldChar w:fldCharType="separate"/>
          </w:r>
          <w:r w:rsidR="008B7448" w:rsidRPr="008B7448">
            <w:rPr>
              <w:noProof/>
              <w:lang w:val="en-US"/>
            </w:rPr>
            <w:t>[17]</w:t>
          </w:r>
          <w:r>
            <w:fldChar w:fldCharType="end"/>
          </w:r>
        </w:sdtContent>
      </w:sdt>
      <w:r>
        <w:t>.</w:t>
      </w:r>
    </w:p>
    <w:p w14:paraId="0A8B4858" w14:textId="77777777" w:rsidR="006A4A32" w:rsidRDefault="000230CC" w:rsidP="000230CC">
      <w:pPr>
        <w:pStyle w:val="BodyCopy"/>
      </w:pPr>
      <w:r>
        <w:t>My Health Record is designed to equip pharmacists with additional information to provide greater patient care, especially during transition of care (from the hospital to the community and vice versa) when medication errors are most likely to occur </w:t>
      </w:r>
      <w:sdt>
        <w:sdtPr>
          <w:id w:val="1842817513"/>
          <w:citation/>
        </w:sdtPr>
        <w:sdtContent>
          <w:r>
            <w:fldChar w:fldCharType="begin"/>
          </w:r>
          <w:r>
            <w:rPr>
              <w:lang w:val="en-US"/>
            </w:rPr>
            <w:instrText xml:space="preserve"> CITATION Aus \l 1033 </w:instrText>
          </w:r>
          <w:r>
            <w:fldChar w:fldCharType="separate"/>
          </w:r>
          <w:r w:rsidR="008B7448" w:rsidRPr="008B7448">
            <w:rPr>
              <w:noProof/>
              <w:lang w:val="en-US"/>
            </w:rPr>
            <w:t>[18]</w:t>
          </w:r>
          <w:r>
            <w:fldChar w:fldCharType="end"/>
          </w:r>
        </w:sdtContent>
      </w:sdt>
      <w:r>
        <w:t>.</w:t>
      </w:r>
    </w:p>
    <w:p w14:paraId="1E5EEA3A" w14:textId="77777777" w:rsidR="006A4A32" w:rsidRDefault="000230CC" w:rsidP="000230CC">
      <w:pPr>
        <w:pStyle w:val="BodyCopy"/>
        <w:keepNext/>
      </w:pPr>
      <w:r>
        <w:t xml:space="preserve">For community pharmacy, My Health Record provides new opportunities in service provision through timely </w:t>
      </w:r>
      <w:r w:rsidRPr="00B456CB">
        <w:t xml:space="preserve">access to an individual’s key health information. This </w:t>
      </w:r>
      <w:r>
        <w:t>will:</w:t>
      </w:r>
    </w:p>
    <w:p w14:paraId="22797E57" w14:textId="77777777" w:rsidR="006A4A32" w:rsidRDefault="000230CC" w:rsidP="002C22EF">
      <w:pPr>
        <w:pStyle w:val="ListBullet"/>
      </w:pPr>
      <w:r>
        <w:t>enhance delivery of Medication Management services such as MedsCheck</w:t>
      </w:r>
      <w:r w:rsidR="00244896">
        <w:t>;</w:t>
      </w:r>
      <w:r>
        <w:t xml:space="preserve"> Home Medicines Review, Residential Medication Management Review</w:t>
      </w:r>
      <w:r w:rsidR="00AF35A4">
        <w:t>;</w:t>
      </w:r>
    </w:p>
    <w:p w14:paraId="51B7A379" w14:textId="3A4C76E2" w:rsidR="000230CC" w:rsidRDefault="000230CC" w:rsidP="002C22EF">
      <w:pPr>
        <w:pStyle w:val="ListBullet"/>
      </w:pPr>
      <w:r>
        <w:t>improve efficiency of professional services, such as medication reconciliation, by reducing time spent gathering information from multiple sources</w:t>
      </w:r>
      <w:r w:rsidR="00AF35A4">
        <w:t>;</w:t>
      </w:r>
    </w:p>
    <w:p w14:paraId="0E28E88A" w14:textId="77777777" w:rsidR="006A4A32" w:rsidRDefault="000230CC" w:rsidP="002C22EF">
      <w:pPr>
        <w:pStyle w:val="ListBullet"/>
      </w:pPr>
      <w:r>
        <w:t>support the provision of tailored advice based on relevant and recent information</w:t>
      </w:r>
      <w:r w:rsidR="00AF35A4">
        <w:t>;</w:t>
      </w:r>
      <w:r>
        <w:t xml:space="preserve"> and</w:t>
      </w:r>
    </w:p>
    <w:p w14:paraId="6B5689B2" w14:textId="29F098F6" w:rsidR="000230CC" w:rsidRDefault="000230CC" w:rsidP="002C22EF">
      <w:pPr>
        <w:pStyle w:val="ListBullet"/>
      </w:pPr>
      <w:r>
        <w:t xml:space="preserve">support continuity of patient care and inter-professional collaboration </w:t>
      </w:r>
      <w:sdt>
        <w:sdtPr>
          <w:id w:val="2003388158"/>
          <w:citation/>
        </w:sdtPr>
        <w:sdtContent>
          <w:r>
            <w:fldChar w:fldCharType="begin"/>
          </w:r>
          <w:r>
            <w:rPr>
              <w:lang w:val="en-US"/>
            </w:rPr>
            <w:instrText xml:space="preserve"> CITATION Aus \l 1033 </w:instrText>
          </w:r>
          <w:r>
            <w:fldChar w:fldCharType="separate"/>
          </w:r>
          <w:r w:rsidR="008B7448" w:rsidRPr="008B7448">
            <w:rPr>
              <w:noProof/>
              <w:lang w:val="en-US"/>
            </w:rPr>
            <w:t>[18]</w:t>
          </w:r>
          <w:r>
            <w:fldChar w:fldCharType="end"/>
          </w:r>
        </w:sdtContent>
      </w:sdt>
      <w:r>
        <w:t>.</w:t>
      </w:r>
    </w:p>
    <w:p w14:paraId="71ED728A" w14:textId="77777777" w:rsidR="000230CC" w:rsidRDefault="000230CC" w:rsidP="00AE14F0">
      <w:pPr>
        <w:pStyle w:val="BodyCopy"/>
        <w:spacing w:before="120"/>
      </w:pPr>
      <w:r w:rsidRPr="00F406BE">
        <w:t>Recent enhancements to the medicines list have been announced for My Health Record. The new medicines list (named the Pharmacists Shared Medicines List (PSML)) will include over</w:t>
      </w:r>
      <w:r>
        <w:t>-</w:t>
      </w:r>
      <w:r w:rsidRPr="00F406BE">
        <w:t>the</w:t>
      </w:r>
      <w:r>
        <w:t>-</w:t>
      </w:r>
      <w:r w:rsidRPr="00F406BE">
        <w:t>counter medicine information for people with a chronic condition as well as prescription medication information.</w:t>
      </w:r>
    </w:p>
    <w:p w14:paraId="53330C20" w14:textId="77777777" w:rsidR="006A4A32" w:rsidRDefault="000230CC" w:rsidP="000230CC">
      <w:pPr>
        <w:pStyle w:val="BodyCopy"/>
      </w:pPr>
      <w:r>
        <w:t>My Health Record and other digital technology enhancement will change the way pharmacists work to provide services. Streamlining use of the new technologies will enhance uptake and generate more robust information for sharing with other health care providers. Research into mechanisms to integrate and streamline the use of technologies may be required to maximise the potential benefits.</w:t>
      </w:r>
    </w:p>
    <w:p w14:paraId="087FA6AE" w14:textId="77777777" w:rsidR="006A4A32" w:rsidRDefault="000230CC" w:rsidP="000230CC">
      <w:pPr>
        <w:pStyle w:val="Heading4"/>
      </w:pPr>
      <w:r>
        <w:lastRenderedPageBreak/>
        <w:t>Primary health networks and collaboration</w:t>
      </w:r>
    </w:p>
    <w:p w14:paraId="707196A1" w14:textId="68651265" w:rsidR="000230CC" w:rsidRDefault="000230CC" w:rsidP="000230CC">
      <w:pPr>
        <w:pStyle w:val="BodyCopy"/>
      </w:pPr>
      <w:r>
        <w:t xml:space="preserve">Facilitation and improvement of services through improved coordination and integration of care is another focus of the Australian Government. Through PHNs, the Government seeks to </w:t>
      </w:r>
      <w:r w:rsidRPr="003258B9">
        <w:t>increas</w:t>
      </w:r>
      <w:r>
        <w:t xml:space="preserve">e </w:t>
      </w:r>
      <w:r w:rsidRPr="003258B9">
        <w:t>the efficiency and effectiveness of medical services for patients</w:t>
      </w:r>
      <w:r>
        <w:t xml:space="preserve"> </w:t>
      </w:r>
      <w:r w:rsidRPr="003258B9">
        <w:t>and improv</w:t>
      </w:r>
      <w:r>
        <w:t>e</w:t>
      </w:r>
      <w:r w:rsidRPr="003258B9">
        <w:t xml:space="preserve"> coordination of care to ensure patients receive the right care in the right place at the right time</w:t>
      </w:r>
      <w:r>
        <w:t xml:space="preserve"> </w:t>
      </w:r>
      <w:sdt>
        <w:sdtPr>
          <w:id w:val="-135421032"/>
          <w:citation/>
        </w:sdtPr>
        <w:sdtContent>
          <w:r>
            <w:fldChar w:fldCharType="begin"/>
          </w:r>
          <w:r w:rsidR="00820D12">
            <w:rPr>
              <w:lang w:val="en-US"/>
            </w:rPr>
            <w:instrText xml:space="preserve">CITATION Dep19A \l 1033 </w:instrText>
          </w:r>
          <w:r>
            <w:fldChar w:fldCharType="separate"/>
          </w:r>
          <w:r w:rsidR="008B7448" w:rsidRPr="008B7448">
            <w:rPr>
              <w:noProof/>
              <w:lang w:val="en-US"/>
            </w:rPr>
            <w:t>[19]</w:t>
          </w:r>
          <w:r>
            <w:fldChar w:fldCharType="end"/>
          </w:r>
        </w:sdtContent>
      </w:sdt>
      <w:r>
        <w:t>.</w:t>
      </w:r>
    </w:p>
    <w:p w14:paraId="501AC51A" w14:textId="77777777" w:rsidR="006A4A32" w:rsidRDefault="000230CC" w:rsidP="000230CC">
      <w:pPr>
        <w:pStyle w:val="BodyCopy"/>
      </w:pPr>
      <w:r>
        <w:t>In addition to Health Care Homes and trials of non-dispensing pharmacists in GP clinics (as noted above), PHNs work with pharmacists and other primary health care professionals through provision of education and training sessions and support to implement new technologies such as My Health Record.</w:t>
      </w:r>
    </w:p>
    <w:p w14:paraId="3E6CB4BB" w14:textId="77777777" w:rsidR="006A4A32" w:rsidRDefault="000230CC" w:rsidP="000230CC">
      <w:pPr>
        <w:pStyle w:val="Heading4"/>
      </w:pPr>
      <w:bookmarkStart w:id="32" w:name="_Toc8217003"/>
      <w:r w:rsidRPr="00C45083">
        <w:t>Future directions for community pharmacy</w:t>
      </w:r>
      <w:bookmarkEnd w:id="32"/>
    </w:p>
    <w:p w14:paraId="18EAE528" w14:textId="77777777" w:rsidR="006A4A32" w:rsidRDefault="000230CC" w:rsidP="000230CC">
      <w:pPr>
        <w:pStyle w:val="BodyCopy"/>
      </w:pPr>
      <w:r>
        <w:t>In 2018</w:t>
      </w:r>
      <w:r w:rsidR="00AF35A4">
        <w:t>,</w:t>
      </w:r>
      <w:r>
        <w:t xml:space="preserve"> t</w:t>
      </w:r>
      <w:r w:rsidRPr="00C45083">
        <w:t xml:space="preserve">he Guild </w:t>
      </w:r>
      <w:r>
        <w:t xml:space="preserve">released the </w:t>
      </w:r>
      <w:r w:rsidRPr="0038751A">
        <w:rPr>
          <w:i/>
        </w:rPr>
        <w:t>Community Pharmacy 2025 Framework for Change.</w:t>
      </w:r>
      <w:r>
        <w:t xml:space="preserve"> This </w:t>
      </w:r>
      <w:r w:rsidRPr="00C45083">
        <w:t>recognises nine future growth pathways for community pharmacy to ensure l</w:t>
      </w:r>
      <w:r>
        <w:t>o</w:t>
      </w:r>
      <w:r w:rsidRPr="00C45083">
        <w:t>ng-term sustainability. Five of these pathways relate to health service provision by or in community pharmacy</w:t>
      </w:r>
      <w:r>
        <w:t>,</w:t>
      </w:r>
      <w:r w:rsidRPr="00C45083">
        <w:t xml:space="preserve"> as follows:</w:t>
      </w:r>
    </w:p>
    <w:p w14:paraId="4FC7C7B9" w14:textId="6B5E3A2E" w:rsidR="000230CC" w:rsidRPr="00C45083" w:rsidRDefault="000230CC" w:rsidP="00AF35A4">
      <w:pPr>
        <w:pStyle w:val="Numbers1"/>
        <w:numPr>
          <w:ilvl w:val="0"/>
          <w:numId w:val="40"/>
        </w:numPr>
        <w:ind w:left="426" w:hanging="426"/>
      </w:pPr>
      <w:r w:rsidRPr="002C22EF">
        <w:rPr>
          <w:b/>
        </w:rPr>
        <w:t>Health services</w:t>
      </w:r>
      <w:r w:rsidRPr="00C45083">
        <w:t>: provide health services in the pharmacy, including medication management, preventative health, screening and chronic disease support.</w:t>
      </w:r>
    </w:p>
    <w:p w14:paraId="3E45D594" w14:textId="77777777" w:rsidR="000230CC" w:rsidRPr="00C45083" w:rsidRDefault="000230CC" w:rsidP="00AF35A4">
      <w:pPr>
        <w:pStyle w:val="Numbers1"/>
        <w:tabs>
          <w:tab w:val="clear" w:pos="360"/>
          <w:tab w:val="num" w:pos="426"/>
        </w:tabs>
        <w:ind w:left="426" w:hanging="426"/>
      </w:pPr>
      <w:r w:rsidRPr="00C45083">
        <w:rPr>
          <w:b/>
        </w:rPr>
        <w:t>Community health hub</w:t>
      </w:r>
      <w:r w:rsidRPr="00C45083">
        <w:t>: enable other health professionals to provide patient services making community pharmacy a health hub.</w:t>
      </w:r>
    </w:p>
    <w:p w14:paraId="1206E442" w14:textId="77777777" w:rsidR="006A4A32" w:rsidRDefault="000230CC" w:rsidP="00AF35A4">
      <w:pPr>
        <w:pStyle w:val="Numbers1"/>
        <w:tabs>
          <w:tab w:val="clear" w:pos="360"/>
          <w:tab w:val="num" w:pos="426"/>
        </w:tabs>
        <w:ind w:left="426" w:hanging="426"/>
      </w:pPr>
      <w:r w:rsidRPr="00C45083">
        <w:rPr>
          <w:b/>
        </w:rPr>
        <w:t>Digital enablement</w:t>
      </w:r>
      <w:r w:rsidRPr="00C45083">
        <w:t>: integrate digital health into community pharmacy practice and embrace digital technologies as a whole</w:t>
      </w:r>
      <w:r>
        <w:t>-</w:t>
      </w:r>
      <w:r w:rsidRPr="00C45083">
        <w:t>of</w:t>
      </w:r>
      <w:r>
        <w:t>-</w:t>
      </w:r>
      <w:r w:rsidRPr="00C45083">
        <w:t>business enabler.</w:t>
      </w:r>
    </w:p>
    <w:p w14:paraId="097E02A8" w14:textId="0665FF7C" w:rsidR="000230CC" w:rsidRPr="00C45083" w:rsidRDefault="000230CC" w:rsidP="00AF35A4">
      <w:pPr>
        <w:pStyle w:val="Numbers1"/>
        <w:tabs>
          <w:tab w:val="clear" w:pos="360"/>
          <w:tab w:val="num" w:pos="426"/>
        </w:tabs>
        <w:ind w:left="426" w:hanging="426"/>
      </w:pPr>
      <w:r w:rsidRPr="00C45083">
        <w:rPr>
          <w:b/>
        </w:rPr>
        <w:t>In-home care</w:t>
      </w:r>
      <w:r w:rsidRPr="00C45083">
        <w:t>: provide a range of medication and other health services to patients in their home.</w:t>
      </w:r>
    </w:p>
    <w:p w14:paraId="42388AEC" w14:textId="145073FA" w:rsidR="000230CC" w:rsidRDefault="000230CC" w:rsidP="00AF35A4">
      <w:pPr>
        <w:pStyle w:val="Numbers1"/>
        <w:tabs>
          <w:tab w:val="clear" w:pos="360"/>
          <w:tab w:val="num" w:pos="426"/>
        </w:tabs>
        <w:ind w:left="426" w:hanging="426"/>
      </w:pPr>
      <w:r w:rsidRPr="00C45083">
        <w:rPr>
          <w:b/>
        </w:rPr>
        <w:t>Collaboration and partnership</w:t>
      </w:r>
      <w:r w:rsidRPr="00C45083">
        <w:t xml:space="preserve">: collaborate and partner with other health providers, local health networks, medicines companies, researchers and </w:t>
      </w:r>
      <w:bookmarkStart w:id="33" w:name="_Hlk10277210"/>
      <w:r w:rsidRPr="00C45083">
        <w:t xml:space="preserve">government </w:t>
      </w:r>
      <w:sdt>
        <w:sdtPr>
          <w:id w:val="-1922640195"/>
          <w:citation/>
        </w:sdtPr>
        <w:sdtContent>
          <w:r w:rsidRPr="00C45083">
            <w:fldChar w:fldCharType="begin"/>
          </w:r>
          <w:r>
            <w:rPr>
              <w:lang w:val="en-US"/>
            </w:rPr>
            <w:instrText xml:space="preserve">CITATION Pha18 \l 1033 </w:instrText>
          </w:r>
          <w:r w:rsidRPr="00C45083">
            <w:fldChar w:fldCharType="separate"/>
          </w:r>
          <w:r w:rsidR="008B7448" w:rsidRPr="008B7448">
            <w:rPr>
              <w:noProof/>
              <w:lang w:val="en-US"/>
            </w:rPr>
            <w:t>[20]</w:t>
          </w:r>
          <w:r w:rsidRPr="00C45083">
            <w:fldChar w:fldCharType="end"/>
          </w:r>
        </w:sdtContent>
      </w:sdt>
      <w:r w:rsidRPr="00C45083">
        <w:t>.</w:t>
      </w:r>
      <w:bookmarkEnd w:id="33"/>
    </w:p>
    <w:p w14:paraId="0E3659CD" w14:textId="61BCA6C8" w:rsidR="000230CC" w:rsidRDefault="000230CC" w:rsidP="00AE14F0">
      <w:pPr>
        <w:pStyle w:val="BodyCopy"/>
        <w:spacing w:before="120"/>
      </w:pPr>
      <w:r>
        <w:t xml:space="preserve">The Guild notes the support for the stated growth pathways from pharmacy owners and employees, students and patients alike (based on market research of focus group participation and thousands of survey responses) </w:t>
      </w:r>
      <w:sdt>
        <w:sdtPr>
          <w:id w:val="-145203806"/>
          <w:citation/>
        </w:sdtPr>
        <w:sdtContent>
          <w:r w:rsidRPr="00C45083">
            <w:fldChar w:fldCharType="begin"/>
          </w:r>
          <w:r>
            <w:rPr>
              <w:lang w:val="en-US"/>
            </w:rPr>
            <w:instrText xml:space="preserve">CITATION Pha18 \l 1033 </w:instrText>
          </w:r>
          <w:r w:rsidRPr="00C45083">
            <w:fldChar w:fldCharType="separate"/>
          </w:r>
          <w:r w:rsidR="008B7448" w:rsidRPr="008B7448">
            <w:rPr>
              <w:noProof/>
              <w:lang w:val="en-US"/>
            </w:rPr>
            <w:t>[20]</w:t>
          </w:r>
          <w:r w:rsidRPr="00C45083">
            <w:fldChar w:fldCharType="end"/>
          </w:r>
        </w:sdtContent>
      </w:sdt>
      <w:r w:rsidRPr="00C45083">
        <w:t>.</w:t>
      </w:r>
    </w:p>
    <w:p w14:paraId="0F9E195A" w14:textId="77777777" w:rsidR="006A4A32" w:rsidRDefault="000230CC" w:rsidP="000230CC">
      <w:pPr>
        <w:pStyle w:val="Heading2"/>
        <w:spacing w:before="369" w:after="170" w:line="384" w:lineRule="atLeast"/>
        <w:ind w:left="992" w:hanging="992"/>
      </w:pPr>
      <w:bookmarkStart w:id="34" w:name="_Ref10381856"/>
      <w:bookmarkStart w:id="35" w:name="_Ref10382771"/>
      <w:bookmarkStart w:id="36" w:name="_Toc19097748"/>
      <w:bookmarkStart w:id="37" w:name="_Toc26366354"/>
      <w:r>
        <w:t>Funding of primary health care</w:t>
      </w:r>
      <w:bookmarkEnd w:id="34"/>
      <w:bookmarkEnd w:id="35"/>
      <w:bookmarkEnd w:id="36"/>
      <w:bookmarkEnd w:id="37"/>
    </w:p>
    <w:p w14:paraId="1A255D47" w14:textId="77777777" w:rsidR="006A4A32" w:rsidRDefault="000230CC" w:rsidP="000230CC">
      <w:pPr>
        <w:pStyle w:val="BodyCopy"/>
      </w:pPr>
      <w:r>
        <w:t xml:space="preserve">Increasingly, the Australian Government is requiring ongoing evaluation of existing services and an improved evidence base for funding future services. It is vital to consider innovative ways to address health needs and improve the value and cost-effectiveness of all services, whether delivered through pharmacy or other areas of primary health care </w:t>
      </w:r>
      <w:sdt>
        <w:sdtPr>
          <w:id w:val="348150719"/>
          <w:citation/>
        </w:sdtPr>
        <w:sdtContent>
          <w:r>
            <w:fldChar w:fldCharType="begin"/>
          </w:r>
          <w:r w:rsidR="00820D12">
            <w:rPr>
              <w:lang w:val="en-US"/>
            </w:rPr>
            <w:instrText xml:space="preserve">CITATION Com164 \l 1033 </w:instrText>
          </w:r>
          <w:r>
            <w:fldChar w:fldCharType="separate"/>
          </w:r>
          <w:r w:rsidR="008B7448" w:rsidRPr="008B7448">
            <w:rPr>
              <w:noProof/>
              <w:lang w:val="en-US"/>
            </w:rPr>
            <w:t>[11]</w:t>
          </w:r>
          <w:r>
            <w:fldChar w:fldCharType="end"/>
          </w:r>
        </w:sdtContent>
      </w:sdt>
      <w:r>
        <w:t xml:space="preserve">.Therefore, new models of care </w:t>
      </w:r>
      <w:r w:rsidRPr="0007701F">
        <w:t xml:space="preserve">and service delivery must have robust evidence to demonstrate their clinical effectiveness as well as expected economic benefits for implementation. </w:t>
      </w:r>
    </w:p>
    <w:p w14:paraId="5545C414" w14:textId="1A506AFE" w:rsidR="000230CC" w:rsidRDefault="00244AA3" w:rsidP="000230CC">
      <w:pPr>
        <w:pStyle w:val="BodyCopy"/>
      </w:pPr>
      <w:r w:rsidRPr="0007701F">
        <w:t>Consistent with this approach</w:t>
      </w:r>
      <w:r w:rsidRPr="0038751A">
        <w:t xml:space="preserve">, </w:t>
      </w:r>
      <w:r w:rsidR="0053215A" w:rsidRPr="0038751A">
        <w:t xml:space="preserve">once finalised, the outcomes of all PTP trials will undergo an independent health technology assessment (HTA) to inform decisions about any future funding for trialled </w:t>
      </w:r>
      <w:r w:rsidR="0044443E" w:rsidRPr="0038751A">
        <w:t>service</w:t>
      </w:r>
      <w:r w:rsidR="0053215A" w:rsidRPr="0038751A">
        <w:t>s.</w:t>
      </w:r>
      <w:r w:rsidR="000230CC" w:rsidRPr="0038751A">
        <w:t xml:space="preserve"> </w:t>
      </w:r>
      <w:r w:rsidR="0044443E" w:rsidRPr="0038751A">
        <w:t xml:space="preserve">The </w:t>
      </w:r>
      <w:r w:rsidR="00771EE0" w:rsidRPr="0038751A">
        <w:t xml:space="preserve">recommendation of whether a trialled service </w:t>
      </w:r>
      <w:r w:rsidR="0044443E" w:rsidRPr="0038751A">
        <w:t xml:space="preserve">should be supported and publicly funded (and if so, its circumstances) will be informed by an assessment of its comparative safety, clinical effectiveness and cost-effectiveness using best available evidence. The service </w:t>
      </w:r>
      <w:r w:rsidR="00771EE0" w:rsidRPr="0038751A">
        <w:t>would also need to</w:t>
      </w:r>
      <w:r w:rsidR="0044443E" w:rsidRPr="0038751A">
        <w:t xml:space="preserve"> satisfy funding priorities as determined by the Minister for Health.</w:t>
      </w:r>
    </w:p>
    <w:p w14:paraId="6E34F24A" w14:textId="77777777" w:rsidR="006A4A32" w:rsidRDefault="000230CC" w:rsidP="000230CC">
      <w:pPr>
        <w:pStyle w:val="Heading4"/>
      </w:pPr>
      <w:r>
        <w:t>Health Technology Assessment</w:t>
      </w:r>
    </w:p>
    <w:p w14:paraId="7D919ECF" w14:textId="258610C6" w:rsidR="000230CC" w:rsidRDefault="000230CC" w:rsidP="000230CC">
      <w:pPr>
        <w:pStyle w:val="BodyCopy"/>
      </w:pPr>
      <w:r>
        <w:t>The Australian Government subsidises the cost of health-related goods and services through a range of different funding arrangements</w:t>
      </w:r>
      <w:r w:rsidR="006A4A32">
        <w:t xml:space="preserve"> </w:t>
      </w:r>
      <w:r>
        <w:t xml:space="preserve">It is not financially viable to support every new health technology that comes onto the market, so the Government aims to direct funding to health services and technologies that are clinically relevant, cost effective and safe </w:t>
      </w:r>
      <w:sdt>
        <w:sdtPr>
          <w:id w:val="65534716"/>
          <w:citation/>
        </w:sdtPr>
        <w:sdtContent>
          <w:r>
            <w:fldChar w:fldCharType="begin"/>
          </w:r>
          <w:r w:rsidR="00820D12">
            <w:rPr>
              <w:lang w:val="en-US"/>
            </w:rPr>
            <w:instrText xml:space="preserve">CITATION Dep172 \l 1033 </w:instrText>
          </w:r>
          <w:r>
            <w:fldChar w:fldCharType="separate"/>
          </w:r>
          <w:r w:rsidR="008B7448" w:rsidRPr="008B7448">
            <w:rPr>
              <w:noProof/>
              <w:lang w:val="en-US"/>
            </w:rPr>
            <w:t>[21]</w:t>
          </w:r>
          <w:r>
            <w:fldChar w:fldCharType="end"/>
          </w:r>
        </w:sdtContent>
      </w:sdt>
      <w:r>
        <w:t>.</w:t>
      </w:r>
    </w:p>
    <w:p w14:paraId="12E36AAA" w14:textId="77777777" w:rsidR="006A4A32" w:rsidRDefault="000230CC" w:rsidP="000230CC">
      <w:pPr>
        <w:pStyle w:val="BodyCopy"/>
      </w:pPr>
      <w:r>
        <w:t>A</w:t>
      </w:r>
      <w:r w:rsidR="0038751A">
        <w:t>n</w:t>
      </w:r>
      <w:r>
        <w:t xml:space="preserve"> HTA involves a range of processes and mechanisms that uses scientific evidence to assess the quality, safety, efficacy, effectiveness and cost effectiveness of health services and technologies. An</w:t>
      </w:r>
      <w:r w:rsidR="005F4563" w:rsidRPr="005F4563">
        <w:t xml:space="preserve"> </w:t>
      </w:r>
      <w:r w:rsidR="005F4563">
        <w:t>independent</w:t>
      </w:r>
      <w:r>
        <w:t xml:space="preserve"> HTA enables new services and technologies to be prioritised against existing health care interventions. Common applications for an HTA are pharmaceuticals (including vaccines), diagnostic tests, medical devices, surgically implanted prostheses, medical procedures and public health interventions. The key questions addressed are:</w:t>
      </w:r>
    </w:p>
    <w:p w14:paraId="7FBBCA2D" w14:textId="670A581E" w:rsidR="000230CC" w:rsidRDefault="000230CC" w:rsidP="002C22EF">
      <w:pPr>
        <w:pStyle w:val="ListBullet"/>
      </w:pPr>
      <w:r>
        <w:t>is it safe?</w:t>
      </w:r>
      <w:r w:rsidR="00163D84">
        <w:t>;</w:t>
      </w:r>
    </w:p>
    <w:p w14:paraId="62481D07" w14:textId="1C71E01C" w:rsidR="000230CC" w:rsidRDefault="000230CC" w:rsidP="002C22EF">
      <w:pPr>
        <w:pStyle w:val="ListBullet"/>
      </w:pPr>
      <w:r>
        <w:t>does it improve health outcomes?</w:t>
      </w:r>
      <w:r w:rsidR="00163D84">
        <w:t>; and</w:t>
      </w:r>
    </w:p>
    <w:p w14:paraId="24E859D3" w14:textId="77777777" w:rsidR="006A4A32" w:rsidRDefault="000230CC" w:rsidP="002C22EF">
      <w:pPr>
        <w:pStyle w:val="ListBullet"/>
      </w:pPr>
      <w:r>
        <w:t>is it cost effective?</w:t>
      </w:r>
      <w:sdt>
        <w:sdtPr>
          <w:id w:val="-1676952015"/>
          <w:citation/>
        </w:sdtPr>
        <w:sdtContent>
          <w:r>
            <w:fldChar w:fldCharType="begin"/>
          </w:r>
          <w:r w:rsidR="00820D12">
            <w:rPr>
              <w:lang w:val="en-US"/>
            </w:rPr>
            <w:instrText xml:space="preserve">CITATION Dep172 \l 1033 </w:instrText>
          </w:r>
          <w:r>
            <w:fldChar w:fldCharType="separate"/>
          </w:r>
          <w:r w:rsidR="008B7448">
            <w:rPr>
              <w:noProof/>
              <w:lang w:val="en-US"/>
            </w:rPr>
            <w:t xml:space="preserve"> </w:t>
          </w:r>
          <w:r w:rsidR="008B7448" w:rsidRPr="008B7448">
            <w:rPr>
              <w:noProof/>
              <w:lang w:val="en-US"/>
            </w:rPr>
            <w:t>[21]</w:t>
          </w:r>
          <w:r>
            <w:fldChar w:fldCharType="end"/>
          </w:r>
        </w:sdtContent>
      </w:sdt>
    </w:p>
    <w:p w14:paraId="0AA5539E" w14:textId="77777777" w:rsidR="006A4A32" w:rsidRDefault="000230CC" w:rsidP="00AE14F0">
      <w:pPr>
        <w:pStyle w:val="BodyCopy"/>
        <w:spacing w:before="120"/>
      </w:pPr>
      <w:r>
        <w:lastRenderedPageBreak/>
        <w:t>Several entities provide</w:t>
      </w:r>
      <w:r w:rsidR="005F4563">
        <w:t xml:space="preserve"> independent</w:t>
      </w:r>
      <w:r>
        <w:t xml:space="preserve"> HTA advice </w:t>
      </w:r>
      <w:r w:rsidRPr="00681087">
        <w:t xml:space="preserve">including the Medical Services Advisory Committee (MSAC), the Pharmaceutical Benefits Advisory Committee (PBAC), the Therapeutic Goods Administration (TGA) and the Prostheses List Advisory </w:t>
      </w:r>
      <w:r w:rsidRPr="0038751A">
        <w:t xml:space="preserve">Committee (PLAC) </w:t>
      </w:r>
      <w:sdt>
        <w:sdtPr>
          <w:id w:val="459533674"/>
          <w:citation/>
        </w:sdtPr>
        <w:sdtContent>
          <w:r w:rsidRPr="0038751A">
            <w:fldChar w:fldCharType="begin"/>
          </w:r>
          <w:r w:rsidR="00820D12">
            <w:rPr>
              <w:lang w:val="en-US"/>
            </w:rPr>
            <w:instrText xml:space="preserve">CITATION Dep172 \l 1033 </w:instrText>
          </w:r>
          <w:r w:rsidRPr="0038751A">
            <w:fldChar w:fldCharType="separate"/>
          </w:r>
          <w:r w:rsidR="008B7448" w:rsidRPr="008B7448">
            <w:rPr>
              <w:noProof/>
              <w:lang w:val="en-US"/>
            </w:rPr>
            <w:t>[21]</w:t>
          </w:r>
          <w:r w:rsidRPr="0038751A">
            <w:fldChar w:fldCharType="end"/>
          </w:r>
        </w:sdtContent>
      </w:sdt>
      <w:r w:rsidRPr="0038751A">
        <w:t>.</w:t>
      </w:r>
    </w:p>
    <w:p w14:paraId="34A64EF4" w14:textId="77777777" w:rsidR="006A4A32" w:rsidRDefault="000230CC" w:rsidP="000230CC">
      <w:pPr>
        <w:pStyle w:val="BodyCopy"/>
        <w:keepNext/>
      </w:pPr>
      <w:r w:rsidRPr="0038751A">
        <w:t xml:space="preserve">Of the existing HTA advisory bodies, </w:t>
      </w:r>
      <w:r w:rsidR="00163D84" w:rsidRPr="0038751A">
        <w:t xml:space="preserve">the </w:t>
      </w:r>
      <w:r w:rsidRPr="0038751A">
        <w:t>M</w:t>
      </w:r>
      <w:r w:rsidR="00163D84" w:rsidRPr="0038751A">
        <w:t xml:space="preserve">edical </w:t>
      </w:r>
      <w:r w:rsidRPr="0038751A">
        <w:t>S</w:t>
      </w:r>
      <w:r w:rsidR="00163D84" w:rsidRPr="0038751A">
        <w:t xml:space="preserve">ervices </w:t>
      </w:r>
      <w:r w:rsidRPr="0038751A">
        <w:t>A</w:t>
      </w:r>
      <w:r w:rsidR="00163D84" w:rsidRPr="0038751A">
        <w:t>dvisory committee (MSAC)</w:t>
      </w:r>
      <w:r w:rsidRPr="0038751A">
        <w:t xml:space="preserve"> is the most relevant regarding the objectives of the PTP.</w:t>
      </w:r>
    </w:p>
    <w:p w14:paraId="2079B18F" w14:textId="77777777" w:rsidR="006A4A32" w:rsidRDefault="00812EC5" w:rsidP="000230CC">
      <w:pPr>
        <w:pStyle w:val="BodyCopy"/>
        <w:keepNext/>
      </w:pPr>
      <w:r w:rsidRPr="0038751A">
        <w:t xml:space="preserve">The Medical Services Advisory Committee (MSAC), established in 1998, is an independent scientific committee comprised of individuals with expertise in clinical medicine, health economics and consumer matters. </w:t>
      </w:r>
    </w:p>
    <w:p w14:paraId="70384CD2" w14:textId="6B2FB683" w:rsidR="000230CC" w:rsidRPr="0038751A" w:rsidRDefault="000230CC" w:rsidP="000230CC">
      <w:pPr>
        <w:pStyle w:val="BodyCopy"/>
        <w:keepNext/>
      </w:pPr>
      <w:r w:rsidRPr="0038751A">
        <w:t>The principal role of MSAC is to advise the Minister for Health, which informs Australian Government</w:t>
      </w:r>
      <w:r w:rsidR="00AC4677" w:rsidRPr="0038751A">
        <w:t>, on medical services including those that involve new or emerging technologies and procedures, in relation to</w:t>
      </w:r>
      <w:r w:rsidRPr="0038751A">
        <w:t>:</w:t>
      </w:r>
    </w:p>
    <w:p w14:paraId="3AE81278" w14:textId="17D2F39F" w:rsidR="000230CC" w:rsidRPr="0038751A" w:rsidRDefault="00AC4677" w:rsidP="002C22EF">
      <w:pPr>
        <w:pStyle w:val="ListBullet"/>
      </w:pPr>
      <w:r w:rsidRPr="0038751A">
        <w:t xml:space="preserve">the </w:t>
      </w:r>
      <w:r w:rsidR="000230CC" w:rsidRPr="0038751A">
        <w:t xml:space="preserve">strength of evidence about the </w:t>
      </w:r>
      <w:r w:rsidRPr="0038751A">
        <w:t>comparative</w:t>
      </w:r>
      <w:r w:rsidR="005313E5" w:rsidRPr="0038751A">
        <w:t xml:space="preserve"> </w:t>
      </w:r>
      <w:r w:rsidR="000230CC" w:rsidRPr="0038751A">
        <w:t>safety, clinical effectiveness</w:t>
      </w:r>
      <w:r w:rsidR="005313E5" w:rsidRPr="0038751A">
        <w:t>,</w:t>
      </w:r>
      <w:r w:rsidR="0038751A" w:rsidRPr="0038751A">
        <w:t xml:space="preserve"> </w:t>
      </w:r>
      <w:r w:rsidR="000230CC" w:rsidRPr="0038751A">
        <w:t xml:space="preserve">cost-effectiveness </w:t>
      </w:r>
      <w:r w:rsidR="005313E5" w:rsidRPr="0038751A">
        <w:t xml:space="preserve">and total cost </w:t>
      </w:r>
      <w:r w:rsidR="00163D84" w:rsidRPr="0038751A">
        <w:t xml:space="preserve">of </w:t>
      </w:r>
      <w:r w:rsidRPr="0038751A">
        <w:t>the medical service</w:t>
      </w:r>
      <w:r w:rsidR="00163D84" w:rsidRPr="0038751A">
        <w:t>;</w:t>
      </w:r>
    </w:p>
    <w:p w14:paraId="6F3A4AE7" w14:textId="77777777" w:rsidR="006A4A32" w:rsidRDefault="000230CC" w:rsidP="002C22EF">
      <w:pPr>
        <w:pStyle w:val="ListBullet"/>
      </w:pPr>
      <w:r w:rsidRPr="0038751A">
        <w:t xml:space="preserve">whether </w:t>
      </w:r>
      <w:r w:rsidR="00AC4677" w:rsidRPr="0038751A">
        <w:t>the medical service</w:t>
      </w:r>
      <w:r w:rsidRPr="0038751A">
        <w:t xml:space="preserve"> should be publicly funded and </w:t>
      </w:r>
      <w:r w:rsidR="005313E5" w:rsidRPr="0038751A">
        <w:t xml:space="preserve">if so, </w:t>
      </w:r>
      <w:r w:rsidRPr="0038751A">
        <w:t>the circumstances under which this should occur</w:t>
      </w:r>
      <w:r w:rsidR="00163D84" w:rsidRPr="0038751A">
        <w:t>;</w:t>
      </w:r>
    </w:p>
    <w:p w14:paraId="1EB10899" w14:textId="77777777" w:rsidR="006A4A32" w:rsidRDefault="00AC4677" w:rsidP="002C22EF">
      <w:pPr>
        <w:pStyle w:val="ListBullet"/>
      </w:pPr>
      <w:r w:rsidRPr="0038751A">
        <w:t xml:space="preserve">the proposed </w:t>
      </w:r>
      <w:r w:rsidR="000230CC" w:rsidRPr="0038751A">
        <w:t xml:space="preserve">MBS item descriptor and fee for the service </w:t>
      </w:r>
      <w:r w:rsidRPr="0038751A">
        <w:t>where funding through the MBS is supported</w:t>
      </w:r>
      <w:r w:rsidR="00163D84" w:rsidRPr="0038751A">
        <w:t>;</w:t>
      </w:r>
      <w:r w:rsidR="000230CC" w:rsidRPr="0038751A">
        <w:t xml:space="preserve"> and</w:t>
      </w:r>
    </w:p>
    <w:p w14:paraId="3F859CBD" w14:textId="2A5875EF" w:rsidR="000230CC" w:rsidRPr="0038751A" w:rsidRDefault="000230CC" w:rsidP="002C22EF">
      <w:pPr>
        <w:pStyle w:val="ListBullet"/>
      </w:pPr>
      <w:r w:rsidRPr="0038751A">
        <w:t xml:space="preserve">other issues relating to the public funding of </w:t>
      </w:r>
      <w:r w:rsidR="00AC4677" w:rsidRPr="0038751A">
        <w:t>health services</w:t>
      </w:r>
      <w:r w:rsidRPr="0038751A">
        <w:t xml:space="preserve"> </w:t>
      </w:r>
      <w:r w:rsidR="00AC4677" w:rsidRPr="0038751A">
        <w:t>referred</w:t>
      </w:r>
      <w:r w:rsidRPr="0038751A">
        <w:t xml:space="preserve"> by the Minister </w:t>
      </w:r>
      <w:sdt>
        <w:sdtPr>
          <w:id w:val="-441758285"/>
          <w:citation/>
        </w:sdtPr>
        <w:sdtContent>
          <w:r w:rsidRPr="0038751A">
            <w:fldChar w:fldCharType="begin"/>
          </w:r>
          <w:r w:rsidR="00820D12">
            <w:instrText xml:space="preserve">CITATION Com173 \l 3081 </w:instrText>
          </w:r>
          <w:r w:rsidRPr="0038751A">
            <w:fldChar w:fldCharType="separate"/>
          </w:r>
          <w:r w:rsidR="008B7448" w:rsidRPr="008B7448">
            <w:rPr>
              <w:noProof/>
            </w:rPr>
            <w:t>[22]</w:t>
          </w:r>
          <w:r w:rsidRPr="0038751A">
            <w:fldChar w:fldCharType="end"/>
          </w:r>
        </w:sdtContent>
      </w:sdt>
      <w:r w:rsidRPr="0038751A">
        <w:t>.</w:t>
      </w:r>
    </w:p>
    <w:p w14:paraId="03DAC459" w14:textId="3B730D40" w:rsidR="000230CC" w:rsidRPr="0038751A" w:rsidRDefault="000230CC" w:rsidP="00AE14F0">
      <w:pPr>
        <w:pStyle w:val="BodyCopy"/>
        <w:spacing w:before="120"/>
      </w:pPr>
      <w:r w:rsidRPr="0038751A">
        <w:t xml:space="preserve">MSAC </w:t>
      </w:r>
      <w:r w:rsidR="005313E5" w:rsidRPr="0038751A">
        <w:t xml:space="preserve">is supported by </w:t>
      </w:r>
      <w:r w:rsidRPr="0038751A">
        <w:t>two sub</w:t>
      </w:r>
      <w:r w:rsidR="005313E5" w:rsidRPr="0038751A">
        <w:t>-</w:t>
      </w:r>
      <w:r w:rsidRPr="0038751A">
        <w:t>committees:</w:t>
      </w:r>
    </w:p>
    <w:p w14:paraId="7AAB3AF5" w14:textId="04BF11B0" w:rsidR="000230CC" w:rsidRDefault="000230CC" w:rsidP="002C22EF">
      <w:pPr>
        <w:pStyle w:val="ListBullet"/>
      </w:pPr>
      <w:r w:rsidRPr="0038751A">
        <w:rPr>
          <w:b/>
        </w:rPr>
        <w:t>Evaluation Sub-Committee (ESC)</w:t>
      </w:r>
      <w:r w:rsidRPr="0038751A">
        <w:rPr>
          <w:bCs/>
        </w:rPr>
        <w:t>,</w:t>
      </w:r>
      <w:r w:rsidRPr="0038751A">
        <w:rPr>
          <w:b/>
        </w:rPr>
        <w:t xml:space="preserve"> </w:t>
      </w:r>
      <w:r w:rsidRPr="0038751A">
        <w:t>provides advice to MSAC</w:t>
      </w:r>
      <w:r>
        <w:t xml:space="preserve"> on the quality, validity and relevance of the evidence presented </w:t>
      </w:r>
      <w:r w:rsidR="009443AC">
        <w:t>in applications being considered by MSAC ;</w:t>
      </w:r>
      <w:r>
        <w:t xml:space="preserve"> and</w:t>
      </w:r>
    </w:p>
    <w:p w14:paraId="1601C4CA" w14:textId="0D79FDA5" w:rsidR="000230CC" w:rsidRDefault="000230CC" w:rsidP="002C22EF">
      <w:pPr>
        <w:pStyle w:val="ListBullet"/>
      </w:pPr>
      <w:r w:rsidRPr="004B30E8">
        <w:rPr>
          <w:b/>
        </w:rPr>
        <w:t>PICO</w:t>
      </w:r>
      <w:r w:rsidRPr="004B30E8">
        <w:rPr>
          <w:rStyle w:val="FootnoteReference"/>
          <w:b/>
        </w:rPr>
        <w:footnoteReference w:id="3"/>
      </w:r>
      <w:r w:rsidRPr="004B30E8">
        <w:rPr>
          <w:b/>
        </w:rPr>
        <w:t xml:space="preserve"> Advisory Sub-Committee (PASC)</w:t>
      </w:r>
      <w:r w:rsidR="00812EC5">
        <w:rPr>
          <w:b/>
        </w:rPr>
        <w:t xml:space="preserve"> (formally the </w:t>
      </w:r>
      <w:r w:rsidR="005313E5">
        <w:rPr>
          <w:b/>
        </w:rPr>
        <w:t>Protocol Advisory Sub-Committee)</w:t>
      </w:r>
      <w:r w:rsidRPr="00F733D8">
        <w:rPr>
          <w:bCs/>
        </w:rPr>
        <w:t>,</w:t>
      </w:r>
      <w:r w:rsidRPr="004B30E8">
        <w:t xml:space="preserve"> </w:t>
      </w:r>
      <w:r>
        <w:t>which oversees the development of a PICO Confirmation intended to:</w:t>
      </w:r>
    </w:p>
    <w:p w14:paraId="5CE72F8E" w14:textId="1E331C47" w:rsidR="000230CC" w:rsidRDefault="000230CC" w:rsidP="002C22EF">
      <w:pPr>
        <w:pStyle w:val="ListBullet2"/>
      </w:pPr>
      <w:r>
        <w:t>capture current clinical practice and reasonably reflect likely future practice with the proposed new service;</w:t>
      </w:r>
    </w:p>
    <w:p w14:paraId="2C1840F1" w14:textId="77777777" w:rsidR="000230CC" w:rsidRDefault="000230CC" w:rsidP="002C22EF">
      <w:pPr>
        <w:pStyle w:val="ListBullet2"/>
      </w:pPr>
      <w:r>
        <w:t>identify all potentially impacted health care resources; and</w:t>
      </w:r>
    </w:p>
    <w:p w14:paraId="398015AC" w14:textId="6C194192" w:rsidR="000230CC" w:rsidRDefault="000230CC" w:rsidP="002C22EF">
      <w:pPr>
        <w:pStyle w:val="ListBullet2"/>
      </w:pPr>
      <w:r>
        <w:t>present the framework for evidence collection during the assessment phase of the MSAC process</w:t>
      </w:r>
      <w:r w:rsidRPr="004B30E8">
        <w:t xml:space="preserve"> </w:t>
      </w:r>
      <w:sdt>
        <w:sdtPr>
          <w:id w:val="832647697"/>
          <w:citation/>
        </w:sdtPr>
        <w:sdtContent>
          <w:r>
            <w:fldChar w:fldCharType="begin"/>
          </w:r>
          <w:r w:rsidR="00820D12">
            <w:instrText xml:space="preserve">CITATION Com173 \l 3081 </w:instrText>
          </w:r>
          <w:r>
            <w:fldChar w:fldCharType="separate"/>
          </w:r>
          <w:r w:rsidR="008B7448" w:rsidRPr="008B7448">
            <w:rPr>
              <w:noProof/>
            </w:rPr>
            <w:t>[22]</w:t>
          </w:r>
          <w:r>
            <w:fldChar w:fldCharType="end"/>
          </w:r>
        </w:sdtContent>
      </w:sdt>
      <w:r>
        <w:t>.</w:t>
      </w:r>
    </w:p>
    <w:p w14:paraId="01CC4333" w14:textId="3B3C856D" w:rsidR="000230CC" w:rsidRDefault="000230CC" w:rsidP="00AE14F0">
      <w:pPr>
        <w:pStyle w:val="BodyCopy"/>
        <w:spacing w:before="120"/>
      </w:pPr>
      <w:r>
        <w:t xml:space="preserve">Eligible PTP grant applications were required to undergo consideration by PASC. This process was designed to ensure the necessary level of clinical evidence was available to support an </w:t>
      </w:r>
      <w:r w:rsidR="005F4563">
        <w:t xml:space="preserve">independent </w:t>
      </w:r>
      <w:r>
        <w:t xml:space="preserve">HTA upon completion. Applicants were able to resubmit based on the PASC feedback </w:t>
      </w:r>
      <w:sdt>
        <w:sdtPr>
          <w:id w:val="1665121728"/>
          <w:citation/>
        </w:sdtPr>
        <w:sdtContent>
          <w:r>
            <w:fldChar w:fldCharType="begin"/>
          </w:r>
          <w:r w:rsidR="00820D12">
            <w:rPr>
              <w:lang w:val="en-US"/>
            </w:rPr>
            <w:instrText xml:space="preserve">CITATION Com164 \l 1033 </w:instrText>
          </w:r>
          <w:r>
            <w:fldChar w:fldCharType="separate"/>
          </w:r>
          <w:r w:rsidR="008B7448" w:rsidRPr="008B7448">
            <w:rPr>
              <w:noProof/>
              <w:lang w:val="en-US"/>
            </w:rPr>
            <w:t>[11]</w:t>
          </w:r>
          <w:r>
            <w:fldChar w:fldCharType="end"/>
          </w:r>
        </w:sdtContent>
      </w:sdt>
      <w:r>
        <w:t xml:space="preserve"> </w:t>
      </w:r>
      <w:sdt>
        <w:sdtPr>
          <w:id w:val="1307285196"/>
          <w:citation/>
        </w:sdtPr>
        <w:sdtContent>
          <w:r>
            <w:fldChar w:fldCharType="begin"/>
          </w:r>
          <w:r>
            <w:rPr>
              <w:lang w:val="en-US"/>
            </w:rPr>
            <w:instrText xml:space="preserve">CITATION Aus1 \l 1033 </w:instrText>
          </w:r>
          <w:r>
            <w:fldChar w:fldCharType="separate"/>
          </w:r>
          <w:r w:rsidR="008B7448" w:rsidRPr="008B7448">
            <w:rPr>
              <w:noProof/>
              <w:lang w:val="en-US"/>
            </w:rPr>
            <w:t>[23]</w:t>
          </w:r>
          <w:r>
            <w:fldChar w:fldCharType="end"/>
          </w:r>
        </w:sdtContent>
      </w:sdt>
      <w:r>
        <w:t>.</w:t>
      </w:r>
    </w:p>
    <w:p w14:paraId="68C4B5C1" w14:textId="77777777" w:rsidR="006A4A32" w:rsidRDefault="000230CC" w:rsidP="000230CC">
      <w:pPr>
        <w:pStyle w:val="Heading4"/>
      </w:pPr>
      <w:r>
        <w:t>Necessary evidence levels</w:t>
      </w:r>
    </w:p>
    <w:p w14:paraId="2C3B7550" w14:textId="1FED2C2E" w:rsidR="000230CC" w:rsidRDefault="000230CC" w:rsidP="000230CC">
      <w:pPr>
        <w:pStyle w:val="BodyCopy"/>
      </w:pPr>
      <w:r>
        <w:t>There are various types of research protocols that provide different levels of evidence strength. The National Health and Medical Research Council (NHMRC) has described a hierarchy of evidence, including:</w:t>
      </w:r>
    </w:p>
    <w:p w14:paraId="349DA594" w14:textId="77777777" w:rsidR="006A4A32" w:rsidRDefault="000230CC" w:rsidP="002C22EF">
      <w:pPr>
        <w:pStyle w:val="ListBullet"/>
      </w:pPr>
      <w:r>
        <w:t>Systematic review and critical appraisal: a comparison and analysis of primary studies within a specific study area, providing a meta-analysis</w:t>
      </w:r>
      <w:r w:rsidR="007241D5">
        <w:t>;</w:t>
      </w:r>
    </w:p>
    <w:p w14:paraId="0B6588FC" w14:textId="5D7D8D2B" w:rsidR="000230CC" w:rsidRDefault="000230CC" w:rsidP="002C22EF">
      <w:pPr>
        <w:pStyle w:val="ListBullet"/>
      </w:pPr>
      <w:r>
        <w:t>Randomised controlled trial (RCT): considered the most rigorous study methodology for determining a cause-and-effect relationship between intervention and patient outcomes by eliminating confounding variables</w:t>
      </w:r>
      <w:r w:rsidR="007241D5">
        <w:t>;</w:t>
      </w:r>
      <w:r>
        <w:t xml:space="preserve"> </w:t>
      </w:r>
      <w:sdt>
        <w:sdtPr>
          <w:id w:val="1559587065"/>
          <w:citation/>
        </w:sdtPr>
        <w:sdtContent>
          <w:r>
            <w:fldChar w:fldCharType="begin"/>
          </w:r>
          <w:r>
            <w:instrText xml:space="preserve"> CITATION Sib98 \l 3081 </w:instrText>
          </w:r>
          <w:r>
            <w:fldChar w:fldCharType="separate"/>
          </w:r>
          <w:r w:rsidR="008B7448" w:rsidRPr="008B7448">
            <w:rPr>
              <w:noProof/>
            </w:rPr>
            <w:t>[24]</w:t>
          </w:r>
          <w:r>
            <w:fldChar w:fldCharType="end"/>
          </w:r>
        </w:sdtContent>
      </w:sdt>
      <w:r>
        <w:t>.</w:t>
      </w:r>
    </w:p>
    <w:p w14:paraId="40ACC648" w14:textId="77777777" w:rsidR="006A4A32" w:rsidRDefault="000230CC" w:rsidP="002C22EF">
      <w:pPr>
        <w:pStyle w:val="ListBullet"/>
      </w:pPr>
      <w:r>
        <w:t>Cohort study: d</w:t>
      </w:r>
      <w:r w:rsidRPr="004F2588">
        <w:t xml:space="preserve">esigned to assess </w:t>
      </w:r>
      <w:r>
        <w:t>if a</w:t>
      </w:r>
      <w:r w:rsidRPr="004F2588">
        <w:t xml:space="preserve"> </w:t>
      </w:r>
      <w:r>
        <w:t xml:space="preserve">particular </w:t>
      </w:r>
      <w:r w:rsidRPr="004F2588">
        <w:t>characteristic is associated with the development of a disease or other clinical outcome</w:t>
      </w:r>
      <w:r>
        <w:t>. Control groups can be included, but allocation is not random</w:t>
      </w:r>
      <w:r w:rsidR="007241D5">
        <w:t>;</w:t>
      </w:r>
    </w:p>
    <w:p w14:paraId="5B82D91E" w14:textId="53C17B87" w:rsidR="000230CC" w:rsidRDefault="000230CC" w:rsidP="002C22EF">
      <w:pPr>
        <w:pStyle w:val="ListBullet"/>
      </w:pPr>
      <w:r>
        <w:t>Case-controlled study: a form of observational study, i.e. no intervention is provided</w:t>
      </w:r>
      <w:r w:rsidR="007241D5">
        <w:t>, and</w:t>
      </w:r>
    </w:p>
    <w:p w14:paraId="45D02FFC" w14:textId="77777777" w:rsidR="000230CC" w:rsidRDefault="000230CC" w:rsidP="002C22EF">
      <w:pPr>
        <w:pStyle w:val="ListBullet"/>
      </w:pPr>
      <w:r>
        <w:t>Expert opinion: perspectives or predictions provided by individuals who are considered experts in the field of interest.</w:t>
      </w:r>
    </w:p>
    <w:p w14:paraId="02836FD3" w14:textId="66351D60" w:rsidR="006A4A32" w:rsidRDefault="000230CC" w:rsidP="00AE14F0">
      <w:pPr>
        <w:pStyle w:val="BodyCopy"/>
        <w:spacing w:before="120"/>
      </w:pPr>
      <w:r>
        <w:t xml:space="preserve">Further description of the type of research methodologies </w:t>
      </w:r>
      <w:r w:rsidR="00DB7D48">
        <w:fldChar w:fldCharType="begin"/>
      </w:r>
      <w:r w:rsidR="00DB7D48">
        <w:instrText xml:space="preserve"> REF _Ref24541012 \r \h </w:instrText>
      </w:r>
      <w:r w:rsidR="00DB7D48">
        <w:fldChar w:fldCharType="separate"/>
      </w:r>
      <w:r w:rsidR="008B7448">
        <w:t>Appendix A</w:t>
      </w:r>
      <w:r w:rsidR="00DB7D48">
        <w:fldChar w:fldCharType="end"/>
      </w:r>
      <w:r>
        <w:t xml:space="preserve">. The evidence hierarchy is depicted in </w:t>
      </w:r>
      <w:r>
        <w:fldChar w:fldCharType="begin"/>
      </w:r>
      <w:r>
        <w:instrText xml:space="preserve"> REF _Ref3469048 \h </w:instrText>
      </w:r>
      <w:r>
        <w:fldChar w:fldCharType="separate"/>
      </w:r>
      <w:r w:rsidR="006B6B4C">
        <w:t xml:space="preserve">Figure </w:t>
      </w:r>
      <w:r w:rsidR="006B6B4C">
        <w:rPr>
          <w:noProof/>
        </w:rPr>
        <w:t>2</w:t>
      </w:r>
      <w:r w:rsidR="006B6B4C">
        <w:t>.</w:t>
      </w:r>
      <w:r w:rsidR="006B6B4C">
        <w:rPr>
          <w:noProof/>
        </w:rPr>
        <w:t>3</w:t>
      </w:r>
      <w:r>
        <w:fldChar w:fldCharType="end"/>
      </w:r>
      <w:r>
        <w:t>.</w:t>
      </w:r>
    </w:p>
    <w:p w14:paraId="155067FE" w14:textId="3F3F82A3" w:rsidR="000230CC" w:rsidRDefault="000230CC" w:rsidP="00AE14F0">
      <w:pPr>
        <w:pStyle w:val="Caption"/>
        <w:keepNext/>
      </w:pPr>
      <w:bookmarkStart w:id="38" w:name="_Ref3469048"/>
      <w:r>
        <w:lastRenderedPageBreak/>
        <w:t xml:space="preserve">Figure </w:t>
      </w:r>
      <w:r>
        <w:rPr>
          <w:noProof/>
        </w:rPr>
        <w:fldChar w:fldCharType="begin"/>
      </w:r>
      <w:r>
        <w:rPr>
          <w:noProof/>
        </w:rPr>
        <w:instrText xml:space="preserve"> STYLEREF 1 \s </w:instrText>
      </w:r>
      <w:r>
        <w:rPr>
          <w:noProof/>
        </w:rPr>
        <w:fldChar w:fldCharType="separate"/>
      </w:r>
      <w:r w:rsidR="008B7448">
        <w:rPr>
          <w:noProof/>
        </w:rPr>
        <w:t>2</w:t>
      </w:r>
      <w:r>
        <w:rPr>
          <w:noProof/>
        </w:rPr>
        <w:fldChar w:fldCharType="end"/>
      </w:r>
      <w:r>
        <w:t>.</w:t>
      </w:r>
      <w:r>
        <w:rPr>
          <w:noProof/>
        </w:rPr>
        <w:fldChar w:fldCharType="begin"/>
      </w:r>
      <w:r>
        <w:rPr>
          <w:noProof/>
        </w:rPr>
        <w:instrText xml:space="preserve"> SEQ Figure \* ARABIC \s 1 </w:instrText>
      </w:r>
      <w:r>
        <w:rPr>
          <w:noProof/>
        </w:rPr>
        <w:fldChar w:fldCharType="separate"/>
      </w:r>
      <w:r w:rsidR="008B7448">
        <w:rPr>
          <w:noProof/>
        </w:rPr>
        <w:t>3</w:t>
      </w:r>
      <w:r>
        <w:rPr>
          <w:noProof/>
        </w:rPr>
        <w:fldChar w:fldCharType="end"/>
      </w:r>
      <w:bookmarkEnd w:id="38"/>
      <w:r>
        <w:t xml:space="preserve"> </w:t>
      </w:r>
      <w:r w:rsidRPr="001B28C6">
        <w:rPr>
          <w:rStyle w:val="Captionnotbold"/>
        </w:rPr>
        <w:t>Hierarchy of evidence</w:t>
      </w:r>
    </w:p>
    <w:p w14:paraId="48B22E60" w14:textId="77777777" w:rsidR="000230CC" w:rsidRDefault="000230CC" w:rsidP="000230CC">
      <w:pPr>
        <w:pStyle w:val="BodyCopy"/>
        <w:jc w:val="center"/>
      </w:pPr>
      <w:r w:rsidRPr="004946D6">
        <w:rPr>
          <w:noProof/>
          <w:lang w:val="en-US"/>
        </w:rPr>
        <w:drawing>
          <wp:inline distT="0" distB="0" distL="0" distR="0" wp14:anchorId="377A3B99" wp14:editId="57B8294E">
            <wp:extent cx="4472940" cy="2080300"/>
            <wp:effectExtent l="0" t="0" r="0" b="0"/>
            <wp:docPr id="81" name="Picture 81" descr="Figure 2.3 Diagram: hierarch of evidence pyramid with layers from top down - systematic reviews; critical appraisal; RCTs; cohort studies; case-controlled studies; expert opinion - adapted from NHMRC 2009: Levels of Evidence and Grades for Recommendations for Developers of Clinical Practice Guid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72940" cy="2080300"/>
                    </a:xfrm>
                    <a:prstGeom prst="rect">
                      <a:avLst/>
                    </a:prstGeom>
                    <a:noFill/>
                    <a:ln>
                      <a:noFill/>
                    </a:ln>
                  </pic:spPr>
                </pic:pic>
              </a:graphicData>
            </a:graphic>
          </wp:inline>
        </w:drawing>
      </w:r>
    </w:p>
    <w:p w14:paraId="4FD552E4" w14:textId="77777777" w:rsidR="006A4A32" w:rsidRDefault="000230CC" w:rsidP="000230CC">
      <w:pPr>
        <w:pStyle w:val="TableNotes"/>
      </w:pPr>
      <w:r>
        <w:t>Adapted from: National Health and Medical Research Council (2009) ‘NHMRC Levels of Evidence and Grades for Recommendations for Developers of Clinical Practice Guidelines’</w:t>
      </w:r>
    </w:p>
    <w:p w14:paraId="701EF02B" w14:textId="5A001292" w:rsidR="000230CC" w:rsidRDefault="000230CC" w:rsidP="000230CC">
      <w:pPr>
        <w:pStyle w:val="BodyCopy"/>
      </w:pPr>
      <w:r>
        <w:t>Trials funded through the PTP focused (predominantly) on</w:t>
      </w:r>
      <w:r w:rsidR="0029733C">
        <w:t xml:space="preserve"> use of an</w:t>
      </w:r>
      <w:r>
        <w:t xml:space="preserve"> RCT methodology to ensure robust clinical evidence was available for an</w:t>
      </w:r>
      <w:r w:rsidR="005F4563">
        <w:t xml:space="preserve"> independent</w:t>
      </w:r>
      <w:r>
        <w:t xml:space="preserve"> HTA upon completion.</w:t>
      </w:r>
    </w:p>
    <w:p w14:paraId="6DF09455" w14:textId="446EB6A8" w:rsidR="000230CC" w:rsidRDefault="000230CC" w:rsidP="000230CC">
      <w:pPr>
        <w:pStyle w:val="BodyCopy"/>
      </w:pPr>
      <w:r>
        <w:t>Systematic reviews of community pharmacy intervention studies in the United Kingdom (UK), the Netherlands, Belgium, Spain, Denmark, Switzerland, Australia, Canada and the United States</w:t>
      </w:r>
      <w:r w:rsidR="0029733C">
        <w:t xml:space="preserve"> of America</w:t>
      </w:r>
      <w:r>
        <w:t xml:space="preserve"> (US</w:t>
      </w:r>
      <w:r w:rsidR="0029733C">
        <w:t>A</w:t>
      </w:r>
      <w:r>
        <w:t>) found that the most common designs used were RCTs,</w:t>
      </w:r>
      <w:r w:rsidR="0029733C">
        <w:t xml:space="preserve"> and </w:t>
      </w:r>
      <w:r>
        <w:t xml:space="preserve">controlled and uncontrolled ‘before and after’ studies (a type of cohort study) </w:t>
      </w:r>
      <w:sdt>
        <w:sdtPr>
          <w:id w:val="-1471434216"/>
          <w:citation/>
        </w:sdtPr>
        <w:sdtContent>
          <w:r>
            <w:fldChar w:fldCharType="begin"/>
          </w:r>
          <w:r>
            <w:instrText xml:space="preserve"> CITATION Can16 \l 3081 </w:instrText>
          </w:r>
          <w:r>
            <w:fldChar w:fldCharType="separate"/>
          </w:r>
          <w:r w:rsidR="008B7448" w:rsidRPr="008B7448">
            <w:rPr>
              <w:noProof/>
            </w:rPr>
            <w:t>[25]</w:t>
          </w:r>
          <w:r>
            <w:fldChar w:fldCharType="end"/>
          </w:r>
        </w:sdtContent>
      </w:sdt>
      <w:r>
        <w:t xml:space="preserve"> </w:t>
      </w:r>
      <w:sdt>
        <w:sdtPr>
          <w:id w:val="1172072963"/>
          <w:citation/>
        </w:sdtPr>
        <w:sdtContent>
          <w:r>
            <w:fldChar w:fldCharType="begin"/>
          </w:r>
          <w:r>
            <w:instrText xml:space="preserve">CITATION Bro16 \l 3081 </w:instrText>
          </w:r>
          <w:r>
            <w:fldChar w:fldCharType="separate"/>
          </w:r>
          <w:r w:rsidR="008B7448" w:rsidRPr="008B7448">
            <w:rPr>
              <w:noProof/>
            </w:rPr>
            <w:t>[26]</w:t>
          </w:r>
          <w:r>
            <w:fldChar w:fldCharType="end"/>
          </w:r>
        </w:sdtContent>
      </w:sdt>
      <w:r>
        <w:t xml:space="preserve"> </w:t>
      </w:r>
      <w:sdt>
        <w:sdtPr>
          <w:id w:val="908201804"/>
          <w:citation/>
        </w:sdtPr>
        <w:sdtContent>
          <w:r>
            <w:fldChar w:fldCharType="begin"/>
          </w:r>
          <w:r>
            <w:instrText xml:space="preserve"> CITATION Cha04 \l 3081 </w:instrText>
          </w:r>
          <w:r>
            <w:fldChar w:fldCharType="separate"/>
          </w:r>
          <w:r w:rsidR="008B7448" w:rsidRPr="008B7448">
            <w:rPr>
              <w:noProof/>
            </w:rPr>
            <w:t>[27]</w:t>
          </w:r>
          <w:r>
            <w:fldChar w:fldCharType="end"/>
          </w:r>
        </w:sdtContent>
      </w:sdt>
      <w:r>
        <w:t xml:space="preserve"> . The focus of these interventions was chronic disease risk factor management including obesity, smoking cessation, cardiac pulmonary obstructive disorder and heart failure as well as QUM and medication adherence</w:t>
      </w:r>
      <w:r w:rsidRPr="00D83B24">
        <w:t xml:space="preserve"> </w:t>
      </w:r>
      <w:sdt>
        <w:sdtPr>
          <w:id w:val="326110245"/>
          <w:citation/>
        </w:sdtPr>
        <w:sdtContent>
          <w:r>
            <w:fldChar w:fldCharType="begin"/>
          </w:r>
          <w:r>
            <w:instrText xml:space="preserve">CITATION Gor11 \l 3081 </w:instrText>
          </w:r>
          <w:r>
            <w:fldChar w:fldCharType="separate"/>
          </w:r>
          <w:r w:rsidR="008B7448" w:rsidRPr="008B7448">
            <w:rPr>
              <w:noProof/>
            </w:rPr>
            <w:t>[28]</w:t>
          </w:r>
          <w:r>
            <w:fldChar w:fldCharType="end"/>
          </w:r>
        </w:sdtContent>
      </w:sdt>
      <w:r>
        <w:t xml:space="preserve"> </w:t>
      </w:r>
      <w:sdt>
        <w:sdtPr>
          <w:id w:val="702520565"/>
          <w:citation/>
        </w:sdtPr>
        <w:sdtContent>
          <w:r>
            <w:fldChar w:fldCharType="begin"/>
          </w:r>
          <w:r>
            <w:instrText xml:space="preserve"> CITATION Bro12 \l 3081 </w:instrText>
          </w:r>
          <w:r>
            <w:fldChar w:fldCharType="separate"/>
          </w:r>
          <w:r w:rsidR="008B7448" w:rsidRPr="008B7448">
            <w:rPr>
              <w:noProof/>
            </w:rPr>
            <w:t>[29]</w:t>
          </w:r>
          <w:r>
            <w:fldChar w:fldCharType="end"/>
          </w:r>
        </w:sdtContent>
      </w:sdt>
      <w:r w:rsidR="00E857AB">
        <w:t>.</w:t>
      </w:r>
    </w:p>
    <w:p w14:paraId="417784AE" w14:textId="3D598CBC" w:rsidR="000230CC" w:rsidRDefault="000230CC" w:rsidP="000230CC">
      <w:pPr>
        <w:pStyle w:val="BodyCopy"/>
      </w:pPr>
      <w:r>
        <w:t>Peer-reviewed literature from the community pharmacy sector in the US</w:t>
      </w:r>
      <w:r w:rsidR="0029733C">
        <w:t>A</w:t>
      </w:r>
      <w:r>
        <w:t xml:space="preserve"> showed variation in study designs used to explore the expanded scope of pharmacy services. Although RCTs remained a common methodology, controlled cohort studies were also able to produce evidence that is appropriately applied to the general population </w:t>
      </w:r>
      <w:sdt>
        <w:sdtPr>
          <w:id w:val="-1728677640"/>
          <w:citation/>
        </w:sdtPr>
        <w:sdtContent>
          <w:r>
            <w:fldChar w:fldCharType="begin"/>
          </w:r>
          <w:r>
            <w:instrText xml:space="preserve"> CITATION Rob10 \l 3081 </w:instrText>
          </w:r>
          <w:r>
            <w:fldChar w:fldCharType="separate"/>
          </w:r>
          <w:r w:rsidR="008B7448" w:rsidRPr="008B7448">
            <w:rPr>
              <w:noProof/>
            </w:rPr>
            <w:t>[30]</w:t>
          </w:r>
          <w:r>
            <w:fldChar w:fldCharType="end"/>
          </w:r>
        </w:sdtContent>
      </w:sdt>
      <w:r>
        <w:t xml:space="preserve"> </w:t>
      </w:r>
      <w:sdt>
        <w:sdtPr>
          <w:id w:val="234206719"/>
          <w:citation/>
        </w:sdtPr>
        <w:sdtContent>
          <w:r>
            <w:fldChar w:fldCharType="begin"/>
          </w:r>
          <w:r>
            <w:instrText xml:space="preserve"> CITATION Mur07 \l 3081 </w:instrText>
          </w:r>
          <w:r>
            <w:fldChar w:fldCharType="separate"/>
          </w:r>
          <w:r w:rsidR="008B7448" w:rsidRPr="008B7448">
            <w:rPr>
              <w:noProof/>
            </w:rPr>
            <w:t>[31]</w:t>
          </w:r>
          <w:r>
            <w:fldChar w:fldCharType="end"/>
          </w:r>
        </w:sdtContent>
      </w:sdt>
      <w:r>
        <w:t xml:space="preserve">. Investigation of more novel or innovative services through community pharmacy such as pharmacogenomics and greater use of pharmacy technicians were conducted as feasibility studies </w:t>
      </w:r>
      <w:sdt>
        <w:sdtPr>
          <w:id w:val="-664394471"/>
          <w:citation/>
        </w:sdtPr>
        <w:sdtContent>
          <w:r>
            <w:fldChar w:fldCharType="begin"/>
          </w:r>
          <w:r>
            <w:instrText xml:space="preserve"> CITATION Fer14 \l 3081 </w:instrText>
          </w:r>
          <w:r>
            <w:fldChar w:fldCharType="separate"/>
          </w:r>
          <w:r w:rsidR="008B7448" w:rsidRPr="008B7448">
            <w:rPr>
              <w:noProof/>
            </w:rPr>
            <w:t>[32]</w:t>
          </w:r>
          <w:r>
            <w:fldChar w:fldCharType="end"/>
          </w:r>
        </w:sdtContent>
      </w:sdt>
      <w:r>
        <w:t xml:space="preserve"> </w:t>
      </w:r>
      <w:sdt>
        <w:sdtPr>
          <w:id w:val="-827210613"/>
          <w:citation/>
        </w:sdtPr>
        <w:sdtContent>
          <w:r>
            <w:fldChar w:fldCharType="begin"/>
          </w:r>
          <w:r>
            <w:instrText xml:space="preserve"> CITATION Bai16 \l 3081 </w:instrText>
          </w:r>
          <w:r>
            <w:fldChar w:fldCharType="separate"/>
          </w:r>
          <w:r w:rsidR="008B7448" w:rsidRPr="008B7448">
            <w:rPr>
              <w:noProof/>
            </w:rPr>
            <w:t>[33]</w:t>
          </w:r>
          <w:r>
            <w:fldChar w:fldCharType="end"/>
          </w:r>
        </w:sdtContent>
      </w:sdt>
      <w:r>
        <w:t>.</w:t>
      </w:r>
    </w:p>
    <w:p w14:paraId="2129CE2C" w14:textId="601111A0" w:rsidR="000230CC" w:rsidRDefault="000230CC" w:rsidP="000230CC">
      <w:pPr>
        <w:pStyle w:val="BodyCopy"/>
      </w:pPr>
      <w:r>
        <w:fldChar w:fldCharType="begin"/>
      </w:r>
      <w:r>
        <w:instrText xml:space="preserve"> REF _Ref4159866 \h </w:instrText>
      </w:r>
      <w:r>
        <w:fldChar w:fldCharType="separate"/>
      </w:r>
      <w:r w:rsidR="006B6B4C">
        <w:t xml:space="preserve">Table </w:t>
      </w:r>
      <w:r w:rsidR="006B6B4C">
        <w:rPr>
          <w:noProof/>
        </w:rPr>
        <w:t>2</w:t>
      </w:r>
      <w:r w:rsidR="006B6B4C">
        <w:t>.</w:t>
      </w:r>
      <w:r w:rsidR="006B6B4C">
        <w:rPr>
          <w:noProof/>
        </w:rPr>
        <w:t>2</w:t>
      </w:r>
      <w:r>
        <w:fldChar w:fldCharType="end"/>
      </w:r>
      <w:r>
        <w:t xml:space="preserve"> provides a summary of international community pharmacy primary studies and Australian studies (not part of the PTP) considered in this discussion. This comparison shows that an RCT is a possible study design option for service delivery interventions by community pharmacy. However, controlled and uncontrolled cohort studies are also commonly used.</w:t>
      </w:r>
    </w:p>
    <w:p w14:paraId="5BD721FC" w14:textId="7D97B32B" w:rsidR="000230CC" w:rsidRDefault="000230CC" w:rsidP="00135E68">
      <w:pPr>
        <w:pStyle w:val="BodyCopy"/>
      </w:pPr>
      <w:r>
        <w:t>The scientific rigour of RCTs allows conclusions to be drawn regarding the effectiveness of the interventions including clinical ou</w:t>
      </w:r>
      <w:r w:rsidRPr="005B4560">
        <w:t>tcomes</w:t>
      </w:r>
      <w:r w:rsidRPr="00E857AB">
        <w:t xml:space="preserve">, scalability and economic viability. However, RCT methodology is relatively costly and should be preceded by feasibility and pilot studies </w:t>
      </w:r>
      <w:sdt>
        <w:sdtPr>
          <w:id w:val="1307206158"/>
          <w:citation/>
        </w:sdtPr>
        <w:sdtContent>
          <w:r w:rsidRPr="00E857AB">
            <w:fldChar w:fldCharType="begin"/>
          </w:r>
          <w:r w:rsidRPr="00E857AB">
            <w:instrText xml:space="preserve"> CITATION Nat17 \l 3081 </w:instrText>
          </w:r>
          <w:r w:rsidRPr="00E857AB">
            <w:fldChar w:fldCharType="separate"/>
          </w:r>
          <w:r w:rsidR="008B7448" w:rsidRPr="008B7448">
            <w:rPr>
              <w:noProof/>
            </w:rPr>
            <w:t>[34]</w:t>
          </w:r>
          <w:r w:rsidRPr="00E857AB">
            <w:fldChar w:fldCharType="end"/>
          </w:r>
        </w:sdtContent>
      </w:sdt>
      <w:sdt>
        <w:sdtPr>
          <w:id w:val="-99334911"/>
          <w:citation/>
        </w:sdtPr>
        <w:sdtContent>
          <w:r w:rsidRPr="00E857AB">
            <w:fldChar w:fldCharType="begin"/>
          </w:r>
          <w:r w:rsidRPr="00E857AB">
            <w:instrText xml:space="preserve"> CITATION Cri08 \l 3081 </w:instrText>
          </w:r>
          <w:r w:rsidRPr="00E857AB">
            <w:fldChar w:fldCharType="separate"/>
          </w:r>
          <w:r w:rsidR="008B7448">
            <w:rPr>
              <w:noProof/>
            </w:rPr>
            <w:t xml:space="preserve"> </w:t>
          </w:r>
          <w:r w:rsidR="008B7448" w:rsidRPr="008B7448">
            <w:rPr>
              <w:noProof/>
            </w:rPr>
            <w:t>[35]</w:t>
          </w:r>
          <w:r w:rsidRPr="00E857AB">
            <w:fldChar w:fldCharType="end"/>
          </w:r>
        </w:sdtContent>
      </w:sdt>
      <w:r w:rsidRPr="00E857AB">
        <w:t>. Preceding trial design may include smaller scale pilot studies or controlled cohort feasibility studies.</w:t>
      </w:r>
    </w:p>
    <w:p w14:paraId="2342B2EE" w14:textId="6E8BE0AE" w:rsidR="001F2B38" w:rsidRDefault="001F2B38" w:rsidP="00135E68">
      <w:pPr>
        <w:pStyle w:val="Heading4"/>
      </w:pPr>
      <w:r>
        <w:t xml:space="preserve">MSAC review of existing </w:t>
      </w:r>
      <w:r w:rsidR="00215CF2">
        <w:t>Continuing Pharmacy Programmes</w:t>
      </w:r>
    </w:p>
    <w:p w14:paraId="58AAB259" w14:textId="18230E61" w:rsidR="006A4A32" w:rsidRDefault="001F2B38" w:rsidP="001F2B38">
      <w:pPr>
        <w:pStyle w:val="BodyCopy"/>
        <w:keepNext/>
        <w:keepLines/>
      </w:pPr>
      <w:r>
        <w:t>In 2016</w:t>
      </w:r>
      <w:r w:rsidR="006B6B4C">
        <w:t>–</w:t>
      </w:r>
      <w:r>
        <w:t>2017</w:t>
      </w:r>
      <w:r w:rsidR="00463167">
        <w:t>,</w:t>
      </w:r>
      <w:r>
        <w:t xml:space="preserve"> evidence review</w:t>
      </w:r>
      <w:r w:rsidR="00215CF2">
        <w:t>s</w:t>
      </w:r>
      <w:r>
        <w:t xml:space="preserve"> on the clinical and cost effectiveness of </w:t>
      </w:r>
      <w:r w:rsidR="00215CF2">
        <w:t>Continuing Pharmacy Programmes were undertaken. Programs reviewed included:</w:t>
      </w:r>
    </w:p>
    <w:p w14:paraId="246EA173" w14:textId="7F361403" w:rsidR="001F2B38" w:rsidRDefault="00215CF2" w:rsidP="00135E68">
      <w:pPr>
        <w:pStyle w:val="ListBullet"/>
      </w:pPr>
      <w:r>
        <w:t>D</w:t>
      </w:r>
      <w:r w:rsidR="001F2B38">
        <w:t>ose Administration Aids</w:t>
      </w:r>
      <w:r w:rsidR="00463167">
        <w:t>;</w:t>
      </w:r>
    </w:p>
    <w:p w14:paraId="470168D9" w14:textId="77777777" w:rsidR="006A4A32" w:rsidRDefault="00215CF2" w:rsidP="00215CF2">
      <w:pPr>
        <w:pStyle w:val="ListBullet"/>
      </w:pPr>
      <w:r>
        <w:t>S</w:t>
      </w:r>
      <w:r w:rsidR="001F2B38">
        <w:t>taged Supply support allowances</w:t>
      </w:r>
      <w:r w:rsidR="00463167">
        <w:t>;</w:t>
      </w:r>
    </w:p>
    <w:p w14:paraId="1827E9C8" w14:textId="77777777" w:rsidR="006A4A32" w:rsidRDefault="001F2B38" w:rsidP="00135E68">
      <w:pPr>
        <w:pStyle w:val="ListBullet"/>
      </w:pPr>
      <w:r>
        <w:t>Clinical Interventions</w:t>
      </w:r>
      <w:r w:rsidR="00463167">
        <w:t>;</w:t>
      </w:r>
    </w:p>
    <w:p w14:paraId="45F69F3F" w14:textId="1C202493" w:rsidR="001F2B38" w:rsidRDefault="001F2B38" w:rsidP="00135E68">
      <w:pPr>
        <w:pStyle w:val="ListBullet"/>
      </w:pPr>
      <w:r>
        <w:t>Home Medicines Review (HMR)</w:t>
      </w:r>
      <w:r w:rsidR="00463167">
        <w:t>;</w:t>
      </w:r>
    </w:p>
    <w:p w14:paraId="146F9749" w14:textId="77777777" w:rsidR="006A4A32" w:rsidRDefault="001F2B38" w:rsidP="00135E68">
      <w:pPr>
        <w:pStyle w:val="ListBullet"/>
      </w:pPr>
      <w:r>
        <w:t>Residential Medication Management Review</w:t>
      </w:r>
      <w:r w:rsidR="00463167">
        <w:t>;</w:t>
      </w:r>
    </w:p>
    <w:p w14:paraId="0D3EC0DD" w14:textId="77777777" w:rsidR="006A4A32" w:rsidRDefault="001F2B38" w:rsidP="00135E68">
      <w:pPr>
        <w:pStyle w:val="ListBullet"/>
      </w:pPr>
      <w:r>
        <w:t>MedsCheck</w:t>
      </w:r>
      <w:r w:rsidR="00463167">
        <w:t>;</w:t>
      </w:r>
      <w:r w:rsidR="00135E68">
        <w:t xml:space="preserve"> and</w:t>
      </w:r>
    </w:p>
    <w:p w14:paraId="5545B19D" w14:textId="180B86CA" w:rsidR="001F2B38" w:rsidRDefault="001F2B38" w:rsidP="00215CF2">
      <w:pPr>
        <w:pStyle w:val="ListBullet"/>
      </w:pPr>
      <w:r>
        <w:t>Diabetes MedsCheck</w:t>
      </w:r>
      <w:r w:rsidR="00215CF2">
        <w:t xml:space="preserve"> </w:t>
      </w:r>
      <w:sdt>
        <w:sdtPr>
          <w:id w:val="650257394"/>
          <w:citation/>
        </w:sdtPr>
        <w:sdtContent>
          <w:r w:rsidR="00215CF2">
            <w:fldChar w:fldCharType="begin"/>
          </w:r>
          <w:r w:rsidR="00215CF2">
            <w:rPr>
              <w:lang w:val="en-US"/>
            </w:rPr>
            <w:instrText xml:space="preserve"> CITATION The17 \l 1033 </w:instrText>
          </w:r>
          <w:r w:rsidR="00215CF2">
            <w:fldChar w:fldCharType="separate"/>
          </w:r>
          <w:r w:rsidR="008B7448" w:rsidRPr="008B7448">
            <w:rPr>
              <w:noProof/>
              <w:lang w:val="en-US"/>
            </w:rPr>
            <w:t>[36]</w:t>
          </w:r>
          <w:r w:rsidR="00215CF2">
            <w:fldChar w:fldCharType="end"/>
          </w:r>
        </w:sdtContent>
      </w:sdt>
      <w:r>
        <w:t>.</w:t>
      </w:r>
    </w:p>
    <w:p w14:paraId="5192FD9E" w14:textId="386D4984" w:rsidR="000230CC" w:rsidRDefault="00215CF2" w:rsidP="00135E68">
      <w:r>
        <w:t>MSAC concluded that t</w:t>
      </w:r>
      <w:r w:rsidR="001F2B38">
        <w:t>here was insufficient evidence and a lack of empirical research to determine the clinical and cost effectiveness of the reviewed programs</w:t>
      </w:r>
      <w:r w:rsidR="00135E68">
        <w:t xml:space="preserve">. In addition, MSAC noted that it was </w:t>
      </w:r>
      <w:r w:rsidR="001F2B38">
        <w:t>difficult to conduct a comparative assessment of the programs as they were now primarily standard of care expected of a pharmacist.</w:t>
      </w:r>
      <w:r w:rsidR="00135E68">
        <w:t xml:space="preserve"> MSAC considered that further evidence generation needed to highlight the need for comparative data </w:t>
      </w:r>
      <w:sdt>
        <w:sdtPr>
          <w:id w:val="102241689"/>
          <w:citation/>
        </w:sdtPr>
        <w:sdtContent>
          <w:r w:rsidR="00135E68">
            <w:fldChar w:fldCharType="begin"/>
          </w:r>
          <w:r w:rsidR="00135E68">
            <w:rPr>
              <w:lang w:val="en-US"/>
            </w:rPr>
            <w:instrText xml:space="preserve"> CITATION Med161 \l 1033 </w:instrText>
          </w:r>
          <w:r w:rsidR="00135E68">
            <w:fldChar w:fldCharType="separate"/>
          </w:r>
          <w:r w:rsidR="008B7448" w:rsidRPr="008B7448">
            <w:rPr>
              <w:noProof/>
              <w:lang w:val="en-US"/>
            </w:rPr>
            <w:t>[37]</w:t>
          </w:r>
          <w:r w:rsidR="00135E68">
            <w:fldChar w:fldCharType="end"/>
          </w:r>
        </w:sdtContent>
      </w:sdt>
      <w:r w:rsidR="00135E68">
        <w:t xml:space="preserve"> </w:t>
      </w:r>
      <w:sdt>
        <w:sdtPr>
          <w:id w:val="39562302"/>
          <w:citation/>
        </w:sdtPr>
        <w:sdtContent>
          <w:r w:rsidR="00135E68">
            <w:fldChar w:fldCharType="begin"/>
          </w:r>
          <w:r w:rsidR="00135E68">
            <w:rPr>
              <w:lang w:val="en-US"/>
            </w:rPr>
            <w:instrText xml:space="preserve"> CITATION The17 \l 1033 </w:instrText>
          </w:r>
          <w:r w:rsidR="00135E68">
            <w:fldChar w:fldCharType="separate"/>
          </w:r>
          <w:r w:rsidR="008B7448" w:rsidRPr="008B7448">
            <w:rPr>
              <w:noProof/>
              <w:lang w:val="en-US"/>
            </w:rPr>
            <w:t>[36]</w:t>
          </w:r>
          <w:r w:rsidR="00135E68">
            <w:fldChar w:fldCharType="end"/>
          </w:r>
        </w:sdtContent>
      </w:sdt>
      <w:r w:rsidR="00135E68">
        <w:t>.</w:t>
      </w:r>
      <w:r w:rsidR="00135E68">
        <w:cr/>
      </w:r>
    </w:p>
    <w:p w14:paraId="0F186B98" w14:textId="77777777" w:rsidR="000230CC" w:rsidRDefault="000230CC" w:rsidP="000230CC">
      <w:pPr>
        <w:sectPr w:rsidR="000230CC" w:rsidSect="00796783">
          <w:pgSz w:w="16838" w:h="11906" w:orient="landscape" w:code="9"/>
          <w:pgMar w:top="737" w:right="1304" w:bottom="1134" w:left="737" w:header="567" w:footer="284" w:gutter="0"/>
          <w:cols w:num="2" w:space="708"/>
          <w:docGrid w:linePitch="360"/>
        </w:sectPr>
      </w:pPr>
    </w:p>
    <w:p w14:paraId="36E46DDA" w14:textId="2714E898" w:rsidR="000230CC" w:rsidRDefault="000230CC" w:rsidP="000230CC">
      <w:pPr>
        <w:pStyle w:val="Caption"/>
      </w:pPr>
      <w:bookmarkStart w:id="39" w:name="_Ref4159866"/>
      <w:r>
        <w:lastRenderedPageBreak/>
        <w:t xml:space="preserve">Table </w:t>
      </w:r>
      <w:r>
        <w:rPr>
          <w:noProof/>
        </w:rPr>
        <w:fldChar w:fldCharType="begin"/>
      </w:r>
      <w:r>
        <w:rPr>
          <w:noProof/>
        </w:rPr>
        <w:instrText xml:space="preserve"> STYLEREF 1 \s </w:instrText>
      </w:r>
      <w:r>
        <w:rPr>
          <w:noProof/>
        </w:rPr>
        <w:fldChar w:fldCharType="separate"/>
      </w:r>
      <w:r w:rsidR="008B7448">
        <w:rPr>
          <w:noProof/>
        </w:rPr>
        <w:t>2</w:t>
      </w:r>
      <w:r>
        <w:rPr>
          <w:noProof/>
        </w:rPr>
        <w:fldChar w:fldCharType="end"/>
      </w:r>
      <w:r>
        <w:t>.</w:t>
      </w:r>
      <w:r>
        <w:rPr>
          <w:noProof/>
        </w:rPr>
        <w:fldChar w:fldCharType="begin"/>
      </w:r>
      <w:r>
        <w:rPr>
          <w:noProof/>
        </w:rPr>
        <w:instrText xml:space="preserve"> SEQ Table \* ARABIC \s 1 </w:instrText>
      </w:r>
      <w:r>
        <w:rPr>
          <w:noProof/>
        </w:rPr>
        <w:fldChar w:fldCharType="separate"/>
      </w:r>
      <w:r w:rsidR="008B7448">
        <w:rPr>
          <w:noProof/>
        </w:rPr>
        <w:t>2</w:t>
      </w:r>
      <w:r>
        <w:rPr>
          <w:noProof/>
        </w:rPr>
        <w:fldChar w:fldCharType="end"/>
      </w:r>
      <w:bookmarkEnd w:id="39"/>
      <w:r>
        <w:t xml:space="preserve"> </w:t>
      </w:r>
      <w:r w:rsidRPr="004E4787">
        <w:rPr>
          <w:rStyle w:val="Captionnotbold"/>
        </w:rPr>
        <w:t>Comparison of primary study designs for community pharmacy service interventions</w:t>
      </w:r>
    </w:p>
    <w:tbl>
      <w:tblPr>
        <w:tblStyle w:val="HMATableB"/>
        <w:tblW w:w="5000" w:type="pct"/>
        <w:tblLook w:val="0620" w:firstRow="1" w:lastRow="0" w:firstColumn="0" w:lastColumn="0" w:noHBand="1" w:noVBand="1"/>
        <w:tblCaption w:val="Table 2.2 Comparison of primary study designs for community pharmacy service interventions"/>
        <w:tblDescription w:val="Table 2.2 Comparison of primary study designs for community pharmacy service interventions"/>
      </w:tblPr>
      <w:tblGrid>
        <w:gridCol w:w="5684"/>
        <w:gridCol w:w="1711"/>
        <w:gridCol w:w="2563"/>
        <w:gridCol w:w="2279"/>
        <w:gridCol w:w="2560"/>
      </w:tblGrid>
      <w:tr w:rsidR="000230CC" w14:paraId="5DE0F495" w14:textId="77777777" w:rsidTr="00B044BF">
        <w:trPr>
          <w:cnfStyle w:val="100000000000" w:firstRow="1" w:lastRow="0" w:firstColumn="0" w:lastColumn="0" w:oddVBand="0" w:evenVBand="0" w:oddHBand="0" w:evenHBand="0" w:firstRowFirstColumn="0" w:firstRowLastColumn="0" w:lastRowFirstColumn="0" w:lastRowLastColumn="0"/>
          <w:trHeight w:val="227"/>
          <w:tblHeader/>
        </w:trPr>
        <w:tc>
          <w:tcPr>
            <w:tcW w:w="1921" w:type="pct"/>
            <w:shd w:val="clear" w:color="auto" w:fill="E4E4E4" w:themeFill="accent3" w:themeFillTint="33"/>
          </w:tcPr>
          <w:p w14:paraId="7457108B" w14:textId="77777777" w:rsidR="000230CC" w:rsidRDefault="000230CC" w:rsidP="000230CC">
            <w:pPr>
              <w:pStyle w:val="TableColumnHeading"/>
            </w:pPr>
            <w:r>
              <w:t>Study name</w:t>
            </w:r>
          </w:p>
        </w:tc>
        <w:tc>
          <w:tcPr>
            <w:tcW w:w="578" w:type="pct"/>
            <w:shd w:val="clear" w:color="auto" w:fill="E4E4E4" w:themeFill="accent3" w:themeFillTint="33"/>
          </w:tcPr>
          <w:p w14:paraId="4B22A838" w14:textId="77777777" w:rsidR="000230CC" w:rsidRDefault="000230CC" w:rsidP="000230CC">
            <w:pPr>
              <w:pStyle w:val="TableColumnHeading"/>
              <w:jc w:val="center"/>
            </w:pPr>
            <w:r>
              <w:t>Year</w:t>
            </w:r>
          </w:p>
        </w:tc>
        <w:tc>
          <w:tcPr>
            <w:tcW w:w="866" w:type="pct"/>
            <w:shd w:val="clear" w:color="auto" w:fill="E4E4E4" w:themeFill="accent3" w:themeFillTint="33"/>
          </w:tcPr>
          <w:p w14:paraId="0B9C52C6" w14:textId="77777777" w:rsidR="000230CC" w:rsidRDefault="000230CC" w:rsidP="000230CC">
            <w:pPr>
              <w:pStyle w:val="TableColumnHeading"/>
            </w:pPr>
            <w:r>
              <w:t>Study design</w:t>
            </w:r>
          </w:p>
        </w:tc>
        <w:tc>
          <w:tcPr>
            <w:tcW w:w="770" w:type="pct"/>
            <w:shd w:val="clear" w:color="auto" w:fill="E4E4E4" w:themeFill="accent3" w:themeFillTint="33"/>
          </w:tcPr>
          <w:p w14:paraId="07203506" w14:textId="77777777" w:rsidR="000230CC" w:rsidRDefault="000230CC" w:rsidP="000230CC">
            <w:pPr>
              <w:pStyle w:val="TableColumnHeading"/>
            </w:pPr>
            <w:r>
              <w:t>Location</w:t>
            </w:r>
          </w:p>
        </w:tc>
        <w:tc>
          <w:tcPr>
            <w:tcW w:w="865" w:type="pct"/>
            <w:shd w:val="clear" w:color="auto" w:fill="E4E4E4" w:themeFill="accent3" w:themeFillTint="33"/>
          </w:tcPr>
          <w:p w14:paraId="799ED868" w14:textId="77777777" w:rsidR="000230CC" w:rsidRDefault="000230CC" w:rsidP="000230CC">
            <w:pPr>
              <w:pStyle w:val="TableColumnHeading"/>
            </w:pPr>
            <w:r>
              <w:t>Health area</w:t>
            </w:r>
          </w:p>
        </w:tc>
      </w:tr>
      <w:tr w:rsidR="000230CC" w14:paraId="74F51A25" w14:textId="77777777" w:rsidTr="00B044BF">
        <w:trPr>
          <w:trHeight w:val="363"/>
        </w:trPr>
        <w:tc>
          <w:tcPr>
            <w:tcW w:w="1921" w:type="pct"/>
          </w:tcPr>
          <w:p w14:paraId="1A13DA10" w14:textId="77777777" w:rsidR="000230CC" w:rsidRDefault="000230CC" w:rsidP="000230CC">
            <w:pPr>
              <w:pStyle w:val="TableCopy"/>
              <w:rPr>
                <w:b/>
                <w:i/>
              </w:rPr>
            </w:pPr>
            <w:r>
              <w:rPr>
                <w:i/>
              </w:rPr>
              <w:t>Randomized Trial of the Effect of Pharmacist Prescribing</w:t>
            </w:r>
          </w:p>
          <w:p w14:paraId="06A15ACD" w14:textId="77777777" w:rsidR="000230CC" w:rsidRPr="00174E67" w:rsidRDefault="000230CC" w:rsidP="000230CC">
            <w:pPr>
              <w:pStyle w:val="TableCopy"/>
            </w:pPr>
            <w:r>
              <w:t xml:space="preserve">Tsuyuki </w:t>
            </w:r>
            <w:r>
              <w:rPr>
                <w:i/>
              </w:rPr>
              <w:t xml:space="preserve">et al. </w:t>
            </w:r>
          </w:p>
        </w:tc>
        <w:tc>
          <w:tcPr>
            <w:tcW w:w="578" w:type="pct"/>
          </w:tcPr>
          <w:p w14:paraId="77252CC8" w14:textId="77777777" w:rsidR="000230CC" w:rsidRDefault="000230CC" w:rsidP="000230CC">
            <w:pPr>
              <w:pStyle w:val="TableCopy"/>
              <w:jc w:val="center"/>
            </w:pPr>
            <w:r>
              <w:t>2015</w:t>
            </w:r>
          </w:p>
        </w:tc>
        <w:tc>
          <w:tcPr>
            <w:tcW w:w="866" w:type="pct"/>
          </w:tcPr>
          <w:p w14:paraId="6833EB57" w14:textId="77777777" w:rsidR="000230CC" w:rsidRDefault="000230CC" w:rsidP="000230CC">
            <w:pPr>
              <w:pStyle w:val="TableCopy"/>
            </w:pPr>
            <w:r>
              <w:t>RCT (active comparator) – 248 participants</w:t>
            </w:r>
          </w:p>
        </w:tc>
        <w:tc>
          <w:tcPr>
            <w:tcW w:w="770" w:type="pct"/>
          </w:tcPr>
          <w:p w14:paraId="2AD85E05" w14:textId="77777777" w:rsidR="000230CC" w:rsidRDefault="000230CC" w:rsidP="000230CC">
            <w:pPr>
              <w:pStyle w:val="TableCopy"/>
            </w:pPr>
            <w:r>
              <w:t>Canada</w:t>
            </w:r>
          </w:p>
        </w:tc>
        <w:tc>
          <w:tcPr>
            <w:tcW w:w="865" w:type="pct"/>
          </w:tcPr>
          <w:p w14:paraId="499BB17E" w14:textId="77777777" w:rsidR="000230CC" w:rsidRDefault="000230CC" w:rsidP="000230CC">
            <w:pPr>
              <w:pStyle w:val="TableCopy"/>
            </w:pPr>
            <w:r>
              <w:t>Chronic Disease – Hypertension</w:t>
            </w:r>
          </w:p>
        </w:tc>
      </w:tr>
      <w:tr w:rsidR="000230CC" w14:paraId="26273CA9" w14:textId="77777777" w:rsidTr="00B044BF">
        <w:trPr>
          <w:trHeight w:val="376"/>
        </w:trPr>
        <w:tc>
          <w:tcPr>
            <w:tcW w:w="1921" w:type="pct"/>
          </w:tcPr>
          <w:p w14:paraId="4BA2D0A1" w14:textId="77777777" w:rsidR="006A4A32" w:rsidRDefault="000230CC" w:rsidP="000230CC">
            <w:pPr>
              <w:pStyle w:val="TableCopy"/>
              <w:rPr>
                <w:i/>
              </w:rPr>
            </w:pPr>
            <w:r>
              <w:rPr>
                <w:i/>
              </w:rPr>
              <w:t>Pharmacist Intervention for Glycaemic Control in the Community</w:t>
            </w:r>
          </w:p>
          <w:p w14:paraId="5C14038F" w14:textId="2DD125C5" w:rsidR="000230CC" w:rsidRPr="00547F1C" w:rsidRDefault="000230CC" w:rsidP="000230CC">
            <w:pPr>
              <w:pStyle w:val="TableCopy"/>
              <w:rPr>
                <w:i/>
              </w:rPr>
            </w:pPr>
            <w:r>
              <w:t xml:space="preserve">AL Hamarneh </w:t>
            </w:r>
            <w:r>
              <w:rPr>
                <w:i/>
              </w:rPr>
              <w:t xml:space="preserve">et al. </w:t>
            </w:r>
          </w:p>
        </w:tc>
        <w:tc>
          <w:tcPr>
            <w:tcW w:w="578" w:type="pct"/>
          </w:tcPr>
          <w:p w14:paraId="06D95E31" w14:textId="77777777" w:rsidR="000230CC" w:rsidRDefault="000230CC" w:rsidP="000230CC">
            <w:pPr>
              <w:pStyle w:val="TableCopy"/>
              <w:jc w:val="center"/>
            </w:pPr>
            <w:r>
              <w:t>2013</w:t>
            </w:r>
          </w:p>
        </w:tc>
        <w:tc>
          <w:tcPr>
            <w:tcW w:w="866" w:type="pct"/>
          </w:tcPr>
          <w:p w14:paraId="5BFF3E16" w14:textId="77777777" w:rsidR="000230CC" w:rsidRDefault="000230CC" w:rsidP="000230CC">
            <w:pPr>
              <w:pStyle w:val="TableCopy"/>
            </w:pPr>
            <w:r>
              <w:t xml:space="preserve">Uncontrolled cohort study – 100 participants </w:t>
            </w:r>
          </w:p>
        </w:tc>
        <w:tc>
          <w:tcPr>
            <w:tcW w:w="770" w:type="pct"/>
          </w:tcPr>
          <w:p w14:paraId="69FDCC59" w14:textId="77777777" w:rsidR="000230CC" w:rsidRDefault="000230CC" w:rsidP="000230CC">
            <w:pPr>
              <w:pStyle w:val="TableCopy"/>
            </w:pPr>
            <w:r>
              <w:t>Canada</w:t>
            </w:r>
          </w:p>
        </w:tc>
        <w:tc>
          <w:tcPr>
            <w:tcW w:w="865" w:type="pct"/>
          </w:tcPr>
          <w:p w14:paraId="489563EC" w14:textId="77777777" w:rsidR="000230CC" w:rsidRDefault="000230CC" w:rsidP="000230CC">
            <w:pPr>
              <w:pStyle w:val="TableCopy"/>
            </w:pPr>
            <w:r>
              <w:t>Chronic Disease – Diabetes</w:t>
            </w:r>
          </w:p>
        </w:tc>
      </w:tr>
      <w:tr w:rsidR="000230CC" w14:paraId="5E4ED8DD" w14:textId="77777777" w:rsidTr="00B044BF">
        <w:trPr>
          <w:trHeight w:val="376"/>
        </w:trPr>
        <w:tc>
          <w:tcPr>
            <w:tcW w:w="1921" w:type="pct"/>
          </w:tcPr>
          <w:p w14:paraId="3CF23434" w14:textId="77777777" w:rsidR="006A4A32" w:rsidRDefault="000230CC" w:rsidP="000230CC">
            <w:pPr>
              <w:pStyle w:val="TableCopy"/>
              <w:rPr>
                <w:i/>
              </w:rPr>
            </w:pPr>
            <w:r>
              <w:rPr>
                <w:i/>
              </w:rPr>
              <w:t>Community Pharmacy-Based Medication Assessment Program</w:t>
            </w:r>
          </w:p>
          <w:p w14:paraId="525D68BC" w14:textId="402A9711" w:rsidR="000230CC" w:rsidRPr="00314D2A" w:rsidRDefault="000230CC" w:rsidP="000230CC">
            <w:pPr>
              <w:pStyle w:val="TableCopy"/>
              <w:rPr>
                <w:i/>
              </w:rPr>
            </w:pPr>
            <w:r>
              <w:t xml:space="preserve">Beauchesne </w:t>
            </w:r>
            <w:r>
              <w:rPr>
                <w:i/>
              </w:rPr>
              <w:t xml:space="preserve">et al. </w:t>
            </w:r>
          </w:p>
        </w:tc>
        <w:tc>
          <w:tcPr>
            <w:tcW w:w="578" w:type="pct"/>
          </w:tcPr>
          <w:p w14:paraId="6487E297" w14:textId="77777777" w:rsidR="000230CC" w:rsidRDefault="000230CC" w:rsidP="000230CC">
            <w:pPr>
              <w:pStyle w:val="TableCopy"/>
              <w:jc w:val="center"/>
            </w:pPr>
            <w:r>
              <w:t>2012</w:t>
            </w:r>
          </w:p>
        </w:tc>
        <w:tc>
          <w:tcPr>
            <w:tcW w:w="866" w:type="pct"/>
          </w:tcPr>
          <w:p w14:paraId="76FCD1B5" w14:textId="77777777" w:rsidR="006A4A32" w:rsidRDefault="000230CC" w:rsidP="000230CC">
            <w:pPr>
              <w:pStyle w:val="TableCopy"/>
            </w:pPr>
            <w:r>
              <w:t>Uncontrolled cohort study –</w:t>
            </w:r>
          </w:p>
          <w:p w14:paraId="1BD92982" w14:textId="32C97E3E" w:rsidR="000230CC" w:rsidRDefault="000230CC" w:rsidP="000230CC">
            <w:pPr>
              <w:pStyle w:val="TableCopy"/>
            </w:pPr>
            <w:r>
              <w:t xml:space="preserve">82 participants </w:t>
            </w:r>
          </w:p>
        </w:tc>
        <w:tc>
          <w:tcPr>
            <w:tcW w:w="770" w:type="pct"/>
          </w:tcPr>
          <w:p w14:paraId="751A21A3" w14:textId="77777777" w:rsidR="000230CC" w:rsidRDefault="000230CC" w:rsidP="000230CC">
            <w:pPr>
              <w:pStyle w:val="TableCopy"/>
            </w:pPr>
            <w:r>
              <w:t xml:space="preserve">Canada </w:t>
            </w:r>
          </w:p>
        </w:tc>
        <w:tc>
          <w:tcPr>
            <w:tcW w:w="865" w:type="pct"/>
          </w:tcPr>
          <w:p w14:paraId="06895A03" w14:textId="77777777" w:rsidR="000230CC" w:rsidRDefault="000230CC" w:rsidP="000230CC">
            <w:pPr>
              <w:pStyle w:val="TableCopy"/>
            </w:pPr>
            <w:r>
              <w:t>Chronic Disease – Asthma and COPD</w:t>
            </w:r>
          </w:p>
        </w:tc>
      </w:tr>
      <w:tr w:rsidR="000230CC" w14:paraId="18FB63FF" w14:textId="77777777" w:rsidTr="00B044BF">
        <w:trPr>
          <w:trHeight w:val="363"/>
        </w:trPr>
        <w:tc>
          <w:tcPr>
            <w:tcW w:w="1921" w:type="pct"/>
          </w:tcPr>
          <w:p w14:paraId="6F5422F0" w14:textId="77777777" w:rsidR="006A4A32" w:rsidRDefault="000230CC" w:rsidP="000230CC">
            <w:pPr>
              <w:pStyle w:val="TableCopy"/>
              <w:rPr>
                <w:i/>
              </w:rPr>
            </w:pPr>
            <w:r>
              <w:rPr>
                <w:i/>
              </w:rPr>
              <w:t>Patient case activities by community pharmacists in a capitation funding model mental health and addiction programs</w:t>
            </w:r>
          </w:p>
          <w:p w14:paraId="39E84B49" w14:textId="5C060E01" w:rsidR="000230CC" w:rsidRPr="00F62D84" w:rsidRDefault="000230CC" w:rsidP="000230CC">
            <w:pPr>
              <w:pStyle w:val="TableCopy"/>
              <w:rPr>
                <w:i/>
              </w:rPr>
            </w:pPr>
            <w:r>
              <w:t xml:space="preserve">Murphy </w:t>
            </w:r>
            <w:r>
              <w:rPr>
                <w:i/>
              </w:rPr>
              <w:t xml:space="preserve">et al. </w:t>
            </w:r>
          </w:p>
        </w:tc>
        <w:tc>
          <w:tcPr>
            <w:tcW w:w="578" w:type="pct"/>
          </w:tcPr>
          <w:p w14:paraId="1F9CFF3F" w14:textId="77777777" w:rsidR="000230CC" w:rsidRDefault="000230CC" w:rsidP="000230CC">
            <w:pPr>
              <w:pStyle w:val="TableCopy"/>
              <w:jc w:val="center"/>
            </w:pPr>
            <w:r>
              <w:t>2018</w:t>
            </w:r>
          </w:p>
        </w:tc>
        <w:tc>
          <w:tcPr>
            <w:tcW w:w="866" w:type="pct"/>
          </w:tcPr>
          <w:p w14:paraId="64F8D18D" w14:textId="77777777" w:rsidR="000230CC" w:rsidRDefault="000230CC" w:rsidP="000230CC">
            <w:pPr>
              <w:pStyle w:val="TableCopy"/>
            </w:pPr>
            <w:r>
              <w:t>Uncontrolled cohort study – 182 participants</w:t>
            </w:r>
          </w:p>
        </w:tc>
        <w:tc>
          <w:tcPr>
            <w:tcW w:w="770" w:type="pct"/>
          </w:tcPr>
          <w:p w14:paraId="388BFADF" w14:textId="77777777" w:rsidR="000230CC" w:rsidRDefault="000230CC" w:rsidP="000230CC">
            <w:pPr>
              <w:pStyle w:val="TableCopy"/>
            </w:pPr>
            <w:r>
              <w:t>Canada</w:t>
            </w:r>
          </w:p>
        </w:tc>
        <w:tc>
          <w:tcPr>
            <w:tcW w:w="865" w:type="pct"/>
          </w:tcPr>
          <w:p w14:paraId="6D23FF05" w14:textId="77777777" w:rsidR="000230CC" w:rsidRDefault="000230CC" w:rsidP="000230CC">
            <w:pPr>
              <w:pStyle w:val="TableCopy"/>
            </w:pPr>
            <w:r>
              <w:t>Mental Health and Alcohol and Other Drugs/ QUM</w:t>
            </w:r>
          </w:p>
        </w:tc>
      </w:tr>
      <w:tr w:rsidR="000230CC" w14:paraId="26AB4E8E" w14:textId="77777777" w:rsidTr="00B044BF">
        <w:trPr>
          <w:trHeight w:val="363"/>
        </w:trPr>
        <w:tc>
          <w:tcPr>
            <w:tcW w:w="1921" w:type="pct"/>
          </w:tcPr>
          <w:p w14:paraId="22CCB11E" w14:textId="77777777" w:rsidR="006A4A32" w:rsidRDefault="000230CC" w:rsidP="000230CC">
            <w:pPr>
              <w:pStyle w:val="TableCopy"/>
              <w:rPr>
                <w:i/>
              </w:rPr>
            </w:pPr>
            <w:r>
              <w:rPr>
                <w:i/>
              </w:rPr>
              <w:t>Effectiveness of Pharmaceutical Care for Patients with Cardiac Obstructive Pulmonary Disease</w:t>
            </w:r>
          </w:p>
          <w:p w14:paraId="1E9E5D61" w14:textId="09CD4495" w:rsidR="000230CC" w:rsidRPr="00DD1758" w:rsidRDefault="000230CC" w:rsidP="000230CC">
            <w:pPr>
              <w:pStyle w:val="TableCopy"/>
              <w:rPr>
                <w:i/>
              </w:rPr>
            </w:pPr>
            <w:r>
              <w:t xml:space="preserve">Tommelein </w:t>
            </w:r>
            <w:r>
              <w:rPr>
                <w:i/>
              </w:rPr>
              <w:t xml:space="preserve">et al. </w:t>
            </w:r>
          </w:p>
        </w:tc>
        <w:tc>
          <w:tcPr>
            <w:tcW w:w="578" w:type="pct"/>
          </w:tcPr>
          <w:p w14:paraId="3C71257C" w14:textId="77777777" w:rsidR="000230CC" w:rsidRDefault="000230CC" w:rsidP="000230CC">
            <w:pPr>
              <w:pStyle w:val="TableCopy"/>
              <w:jc w:val="center"/>
            </w:pPr>
            <w:r>
              <w:t>2014</w:t>
            </w:r>
          </w:p>
        </w:tc>
        <w:tc>
          <w:tcPr>
            <w:tcW w:w="866" w:type="pct"/>
          </w:tcPr>
          <w:p w14:paraId="5BB7D851" w14:textId="77777777" w:rsidR="000230CC" w:rsidRDefault="000230CC" w:rsidP="000230CC">
            <w:pPr>
              <w:pStyle w:val="TableCopy"/>
            </w:pPr>
            <w:r>
              <w:t xml:space="preserve">RCT (active comparator) – 734 participants </w:t>
            </w:r>
          </w:p>
        </w:tc>
        <w:tc>
          <w:tcPr>
            <w:tcW w:w="770" w:type="pct"/>
          </w:tcPr>
          <w:p w14:paraId="36F28633" w14:textId="77777777" w:rsidR="000230CC" w:rsidRDefault="000230CC" w:rsidP="000230CC">
            <w:pPr>
              <w:pStyle w:val="TableCopy"/>
            </w:pPr>
            <w:r>
              <w:t>Belgium</w:t>
            </w:r>
          </w:p>
        </w:tc>
        <w:tc>
          <w:tcPr>
            <w:tcW w:w="865" w:type="pct"/>
          </w:tcPr>
          <w:p w14:paraId="11132627" w14:textId="77777777" w:rsidR="000230CC" w:rsidRDefault="000230CC" w:rsidP="000230CC">
            <w:pPr>
              <w:pStyle w:val="TableCopy"/>
            </w:pPr>
            <w:r>
              <w:t>Chronic Disease – COPD</w:t>
            </w:r>
          </w:p>
        </w:tc>
      </w:tr>
      <w:tr w:rsidR="000230CC" w14:paraId="41187A66" w14:textId="77777777" w:rsidTr="00B044BF">
        <w:trPr>
          <w:trHeight w:val="363"/>
        </w:trPr>
        <w:tc>
          <w:tcPr>
            <w:tcW w:w="1921" w:type="pct"/>
          </w:tcPr>
          <w:p w14:paraId="14F173C2" w14:textId="77777777" w:rsidR="000230CC" w:rsidRDefault="000230CC" w:rsidP="000230CC">
            <w:pPr>
              <w:pStyle w:val="TableCopy"/>
              <w:rPr>
                <w:b/>
                <w:i/>
              </w:rPr>
            </w:pPr>
            <w:r>
              <w:rPr>
                <w:i/>
              </w:rPr>
              <w:t>Effectiveness of a Pharmacist-Led Intervention on Diuretic Compliance in Health Failure Patients: A Randomized Control Study</w:t>
            </w:r>
          </w:p>
          <w:p w14:paraId="0DF2889C" w14:textId="77777777" w:rsidR="000230CC" w:rsidRPr="00284B8D" w:rsidRDefault="000230CC" w:rsidP="000230CC">
            <w:pPr>
              <w:pStyle w:val="TableCopy"/>
              <w:rPr>
                <w:i/>
              </w:rPr>
            </w:pPr>
            <w:r>
              <w:t xml:space="preserve">Bouvy </w:t>
            </w:r>
            <w:r>
              <w:rPr>
                <w:i/>
              </w:rPr>
              <w:t xml:space="preserve">et al. </w:t>
            </w:r>
          </w:p>
        </w:tc>
        <w:tc>
          <w:tcPr>
            <w:tcW w:w="578" w:type="pct"/>
          </w:tcPr>
          <w:p w14:paraId="2C6F85D1" w14:textId="77777777" w:rsidR="000230CC" w:rsidRDefault="000230CC" w:rsidP="000230CC">
            <w:pPr>
              <w:pStyle w:val="TableCopy"/>
              <w:jc w:val="center"/>
            </w:pPr>
            <w:r>
              <w:t>2003</w:t>
            </w:r>
          </w:p>
        </w:tc>
        <w:tc>
          <w:tcPr>
            <w:tcW w:w="866" w:type="pct"/>
          </w:tcPr>
          <w:p w14:paraId="4D6D5ECB" w14:textId="77777777" w:rsidR="000230CC" w:rsidRDefault="000230CC" w:rsidP="000230CC">
            <w:pPr>
              <w:pStyle w:val="TableCopy"/>
            </w:pPr>
            <w:r>
              <w:t>RCT (active comparator) – 152 participants</w:t>
            </w:r>
          </w:p>
        </w:tc>
        <w:tc>
          <w:tcPr>
            <w:tcW w:w="770" w:type="pct"/>
          </w:tcPr>
          <w:p w14:paraId="77DA709A" w14:textId="77777777" w:rsidR="000230CC" w:rsidRDefault="000230CC" w:rsidP="000230CC">
            <w:pPr>
              <w:pStyle w:val="TableCopy"/>
            </w:pPr>
            <w:r>
              <w:t>The Netherlands</w:t>
            </w:r>
          </w:p>
        </w:tc>
        <w:tc>
          <w:tcPr>
            <w:tcW w:w="865" w:type="pct"/>
          </w:tcPr>
          <w:p w14:paraId="121EC281" w14:textId="77777777" w:rsidR="000230CC" w:rsidRDefault="000230CC" w:rsidP="000230CC">
            <w:pPr>
              <w:pStyle w:val="TableCopy"/>
            </w:pPr>
            <w:r>
              <w:t>Chronic Disease – Heart Failure/ Transition of care/ Medication adherence</w:t>
            </w:r>
          </w:p>
        </w:tc>
      </w:tr>
      <w:tr w:rsidR="000230CC" w14:paraId="472E2928" w14:textId="77777777" w:rsidTr="00B044BF">
        <w:trPr>
          <w:trHeight w:val="363"/>
        </w:trPr>
        <w:tc>
          <w:tcPr>
            <w:tcW w:w="1921" w:type="pct"/>
          </w:tcPr>
          <w:p w14:paraId="631C62FC" w14:textId="77777777" w:rsidR="000230CC" w:rsidRDefault="000230CC" w:rsidP="000230CC">
            <w:pPr>
              <w:pStyle w:val="TableCopy"/>
              <w:rPr>
                <w:b/>
                <w:i/>
              </w:rPr>
            </w:pPr>
            <w:r>
              <w:rPr>
                <w:i/>
              </w:rPr>
              <w:t>Pharmacist Intervention to Improve Medication Adherence in Health Failure</w:t>
            </w:r>
          </w:p>
          <w:p w14:paraId="530E45C5" w14:textId="77777777" w:rsidR="000230CC" w:rsidRPr="00D77B31" w:rsidRDefault="000230CC" w:rsidP="000230CC">
            <w:pPr>
              <w:pStyle w:val="TableCopy"/>
              <w:rPr>
                <w:i/>
              </w:rPr>
            </w:pPr>
            <w:r>
              <w:t xml:space="preserve">Murray </w:t>
            </w:r>
            <w:r>
              <w:rPr>
                <w:i/>
              </w:rPr>
              <w:t xml:space="preserve">et al. </w:t>
            </w:r>
          </w:p>
        </w:tc>
        <w:tc>
          <w:tcPr>
            <w:tcW w:w="578" w:type="pct"/>
          </w:tcPr>
          <w:p w14:paraId="659789CE" w14:textId="77777777" w:rsidR="000230CC" w:rsidRDefault="000230CC" w:rsidP="000230CC">
            <w:pPr>
              <w:pStyle w:val="TableCopy"/>
              <w:jc w:val="center"/>
            </w:pPr>
            <w:r>
              <w:t>2007</w:t>
            </w:r>
          </w:p>
        </w:tc>
        <w:tc>
          <w:tcPr>
            <w:tcW w:w="866" w:type="pct"/>
          </w:tcPr>
          <w:p w14:paraId="018E8B9E" w14:textId="77777777" w:rsidR="000230CC" w:rsidRDefault="000230CC" w:rsidP="000230CC">
            <w:pPr>
              <w:pStyle w:val="TableCopy"/>
            </w:pPr>
            <w:r>
              <w:t xml:space="preserve">RCT (active comparator) – 314 participants </w:t>
            </w:r>
          </w:p>
        </w:tc>
        <w:tc>
          <w:tcPr>
            <w:tcW w:w="770" w:type="pct"/>
          </w:tcPr>
          <w:p w14:paraId="548ECF77" w14:textId="77777777" w:rsidR="000230CC" w:rsidRDefault="000230CC" w:rsidP="000230CC">
            <w:pPr>
              <w:pStyle w:val="TableCopy"/>
            </w:pPr>
            <w:r>
              <w:t>US</w:t>
            </w:r>
          </w:p>
        </w:tc>
        <w:tc>
          <w:tcPr>
            <w:tcW w:w="865" w:type="pct"/>
          </w:tcPr>
          <w:p w14:paraId="05B9E260" w14:textId="77777777" w:rsidR="000230CC" w:rsidRDefault="000230CC" w:rsidP="000230CC">
            <w:pPr>
              <w:pStyle w:val="TableCopy"/>
            </w:pPr>
            <w:r>
              <w:t xml:space="preserve">Chronic Disease – Heart Failure/ Medication adherence </w:t>
            </w:r>
          </w:p>
        </w:tc>
      </w:tr>
      <w:tr w:rsidR="000230CC" w14:paraId="62CAD1E9" w14:textId="77777777" w:rsidTr="00B044BF">
        <w:trPr>
          <w:trHeight w:val="363"/>
        </w:trPr>
        <w:tc>
          <w:tcPr>
            <w:tcW w:w="1921" w:type="pct"/>
          </w:tcPr>
          <w:p w14:paraId="00385FE2" w14:textId="77777777" w:rsidR="006A4A32" w:rsidRDefault="000230CC" w:rsidP="000230CC">
            <w:pPr>
              <w:pStyle w:val="TableCopy"/>
              <w:rPr>
                <w:i/>
              </w:rPr>
            </w:pPr>
            <w:r>
              <w:rPr>
                <w:i/>
              </w:rPr>
              <w:t>Managing minor ailments: The public’s preference for attributes of community pharmacies. A Discrete Choice Experiment</w:t>
            </w:r>
          </w:p>
          <w:p w14:paraId="4D894009" w14:textId="21B38D17" w:rsidR="000230CC" w:rsidRPr="00FB7677" w:rsidRDefault="000230CC" w:rsidP="000230CC">
            <w:pPr>
              <w:pStyle w:val="TableCopy"/>
              <w:rPr>
                <w:i/>
              </w:rPr>
            </w:pPr>
            <w:r>
              <w:t xml:space="preserve">Porteous </w:t>
            </w:r>
            <w:r w:rsidRPr="00FB7677">
              <w:rPr>
                <w:i/>
              </w:rPr>
              <w:t>et al.</w:t>
            </w:r>
            <w:r>
              <w:t xml:space="preserve"> </w:t>
            </w:r>
          </w:p>
        </w:tc>
        <w:tc>
          <w:tcPr>
            <w:tcW w:w="578" w:type="pct"/>
          </w:tcPr>
          <w:p w14:paraId="256A69E5" w14:textId="77777777" w:rsidR="000230CC" w:rsidRDefault="000230CC" w:rsidP="000230CC">
            <w:pPr>
              <w:pStyle w:val="TableCopy"/>
              <w:jc w:val="center"/>
            </w:pPr>
            <w:r>
              <w:t>2016</w:t>
            </w:r>
          </w:p>
        </w:tc>
        <w:tc>
          <w:tcPr>
            <w:tcW w:w="866" w:type="pct"/>
          </w:tcPr>
          <w:p w14:paraId="7E6D3ABF" w14:textId="77777777" w:rsidR="000230CC" w:rsidRDefault="000230CC" w:rsidP="000230CC">
            <w:pPr>
              <w:pStyle w:val="TableCopy"/>
            </w:pPr>
            <w:r>
              <w:t xml:space="preserve">Uncontrolled Cohort Study – 1,049 participants </w:t>
            </w:r>
          </w:p>
        </w:tc>
        <w:tc>
          <w:tcPr>
            <w:tcW w:w="770" w:type="pct"/>
          </w:tcPr>
          <w:p w14:paraId="3F73B94F" w14:textId="77777777" w:rsidR="000230CC" w:rsidRDefault="000230CC" w:rsidP="000230CC">
            <w:pPr>
              <w:pStyle w:val="TableCopy"/>
            </w:pPr>
            <w:r>
              <w:t>UK</w:t>
            </w:r>
          </w:p>
        </w:tc>
        <w:tc>
          <w:tcPr>
            <w:tcW w:w="865" w:type="pct"/>
          </w:tcPr>
          <w:p w14:paraId="5598D25B" w14:textId="77777777" w:rsidR="000230CC" w:rsidRDefault="000230CC" w:rsidP="000230CC">
            <w:pPr>
              <w:pStyle w:val="TableCopy"/>
            </w:pPr>
            <w:r>
              <w:t xml:space="preserve">Access to primary care services/ service gaps </w:t>
            </w:r>
          </w:p>
        </w:tc>
      </w:tr>
      <w:tr w:rsidR="000230CC" w14:paraId="6AF3C3F8" w14:textId="77777777" w:rsidTr="00B044BF">
        <w:trPr>
          <w:trHeight w:val="363"/>
        </w:trPr>
        <w:tc>
          <w:tcPr>
            <w:tcW w:w="1921" w:type="pct"/>
          </w:tcPr>
          <w:p w14:paraId="19E3C438" w14:textId="77777777" w:rsidR="000230CC" w:rsidRDefault="000230CC" w:rsidP="000230CC">
            <w:pPr>
              <w:pStyle w:val="TableCopy"/>
              <w:rPr>
                <w:b/>
                <w:i/>
              </w:rPr>
            </w:pPr>
            <w:r>
              <w:rPr>
                <w:i/>
              </w:rPr>
              <w:t>Nicotine Patches in Smoking Cessation: A Randomized Trial among Over-the-Counter Customers in Denmark</w:t>
            </w:r>
          </w:p>
          <w:p w14:paraId="51EB5363" w14:textId="77777777" w:rsidR="000230CC" w:rsidRPr="00FB7677" w:rsidRDefault="000230CC" w:rsidP="000230CC">
            <w:pPr>
              <w:pStyle w:val="TableCopy"/>
              <w:rPr>
                <w:i/>
              </w:rPr>
            </w:pPr>
            <w:r>
              <w:t xml:space="preserve">Sonderskov </w:t>
            </w:r>
            <w:r>
              <w:rPr>
                <w:i/>
              </w:rPr>
              <w:t xml:space="preserve">et al. </w:t>
            </w:r>
          </w:p>
        </w:tc>
        <w:tc>
          <w:tcPr>
            <w:tcW w:w="578" w:type="pct"/>
          </w:tcPr>
          <w:p w14:paraId="4BEADBE6" w14:textId="77777777" w:rsidR="000230CC" w:rsidRDefault="000230CC" w:rsidP="000230CC">
            <w:pPr>
              <w:pStyle w:val="TableCopy"/>
              <w:jc w:val="center"/>
            </w:pPr>
            <w:r>
              <w:t>1997</w:t>
            </w:r>
          </w:p>
        </w:tc>
        <w:tc>
          <w:tcPr>
            <w:tcW w:w="866" w:type="pct"/>
          </w:tcPr>
          <w:p w14:paraId="0C02E5B8" w14:textId="77777777" w:rsidR="000230CC" w:rsidRDefault="000230CC" w:rsidP="000230CC">
            <w:pPr>
              <w:pStyle w:val="TableCopy"/>
            </w:pPr>
            <w:r>
              <w:t xml:space="preserve">RCT (placebo controlled) – 522 participants </w:t>
            </w:r>
          </w:p>
        </w:tc>
        <w:tc>
          <w:tcPr>
            <w:tcW w:w="770" w:type="pct"/>
          </w:tcPr>
          <w:p w14:paraId="66336B2E" w14:textId="77777777" w:rsidR="000230CC" w:rsidRDefault="000230CC" w:rsidP="000230CC">
            <w:pPr>
              <w:pStyle w:val="TableCopy"/>
            </w:pPr>
            <w:r>
              <w:t>Denmark</w:t>
            </w:r>
          </w:p>
        </w:tc>
        <w:tc>
          <w:tcPr>
            <w:tcW w:w="865" w:type="pct"/>
          </w:tcPr>
          <w:p w14:paraId="5DA3AB69" w14:textId="77777777" w:rsidR="000230CC" w:rsidRDefault="000230CC" w:rsidP="000230CC">
            <w:pPr>
              <w:pStyle w:val="TableCopy"/>
            </w:pPr>
            <w:r>
              <w:t>Chronic Disease Risk Factors – Smoking cessation</w:t>
            </w:r>
          </w:p>
        </w:tc>
      </w:tr>
      <w:tr w:rsidR="000230CC" w14:paraId="40601EA7" w14:textId="77777777" w:rsidTr="00B044BF">
        <w:trPr>
          <w:trHeight w:val="363"/>
        </w:trPr>
        <w:tc>
          <w:tcPr>
            <w:tcW w:w="1921" w:type="pct"/>
          </w:tcPr>
          <w:p w14:paraId="24B1DF5B" w14:textId="77777777" w:rsidR="000230CC" w:rsidRDefault="000230CC" w:rsidP="000230CC">
            <w:pPr>
              <w:pStyle w:val="TableCopy"/>
              <w:rPr>
                <w:b/>
                <w:i/>
              </w:rPr>
            </w:pPr>
            <w:r>
              <w:rPr>
                <w:i/>
              </w:rPr>
              <w:t>Change of body weight and lifestyle of persons at risk of diabetes after screening and counselling in pharmacies</w:t>
            </w:r>
          </w:p>
          <w:p w14:paraId="56D26D04" w14:textId="77777777" w:rsidR="000230CC" w:rsidRPr="00784564" w:rsidRDefault="000230CC" w:rsidP="000230CC">
            <w:pPr>
              <w:pStyle w:val="TableCopy"/>
              <w:rPr>
                <w:i/>
              </w:rPr>
            </w:pPr>
            <w:r>
              <w:t xml:space="preserve">Botomino </w:t>
            </w:r>
            <w:r>
              <w:rPr>
                <w:i/>
              </w:rPr>
              <w:t xml:space="preserve">et al. </w:t>
            </w:r>
          </w:p>
        </w:tc>
        <w:tc>
          <w:tcPr>
            <w:tcW w:w="578" w:type="pct"/>
          </w:tcPr>
          <w:p w14:paraId="61AD0CD1" w14:textId="77777777" w:rsidR="000230CC" w:rsidRDefault="000230CC" w:rsidP="000230CC">
            <w:pPr>
              <w:pStyle w:val="TableCopy"/>
              <w:jc w:val="center"/>
            </w:pPr>
            <w:r>
              <w:t>2008</w:t>
            </w:r>
          </w:p>
        </w:tc>
        <w:tc>
          <w:tcPr>
            <w:tcW w:w="866" w:type="pct"/>
          </w:tcPr>
          <w:p w14:paraId="11DF0D96" w14:textId="77777777" w:rsidR="006A4A32" w:rsidRDefault="000230CC" w:rsidP="000230CC">
            <w:pPr>
              <w:pStyle w:val="TableCopy"/>
            </w:pPr>
            <w:r>
              <w:t>Uncontrolled Cohort Study –</w:t>
            </w:r>
          </w:p>
          <w:p w14:paraId="6FA877FE" w14:textId="0DC3213E" w:rsidR="000230CC" w:rsidRDefault="000230CC" w:rsidP="000230CC">
            <w:pPr>
              <w:pStyle w:val="TableCopy"/>
            </w:pPr>
            <w:r>
              <w:t>1,370 participants</w:t>
            </w:r>
          </w:p>
        </w:tc>
        <w:tc>
          <w:tcPr>
            <w:tcW w:w="770" w:type="pct"/>
          </w:tcPr>
          <w:p w14:paraId="2D10427C" w14:textId="77777777" w:rsidR="000230CC" w:rsidRDefault="000230CC" w:rsidP="000230CC">
            <w:pPr>
              <w:pStyle w:val="TableCopy"/>
            </w:pPr>
            <w:r>
              <w:t>Switzerland</w:t>
            </w:r>
          </w:p>
        </w:tc>
        <w:tc>
          <w:tcPr>
            <w:tcW w:w="865" w:type="pct"/>
          </w:tcPr>
          <w:p w14:paraId="63D36896" w14:textId="77777777" w:rsidR="000230CC" w:rsidRDefault="000230CC" w:rsidP="000230CC">
            <w:pPr>
              <w:pStyle w:val="TableCopy"/>
            </w:pPr>
            <w:r>
              <w:t>Chronic Disease – Weight management</w:t>
            </w:r>
          </w:p>
        </w:tc>
      </w:tr>
      <w:tr w:rsidR="000230CC" w14:paraId="3249A7D3" w14:textId="77777777" w:rsidTr="00B044BF">
        <w:trPr>
          <w:trHeight w:val="363"/>
        </w:trPr>
        <w:tc>
          <w:tcPr>
            <w:tcW w:w="1921" w:type="pct"/>
          </w:tcPr>
          <w:p w14:paraId="4284D68B" w14:textId="77777777" w:rsidR="000230CC" w:rsidRPr="00E429F0" w:rsidRDefault="000230CC" w:rsidP="000230CC">
            <w:pPr>
              <w:pStyle w:val="TableCopy"/>
              <w:rPr>
                <w:i/>
              </w:rPr>
            </w:pPr>
            <w:r w:rsidRPr="00E429F0">
              <w:rPr>
                <w:i/>
              </w:rPr>
              <w:t>Implementation of an</w:t>
            </w:r>
          </w:p>
          <w:p w14:paraId="7D275F38" w14:textId="77777777" w:rsidR="000230CC" w:rsidRPr="00E429F0" w:rsidRDefault="000230CC" w:rsidP="000230CC">
            <w:pPr>
              <w:pStyle w:val="TableCopy"/>
              <w:rPr>
                <w:i/>
              </w:rPr>
            </w:pPr>
            <w:r w:rsidRPr="00E429F0">
              <w:rPr>
                <w:i/>
              </w:rPr>
              <w:t>overweight and obese people follow-up program as a previous step</w:t>
            </w:r>
          </w:p>
          <w:p w14:paraId="6A7CE78B" w14:textId="77777777" w:rsidR="000230CC" w:rsidRPr="00E429F0" w:rsidRDefault="000230CC" w:rsidP="000230CC">
            <w:pPr>
              <w:pStyle w:val="TableCopy"/>
              <w:rPr>
                <w:b/>
                <w:i/>
              </w:rPr>
            </w:pPr>
            <w:r w:rsidRPr="00E429F0">
              <w:rPr>
                <w:i/>
              </w:rPr>
              <w:t>to a drug-therapy follow-up</w:t>
            </w:r>
          </w:p>
          <w:p w14:paraId="54CBB79B" w14:textId="77777777" w:rsidR="000230CC" w:rsidRPr="00E429F0" w:rsidRDefault="000230CC" w:rsidP="000230CC">
            <w:pPr>
              <w:pStyle w:val="TableCopy"/>
              <w:rPr>
                <w:i/>
              </w:rPr>
            </w:pPr>
            <w:r>
              <w:t xml:space="preserve">De Miguel </w:t>
            </w:r>
            <w:r>
              <w:rPr>
                <w:i/>
              </w:rPr>
              <w:t xml:space="preserve">et al. </w:t>
            </w:r>
          </w:p>
        </w:tc>
        <w:tc>
          <w:tcPr>
            <w:tcW w:w="578" w:type="pct"/>
          </w:tcPr>
          <w:p w14:paraId="264F95AB" w14:textId="77777777" w:rsidR="000230CC" w:rsidRDefault="000230CC" w:rsidP="000230CC">
            <w:pPr>
              <w:pStyle w:val="TableCopy"/>
              <w:jc w:val="center"/>
            </w:pPr>
            <w:r>
              <w:t>2001</w:t>
            </w:r>
          </w:p>
        </w:tc>
        <w:tc>
          <w:tcPr>
            <w:tcW w:w="866" w:type="pct"/>
          </w:tcPr>
          <w:p w14:paraId="562D8B39" w14:textId="77777777" w:rsidR="000230CC" w:rsidRDefault="000230CC" w:rsidP="000230CC">
            <w:pPr>
              <w:pStyle w:val="TableCopy"/>
            </w:pPr>
            <w:r>
              <w:t>Uncontrolled Cohort Study – 168 participants</w:t>
            </w:r>
          </w:p>
        </w:tc>
        <w:tc>
          <w:tcPr>
            <w:tcW w:w="770" w:type="pct"/>
          </w:tcPr>
          <w:p w14:paraId="2C42FC33" w14:textId="77777777" w:rsidR="000230CC" w:rsidRDefault="000230CC" w:rsidP="000230CC">
            <w:pPr>
              <w:pStyle w:val="TableCopy"/>
            </w:pPr>
            <w:r>
              <w:t>Spain</w:t>
            </w:r>
          </w:p>
        </w:tc>
        <w:tc>
          <w:tcPr>
            <w:tcW w:w="865" w:type="pct"/>
          </w:tcPr>
          <w:p w14:paraId="20D1F8FC" w14:textId="77777777" w:rsidR="000230CC" w:rsidRDefault="000230CC" w:rsidP="000230CC">
            <w:pPr>
              <w:pStyle w:val="TableCopy"/>
            </w:pPr>
            <w:r>
              <w:t>Chronic Disease – Weight management</w:t>
            </w:r>
          </w:p>
        </w:tc>
      </w:tr>
      <w:tr w:rsidR="000230CC" w14:paraId="122DE648" w14:textId="77777777" w:rsidTr="00B044BF">
        <w:trPr>
          <w:trHeight w:val="363"/>
        </w:trPr>
        <w:tc>
          <w:tcPr>
            <w:tcW w:w="1921" w:type="pct"/>
          </w:tcPr>
          <w:p w14:paraId="4EB8200B" w14:textId="77777777" w:rsidR="000230CC" w:rsidRPr="00E500E5" w:rsidRDefault="000230CC" w:rsidP="000230CC">
            <w:pPr>
              <w:pStyle w:val="TableCopy"/>
              <w:rPr>
                <w:i/>
              </w:rPr>
            </w:pPr>
            <w:r w:rsidRPr="00E500E5">
              <w:rPr>
                <w:i/>
              </w:rPr>
              <w:lastRenderedPageBreak/>
              <w:t>Implementation of a weight management pharmaceutical</w:t>
            </w:r>
          </w:p>
          <w:p w14:paraId="08B23066" w14:textId="77777777" w:rsidR="000230CC" w:rsidRDefault="000230CC" w:rsidP="000230CC">
            <w:pPr>
              <w:pStyle w:val="TableCopy"/>
              <w:rPr>
                <w:b/>
                <w:i/>
              </w:rPr>
            </w:pPr>
            <w:r w:rsidRPr="00E500E5">
              <w:rPr>
                <w:i/>
              </w:rPr>
              <w:t>care service</w:t>
            </w:r>
          </w:p>
          <w:p w14:paraId="36F769D5" w14:textId="367A765E" w:rsidR="000230CC" w:rsidRPr="00E500E5" w:rsidRDefault="000230CC" w:rsidP="000230CC">
            <w:pPr>
              <w:pStyle w:val="TableCopy"/>
              <w:rPr>
                <w:b/>
                <w:i/>
              </w:rPr>
            </w:pPr>
            <w:r>
              <w:t xml:space="preserve">Lloyd </w:t>
            </w:r>
            <w:r>
              <w:rPr>
                <w:i/>
              </w:rPr>
              <w:t>et al.</w:t>
            </w:r>
          </w:p>
        </w:tc>
        <w:tc>
          <w:tcPr>
            <w:tcW w:w="578" w:type="pct"/>
          </w:tcPr>
          <w:p w14:paraId="4CA3F3BC" w14:textId="77777777" w:rsidR="000230CC" w:rsidRDefault="000230CC" w:rsidP="000230CC">
            <w:pPr>
              <w:pStyle w:val="TableCopy"/>
              <w:jc w:val="center"/>
            </w:pPr>
            <w:r>
              <w:t>2004</w:t>
            </w:r>
          </w:p>
        </w:tc>
        <w:tc>
          <w:tcPr>
            <w:tcW w:w="866" w:type="pct"/>
          </w:tcPr>
          <w:p w14:paraId="48CA4797" w14:textId="77777777" w:rsidR="000230CC" w:rsidRDefault="000230CC" w:rsidP="000230CC">
            <w:pPr>
              <w:pStyle w:val="TableCopy"/>
            </w:pPr>
            <w:r>
              <w:t>Uncontrolled Cohort Study – 288 participants</w:t>
            </w:r>
          </w:p>
        </w:tc>
        <w:tc>
          <w:tcPr>
            <w:tcW w:w="770" w:type="pct"/>
          </w:tcPr>
          <w:p w14:paraId="132952F6" w14:textId="1AAB7363" w:rsidR="000230CC" w:rsidRDefault="000230CC" w:rsidP="000230CC">
            <w:pPr>
              <w:pStyle w:val="TableCopy"/>
            </w:pPr>
            <w:r>
              <w:t>US</w:t>
            </w:r>
            <w:r w:rsidR="0029733C">
              <w:t>A</w:t>
            </w:r>
          </w:p>
        </w:tc>
        <w:tc>
          <w:tcPr>
            <w:tcW w:w="865" w:type="pct"/>
          </w:tcPr>
          <w:p w14:paraId="33605872" w14:textId="77777777" w:rsidR="000230CC" w:rsidRDefault="000230CC" w:rsidP="000230CC">
            <w:pPr>
              <w:pStyle w:val="TableCopy"/>
            </w:pPr>
            <w:r>
              <w:t>Chronic Disease – Weight management</w:t>
            </w:r>
          </w:p>
        </w:tc>
      </w:tr>
      <w:tr w:rsidR="000230CC" w14:paraId="3BC56CBD" w14:textId="77777777" w:rsidTr="00B044BF">
        <w:trPr>
          <w:trHeight w:val="363"/>
        </w:trPr>
        <w:tc>
          <w:tcPr>
            <w:tcW w:w="1921" w:type="pct"/>
          </w:tcPr>
          <w:p w14:paraId="05E81BF8" w14:textId="77777777" w:rsidR="000230CC" w:rsidRDefault="000230CC" w:rsidP="000230CC">
            <w:pPr>
              <w:pStyle w:val="TableCopy"/>
              <w:rPr>
                <w:b/>
                <w:i/>
              </w:rPr>
            </w:pPr>
            <w:r w:rsidRPr="004E4787">
              <w:rPr>
                <w:i/>
              </w:rPr>
              <w:t>Impact of a Pharmaceutical Care Intervention on Blood Pressure Control in a Chain Pharmacy Practice</w:t>
            </w:r>
          </w:p>
          <w:p w14:paraId="3485BB55" w14:textId="77777777" w:rsidR="000230CC" w:rsidRPr="004E4787" w:rsidRDefault="000230CC" w:rsidP="000230CC">
            <w:pPr>
              <w:pStyle w:val="TableCopy"/>
              <w:rPr>
                <w:i/>
              </w:rPr>
            </w:pPr>
            <w:r>
              <w:t xml:space="preserve">Robinson </w:t>
            </w:r>
            <w:r>
              <w:rPr>
                <w:i/>
              </w:rPr>
              <w:t xml:space="preserve">et al. </w:t>
            </w:r>
          </w:p>
        </w:tc>
        <w:tc>
          <w:tcPr>
            <w:tcW w:w="578" w:type="pct"/>
          </w:tcPr>
          <w:p w14:paraId="0970753D" w14:textId="77777777" w:rsidR="000230CC" w:rsidRDefault="000230CC" w:rsidP="000230CC">
            <w:pPr>
              <w:pStyle w:val="TableCopy"/>
              <w:jc w:val="center"/>
            </w:pPr>
            <w:r>
              <w:t>2010</w:t>
            </w:r>
          </w:p>
        </w:tc>
        <w:tc>
          <w:tcPr>
            <w:tcW w:w="866" w:type="pct"/>
          </w:tcPr>
          <w:p w14:paraId="3A4E51F8" w14:textId="77777777" w:rsidR="000230CC" w:rsidRDefault="000230CC" w:rsidP="000230CC">
            <w:pPr>
              <w:pStyle w:val="TableCopy"/>
            </w:pPr>
            <w:r>
              <w:t>Controlled Cohort Study – 376 participants</w:t>
            </w:r>
          </w:p>
        </w:tc>
        <w:tc>
          <w:tcPr>
            <w:tcW w:w="770" w:type="pct"/>
          </w:tcPr>
          <w:p w14:paraId="69AB6265" w14:textId="0290CA67" w:rsidR="000230CC" w:rsidRDefault="000230CC" w:rsidP="000230CC">
            <w:pPr>
              <w:pStyle w:val="TableCopy"/>
            </w:pPr>
            <w:r>
              <w:t>US</w:t>
            </w:r>
            <w:r w:rsidR="0029733C">
              <w:t>A</w:t>
            </w:r>
          </w:p>
        </w:tc>
        <w:tc>
          <w:tcPr>
            <w:tcW w:w="865" w:type="pct"/>
          </w:tcPr>
          <w:p w14:paraId="6EEAAB95" w14:textId="77777777" w:rsidR="000230CC" w:rsidRDefault="000230CC" w:rsidP="000230CC">
            <w:pPr>
              <w:pStyle w:val="TableCopy"/>
            </w:pPr>
            <w:r>
              <w:t>Chronic Disease – Hypertension</w:t>
            </w:r>
          </w:p>
        </w:tc>
      </w:tr>
      <w:tr w:rsidR="000230CC" w14:paraId="24EB2D4D" w14:textId="77777777" w:rsidTr="00B044BF">
        <w:trPr>
          <w:trHeight w:val="363"/>
        </w:trPr>
        <w:tc>
          <w:tcPr>
            <w:tcW w:w="1921" w:type="pct"/>
          </w:tcPr>
          <w:p w14:paraId="1FE96102" w14:textId="77777777" w:rsidR="000230CC" w:rsidRDefault="000230CC" w:rsidP="000230CC">
            <w:pPr>
              <w:pStyle w:val="TableCopy"/>
              <w:rPr>
                <w:b/>
                <w:i/>
              </w:rPr>
            </w:pPr>
            <w:r w:rsidRPr="00232E60">
              <w:rPr>
                <w:i/>
              </w:rPr>
              <w:t xml:space="preserve">An Integrated Pharmacy-Based Program Improved Medication Prescription </w:t>
            </w:r>
            <w:r>
              <w:rPr>
                <w:i/>
              </w:rPr>
              <w:t>a</w:t>
            </w:r>
            <w:r w:rsidRPr="00232E60">
              <w:rPr>
                <w:i/>
              </w:rPr>
              <w:t xml:space="preserve">nd Adherence Rates </w:t>
            </w:r>
            <w:r>
              <w:rPr>
                <w:i/>
              </w:rPr>
              <w:t>i</w:t>
            </w:r>
            <w:r w:rsidRPr="00232E60">
              <w:rPr>
                <w:i/>
              </w:rPr>
              <w:t>n Diabetes Patients</w:t>
            </w:r>
          </w:p>
          <w:p w14:paraId="573B551A" w14:textId="77777777" w:rsidR="000230CC" w:rsidRPr="00232E60" w:rsidRDefault="000230CC" w:rsidP="000230CC">
            <w:pPr>
              <w:pStyle w:val="TableCopy"/>
              <w:rPr>
                <w:i/>
              </w:rPr>
            </w:pPr>
            <w:r>
              <w:t xml:space="preserve">Brennan </w:t>
            </w:r>
            <w:r>
              <w:rPr>
                <w:i/>
              </w:rPr>
              <w:t xml:space="preserve">et al. </w:t>
            </w:r>
          </w:p>
        </w:tc>
        <w:tc>
          <w:tcPr>
            <w:tcW w:w="578" w:type="pct"/>
          </w:tcPr>
          <w:p w14:paraId="1A3CBC4F" w14:textId="77777777" w:rsidR="000230CC" w:rsidRDefault="000230CC" w:rsidP="000230CC">
            <w:pPr>
              <w:pStyle w:val="TableCopy"/>
              <w:jc w:val="center"/>
            </w:pPr>
            <w:r>
              <w:t>2012</w:t>
            </w:r>
          </w:p>
        </w:tc>
        <w:tc>
          <w:tcPr>
            <w:tcW w:w="866" w:type="pct"/>
          </w:tcPr>
          <w:p w14:paraId="2710F1D3" w14:textId="77777777" w:rsidR="000230CC" w:rsidRDefault="000230CC" w:rsidP="000230CC">
            <w:pPr>
              <w:pStyle w:val="TableCopy"/>
            </w:pPr>
            <w:r>
              <w:t>Controlled Cohort Study – 29,247 participants</w:t>
            </w:r>
          </w:p>
        </w:tc>
        <w:tc>
          <w:tcPr>
            <w:tcW w:w="770" w:type="pct"/>
          </w:tcPr>
          <w:p w14:paraId="5019FE4C" w14:textId="35F95819" w:rsidR="000230CC" w:rsidRDefault="000230CC" w:rsidP="000230CC">
            <w:pPr>
              <w:pStyle w:val="TableCopy"/>
            </w:pPr>
            <w:r>
              <w:t>US</w:t>
            </w:r>
            <w:r w:rsidR="0029733C">
              <w:t>A</w:t>
            </w:r>
          </w:p>
        </w:tc>
        <w:tc>
          <w:tcPr>
            <w:tcW w:w="865" w:type="pct"/>
          </w:tcPr>
          <w:p w14:paraId="103D90DD" w14:textId="77777777" w:rsidR="000230CC" w:rsidRDefault="000230CC" w:rsidP="000230CC">
            <w:pPr>
              <w:pStyle w:val="TableCopy"/>
            </w:pPr>
            <w:r>
              <w:t>Chronic Disease – Diabetes/ Medication adherence</w:t>
            </w:r>
          </w:p>
        </w:tc>
      </w:tr>
      <w:tr w:rsidR="000230CC" w14:paraId="3B33FCEE" w14:textId="77777777" w:rsidTr="00B044BF">
        <w:trPr>
          <w:trHeight w:val="363"/>
        </w:trPr>
        <w:tc>
          <w:tcPr>
            <w:tcW w:w="1921" w:type="pct"/>
          </w:tcPr>
          <w:p w14:paraId="189463F6" w14:textId="77777777" w:rsidR="006A4A32" w:rsidRDefault="000230CC" w:rsidP="000230CC">
            <w:pPr>
              <w:pStyle w:val="TableCopy"/>
              <w:rPr>
                <w:i/>
              </w:rPr>
            </w:pPr>
            <w:r>
              <w:rPr>
                <w:i/>
              </w:rPr>
              <w:t>Implementation of pharmacogenetics service in a community pharmacy</w:t>
            </w:r>
          </w:p>
          <w:p w14:paraId="4037B924" w14:textId="3518EEF8" w:rsidR="000230CC" w:rsidRPr="00E500E5" w:rsidRDefault="000230CC" w:rsidP="000230CC">
            <w:pPr>
              <w:pStyle w:val="TableCopy"/>
              <w:rPr>
                <w:i/>
              </w:rPr>
            </w:pPr>
            <w:r>
              <w:t xml:space="preserve">Ferreri </w:t>
            </w:r>
            <w:r>
              <w:rPr>
                <w:i/>
              </w:rPr>
              <w:t xml:space="preserve">et al. </w:t>
            </w:r>
          </w:p>
        </w:tc>
        <w:tc>
          <w:tcPr>
            <w:tcW w:w="578" w:type="pct"/>
          </w:tcPr>
          <w:p w14:paraId="34C67BB6" w14:textId="77777777" w:rsidR="000230CC" w:rsidRDefault="000230CC" w:rsidP="000230CC">
            <w:pPr>
              <w:pStyle w:val="TableCopy"/>
              <w:jc w:val="center"/>
            </w:pPr>
            <w:r>
              <w:t>2014</w:t>
            </w:r>
          </w:p>
        </w:tc>
        <w:tc>
          <w:tcPr>
            <w:tcW w:w="866" w:type="pct"/>
          </w:tcPr>
          <w:p w14:paraId="3D84C298" w14:textId="77777777" w:rsidR="000230CC" w:rsidRDefault="000230CC" w:rsidP="000230CC">
            <w:pPr>
              <w:pStyle w:val="TableCopy"/>
            </w:pPr>
            <w:r>
              <w:t>Feasibility study – 18 participants</w:t>
            </w:r>
          </w:p>
        </w:tc>
        <w:tc>
          <w:tcPr>
            <w:tcW w:w="770" w:type="pct"/>
          </w:tcPr>
          <w:p w14:paraId="292A1404" w14:textId="61EDA88A" w:rsidR="000230CC" w:rsidRDefault="000230CC" w:rsidP="000230CC">
            <w:pPr>
              <w:pStyle w:val="TableCopy"/>
            </w:pPr>
            <w:r>
              <w:t>US</w:t>
            </w:r>
            <w:r w:rsidR="0029733C">
              <w:t>A</w:t>
            </w:r>
          </w:p>
        </w:tc>
        <w:tc>
          <w:tcPr>
            <w:tcW w:w="865" w:type="pct"/>
          </w:tcPr>
          <w:p w14:paraId="4E4EAC47" w14:textId="77777777" w:rsidR="000230CC" w:rsidRDefault="000230CC" w:rsidP="000230CC">
            <w:pPr>
              <w:pStyle w:val="TableCopy"/>
            </w:pPr>
            <w:r>
              <w:t xml:space="preserve">Expanded scope of services/point of care testing </w:t>
            </w:r>
          </w:p>
        </w:tc>
      </w:tr>
      <w:tr w:rsidR="000230CC" w14:paraId="6C60D69B" w14:textId="77777777" w:rsidTr="00B044BF">
        <w:trPr>
          <w:trHeight w:val="363"/>
        </w:trPr>
        <w:tc>
          <w:tcPr>
            <w:tcW w:w="1921" w:type="pct"/>
          </w:tcPr>
          <w:p w14:paraId="547B07D5" w14:textId="77777777" w:rsidR="000230CC" w:rsidRDefault="000230CC" w:rsidP="000230CC">
            <w:pPr>
              <w:pStyle w:val="TableCopy"/>
              <w:rPr>
                <w:b/>
                <w:i/>
              </w:rPr>
            </w:pPr>
            <w:r w:rsidRPr="00E500E5">
              <w:rPr>
                <w:i/>
              </w:rPr>
              <w:t>Uptake and effectiveness of a community pharmacy intervention programme to improve asthma management</w:t>
            </w:r>
          </w:p>
          <w:p w14:paraId="0EE85A43" w14:textId="77777777" w:rsidR="000230CC" w:rsidRPr="00E500E5" w:rsidRDefault="000230CC" w:rsidP="000230CC">
            <w:pPr>
              <w:pStyle w:val="TableCopy"/>
              <w:rPr>
                <w:i/>
              </w:rPr>
            </w:pPr>
            <w:r>
              <w:t xml:space="preserve">Bereznicki </w:t>
            </w:r>
            <w:r>
              <w:rPr>
                <w:i/>
              </w:rPr>
              <w:t xml:space="preserve">et al. </w:t>
            </w:r>
          </w:p>
        </w:tc>
        <w:tc>
          <w:tcPr>
            <w:tcW w:w="578" w:type="pct"/>
          </w:tcPr>
          <w:p w14:paraId="02DB74B1" w14:textId="77777777" w:rsidR="000230CC" w:rsidRDefault="000230CC" w:rsidP="000230CC">
            <w:pPr>
              <w:pStyle w:val="TableCopy"/>
              <w:jc w:val="center"/>
            </w:pPr>
            <w:r>
              <w:t>2013</w:t>
            </w:r>
          </w:p>
        </w:tc>
        <w:tc>
          <w:tcPr>
            <w:tcW w:w="866" w:type="pct"/>
          </w:tcPr>
          <w:p w14:paraId="38184E31" w14:textId="77777777" w:rsidR="000230CC" w:rsidRDefault="000230CC" w:rsidP="000230CC">
            <w:pPr>
              <w:pStyle w:val="TableCopy"/>
            </w:pPr>
            <w:r>
              <w:t xml:space="preserve">Cluster RCT (active comparator) – </w:t>
            </w:r>
            <w:r w:rsidRPr="00E500E5">
              <w:t>1,483 participants</w:t>
            </w:r>
          </w:p>
        </w:tc>
        <w:tc>
          <w:tcPr>
            <w:tcW w:w="770" w:type="pct"/>
          </w:tcPr>
          <w:p w14:paraId="177C87DF" w14:textId="77777777" w:rsidR="000230CC" w:rsidRDefault="000230CC" w:rsidP="000230CC">
            <w:pPr>
              <w:pStyle w:val="TableCopy"/>
            </w:pPr>
            <w:r>
              <w:t>Australia</w:t>
            </w:r>
          </w:p>
        </w:tc>
        <w:tc>
          <w:tcPr>
            <w:tcW w:w="865" w:type="pct"/>
          </w:tcPr>
          <w:p w14:paraId="1F7526DE" w14:textId="77777777" w:rsidR="000230CC" w:rsidRDefault="000230CC" w:rsidP="000230CC">
            <w:pPr>
              <w:pStyle w:val="TableCopy"/>
            </w:pPr>
            <w:r>
              <w:t>Chronic Disease – Asthma</w:t>
            </w:r>
          </w:p>
        </w:tc>
      </w:tr>
      <w:tr w:rsidR="000230CC" w14:paraId="5D496EED" w14:textId="77777777" w:rsidTr="00B044BF">
        <w:trPr>
          <w:trHeight w:val="363"/>
        </w:trPr>
        <w:tc>
          <w:tcPr>
            <w:tcW w:w="1921" w:type="pct"/>
          </w:tcPr>
          <w:p w14:paraId="5A15EED8" w14:textId="77777777" w:rsidR="000230CC" w:rsidRDefault="000230CC" w:rsidP="000230CC">
            <w:pPr>
              <w:pStyle w:val="TableCopy"/>
              <w:rPr>
                <w:b/>
                <w:i/>
              </w:rPr>
            </w:pPr>
            <w:r w:rsidRPr="000A628C">
              <w:rPr>
                <w:i/>
              </w:rPr>
              <w:t>An evaluation of community pharmacy-based rural asthma management service</w:t>
            </w:r>
          </w:p>
          <w:p w14:paraId="1678BC19" w14:textId="77777777" w:rsidR="000230CC" w:rsidRPr="000A628C" w:rsidRDefault="000230CC" w:rsidP="000230CC">
            <w:pPr>
              <w:pStyle w:val="TableCopy"/>
              <w:rPr>
                <w:i/>
              </w:rPr>
            </w:pPr>
            <w:r>
              <w:t xml:space="preserve">Saini </w:t>
            </w:r>
            <w:r>
              <w:rPr>
                <w:i/>
              </w:rPr>
              <w:t xml:space="preserve">et al. </w:t>
            </w:r>
          </w:p>
        </w:tc>
        <w:tc>
          <w:tcPr>
            <w:tcW w:w="578" w:type="pct"/>
          </w:tcPr>
          <w:p w14:paraId="30D4C694" w14:textId="77777777" w:rsidR="000230CC" w:rsidRDefault="000230CC" w:rsidP="000230CC">
            <w:pPr>
              <w:pStyle w:val="TableCopy"/>
              <w:jc w:val="center"/>
            </w:pPr>
            <w:r>
              <w:t>2008</w:t>
            </w:r>
          </w:p>
        </w:tc>
        <w:tc>
          <w:tcPr>
            <w:tcW w:w="866" w:type="pct"/>
          </w:tcPr>
          <w:p w14:paraId="6DD2D7C8" w14:textId="77777777" w:rsidR="000230CC" w:rsidRDefault="000230CC" w:rsidP="000230CC">
            <w:pPr>
              <w:pStyle w:val="TableCopy"/>
            </w:pPr>
            <w:r>
              <w:t>Controlled Cohort Study – 80 participants</w:t>
            </w:r>
          </w:p>
        </w:tc>
        <w:tc>
          <w:tcPr>
            <w:tcW w:w="770" w:type="pct"/>
          </w:tcPr>
          <w:p w14:paraId="4CAD0074" w14:textId="77777777" w:rsidR="000230CC" w:rsidRDefault="000230CC" w:rsidP="000230CC">
            <w:pPr>
              <w:pStyle w:val="TableCopy"/>
            </w:pPr>
            <w:r>
              <w:t>Australia</w:t>
            </w:r>
          </w:p>
        </w:tc>
        <w:tc>
          <w:tcPr>
            <w:tcW w:w="865" w:type="pct"/>
          </w:tcPr>
          <w:p w14:paraId="23F73217" w14:textId="77777777" w:rsidR="000230CC" w:rsidRDefault="000230CC" w:rsidP="000230CC">
            <w:pPr>
              <w:pStyle w:val="TableCopy"/>
            </w:pPr>
            <w:r>
              <w:t>Chronic Disease – Asthma</w:t>
            </w:r>
          </w:p>
        </w:tc>
      </w:tr>
      <w:tr w:rsidR="000230CC" w14:paraId="567FC7F7" w14:textId="77777777" w:rsidTr="00B044BF">
        <w:trPr>
          <w:trHeight w:val="363"/>
        </w:trPr>
        <w:tc>
          <w:tcPr>
            <w:tcW w:w="1921" w:type="pct"/>
          </w:tcPr>
          <w:p w14:paraId="65315A61" w14:textId="77777777" w:rsidR="000230CC" w:rsidRDefault="000230CC" w:rsidP="000230CC">
            <w:pPr>
              <w:pStyle w:val="TableCopy"/>
              <w:rPr>
                <w:b/>
                <w:i/>
              </w:rPr>
            </w:pPr>
            <w:r w:rsidRPr="00B12633">
              <w:rPr>
                <w:i/>
              </w:rPr>
              <w:t>The Pharmacy Diabetes Care Program: assessment of a community pharmacy diabetes service model in Australia</w:t>
            </w:r>
          </w:p>
          <w:p w14:paraId="316524BD" w14:textId="77777777" w:rsidR="000230CC" w:rsidRPr="00B12633" w:rsidRDefault="000230CC" w:rsidP="000230CC">
            <w:pPr>
              <w:pStyle w:val="TableCopy"/>
            </w:pPr>
            <w:r>
              <w:t xml:space="preserve">Krass </w:t>
            </w:r>
            <w:r>
              <w:rPr>
                <w:i/>
              </w:rPr>
              <w:t xml:space="preserve">et al. </w:t>
            </w:r>
          </w:p>
        </w:tc>
        <w:tc>
          <w:tcPr>
            <w:tcW w:w="578" w:type="pct"/>
          </w:tcPr>
          <w:p w14:paraId="103F36E9" w14:textId="77777777" w:rsidR="000230CC" w:rsidRDefault="000230CC" w:rsidP="000230CC">
            <w:pPr>
              <w:pStyle w:val="TableCopy"/>
              <w:jc w:val="center"/>
            </w:pPr>
            <w:r>
              <w:t>2007</w:t>
            </w:r>
          </w:p>
        </w:tc>
        <w:tc>
          <w:tcPr>
            <w:tcW w:w="866" w:type="pct"/>
          </w:tcPr>
          <w:p w14:paraId="642A50B9" w14:textId="77777777" w:rsidR="000230CC" w:rsidRDefault="000230CC" w:rsidP="000230CC">
            <w:pPr>
              <w:pStyle w:val="TableCopy"/>
            </w:pPr>
            <w:r>
              <w:t>Controlled Cohort Study – 289 participants</w:t>
            </w:r>
          </w:p>
        </w:tc>
        <w:tc>
          <w:tcPr>
            <w:tcW w:w="770" w:type="pct"/>
          </w:tcPr>
          <w:p w14:paraId="4667BF5E" w14:textId="77777777" w:rsidR="000230CC" w:rsidRDefault="000230CC" w:rsidP="000230CC">
            <w:pPr>
              <w:pStyle w:val="TableCopy"/>
            </w:pPr>
            <w:r>
              <w:t>Australia</w:t>
            </w:r>
          </w:p>
        </w:tc>
        <w:tc>
          <w:tcPr>
            <w:tcW w:w="865" w:type="pct"/>
          </w:tcPr>
          <w:p w14:paraId="15256426" w14:textId="77777777" w:rsidR="000230CC" w:rsidRDefault="000230CC" w:rsidP="000230CC">
            <w:pPr>
              <w:pStyle w:val="TableCopy"/>
            </w:pPr>
            <w:r>
              <w:t>Chronic Disease – Diabetes</w:t>
            </w:r>
          </w:p>
        </w:tc>
      </w:tr>
    </w:tbl>
    <w:p w14:paraId="6C3181D2" w14:textId="77777777" w:rsidR="000230CC" w:rsidRDefault="000230CC" w:rsidP="000230CC"/>
    <w:p w14:paraId="424E4EAC" w14:textId="77777777" w:rsidR="000230CC" w:rsidRDefault="000230CC" w:rsidP="000230CC">
      <w:pPr>
        <w:sectPr w:rsidR="000230CC" w:rsidSect="00796783">
          <w:pgSz w:w="16838" w:h="11906" w:orient="landscape" w:code="9"/>
          <w:pgMar w:top="737" w:right="1304" w:bottom="1134" w:left="737" w:header="567" w:footer="284" w:gutter="0"/>
          <w:cols w:space="708"/>
          <w:docGrid w:linePitch="360"/>
        </w:sectPr>
      </w:pPr>
    </w:p>
    <w:p w14:paraId="512D0037" w14:textId="77777777" w:rsidR="000230CC" w:rsidRDefault="000230CC" w:rsidP="000230CC">
      <w:pPr>
        <w:pStyle w:val="Heading1"/>
        <w:framePr w:wrap="around"/>
      </w:pPr>
      <w:bookmarkStart w:id="40" w:name="_Toc26366355"/>
      <w:r>
        <w:lastRenderedPageBreak/>
        <w:t>Review methodology</w:t>
      </w:r>
      <w:bookmarkEnd w:id="40"/>
    </w:p>
    <w:p w14:paraId="1296A80F" w14:textId="77777777" w:rsidR="006A4A32" w:rsidRDefault="000230CC" w:rsidP="000230CC">
      <w:pPr>
        <w:pStyle w:val="BodyCopy"/>
      </w:pPr>
      <w:r>
        <w:t>The implementation review of the PTP was undertaken from February 2019 to June 2019 in five stages, as follows:</w:t>
      </w:r>
    </w:p>
    <w:p w14:paraId="550F62E9" w14:textId="77777777" w:rsidR="006A4A32" w:rsidRDefault="000230CC" w:rsidP="002C22EF">
      <w:pPr>
        <w:pStyle w:val="Numbers1"/>
        <w:numPr>
          <w:ilvl w:val="0"/>
          <w:numId w:val="37"/>
        </w:numPr>
      </w:pPr>
      <w:r>
        <w:t>Development of a program logic and key review areas</w:t>
      </w:r>
      <w:r w:rsidR="005C576E">
        <w:t>.</w:t>
      </w:r>
    </w:p>
    <w:p w14:paraId="2A413DFD" w14:textId="38BA1048" w:rsidR="000230CC" w:rsidRDefault="000230CC" w:rsidP="002C22EF">
      <w:pPr>
        <w:pStyle w:val="Numbers1"/>
        <w:numPr>
          <w:ilvl w:val="0"/>
          <w:numId w:val="37"/>
        </w:numPr>
      </w:pPr>
      <w:r>
        <w:t xml:space="preserve">Review of relevant documentation </w:t>
      </w:r>
      <w:r w:rsidR="00352602">
        <w:t>and other contextual information</w:t>
      </w:r>
      <w:r w:rsidR="005C576E">
        <w:t>.</w:t>
      </w:r>
    </w:p>
    <w:p w14:paraId="57249404" w14:textId="77777777" w:rsidR="006A4A32" w:rsidRDefault="000230CC" w:rsidP="002C22EF">
      <w:pPr>
        <w:pStyle w:val="Numbers1"/>
        <w:numPr>
          <w:ilvl w:val="0"/>
          <w:numId w:val="37"/>
        </w:numPr>
      </w:pPr>
      <w:r>
        <w:t>Consultation with stakeholders</w:t>
      </w:r>
      <w:r w:rsidR="005C576E">
        <w:t>.</w:t>
      </w:r>
    </w:p>
    <w:p w14:paraId="5D05737E" w14:textId="4A526CCB" w:rsidR="000230CC" w:rsidRDefault="000230CC" w:rsidP="002C22EF">
      <w:pPr>
        <w:pStyle w:val="Numbers1"/>
        <w:numPr>
          <w:ilvl w:val="0"/>
          <w:numId w:val="37"/>
        </w:numPr>
      </w:pPr>
      <w:r>
        <w:t>Online survey of pharmacists</w:t>
      </w:r>
      <w:r w:rsidR="00244896">
        <w:t>.</w:t>
      </w:r>
    </w:p>
    <w:p w14:paraId="49BDCAC0" w14:textId="77777777" w:rsidR="006A4A32" w:rsidRDefault="000230CC" w:rsidP="002C22EF">
      <w:pPr>
        <w:pStyle w:val="Numbers1"/>
        <w:numPr>
          <w:ilvl w:val="0"/>
          <w:numId w:val="37"/>
        </w:numPr>
      </w:pPr>
      <w:r>
        <w:t>Triangulation of evidence to identify findings and potential future options for the PTP, should it continue, into a final report.</w:t>
      </w:r>
    </w:p>
    <w:p w14:paraId="619468EE" w14:textId="77777777" w:rsidR="006A4A32" w:rsidRDefault="00352602" w:rsidP="000230CC">
      <w:pPr>
        <w:pStyle w:val="BodyCopy"/>
      </w:pPr>
      <w:r>
        <w:t xml:space="preserve">Activities undertaken in each of </w:t>
      </w:r>
      <w:r w:rsidR="000230CC">
        <w:t>these stages is described in this chapter.</w:t>
      </w:r>
    </w:p>
    <w:p w14:paraId="2AE933F0" w14:textId="1118056A" w:rsidR="000230CC" w:rsidRPr="003F4318" w:rsidRDefault="000230CC" w:rsidP="003F4318">
      <w:pPr>
        <w:pStyle w:val="Heading2"/>
      </w:pPr>
      <w:bookmarkStart w:id="41" w:name="_Toc19097750"/>
      <w:bookmarkStart w:id="42" w:name="_Toc26366356"/>
      <w:r w:rsidRPr="003F4318">
        <w:t>Program logic and key review areas</w:t>
      </w:r>
      <w:bookmarkEnd w:id="41"/>
      <w:bookmarkEnd w:id="42"/>
    </w:p>
    <w:p w14:paraId="367EDF26" w14:textId="271D12E2" w:rsidR="006A4A32" w:rsidRDefault="000230CC" w:rsidP="000230CC">
      <w:pPr>
        <w:pStyle w:val="BodyCopy"/>
        <w:keepNext/>
        <w:keepLines/>
      </w:pPr>
      <w:r>
        <w:t xml:space="preserve">The program logic </w:t>
      </w:r>
      <w:r w:rsidR="00352602">
        <w:t xml:space="preserve">of any program </w:t>
      </w:r>
      <w:r>
        <w:t>articulates the reasoning driving the program and highlights the linkages between the different service delivery components</w:t>
      </w:r>
      <w:r w:rsidR="00352602">
        <w:t xml:space="preserve"> of any public sector initiatives</w:t>
      </w:r>
      <w:r>
        <w:t xml:space="preserve">. </w:t>
      </w:r>
      <w:r w:rsidR="00352602">
        <w:t>Program</w:t>
      </w:r>
      <w:r>
        <w:t xml:space="preserve"> logic </w:t>
      </w:r>
      <w:r w:rsidR="00352602">
        <w:t>can</w:t>
      </w:r>
      <w:r w:rsidR="006A4A32">
        <w:t xml:space="preserve"> </w:t>
      </w:r>
      <w:r w:rsidR="00B236DB">
        <w:t xml:space="preserve">also </w:t>
      </w:r>
      <w:r w:rsidR="00352602">
        <w:t>be</w:t>
      </w:r>
      <w:r>
        <w:t xml:space="preserve"> used to identify key areas for </w:t>
      </w:r>
      <w:r w:rsidR="00352602">
        <w:t xml:space="preserve">an </w:t>
      </w:r>
      <w:r>
        <w:t xml:space="preserve">implementation review. </w:t>
      </w:r>
      <w:r w:rsidR="00B236DB">
        <w:t xml:space="preserve">HMA suggested that the following </w:t>
      </w:r>
      <w:r>
        <w:t>five key review areas</w:t>
      </w:r>
      <w:r w:rsidR="00B236DB">
        <w:t xml:space="preserve"> for the implementation review</w:t>
      </w:r>
      <w:r>
        <w:t>:</w:t>
      </w:r>
    </w:p>
    <w:p w14:paraId="0379E782" w14:textId="77777777" w:rsidR="006A4A32" w:rsidRDefault="000230CC" w:rsidP="002C22EF">
      <w:pPr>
        <w:pStyle w:val="Numbers1"/>
        <w:numPr>
          <w:ilvl w:val="0"/>
          <w:numId w:val="38"/>
        </w:numPr>
      </w:pPr>
      <w:r>
        <w:t>Policy</w:t>
      </w:r>
      <w:r w:rsidR="005C576E">
        <w:t>.</w:t>
      </w:r>
    </w:p>
    <w:p w14:paraId="52972169" w14:textId="77777777" w:rsidR="006A4A32" w:rsidRDefault="000230CC" w:rsidP="002C22EF">
      <w:pPr>
        <w:pStyle w:val="Numbers1"/>
        <w:numPr>
          <w:ilvl w:val="0"/>
          <w:numId w:val="38"/>
        </w:numPr>
      </w:pPr>
      <w:r>
        <w:t>Development</w:t>
      </w:r>
      <w:r w:rsidR="005C576E">
        <w:t>.</w:t>
      </w:r>
    </w:p>
    <w:p w14:paraId="40C67C0B" w14:textId="77777777" w:rsidR="006A4A32" w:rsidRDefault="000230CC" w:rsidP="002C22EF">
      <w:pPr>
        <w:pStyle w:val="Numbers1"/>
        <w:numPr>
          <w:ilvl w:val="0"/>
          <w:numId w:val="38"/>
        </w:numPr>
      </w:pPr>
      <w:r>
        <w:t>Selection</w:t>
      </w:r>
      <w:r w:rsidR="005C576E">
        <w:t>.</w:t>
      </w:r>
    </w:p>
    <w:p w14:paraId="7E5B31AC" w14:textId="77777777" w:rsidR="006A4A32" w:rsidRDefault="000230CC" w:rsidP="002C22EF">
      <w:pPr>
        <w:pStyle w:val="Numbers1"/>
        <w:numPr>
          <w:ilvl w:val="0"/>
          <w:numId w:val="38"/>
        </w:numPr>
      </w:pPr>
      <w:r>
        <w:t>Administration</w:t>
      </w:r>
      <w:r w:rsidR="005C576E">
        <w:t>.</w:t>
      </w:r>
    </w:p>
    <w:p w14:paraId="4F792EED" w14:textId="77777777" w:rsidR="006A4A32" w:rsidRDefault="000230CC" w:rsidP="002C22EF">
      <w:pPr>
        <w:pStyle w:val="Numbers1"/>
        <w:numPr>
          <w:ilvl w:val="0"/>
          <w:numId w:val="38"/>
        </w:numPr>
      </w:pPr>
      <w:r>
        <w:t>Outcomes.</w:t>
      </w:r>
    </w:p>
    <w:p w14:paraId="22A3EE50" w14:textId="12D5A5CB" w:rsidR="000230CC" w:rsidRDefault="000230CC" w:rsidP="00AE14F0">
      <w:pPr>
        <w:pStyle w:val="BodyCopy"/>
        <w:spacing w:before="120"/>
      </w:pPr>
      <w:r>
        <w:t xml:space="preserve">The relationship between the program logic and </w:t>
      </w:r>
      <w:r w:rsidR="00B236DB">
        <w:t xml:space="preserve">those five key </w:t>
      </w:r>
      <w:r>
        <w:t xml:space="preserve">review areas is depicted in </w:t>
      </w:r>
      <w:r>
        <w:fldChar w:fldCharType="begin"/>
      </w:r>
      <w:r>
        <w:instrText xml:space="preserve"> REF _Ref9952150 \h </w:instrText>
      </w:r>
      <w:r>
        <w:fldChar w:fldCharType="separate"/>
      </w:r>
      <w:r w:rsidR="006B6B4C">
        <w:t xml:space="preserve">Figure </w:t>
      </w:r>
      <w:r w:rsidR="006B6B4C">
        <w:rPr>
          <w:noProof/>
        </w:rPr>
        <w:t>3</w:t>
      </w:r>
      <w:r w:rsidR="006B6B4C">
        <w:t>.</w:t>
      </w:r>
      <w:r w:rsidR="006B6B4C">
        <w:rPr>
          <w:noProof/>
        </w:rPr>
        <w:t>1</w:t>
      </w:r>
      <w:r>
        <w:fldChar w:fldCharType="end"/>
      </w:r>
      <w:r>
        <w:t>.</w:t>
      </w:r>
    </w:p>
    <w:p w14:paraId="05FA287E" w14:textId="77777777" w:rsidR="000230CC" w:rsidRDefault="000230CC" w:rsidP="000230CC">
      <w:pPr>
        <w:sectPr w:rsidR="000230CC" w:rsidSect="00796783">
          <w:pgSz w:w="16838" w:h="11906" w:orient="landscape" w:code="9"/>
          <w:pgMar w:top="737" w:right="1304" w:bottom="1134" w:left="737" w:header="567" w:footer="284" w:gutter="0"/>
          <w:cols w:num="2" w:space="708"/>
          <w:docGrid w:linePitch="360"/>
        </w:sectPr>
      </w:pPr>
    </w:p>
    <w:p w14:paraId="68F00A71" w14:textId="12F5BF76" w:rsidR="000230CC" w:rsidRDefault="000230CC" w:rsidP="000230CC">
      <w:pPr>
        <w:pStyle w:val="Caption"/>
      </w:pPr>
      <w:bookmarkStart w:id="43" w:name="_Ref9952150"/>
      <w:r>
        <w:lastRenderedPageBreak/>
        <w:t xml:space="preserve">Figure </w:t>
      </w:r>
      <w:r>
        <w:rPr>
          <w:noProof/>
        </w:rPr>
        <w:fldChar w:fldCharType="begin"/>
      </w:r>
      <w:r>
        <w:rPr>
          <w:noProof/>
        </w:rPr>
        <w:instrText xml:space="preserve"> STYLEREF 1 \s </w:instrText>
      </w:r>
      <w:r>
        <w:rPr>
          <w:noProof/>
        </w:rPr>
        <w:fldChar w:fldCharType="separate"/>
      </w:r>
      <w:r w:rsidR="008B7448">
        <w:rPr>
          <w:noProof/>
        </w:rPr>
        <w:t>3</w:t>
      </w:r>
      <w:r>
        <w:rPr>
          <w:noProof/>
        </w:rPr>
        <w:fldChar w:fldCharType="end"/>
      </w:r>
      <w:r>
        <w:t>.</w:t>
      </w:r>
      <w:r>
        <w:rPr>
          <w:noProof/>
        </w:rPr>
        <w:fldChar w:fldCharType="begin"/>
      </w:r>
      <w:r>
        <w:rPr>
          <w:noProof/>
        </w:rPr>
        <w:instrText xml:space="preserve"> SEQ Figure \* ARABIC \s 1 </w:instrText>
      </w:r>
      <w:r>
        <w:rPr>
          <w:noProof/>
        </w:rPr>
        <w:fldChar w:fldCharType="separate"/>
      </w:r>
      <w:r w:rsidR="008B7448">
        <w:rPr>
          <w:noProof/>
        </w:rPr>
        <w:t>1</w:t>
      </w:r>
      <w:r>
        <w:rPr>
          <w:noProof/>
        </w:rPr>
        <w:fldChar w:fldCharType="end"/>
      </w:r>
      <w:bookmarkEnd w:id="43"/>
      <w:r>
        <w:t xml:space="preserve">: </w:t>
      </w:r>
      <w:r>
        <w:rPr>
          <w:rStyle w:val="Captionnotbold"/>
        </w:rPr>
        <w:t>PTP program logic and implementation review areas</w:t>
      </w:r>
    </w:p>
    <w:p w14:paraId="59A52AF4" w14:textId="53AA31BB" w:rsidR="000230CC" w:rsidRDefault="003D4830" w:rsidP="006A4A32">
      <w:pPr>
        <w:pStyle w:val="BodyCopy"/>
      </w:pPr>
      <w:r w:rsidRPr="003D4830">
        <w:rPr>
          <w:noProof/>
          <w:lang w:val="en-US"/>
        </w:rPr>
        <w:drawing>
          <wp:inline distT="0" distB="0" distL="0" distR="0" wp14:anchorId="0588355E" wp14:editId="777EE43C">
            <wp:extent cx="6708673" cy="7528956"/>
            <wp:effectExtent l="0" t="0" r="0" b="0"/>
            <wp:docPr id="204" name="Picture 204" descr="Figure 3.1 Diagram: PTP program logic and implementation review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711241" cy="7531838"/>
                    </a:xfrm>
                    <a:prstGeom prst="rect">
                      <a:avLst/>
                    </a:prstGeom>
                    <a:noFill/>
                    <a:ln>
                      <a:noFill/>
                    </a:ln>
                  </pic:spPr>
                </pic:pic>
              </a:graphicData>
            </a:graphic>
          </wp:inline>
        </w:drawing>
      </w:r>
    </w:p>
    <w:p w14:paraId="306DC668" w14:textId="77777777" w:rsidR="000230CC" w:rsidRDefault="000230CC" w:rsidP="000230CC"/>
    <w:p w14:paraId="7E614F9B" w14:textId="77777777" w:rsidR="000230CC" w:rsidRDefault="000230CC" w:rsidP="000230CC">
      <w:pPr>
        <w:sectPr w:rsidR="000230CC" w:rsidSect="00796783">
          <w:pgSz w:w="11906" w:h="16838" w:code="9"/>
          <w:pgMar w:top="1304" w:right="1134" w:bottom="737" w:left="737" w:header="567" w:footer="284" w:gutter="0"/>
          <w:cols w:space="708"/>
          <w:docGrid w:linePitch="360"/>
        </w:sectPr>
      </w:pPr>
    </w:p>
    <w:p w14:paraId="5C63250D" w14:textId="77777777" w:rsidR="006A4A32" w:rsidRDefault="000230CC" w:rsidP="000230CC">
      <w:pPr>
        <w:pStyle w:val="Heading2"/>
        <w:spacing w:before="0" w:after="170" w:line="384" w:lineRule="atLeast"/>
        <w:ind w:left="992" w:hanging="992"/>
      </w:pPr>
      <w:bookmarkStart w:id="44" w:name="_Toc19097751"/>
      <w:bookmarkStart w:id="45" w:name="_Toc26366357"/>
      <w:r>
        <w:lastRenderedPageBreak/>
        <w:t>D</w:t>
      </w:r>
      <w:r w:rsidRPr="00156020">
        <w:t>ocumentation review</w:t>
      </w:r>
      <w:bookmarkEnd w:id="44"/>
      <w:r w:rsidR="00507F66">
        <w:t xml:space="preserve"> and other contextual information</w:t>
      </w:r>
      <w:bookmarkEnd w:id="45"/>
    </w:p>
    <w:p w14:paraId="5997183C" w14:textId="770A2CBC" w:rsidR="000230CC" w:rsidRDefault="00507F66" w:rsidP="000230CC">
      <w:pPr>
        <w:pStyle w:val="BodyCopy"/>
      </w:pPr>
      <w:r>
        <w:t xml:space="preserve">To inform the evaluation analysis, </w:t>
      </w:r>
      <w:r w:rsidR="000230CC">
        <w:t xml:space="preserve">HMA reviewed documentation </w:t>
      </w:r>
      <w:r w:rsidR="00C96BD2">
        <w:t xml:space="preserve">related to the PTP </w:t>
      </w:r>
      <w:r w:rsidR="000230CC">
        <w:t xml:space="preserve">and </w:t>
      </w:r>
      <w:r w:rsidR="00C96BD2">
        <w:t xml:space="preserve">relevant </w:t>
      </w:r>
      <w:r w:rsidR="000230CC">
        <w:t>government policy</w:t>
      </w:r>
      <w:r w:rsidR="00C96BD2">
        <w:t>,</w:t>
      </w:r>
      <w:r w:rsidR="000230CC">
        <w:t xml:space="preserve"> as well as peer-reviewed and grey literature on the types of research used for service delivery interventions and the robustness of different research models. This</w:t>
      </w:r>
      <w:r w:rsidR="00C96BD2">
        <w:t xml:space="preserve"> analysis</w:t>
      </w:r>
      <w:r w:rsidR="000230CC">
        <w:t xml:space="preserve"> was used to</w:t>
      </w:r>
      <w:r w:rsidR="00C96BD2">
        <w:t xml:space="preserve"> examine</w:t>
      </w:r>
      <w:r w:rsidR="000230CC">
        <w:t xml:space="preserve"> the broader </w:t>
      </w:r>
      <w:r w:rsidR="00C96BD2">
        <w:t xml:space="preserve">context </w:t>
      </w:r>
      <w:r w:rsidR="000230CC">
        <w:t xml:space="preserve">in which the PTP operates and </w:t>
      </w:r>
      <w:r w:rsidR="000230CC" w:rsidRPr="00871776">
        <w:t xml:space="preserve">to </w:t>
      </w:r>
      <w:r w:rsidR="00C96BD2" w:rsidRPr="00871776">
        <w:t xml:space="preserve">inform consideration of the perspectives put forward by </w:t>
      </w:r>
      <w:r w:rsidR="000230CC" w:rsidRPr="00871776">
        <w:t>stakeholder</w:t>
      </w:r>
      <w:r w:rsidR="00C96BD2" w:rsidRPr="00871776">
        <w:t>s during</w:t>
      </w:r>
      <w:r w:rsidR="000230CC" w:rsidRPr="00871776">
        <w:t xml:space="preserve"> consultation</w:t>
      </w:r>
      <w:r w:rsidRPr="00871776">
        <w:t>s</w:t>
      </w:r>
      <w:r w:rsidR="000230CC" w:rsidRPr="00871776">
        <w:t>.</w:t>
      </w:r>
      <w:r w:rsidRPr="00871776">
        <w:t xml:space="preserve"> This</w:t>
      </w:r>
      <w:r>
        <w:t xml:space="preserve"> section of the report lists the documents that provided that context for the evaluation.</w:t>
      </w:r>
    </w:p>
    <w:p w14:paraId="7B71B245" w14:textId="77777777" w:rsidR="006A4A32" w:rsidRDefault="00C96BD2" w:rsidP="000230CC">
      <w:pPr>
        <w:pStyle w:val="BodyCopy"/>
      </w:pPr>
      <w:r>
        <w:t>Documentation that was</w:t>
      </w:r>
      <w:r w:rsidR="00507F66">
        <w:t xml:space="preserve"> specific to the operations of the </w:t>
      </w:r>
      <w:r w:rsidR="000230CC">
        <w:t>PTP</w:t>
      </w:r>
      <w:r w:rsidR="00507F66">
        <w:t xml:space="preserve"> trial</w:t>
      </w:r>
      <w:r w:rsidR="000230CC">
        <w:t xml:space="preserve"> included:</w:t>
      </w:r>
    </w:p>
    <w:p w14:paraId="7CA8AE43" w14:textId="62914E32" w:rsidR="000230CC" w:rsidRDefault="00507F66" w:rsidP="002C22EF">
      <w:pPr>
        <w:pStyle w:val="ListBullet"/>
      </w:pPr>
      <w:r>
        <w:t>“</w:t>
      </w:r>
      <w:r w:rsidR="000230CC">
        <w:t>Summary report of the stakeholder consultation forum held on 26 October 2015</w:t>
      </w:r>
      <w:r w:rsidR="00F71900">
        <w:t>.</w:t>
      </w:r>
      <w:r>
        <w:t>”</w:t>
      </w:r>
      <w:sdt>
        <w:sdtPr>
          <w:id w:val="-1501189393"/>
          <w:citation/>
        </w:sdtPr>
        <w:sdtContent>
          <w:r w:rsidR="000230CC">
            <w:fldChar w:fldCharType="begin"/>
          </w:r>
          <w:r w:rsidR="00820D12">
            <w:rPr>
              <w:lang w:val="en-US"/>
            </w:rPr>
            <w:instrText xml:space="preserve">CITATION Com151 \l 1033 </w:instrText>
          </w:r>
          <w:r w:rsidR="000230CC">
            <w:fldChar w:fldCharType="separate"/>
          </w:r>
          <w:r w:rsidR="008B7448">
            <w:rPr>
              <w:noProof/>
              <w:lang w:val="en-US"/>
            </w:rPr>
            <w:t xml:space="preserve"> </w:t>
          </w:r>
          <w:r w:rsidR="008B7448" w:rsidRPr="008B7448">
            <w:rPr>
              <w:noProof/>
              <w:lang w:val="en-US"/>
            </w:rPr>
            <w:t>[2]</w:t>
          </w:r>
          <w:r w:rsidR="000230CC">
            <w:fldChar w:fldCharType="end"/>
          </w:r>
        </w:sdtContent>
      </w:sdt>
    </w:p>
    <w:p w14:paraId="6E323FCA" w14:textId="6873A41A" w:rsidR="000230CC" w:rsidRDefault="00507F66" w:rsidP="002C22EF">
      <w:pPr>
        <w:pStyle w:val="ListBullet"/>
      </w:pPr>
      <w:r>
        <w:t>“</w:t>
      </w:r>
      <w:r w:rsidR="000230CC">
        <w:t>Supporting pharmacist delivery of primary health care services through the Pharmacy Trial Program</w:t>
      </w:r>
      <w:r>
        <w:t>:</w:t>
      </w:r>
      <w:r w:rsidR="000230CC">
        <w:t xml:space="preserve"> Discussion Paper</w:t>
      </w:r>
      <w:r w:rsidR="0007701F">
        <w:t xml:space="preserve">” </w:t>
      </w:r>
      <w:r w:rsidR="000230CC">
        <w:t>(2016)</w:t>
      </w:r>
      <w:r w:rsidR="00F71900">
        <w:t>.</w:t>
      </w:r>
      <w:r w:rsidR="000230CC">
        <w:t xml:space="preserve"> </w:t>
      </w:r>
      <w:sdt>
        <w:sdtPr>
          <w:id w:val="494845012"/>
          <w:citation/>
        </w:sdtPr>
        <w:sdtContent>
          <w:r w:rsidR="000230CC">
            <w:fldChar w:fldCharType="begin"/>
          </w:r>
          <w:r w:rsidR="00820D12">
            <w:rPr>
              <w:lang w:val="en-US"/>
            </w:rPr>
            <w:instrText xml:space="preserve">CITATION Aus161 \l 1033 </w:instrText>
          </w:r>
          <w:r w:rsidR="000230CC">
            <w:fldChar w:fldCharType="separate"/>
          </w:r>
          <w:r w:rsidR="008B7448" w:rsidRPr="008B7448">
            <w:rPr>
              <w:noProof/>
              <w:lang w:val="en-US"/>
            </w:rPr>
            <w:t>[38]</w:t>
          </w:r>
          <w:r w:rsidR="000230CC">
            <w:fldChar w:fldCharType="end"/>
          </w:r>
        </w:sdtContent>
      </w:sdt>
    </w:p>
    <w:p w14:paraId="18C6278A" w14:textId="61F4726A" w:rsidR="000230CC" w:rsidRDefault="000230CC" w:rsidP="002C22EF">
      <w:pPr>
        <w:pStyle w:val="ListBullet"/>
      </w:pPr>
      <w:r>
        <w:t xml:space="preserve">PTP </w:t>
      </w:r>
      <w:r w:rsidRPr="00EC7378">
        <w:t>Principles</w:t>
      </w:r>
      <w:r w:rsidR="00F71900">
        <w:t>.</w:t>
      </w:r>
      <w:r>
        <w:t xml:space="preserve"> </w:t>
      </w:r>
      <w:sdt>
        <w:sdtPr>
          <w:id w:val="-1981374938"/>
          <w:citation/>
        </w:sdtPr>
        <w:sdtContent>
          <w:r>
            <w:fldChar w:fldCharType="begin"/>
          </w:r>
          <w:r>
            <w:rPr>
              <w:lang w:val="en-US"/>
            </w:rPr>
            <w:instrText xml:space="preserve">CITATION AUs16 \l 1033 </w:instrText>
          </w:r>
          <w:r>
            <w:fldChar w:fldCharType="separate"/>
          </w:r>
          <w:r w:rsidR="008B7448" w:rsidRPr="008B7448">
            <w:rPr>
              <w:noProof/>
              <w:lang w:val="en-US"/>
            </w:rPr>
            <w:t>[39]</w:t>
          </w:r>
          <w:r>
            <w:fldChar w:fldCharType="end"/>
          </w:r>
        </w:sdtContent>
      </w:sdt>
    </w:p>
    <w:p w14:paraId="04E7960E" w14:textId="0350EC85" w:rsidR="000230CC" w:rsidRDefault="000230CC" w:rsidP="002C22EF">
      <w:pPr>
        <w:pStyle w:val="ListBullet"/>
      </w:pPr>
      <w:r>
        <w:t>Terms of reference and membership for the Trial Advisory Group (TAG)</w:t>
      </w:r>
      <w:r w:rsidR="00F71900">
        <w:t>.</w:t>
      </w:r>
      <w:r>
        <w:t xml:space="preserve"> </w:t>
      </w:r>
      <w:sdt>
        <w:sdtPr>
          <w:id w:val="1508554156"/>
          <w:citation/>
        </w:sdtPr>
        <w:sdtContent>
          <w:r>
            <w:fldChar w:fldCharType="begin"/>
          </w:r>
          <w:r w:rsidR="00820D12">
            <w:rPr>
              <w:lang w:val="en-US"/>
            </w:rPr>
            <w:instrText xml:space="preserve">CITATION Com165 \l 1033 </w:instrText>
          </w:r>
          <w:r>
            <w:fldChar w:fldCharType="separate"/>
          </w:r>
          <w:r w:rsidR="008B7448" w:rsidRPr="008B7448">
            <w:rPr>
              <w:noProof/>
              <w:lang w:val="en-US"/>
            </w:rPr>
            <w:t>[40]</w:t>
          </w:r>
          <w:r>
            <w:fldChar w:fldCharType="end"/>
          </w:r>
        </w:sdtContent>
      </w:sdt>
    </w:p>
    <w:p w14:paraId="43743E0C" w14:textId="2F0E43EB" w:rsidR="000230CC" w:rsidRDefault="000230CC" w:rsidP="002C22EF">
      <w:pPr>
        <w:pStyle w:val="ListBullet"/>
      </w:pPr>
      <w:r>
        <w:t>PTP Grant Guidelines for Tranches 1, 2 and 3</w:t>
      </w:r>
      <w:r w:rsidR="00F71900">
        <w:t>.</w:t>
      </w:r>
      <w:r>
        <w:t xml:space="preserve"> </w:t>
      </w:r>
      <w:sdt>
        <w:sdtPr>
          <w:id w:val="-164941811"/>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sdt>
        <w:sdtPr>
          <w:id w:val="228202185"/>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sdt>
        <w:sdtPr>
          <w:id w:val="-1708723466"/>
          <w:citation/>
        </w:sdtPr>
        <w:sdtContent>
          <w:r>
            <w:fldChar w:fldCharType="begin"/>
          </w:r>
          <w:r>
            <w:rPr>
              <w:lang w:val="en-US"/>
            </w:rPr>
            <w:instrText xml:space="preserve">CITATION Aus183 \l 1033 </w:instrText>
          </w:r>
          <w:r>
            <w:fldChar w:fldCharType="separate"/>
          </w:r>
          <w:r w:rsidR="008B7448">
            <w:rPr>
              <w:noProof/>
              <w:lang w:val="en-US"/>
            </w:rPr>
            <w:t xml:space="preserve"> </w:t>
          </w:r>
          <w:r w:rsidR="008B7448" w:rsidRPr="008B7448">
            <w:rPr>
              <w:noProof/>
              <w:lang w:val="en-US"/>
            </w:rPr>
            <w:t>[42]</w:t>
          </w:r>
          <w:r>
            <w:fldChar w:fldCharType="end"/>
          </w:r>
        </w:sdtContent>
      </w:sdt>
      <w:sdt>
        <w:sdtPr>
          <w:id w:val="1928150324"/>
          <w:citation/>
        </w:sdtPr>
        <w:sdtContent>
          <w:r>
            <w:fldChar w:fldCharType="begin"/>
          </w:r>
          <w:r>
            <w:rPr>
              <w:lang w:val="en-US"/>
            </w:rPr>
            <w:instrText xml:space="preserve">CITATION Aus184 \l 1033 </w:instrText>
          </w:r>
          <w:r>
            <w:fldChar w:fldCharType="separate"/>
          </w:r>
          <w:r w:rsidR="008B7448">
            <w:rPr>
              <w:noProof/>
              <w:lang w:val="en-US"/>
            </w:rPr>
            <w:t xml:space="preserve"> </w:t>
          </w:r>
          <w:r w:rsidR="008B7448" w:rsidRPr="008B7448">
            <w:rPr>
              <w:noProof/>
              <w:lang w:val="en-US"/>
            </w:rPr>
            <w:t>[43]</w:t>
          </w:r>
          <w:r>
            <w:fldChar w:fldCharType="end"/>
          </w:r>
        </w:sdtContent>
      </w:sdt>
    </w:p>
    <w:p w14:paraId="5D7D3D95" w14:textId="224E4CCC" w:rsidR="000230CC" w:rsidRDefault="000230CC" w:rsidP="002C22EF">
      <w:pPr>
        <w:pStyle w:val="ListBullet"/>
      </w:pPr>
      <w:r>
        <w:t>PTP applications for successful grants</w:t>
      </w:r>
      <w:r w:rsidR="0038751A">
        <w:t>.</w:t>
      </w:r>
    </w:p>
    <w:p w14:paraId="28B05433" w14:textId="020EDE6B" w:rsidR="000230CC" w:rsidRDefault="000230CC" w:rsidP="002C22EF">
      <w:pPr>
        <w:pStyle w:val="ListBullet"/>
      </w:pPr>
      <w:r>
        <w:t xml:space="preserve">PTP Tranche 2 assessment master list </w:t>
      </w:r>
      <w:sdt>
        <w:sdtPr>
          <w:id w:val="-1461412376"/>
          <w:citation/>
        </w:sdtPr>
        <w:sdtContent>
          <w:r>
            <w:fldChar w:fldCharType="begin"/>
          </w:r>
          <w:r>
            <w:rPr>
              <w:lang w:val="en-US"/>
            </w:rPr>
            <w:instrText xml:space="preserve"> CITATION PTP17 \l 1033 </w:instrText>
          </w:r>
          <w:r>
            <w:fldChar w:fldCharType="separate"/>
          </w:r>
          <w:r w:rsidR="008B7448" w:rsidRPr="008B7448">
            <w:rPr>
              <w:noProof/>
              <w:lang w:val="en-US"/>
            </w:rPr>
            <w:t>[44]</w:t>
          </w:r>
          <w:r>
            <w:fldChar w:fldCharType="end"/>
          </w:r>
        </w:sdtContent>
      </w:sdt>
      <w:r>
        <w:t>.</w:t>
      </w:r>
    </w:p>
    <w:p w14:paraId="44B5D319" w14:textId="77777777" w:rsidR="006A4A32" w:rsidRDefault="000230CC" w:rsidP="0007701F">
      <w:pPr>
        <w:pStyle w:val="BodyCopy"/>
        <w:spacing w:before="120"/>
      </w:pPr>
      <w:r>
        <w:t xml:space="preserve">Policy and related documents </w:t>
      </w:r>
      <w:r w:rsidR="00C96BD2">
        <w:t xml:space="preserve">relevant to the evaluation </w:t>
      </w:r>
      <w:r w:rsidR="00507F66">
        <w:t xml:space="preserve">context </w:t>
      </w:r>
      <w:r w:rsidR="00C96BD2">
        <w:t>and referred to throughout this final evaluation report are</w:t>
      </w:r>
      <w:r w:rsidR="00507F66">
        <w:t xml:space="preserve"> listed below</w:t>
      </w:r>
      <w:r>
        <w:t>:</w:t>
      </w:r>
    </w:p>
    <w:p w14:paraId="43589FA3" w14:textId="1EC34835" w:rsidR="000230CC" w:rsidRDefault="000230CC" w:rsidP="002C22EF">
      <w:pPr>
        <w:pStyle w:val="ListBullet"/>
      </w:pPr>
      <w:r>
        <w:t>National Medicines Policy (2000)</w:t>
      </w:r>
      <w:r w:rsidR="00F71900">
        <w:t>.</w:t>
      </w:r>
      <w:r>
        <w:t xml:space="preserve"> </w:t>
      </w:r>
      <w:sdt>
        <w:sdtPr>
          <w:id w:val="-855566054"/>
          <w:citation/>
        </w:sdtPr>
        <w:sdtContent>
          <w:r>
            <w:fldChar w:fldCharType="begin"/>
          </w:r>
          <w:r w:rsidR="00820D12">
            <w:rPr>
              <w:lang w:val="en-US"/>
            </w:rPr>
            <w:instrText xml:space="preserve">CITATION Com00 \l 1033 </w:instrText>
          </w:r>
          <w:r>
            <w:fldChar w:fldCharType="separate"/>
          </w:r>
          <w:r w:rsidR="008B7448" w:rsidRPr="008B7448">
            <w:rPr>
              <w:noProof/>
              <w:lang w:val="en-US"/>
            </w:rPr>
            <w:t>[5]</w:t>
          </w:r>
          <w:r>
            <w:fldChar w:fldCharType="end"/>
          </w:r>
        </w:sdtContent>
      </w:sdt>
    </w:p>
    <w:p w14:paraId="39F116F1" w14:textId="63E1DC46" w:rsidR="000230CC" w:rsidRDefault="000230CC" w:rsidP="002C22EF">
      <w:pPr>
        <w:pStyle w:val="ListBullet"/>
      </w:pPr>
      <w:r>
        <w:t>National Strategy for Quality Use of Medicines (2002)</w:t>
      </w:r>
      <w:r w:rsidR="005C576E">
        <w:t>.</w:t>
      </w:r>
      <w:sdt>
        <w:sdtPr>
          <w:id w:val="-849331122"/>
          <w:citation/>
        </w:sdtPr>
        <w:sdtContent>
          <w:r>
            <w:fldChar w:fldCharType="begin"/>
          </w:r>
          <w:r>
            <w:rPr>
              <w:lang w:val="en-US"/>
            </w:rPr>
            <w:instrText xml:space="preserve"> CITATION Com02 \l 1033 </w:instrText>
          </w:r>
          <w:r>
            <w:fldChar w:fldCharType="separate"/>
          </w:r>
          <w:r w:rsidR="008B7448">
            <w:rPr>
              <w:noProof/>
              <w:lang w:val="en-US"/>
            </w:rPr>
            <w:t xml:space="preserve"> </w:t>
          </w:r>
          <w:r w:rsidR="008B7448" w:rsidRPr="008B7448">
            <w:rPr>
              <w:noProof/>
              <w:lang w:val="en-US"/>
            </w:rPr>
            <w:t>[6]</w:t>
          </w:r>
          <w:r>
            <w:fldChar w:fldCharType="end"/>
          </w:r>
        </w:sdtContent>
      </w:sdt>
    </w:p>
    <w:p w14:paraId="56F6C3A3" w14:textId="77777777" w:rsidR="006A4A32" w:rsidRDefault="000230CC" w:rsidP="002C22EF">
      <w:pPr>
        <w:pStyle w:val="ListBullet"/>
      </w:pPr>
      <w:r w:rsidRPr="00871776">
        <w:t>6CPA</w:t>
      </w:r>
      <w:r w:rsidR="005C576E" w:rsidRPr="00871776">
        <w:t>.</w:t>
      </w:r>
    </w:p>
    <w:p w14:paraId="2642ED10" w14:textId="2812092D" w:rsidR="000230CC" w:rsidRDefault="000230CC" w:rsidP="002C22EF">
      <w:pPr>
        <w:pStyle w:val="ListBullet"/>
      </w:pPr>
      <w:r>
        <w:t xml:space="preserve">The Australian National Audit Office report </w:t>
      </w:r>
      <w:r w:rsidR="00507F66">
        <w:t>“</w:t>
      </w:r>
      <w:r w:rsidR="00C96BD2">
        <w:t>Administration of the Fifth Community Pharmacy Agreemen</w:t>
      </w:r>
      <w:r w:rsidR="0007701F">
        <w:t>t</w:t>
      </w:r>
      <w:r w:rsidR="00F71900">
        <w:t>.</w:t>
      </w:r>
      <w:r w:rsidR="00507F66">
        <w:t>”</w:t>
      </w:r>
      <w:r w:rsidR="00C96BD2">
        <w:t xml:space="preserve"> </w:t>
      </w:r>
      <w:sdt>
        <w:sdtPr>
          <w:id w:val="-895816278"/>
          <w:citation/>
        </w:sdtPr>
        <w:sdtContent>
          <w:r>
            <w:fldChar w:fldCharType="begin"/>
          </w:r>
          <w:r>
            <w:rPr>
              <w:lang w:val="en-US"/>
            </w:rPr>
            <w:instrText xml:space="preserve">CITATION The15 \l 1033 </w:instrText>
          </w:r>
          <w:r>
            <w:fldChar w:fldCharType="separate"/>
          </w:r>
          <w:r w:rsidR="008B7448" w:rsidRPr="008B7448">
            <w:rPr>
              <w:noProof/>
              <w:lang w:val="en-US"/>
            </w:rPr>
            <w:t>[45]</w:t>
          </w:r>
          <w:r>
            <w:fldChar w:fldCharType="end"/>
          </w:r>
        </w:sdtContent>
      </w:sdt>
    </w:p>
    <w:p w14:paraId="708D40D2" w14:textId="2C5F0C95" w:rsidR="000230CC" w:rsidRDefault="000230CC" w:rsidP="002C22EF">
      <w:pPr>
        <w:pStyle w:val="ListBullet"/>
      </w:pPr>
      <w:r w:rsidRPr="0018529E">
        <w:t>Commonwealth Grants Rules and Guidelines</w:t>
      </w:r>
      <w:r w:rsidR="00F71900">
        <w:t>.</w:t>
      </w:r>
      <w:r w:rsidRPr="0018529E">
        <w:t xml:space="preserve"> </w:t>
      </w:r>
      <w:sdt>
        <w:sdtPr>
          <w:id w:val="-969976699"/>
          <w:citation/>
        </w:sdtPr>
        <w:sdtContent>
          <w:r>
            <w:fldChar w:fldCharType="begin"/>
          </w:r>
          <w:r w:rsidR="00820D12">
            <w:instrText xml:space="preserve">CITATION Com175 \l 3081 </w:instrText>
          </w:r>
          <w:r>
            <w:fldChar w:fldCharType="separate"/>
          </w:r>
          <w:r w:rsidR="008B7448" w:rsidRPr="008B7448">
            <w:rPr>
              <w:noProof/>
            </w:rPr>
            <w:t>[46]</w:t>
          </w:r>
          <w:r>
            <w:fldChar w:fldCharType="end"/>
          </w:r>
        </w:sdtContent>
      </w:sdt>
      <w:bookmarkStart w:id="46" w:name="_Ref4428007"/>
      <w:bookmarkStart w:id="47" w:name="_Toc8217010"/>
    </w:p>
    <w:p w14:paraId="75FCB976" w14:textId="3366645C" w:rsidR="000230CC" w:rsidRDefault="000230CC" w:rsidP="002C22EF">
      <w:pPr>
        <w:pStyle w:val="ListBullet"/>
      </w:pPr>
      <w:r>
        <w:t>Commonwealth Procurement rules</w:t>
      </w:r>
      <w:bookmarkEnd w:id="46"/>
      <w:bookmarkEnd w:id="47"/>
      <w:r w:rsidR="00F71900">
        <w:t>.</w:t>
      </w:r>
      <w:sdt>
        <w:sdtPr>
          <w:id w:val="2004551574"/>
          <w:citation/>
        </w:sdtPr>
        <w:sdtContent>
          <w:r>
            <w:fldChar w:fldCharType="begin"/>
          </w:r>
          <w:r w:rsidR="00820D12">
            <w:rPr>
              <w:lang w:val="en-US"/>
            </w:rPr>
            <w:instrText xml:space="preserve">CITATION Dep14 \l 1033 </w:instrText>
          </w:r>
          <w:r>
            <w:fldChar w:fldCharType="separate"/>
          </w:r>
          <w:r w:rsidR="008B7448">
            <w:rPr>
              <w:noProof/>
              <w:lang w:val="en-US"/>
            </w:rPr>
            <w:t xml:space="preserve"> </w:t>
          </w:r>
          <w:r w:rsidR="008B7448" w:rsidRPr="008B7448">
            <w:rPr>
              <w:noProof/>
              <w:lang w:val="en-US"/>
            </w:rPr>
            <w:t>[47]</w:t>
          </w:r>
          <w:r>
            <w:fldChar w:fldCharType="end"/>
          </w:r>
        </w:sdtContent>
      </w:sdt>
    </w:p>
    <w:p w14:paraId="327F1DEC" w14:textId="77777777" w:rsidR="006A4A32" w:rsidRDefault="000230CC" w:rsidP="0038751A">
      <w:pPr>
        <w:pStyle w:val="BodyCopy"/>
        <w:keepNext/>
        <w:spacing w:before="120"/>
      </w:pPr>
      <w:r>
        <w:t>Other contextual information considered included:</w:t>
      </w:r>
    </w:p>
    <w:p w14:paraId="430BCE75" w14:textId="79DD1BC4" w:rsidR="000230CC" w:rsidRDefault="000230CC" w:rsidP="002C22EF">
      <w:pPr>
        <w:pStyle w:val="ListBullet"/>
      </w:pPr>
      <w:r>
        <w:t xml:space="preserve">Guidance and other published materials produced by health technology assessment bodies providing advice including the </w:t>
      </w:r>
      <w:r w:rsidRPr="001F224B">
        <w:t>Medical Services Advisory Committee (MSAC)</w:t>
      </w:r>
      <w:r>
        <w:t xml:space="preserve">, </w:t>
      </w:r>
      <w:r w:rsidRPr="001F224B">
        <w:t>the Pharmaceutical Benefits Advisory Committee (PBAC</w:t>
      </w:r>
      <w:r>
        <w:t>), the T</w:t>
      </w:r>
      <w:r w:rsidRPr="001F224B">
        <w:t>herapeutic Goods Administration</w:t>
      </w:r>
      <w:r>
        <w:t xml:space="preserve"> </w:t>
      </w:r>
      <w:r w:rsidRPr="001F224B">
        <w:t>(TGA) and the Prostheses List Advisory Committee (PLAC)</w:t>
      </w:r>
      <w:r w:rsidR="00F71900">
        <w:t>.</w:t>
      </w:r>
      <w:r>
        <w:t xml:space="preserve"> </w:t>
      </w:r>
      <w:sdt>
        <w:sdtPr>
          <w:id w:val="-1851559475"/>
          <w:citation/>
        </w:sdtPr>
        <w:sdtContent>
          <w:r>
            <w:fldChar w:fldCharType="begin"/>
          </w:r>
          <w:r w:rsidR="00820D12">
            <w:rPr>
              <w:lang w:val="en-US"/>
            </w:rPr>
            <w:instrText xml:space="preserve">CITATION Dep172 \l 1033 </w:instrText>
          </w:r>
          <w:r>
            <w:fldChar w:fldCharType="separate"/>
          </w:r>
          <w:r w:rsidR="008B7448" w:rsidRPr="008B7448">
            <w:rPr>
              <w:noProof/>
              <w:lang w:val="en-US"/>
            </w:rPr>
            <w:t>[21]</w:t>
          </w:r>
          <w:r>
            <w:fldChar w:fldCharType="end"/>
          </w:r>
        </w:sdtContent>
      </w:sdt>
    </w:p>
    <w:p w14:paraId="36FC38A5" w14:textId="19D9518B" w:rsidR="000230CC" w:rsidRDefault="00352602" w:rsidP="002C22EF">
      <w:pPr>
        <w:pStyle w:val="ListBullet"/>
      </w:pPr>
      <w:r>
        <w:t xml:space="preserve">Information on the operations of the </w:t>
      </w:r>
      <w:r w:rsidR="000230CC">
        <w:t>Australian Digital Health Agency, My Health Record and the recent research through the Digital Test Beds</w:t>
      </w:r>
      <w:r w:rsidR="00F71900">
        <w:t>.</w:t>
      </w:r>
    </w:p>
    <w:p w14:paraId="17E844A1" w14:textId="77777777" w:rsidR="006A4A32" w:rsidRDefault="000230CC" w:rsidP="002C22EF">
      <w:pPr>
        <w:pStyle w:val="ListBullet"/>
      </w:pPr>
      <w:r>
        <w:t>Medication safety and avoidable hospitalisations caused by medication misadventure</w:t>
      </w:r>
      <w:r w:rsidR="00F71900">
        <w:t>.</w:t>
      </w:r>
    </w:p>
    <w:p w14:paraId="32376988" w14:textId="6753E0E9" w:rsidR="000230CC" w:rsidRPr="00C45083" w:rsidRDefault="000230CC" w:rsidP="002C22EF">
      <w:pPr>
        <w:pStyle w:val="ListBullet"/>
      </w:pPr>
      <w:r>
        <w:t xml:space="preserve">Strategic directions for community pharmacy as identified in the </w:t>
      </w:r>
      <w:r w:rsidR="00352602">
        <w:t>“</w:t>
      </w:r>
      <w:r>
        <w:t>Community Pharmacy 2025 Framework for Change</w:t>
      </w:r>
      <w:r w:rsidR="00352602">
        <w:t>”</w:t>
      </w:r>
      <w:r>
        <w:t xml:space="preserve"> </w:t>
      </w:r>
      <w:r w:rsidR="005C576E">
        <w:t xml:space="preserve">(2018) </w:t>
      </w:r>
      <w:r>
        <w:t xml:space="preserve">published by </w:t>
      </w:r>
      <w:r w:rsidR="005C576E">
        <w:t>the Guild</w:t>
      </w:r>
      <w:r w:rsidR="00F71900">
        <w:t>.</w:t>
      </w:r>
      <w:r>
        <w:t xml:space="preserve"> </w:t>
      </w:r>
      <w:sdt>
        <w:sdtPr>
          <w:id w:val="78646009"/>
          <w:citation/>
        </w:sdtPr>
        <w:sdtContent>
          <w:r w:rsidRPr="00C45083">
            <w:fldChar w:fldCharType="begin"/>
          </w:r>
          <w:r>
            <w:rPr>
              <w:lang w:val="en-US"/>
            </w:rPr>
            <w:instrText xml:space="preserve">CITATION Pha18 \l 1033 </w:instrText>
          </w:r>
          <w:r w:rsidRPr="00C45083">
            <w:fldChar w:fldCharType="separate"/>
          </w:r>
          <w:r w:rsidR="008B7448" w:rsidRPr="008B7448">
            <w:rPr>
              <w:noProof/>
              <w:lang w:val="en-US"/>
            </w:rPr>
            <w:t>[20]</w:t>
          </w:r>
          <w:r w:rsidRPr="00C45083">
            <w:fldChar w:fldCharType="end"/>
          </w:r>
        </w:sdtContent>
      </w:sdt>
    </w:p>
    <w:p w14:paraId="12D85622" w14:textId="0F6BD6CA" w:rsidR="000230CC" w:rsidRDefault="000230CC" w:rsidP="0007701F">
      <w:pPr>
        <w:pStyle w:val="BodyCopy"/>
        <w:spacing w:before="120"/>
      </w:pPr>
      <w:r>
        <w:t xml:space="preserve">Literature and evidence from international programs </w:t>
      </w:r>
      <w:r w:rsidR="00B236DB">
        <w:t xml:space="preserve">that informed the evaluation </w:t>
      </w:r>
      <w:r w:rsidR="00B236DB" w:rsidRPr="00146A19">
        <w:t>analysis</w:t>
      </w:r>
      <w:r w:rsidR="00B236DB">
        <w:t xml:space="preserve"> </w:t>
      </w:r>
      <w:r>
        <w:t>included</w:t>
      </w:r>
      <w:r w:rsidR="002801F1">
        <w:t xml:space="preserve"> a</w:t>
      </w:r>
      <w:r>
        <w:t>:</w:t>
      </w:r>
    </w:p>
    <w:p w14:paraId="106D1405" w14:textId="1ADE044A" w:rsidR="000230CC" w:rsidRDefault="000230CC" w:rsidP="002C22EF">
      <w:pPr>
        <w:pStyle w:val="ListBullet"/>
      </w:pPr>
      <w:r>
        <w:t xml:space="preserve">comparison of trial (also referred to as </w:t>
      </w:r>
      <w:r w:rsidR="00B236DB">
        <w:t>‘</w:t>
      </w:r>
      <w:r>
        <w:t>primary study</w:t>
      </w:r>
      <w:r w:rsidR="00B236DB">
        <w:t>’</w:t>
      </w:r>
      <w:r>
        <w:t>) methodologies</w:t>
      </w:r>
      <w:r w:rsidRPr="004B101B">
        <w:t xml:space="preserve"> </w:t>
      </w:r>
      <w:r>
        <w:t xml:space="preserve">as described by the hierarchy of evidence developed by the </w:t>
      </w:r>
      <w:r w:rsidRPr="002C22EF">
        <w:t>NHMRC</w:t>
      </w:r>
      <w:r w:rsidR="00F71900">
        <w:t>;</w:t>
      </w:r>
      <w:sdt>
        <w:sdtPr>
          <w:id w:val="652257215"/>
          <w:citation/>
        </w:sdtPr>
        <w:sdtContent>
          <w:r w:rsidR="0007701F">
            <w:fldChar w:fldCharType="begin"/>
          </w:r>
          <w:r w:rsidR="0007701F">
            <w:rPr>
              <w:lang w:val="en-US"/>
            </w:rPr>
            <w:instrText xml:space="preserve"> CITATION Nat09 \l 1033 </w:instrText>
          </w:r>
          <w:r w:rsidR="0007701F">
            <w:fldChar w:fldCharType="separate"/>
          </w:r>
          <w:r w:rsidR="008B7448">
            <w:rPr>
              <w:noProof/>
              <w:lang w:val="en-US"/>
            </w:rPr>
            <w:t xml:space="preserve"> </w:t>
          </w:r>
          <w:r w:rsidR="008B7448" w:rsidRPr="008B7448">
            <w:rPr>
              <w:noProof/>
              <w:lang w:val="en-US"/>
            </w:rPr>
            <w:t>[48]</w:t>
          </w:r>
          <w:r w:rsidR="0007701F">
            <w:fldChar w:fldCharType="end"/>
          </w:r>
        </w:sdtContent>
      </w:sdt>
      <w:r>
        <w:t xml:space="preserve"> and</w:t>
      </w:r>
    </w:p>
    <w:p w14:paraId="43A5CA19" w14:textId="1A01724E" w:rsidR="000230CC" w:rsidRDefault="000230CC" w:rsidP="0007701F">
      <w:pPr>
        <w:pStyle w:val="ListBullet"/>
      </w:pPr>
      <w:r>
        <w:t>literature scan</w:t>
      </w:r>
      <w:r w:rsidR="00352602">
        <w:t xml:space="preserve"> undertaken by the evaluation project</w:t>
      </w:r>
      <w:r w:rsidR="00B236DB">
        <w:t>. Findings from the literature scan</w:t>
      </w:r>
      <w:r>
        <w:t xml:space="preserve"> w</w:t>
      </w:r>
      <w:r w:rsidR="00B236DB">
        <w:t>ere</w:t>
      </w:r>
      <w:r>
        <w:t xml:space="preserve"> used to compare study design protocols for </w:t>
      </w:r>
      <w:r w:rsidRPr="00D14D06">
        <w:t xml:space="preserve">new and innovative health service delivery interventions </w:t>
      </w:r>
      <w:r>
        <w:t xml:space="preserve">in Australia and overseas. The search included </w:t>
      </w:r>
      <w:r w:rsidRPr="00D14D06">
        <w:t>Australia and countries with similar community pharmacy models</w:t>
      </w:r>
      <w:r w:rsidR="00352602">
        <w:t xml:space="preserve">, which were defined as </w:t>
      </w:r>
      <w:r w:rsidRPr="00D14D06">
        <w:t>the United Kingdom</w:t>
      </w:r>
      <w:r w:rsidR="00352602">
        <w:t>,</w:t>
      </w:r>
      <w:r>
        <w:t xml:space="preserve"> other parts of Europe</w:t>
      </w:r>
      <w:r w:rsidRPr="00D14D06">
        <w:t xml:space="preserve">, </w:t>
      </w:r>
      <w:r w:rsidR="00352602">
        <w:t xml:space="preserve">the </w:t>
      </w:r>
      <w:r w:rsidRPr="00D14D06">
        <w:t>United States</w:t>
      </w:r>
      <w:r w:rsidR="00352602">
        <w:t xml:space="preserve"> of America</w:t>
      </w:r>
      <w:r w:rsidRPr="00D14D06">
        <w:t xml:space="preserve">, Canada, </w:t>
      </w:r>
      <w:r>
        <w:t xml:space="preserve">and </w:t>
      </w:r>
      <w:r w:rsidRPr="00D14D06">
        <w:t>New Zealand.</w:t>
      </w:r>
    </w:p>
    <w:p w14:paraId="139BC483" w14:textId="77777777" w:rsidR="006A4A32" w:rsidRDefault="000230CC" w:rsidP="000230CC">
      <w:pPr>
        <w:pStyle w:val="Heading2"/>
        <w:spacing w:before="369" w:after="170" w:line="384" w:lineRule="atLeast"/>
        <w:ind w:left="992" w:hanging="992"/>
      </w:pPr>
      <w:bookmarkStart w:id="48" w:name="_Toc8746955"/>
      <w:bookmarkStart w:id="49" w:name="_Toc19097752"/>
      <w:bookmarkStart w:id="50" w:name="_Toc26366358"/>
      <w:r>
        <w:t>Consultation with stakeholders</w:t>
      </w:r>
      <w:bookmarkEnd w:id="48"/>
      <w:bookmarkEnd w:id="49"/>
      <w:bookmarkEnd w:id="50"/>
    </w:p>
    <w:p w14:paraId="633C450B" w14:textId="77777777" w:rsidR="006A4A32" w:rsidRDefault="000230CC" w:rsidP="000230CC">
      <w:pPr>
        <w:pStyle w:val="BodyCopy"/>
      </w:pPr>
      <w:r>
        <w:t xml:space="preserve">HMA sought the perspectives of relevant stakeholder groups on their experiences with the </w:t>
      </w:r>
      <w:r w:rsidRPr="002A56E9">
        <w:t>PTP and possible future direction for the program. Groups</w:t>
      </w:r>
      <w:r>
        <w:t xml:space="preserve"> that provided input into the review are listed below, categorised by stakeholder type.</w:t>
      </w:r>
    </w:p>
    <w:p w14:paraId="7F3CDD7B" w14:textId="77777777" w:rsidR="006A4A32" w:rsidRDefault="000230CC" w:rsidP="000230CC">
      <w:pPr>
        <w:pStyle w:val="Heading4"/>
      </w:pPr>
      <w:r>
        <w:t>Australian Government and affiliated agencies</w:t>
      </w:r>
    </w:p>
    <w:p w14:paraId="59FCE47B" w14:textId="77777777" w:rsidR="006A4A32" w:rsidRDefault="000230CC" w:rsidP="002C22EF">
      <w:pPr>
        <w:pStyle w:val="ListBullet"/>
      </w:pPr>
      <w:r w:rsidRPr="00661032">
        <w:t xml:space="preserve">The </w:t>
      </w:r>
      <w:r w:rsidR="002801F1">
        <w:t xml:space="preserve">Australian </w:t>
      </w:r>
      <w:r w:rsidR="00871776">
        <w:t xml:space="preserve">Government </w:t>
      </w:r>
      <w:r w:rsidRPr="00661032">
        <w:t>Department of Health, Pharmacy Branch (Department)</w:t>
      </w:r>
      <w:r w:rsidR="002801F1">
        <w:t>; and</w:t>
      </w:r>
    </w:p>
    <w:p w14:paraId="4C9F531B" w14:textId="5D09BF4D" w:rsidR="000230CC" w:rsidRPr="00661032" w:rsidRDefault="000230CC" w:rsidP="002C22EF">
      <w:pPr>
        <w:pStyle w:val="ListBullet"/>
      </w:pPr>
      <w:r w:rsidRPr="00661032">
        <w:lastRenderedPageBreak/>
        <w:t>Australian Digital Health Agency</w:t>
      </w:r>
      <w:r w:rsidR="002801F1">
        <w:t>.</w:t>
      </w:r>
    </w:p>
    <w:p w14:paraId="163002E4" w14:textId="77777777" w:rsidR="006A4A32" w:rsidRDefault="000230CC" w:rsidP="000230CC">
      <w:pPr>
        <w:pStyle w:val="Heading4"/>
      </w:pPr>
      <w:r w:rsidRPr="0062477E">
        <w:t>Advisory groups</w:t>
      </w:r>
    </w:p>
    <w:p w14:paraId="2783BB0A" w14:textId="55D63805" w:rsidR="000230CC" w:rsidRDefault="000230CC" w:rsidP="002C22EF">
      <w:pPr>
        <w:pStyle w:val="ListBullet"/>
      </w:pPr>
      <w:r>
        <w:t>Representatives of the Trial</w:t>
      </w:r>
      <w:r w:rsidR="002801F1">
        <w:t>s</w:t>
      </w:r>
      <w:r>
        <w:t xml:space="preserve"> Advisory Group (TAG)</w:t>
      </w:r>
    </w:p>
    <w:p w14:paraId="4E7D74A2" w14:textId="77777777" w:rsidR="006A4A32" w:rsidRDefault="000230CC" w:rsidP="002C22EF">
      <w:pPr>
        <w:pStyle w:val="ListBullet2"/>
      </w:pPr>
      <w:r>
        <w:t>Chair: Emeritus Professor Lloyd Sansom</w:t>
      </w:r>
      <w:r w:rsidR="002801F1">
        <w:t>;</w:t>
      </w:r>
    </w:p>
    <w:p w14:paraId="5C19865D" w14:textId="4AEBADF5" w:rsidR="000230CC" w:rsidRDefault="000230CC" w:rsidP="002C22EF">
      <w:pPr>
        <w:pStyle w:val="ListBullet2"/>
      </w:pPr>
      <w:r>
        <w:t>Shane Jackson (PSA)</w:t>
      </w:r>
      <w:r w:rsidR="002801F1">
        <w:t>;</w:t>
      </w:r>
    </w:p>
    <w:p w14:paraId="5A4473F4" w14:textId="582154A8" w:rsidR="000230CC" w:rsidRDefault="000230CC" w:rsidP="002C22EF">
      <w:pPr>
        <w:pStyle w:val="ListBullet2"/>
      </w:pPr>
      <w:r>
        <w:t>Grant Martin (Australian Association of Consultant Pharmacy)</w:t>
      </w:r>
      <w:r w:rsidR="002801F1">
        <w:t>; and</w:t>
      </w:r>
    </w:p>
    <w:p w14:paraId="0F212D23" w14:textId="0E38B10D" w:rsidR="000230CC" w:rsidRDefault="000230CC" w:rsidP="002C22EF">
      <w:pPr>
        <w:pStyle w:val="ListBullet2"/>
      </w:pPr>
      <w:r>
        <w:t>Samantha Robertson (NHMRC)</w:t>
      </w:r>
      <w:r w:rsidR="002801F1">
        <w:t>.</w:t>
      </w:r>
      <w:r>
        <w:rPr>
          <w:rStyle w:val="FootnoteReference"/>
        </w:rPr>
        <w:footnoteReference w:id="4"/>
      </w:r>
    </w:p>
    <w:p w14:paraId="4534AFB9" w14:textId="77777777" w:rsidR="006A4A32" w:rsidRDefault="000230CC" w:rsidP="000230CC">
      <w:pPr>
        <w:pStyle w:val="Heading4"/>
      </w:pPr>
      <w:r>
        <w:t>Professional p</w:t>
      </w:r>
      <w:r w:rsidRPr="0062477E">
        <w:t>eak bodies with an interest in pharmacy</w:t>
      </w:r>
    </w:p>
    <w:p w14:paraId="0E3D37CB" w14:textId="3DF04285" w:rsidR="000230CC" w:rsidRDefault="000230CC" w:rsidP="002C22EF">
      <w:pPr>
        <w:pStyle w:val="ListBullet"/>
      </w:pPr>
      <w:r>
        <w:t>The Pharmacy Guild of Australia (Guild)</w:t>
      </w:r>
      <w:r w:rsidR="002801F1">
        <w:t>;</w:t>
      </w:r>
    </w:p>
    <w:p w14:paraId="5D921F3E" w14:textId="10C8A77A" w:rsidR="000230CC" w:rsidRDefault="000230CC" w:rsidP="002C22EF">
      <w:pPr>
        <w:pStyle w:val="ListBullet"/>
      </w:pPr>
      <w:r>
        <w:t>Pharmaceutical Society of Australia (PSA)</w:t>
      </w:r>
      <w:r w:rsidR="002801F1">
        <w:t>;</w:t>
      </w:r>
    </w:p>
    <w:p w14:paraId="49C565B7" w14:textId="2D66733D" w:rsidR="000230CC" w:rsidRDefault="000230CC" w:rsidP="002C22EF">
      <w:pPr>
        <w:pStyle w:val="ListBullet"/>
      </w:pPr>
      <w:r>
        <w:t>Society of Hospital Pharmacists Australia (SHPA)</w:t>
      </w:r>
      <w:r w:rsidR="002801F1">
        <w:t>; and</w:t>
      </w:r>
    </w:p>
    <w:p w14:paraId="34DBEF4E" w14:textId="0A93B44F" w:rsidR="000230CC" w:rsidRPr="00E55316" w:rsidRDefault="000230CC" w:rsidP="002C22EF">
      <w:pPr>
        <w:pStyle w:val="ListBullet"/>
      </w:pPr>
      <w:r>
        <w:t>Australian Association of Consultant Pharmacy (AACP)</w:t>
      </w:r>
      <w:r w:rsidR="002801F1">
        <w:t>.</w:t>
      </w:r>
    </w:p>
    <w:p w14:paraId="4BC6C52D" w14:textId="77777777" w:rsidR="006A4A32" w:rsidRDefault="000230CC" w:rsidP="000230CC">
      <w:pPr>
        <w:pStyle w:val="Heading4"/>
      </w:pPr>
      <w:r>
        <w:t>Professional p</w:t>
      </w:r>
      <w:r w:rsidRPr="0062477E">
        <w:t xml:space="preserve">eak bodies with an interest </w:t>
      </w:r>
      <w:r>
        <w:t xml:space="preserve">in </w:t>
      </w:r>
      <w:r w:rsidRPr="0062477E">
        <w:t>primary health care</w:t>
      </w:r>
    </w:p>
    <w:p w14:paraId="44E103F5" w14:textId="11462A05" w:rsidR="000230CC" w:rsidRPr="00E55316" w:rsidRDefault="000230CC" w:rsidP="002C22EF">
      <w:pPr>
        <w:pStyle w:val="ListBullet"/>
      </w:pPr>
      <w:r>
        <w:t>Allied Health Professionals Australia (AHPA)</w:t>
      </w:r>
      <w:r w:rsidR="002801F1">
        <w:t>;</w:t>
      </w:r>
    </w:p>
    <w:p w14:paraId="07619AA9" w14:textId="2BB47E67" w:rsidR="000230CC" w:rsidRPr="00E55316" w:rsidRDefault="000230CC" w:rsidP="002C22EF">
      <w:pPr>
        <w:pStyle w:val="ListBullet"/>
      </w:pPr>
      <w:r>
        <w:t>National Rural Health Alliance (NRHA)</w:t>
      </w:r>
      <w:r w:rsidR="002801F1">
        <w:t>;</w:t>
      </w:r>
    </w:p>
    <w:p w14:paraId="4676F1E7" w14:textId="1559AAEE" w:rsidR="000230CC" w:rsidRPr="00E55316" w:rsidRDefault="000230CC" w:rsidP="002C22EF">
      <w:pPr>
        <w:pStyle w:val="ListBullet"/>
      </w:pPr>
      <w:r>
        <w:t>Australian College of Rural and Remote Medicine (ACRRM)</w:t>
      </w:r>
      <w:r w:rsidR="002801F1">
        <w:t>; and</w:t>
      </w:r>
    </w:p>
    <w:p w14:paraId="5C2B00B6" w14:textId="166E6CC2" w:rsidR="000230CC" w:rsidRPr="00E55316" w:rsidRDefault="000230CC" w:rsidP="002C22EF">
      <w:pPr>
        <w:pStyle w:val="ListBullet"/>
      </w:pPr>
      <w:r>
        <w:t>Royal Australian College of General Practitioners (RACGP)</w:t>
      </w:r>
      <w:r w:rsidR="002801F1">
        <w:t>.</w:t>
      </w:r>
    </w:p>
    <w:p w14:paraId="78C71F21" w14:textId="77777777" w:rsidR="000230CC" w:rsidRDefault="000230CC" w:rsidP="000230CC">
      <w:pPr>
        <w:pStyle w:val="Heading4"/>
      </w:pPr>
      <w:r>
        <w:t>Primary healthcare networks (PHNs)</w:t>
      </w:r>
    </w:p>
    <w:p w14:paraId="14F5F496" w14:textId="77777777" w:rsidR="006A4A32" w:rsidRDefault="000230CC" w:rsidP="002C22EF">
      <w:pPr>
        <w:pStyle w:val="ListBullet"/>
      </w:pPr>
      <w:r w:rsidRPr="002C22EF">
        <w:t>Central Queensland, Wide Bay and Sunshine Coast PHN</w:t>
      </w:r>
      <w:r w:rsidR="002801F1">
        <w:t>;</w:t>
      </w:r>
    </w:p>
    <w:p w14:paraId="1088F885" w14:textId="23873481" w:rsidR="000230CC" w:rsidRPr="002C22EF" w:rsidRDefault="000230CC" w:rsidP="002C22EF">
      <w:pPr>
        <w:pStyle w:val="ListBullet"/>
      </w:pPr>
      <w:r w:rsidRPr="002C22EF">
        <w:t>Gippsland PHN</w:t>
      </w:r>
      <w:r w:rsidR="002801F1">
        <w:t>; and</w:t>
      </w:r>
    </w:p>
    <w:p w14:paraId="4491D828" w14:textId="77777777" w:rsidR="006A4A32" w:rsidRDefault="000230CC" w:rsidP="002C22EF">
      <w:pPr>
        <w:pStyle w:val="ListBullet"/>
      </w:pPr>
      <w:r w:rsidRPr="002C22EF">
        <w:t>South West Sydney PHN</w:t>
      </w:r>
      <w:r w:rsidR="002801F1">
        <w:t>.</w:t>
      </w:r>
    </w:p>
    <w:p w14:paraId="66ADCD50" w14:textId="77777777" w:rsidR="006A4A32" w:rsidRDefault="000230CC" w:rsidP="000230CC">
      <w:pPr>
        <w:pStyle w:val="Heading4"/>
      </w:pPr>
      <w:r>
        <w:t>Advocacy p</w:t>
      </w:r>
      <w:r w:rsidRPr="0062477E">
        <w:t>eak bodies with an interest in consumer and/or vulnerable populations</w:t>
      </w:r>
    </w:p>
    <w:p w14:paraId="3D99E721" w14:textId="2A1E479B" w:rsidR="000230CC" w:rsidRPr="00791B55" w:rsidRDefault="000230CC" w:rsidP="002C22EF">
      <w:pPr>
        <w:pStyle w:val="ListBullet"/>
      </w:pPr>
      <w:r w:rsidRPr="00791B55">
        <w:t>National Aboriginal Community Controlled Health Organisation</w:t>
      </w:r>
      <w:r>
        <w:t xml:space="preserve"> (NACCHO)</w:t>
      </w:r>
      <w:r w:rsidR="002801F1">
        <w:t>;</w:t>
      </w:r>
    </w:p>
    <w:p w14:paraId="5444ACC9" w14:textId="3731BB5E" w:rsidR="000230CC" w:rsidRDefault="000230CC" w:rsidP="002C22EF">
      <w:pPr>
        <w:pStyle w:val="ListBullet"/>
      </w:pPr>
      <w:r>
        <w:t>Consumers Health Forum of Australia (CHF)</w:t>
      </w:r>
      <w:r w:rsidR="002801F1">
        <w:t>;</w:t>
      </w:r>
    </w:p>
    <w:p w14:paraId="69A58604" w14:textId="39F1F3F8" w:rsidR="000230CC" w:rsidRPr="00791B55" w:rsidRDefault="000230CC" w:rsidP="002C22EF">
      <w:pPr>
        <w:pStyle w:val="ListBullet"/>
      </w:pPr>
      <w:r>
        <w:t>National Mental Health Consumer and Carer Forum (NMHCCF)</w:t>
      </w:r>
      <w:r w:rsidR="002801F1">
        <w:t>; and</w:t>
      </w:r>
    </w:p>
    <w:p w14:paraId="0E132FFB" w14:textId="2A68CA3F" w:rsidR="000230CC" w:rsidRPr="0062477E" w:rsidRDefault="000230CC" w:rsidP="002C22EF">
      <w:pPr>
        <w:pStyle w:val="ListBullet"/>
      </w:pPr>
      <w:r w:rsidRPr="00791B55">
        <w:t>Pain Australia</w:t>
      </w:r>
      <w:r>
        <w:t xml:space="preserve"> (PA)</w:t>
      </w:r>
      <w:r w:rsidR="002801F1">
        <w:t>.</w:t>
      </w:r>
    </w:p>
    <w:p w14:paraId="07FB5DBC" w14:textId="77777777" w:rsidR="006A4A32" w:rsidRDefault="000230CC" w:rsidP="000230CC">
      <w:pPr>
        <w:pStyle w:val="Heading4"/>
      </w:pPr>
      <w:r w:rsidRPr="0062477E">
        <w:t>Successful grant applicants</w:t>
      </w:r>
    </w:p>
    <w:p w14:paraId="47478CE6" w14:textId="77777777" w:rsidR="006A4A32" w:rsidRDefault="000230CC" w:rsidP="002C22EF">
      <w:pPr>
        <w:pStyle w:val="ListBullet"/>
      </w:pPr>
      <w:r>
        <w:t xml:space="preserve">Pharmacy Diabetes Screening: Guild and </w:t>
      </w:r>
      <w:r w:rsidR="002801F1">
        <w:t xml:space="preserve">Griffith. </w:t>
      </w:r>
      <w:r>
        <w:t>University</w:t>
      </w:r>
      <w:r w:rsidR="002801F1">
        <w:t>;</w:t>
      </w:r>
    </w:p>
    <w:p w14:paraId="4E78FFD7" w14:textId="5147B715" w:rsidR="00F71900" w:rsidRDefault="000230CC" w:rsidP="002C22EF">
      <w:pPr>
        <w:pStyle w:val="ListBullet"/>
      </w:pPr>
      <w:r>
        <w:t xml:space="preserve">Indigenous Medication </w:t>
      </w:r>
      <w:r w:rsidR="002801F1">
        <w:t>Management for Aboriginal and Torres Str</w:t>
      </w:r>
      <w:r w:rsidR="00F71900">
        <w:t>ai</w:t>
      </w:r>
      <w:r w:rsidR="002801F1">
        <w:t xml:space="preserve">t Islanders </w:t>
      </w:r>
      <w:r>
        <w:t xml:space="preserve">Feasibility Study: </w:t>
      </w:r>
      <w:r w:rsidR="002801F1">
        <w:t xml:space="preserve">the </w:t>
      </w:r>
      <w:r>
        <w:t>Guild and NACCHO</w:t>
      </w:r>
      <w:r w:rsidR="007241D5">
        <w:t>;</w:t>
      </w:r>
    </w:p>
    <w:p w14:paraId="41900E32" w14:textId="77777777" w:rsidR="006A4A32" w:rsidRDefault="000230CC" w:rsidP="002C22EF">
      <w:pPr>
        <w:pStyle w:val="ListBullet"/>
      </w:pPr>
      <w:r w:rsidRPr="00F02C97">
        <w:t>Integrating Practice Pharmacists into Aboriginal Community Controlled Health Services</w:t>
      </w:r>
      <w:r>
        <w:t>: PSA, NACCHO and James Cook University</w:t>
      </w:r>
      <w:r w:rsidR="002801F1">
        <w:t>;</w:t>
      </w:r>
    </w:p>
    <w:p w14:paraId="0BCA151B" w14:textId="1EF53F74" w:rsidR="000230CC" w:rsidRPr="00F02C97" w:rsidRDefault="000230CC" w:rsidP="002C22EF">
      <w:pPr>
        <w:pStyle w:val="ListBullet"/>
      </w:pPr>
      <w:r>
        <w:t>G</w:t>
      </w:r>
      <w:r w:rsidRPr="00F02C97">
        <w:t>etting Asthma Under Control</w:t>
      </w:r>
      <w:r>
        <w:t>: Woolcock Institute</w:t>
      </w:r>
      <w:r w:rsidR="002801F1">
        <w:t>;</w:t>
      </w:r>
    </w:p>
    <w:p w14:paraId="629856D7" w14:textId="211007B4" w:rsidR="000230CC" w:rsidRPr="00F02C97" w:rsidRDefault="000230CC" w:rsidP="002C22EF">
      <w:pPr>
        <w:pStyle w:val="ListBullet"/>
      </w:pPr>
      <w:r>
        <w:t>R</w:t>
      </w:r>
      <w:r w:rsidRPr="00F02C97">
        <w:t>educing Medicine Induced Deterioration and Adverse Reactions</w:t>
      </w:r>
      <w:r>
        <w:t>: University of South Australia</w:t>
      </w:r>
      <w:r w:rsidR="002801F1">
        <w:t>;</w:t>
      </w:r>
    </w:p>
    <w:p w14:paraId="0948727D" w14:textId="713AB53D" w:rsidR="000230CC" w:rsidRPr="00F02C97" w:rsidRDefault="000230CC" w:rsidP="002C22EF">
      <w:pPr>
        <w:pStyle w:val="ListBullet"/>
      </w:pPr>
      <w:r w:rsidRPr="00F02C97">
        <w:t>Early Detection and Management of Cardiovascular Disease Risk Factors and Chronic Disease Markers</w:t>
      </w:r>
      <w:r w:rsidR="002801F1">
        <w:t xml:space="preserve"> in Community Pharmacy</w:t>
      </w:r>
      <w:r>
        <w:t>: Black Swan Health</w:t>
      </w:r>
      <w:r w:rsidR="002801F1">
        <w:t>; and</w:t>
      </w:r>
    </w:p>
    <w:p w14:paraId="3B5CECF8" w14:textId="451A1E22" w:rsidR="000230CC" w:rsidRDefault="000230CC" w:rsidP="002C22EF">
      <w:pPr>
        <w:pStyle w:val="ListBullet"/>
      </w:pPr>
      <w:r w:rsidRPr="00F02C97">
        <w:t>Chronic Pain Med</w:t>
      </w:r>
      <w:r>
        <w:t>s</w:t>
      </w:r>
      <w:r w:rsidRPr="00F02C97">
        <w:t>Check</w:t>
      </w:r>
      <w:r>
        <w:t xml:space="preserve">: </w:t>
      </w:r>
      <w:r w:rsidR="002801F1">
        <w:t xml:space="preserve">the </w:t>
      </w:r>
      <w:r>
        <w:t>Guild and PSA</w:t>
      </w:r>
      <w:r w:rsidR="002801F1">
        <w:t>.</w:t>
      </w:r>
    </w:p>
    <w:p w14:paraId="3D848771" w14:textId="77777777" w:rsidR="006A4A32" w:rsidRDefault="000230CC" w:rsidP="000230CC">
      <w:pPr>
        <w:pStyle w:val="Heading4"/>
      </w:pPr>
      <w:r w:rsidRPr="00243081">
        <w:t xml:space="preserve">Unsuccessful </w:t>
      </w:r>
      <w:r>
        <w:t xml:space="preserve">grant </w:t>
      </w:r>
      <w:r w:rsidRPr="00243081">
        <w:t>applicants</w:t>
      </w:r>
    </w:p>
    <w:p w14:paraId="3B9823F6" w14:textId="77777777" w:rsidR="006A4A32" w:rsidRDefault="000230CC" w:rsidP="002C22EF">
      <w:pPr>
        <w:pStyle w:val="ListBullet"/>
      </w:pPr>
      <w:r>
        <w:t>Top End Health</w:t>
      </w:r>
      <w:r w:rsidR="002801F1">
        <w:t>;</w:t>
      </w:r>
    </w:p>
    <w:p w14:paraId="1650DC29" w14:textId="77777777" w:rsidR="006A4A32" w:rsidRDefault="000230CC" w:rsidP="002C22EF">
      <w:pPr>
        <w:pStyle w:val="ListBullet"/>
      </w:pPr>
      <w:r>
        <w:t xml:space="preserve">University of Tasmania </w:t>
      </w:r>
      <w:r w:rsidR="002801F1">
        <w:t>; and</w:t>
      </w:r>
    </w:p>
    <w:p w14:paraId="1CCBF592" w14:textId="77777777" w:rsidR="006A4A32" w:rsidRDefault="000230CC" w:rsidP="002C22EF">
      <w:pPr>
        <w:pStyle w:val="ListBullet"/>
      </w:pPr>
      <w:r>
        <w:t>Griffith University</w:t>
      </w:r>
      <w:r w:rsidR="002801F1">
        <w:t>.</w:t>
      </w:r>
    </w:p>
    <w:p w14:paraId="4835E7F9" w14:textId="371ADE39" w:rsidR="000230CC" w:rsidRDefault="000230CC" w:rsidP="000230CC">
      <w:pPr>
        <w:pStyle w:val="BodyCopy"/>
      </w:pPr>
      <w:r>
        <w:t>Consultations occurred as either telephone interviews or face-to-face meetings from 8 April to 13 June 2019.</w:t>
      </w:r>
      <w:r w:rsidRPr="004705F0">
        <w:t xml:space="preserve"> </w:t>
      </w:r>
      <w:r>
        <w:t xml:space="preserve">A full list of individuals consulted is provided </w:t>
      </w:r>
      <w:r w:rsidR="00DB7D48">
        <w:fldChar w:fldCharType="begin"/>
      </w:r>
      <w:r w:rsidR="00DB7D48">
        <w:instrText xml:space="preserve"> REF _Ref24541055 \r \h </w:instrText>
      </w:r>
      <w:r w:rsidR="00DB7D48">
        <w:fldChar w:fldCharType="separate"/>
      </w:r>
      <w:r w:rsidR="008B7448">
        <w:t>Appendix B</w:t>
      </w:r>
      <w:r w:rsidR="00DB7D48">
        <w:fldChar w:fldCharType="end"/>
      </w:r>
      <w:r>
        <w:t>.</w:t>
      </w:r>
    </w:p>
    <w:p w14:paraId="13425F6A" w14:textId="77777777" w:rsidR="006A4A32" w:rsidRDefault="000230CC" w:rsidP="000230CC">
      <w:pPr>
        <w:pStyle w:val="Heading2"/>
        <w:spacing w:before="369" w:after="170" w:line="384" w:lineRule="atLeast"/>
        <w:ind w:left="992" w:hanging="992"/>
      </w:pPr>
      <w:bookmarkStart w:id="51" w:name="_Toc8746956"/>
      <w:bookmarkStart w:id="52" w:name="_Toc19097753"/>
      <w:bookmarkStart w:id="53" w:name="_Toc26366359"/>
      <w:r>
        <w:lastRenderedPageBreak/>
        <w:t>Survey of pharmacists</w:t>
      </w:r>
      <w:bookmarkEnd w:id="51"/>
      <w:bookmarkEnd w:id="52"/>
      <w:bookmarkEnd w:id="53"/>
    </w:p>
    <w:p w14:paraId="32BBAFAD" w14:textId="77777777" w:rsidR="006A4A32" w:rsidRDefault="000230CC" w:rsidP="000230CC">
      <w:pPr>
        <w:pStyle w:val="BodyCopy"/>
        <w:keepNext/>
        <w:keepLines/>
      </w:pPr>
      <w:r>
        <w:t>HMA conducted an online survey of pharmacists to gain their perspective of how research and innovation could be implemented in the pharmacy sector. Although the primary target of the survey was community pharmacists, it was also open to and promoted to hospital and consultant pharmacists and other interested people such as researchers.</w:t>
      </w:r>
    </w:p>
    <w:p w14:paraId="305E848B" w14:textId="77777777" w:rsidR="006A4A32" w:rsidRDefault="000230CC" w:rsidP="000230CC">
      <w:pPr>
        <w:pStyle w:val="BodyCopy"/>
      </w:pPr>
      <w:r>
        <w:t>The online survey was promoted through the Guild</w:t>
      </w:r>
      <w:r w:rsidR="009459F6">
        <w:t>’s</w:t>
      </w:r>
      <w:r>
        <w:t xml:space="preserve"> and PSA</w:t>
      </w:r>
      <w:r w:rsidR="009459F6">
        <w:t>’s</w:t>
      </w:r>
      <w:r>
        <w:t xml:space="preserve"> websites, social media and newsletters. In addition, the </w:t>
      </w:r>
      <w:r w:rsidRPr="0014621E">
        <w:rPr>
          <w:i/>
          <w:iCs/>
        </w:rPr>
        <w:t>Australian Journal of Pharmacy</w:t>
      </w:r>
      <w:r>
        <w:t xml:space="preserve"> website promoted the survey in an article published online on 9 April 2019. The survey was open for three weeks from 9 April until 30 April 2019.</w:t>
      </w:r>
    </w:p>
    <w:p w14:paraId="2FA07F49" w14:textId="77777777" w:rsidR="006A4A32" w:rsidRDefault="000230CC" w:rsidP="000230CC">
      <w:pPr>
        <w:pStyle w:val="BodyCopy"/>
      </w:pPr>
      <w:r>
        <w:t>There were 124 responses to the survey. Over half were from community pharmacy employees or owners (54%). The remainder comprised universities or researchers (14%), consultant pharmacists (13%), hospital pharmacists (11%) or other (8%), such as administration, peak bodies or Departmental staff.</w:t>
      </w:r>
    </w:p>
    <w:p w14:paraId="38309383" w14:textId="350F8650" w:rsidR="000230CC" w:rsidRDefault="000230CC" w:rsidP="000230CC">
      <w:pPr>
        <w:pStyle w:val="BodyCopy"/>
      </w:pPr>
      <w:r>
        <w:t>Survey questions were not compulsory. Therefore, the number of responses to each question varied throughout. Where survey data is presented in this report, the percentages are calculated from the number of responses for each individual question. This information is provided for each example, i.e. x% (n=y of z responses).</w:t>
      </w:r>
    </w:p>
    <w:p w14:paraId="3A97DBFC" w14:textId="5081448A" w:rsidR="000230CC" w:rsidRDefault="000230CC" w:rsidP="000230CC">
      <w:pPr>
        <w:pStyle w:val="BodyCopy"/>
      </w:pPr>
      <w:r>
        <w:t xml:space="preserve">A copy of the survey questions is provided at </w:t>
      </w:r>
      <w:r w:rsidR="00DB7D48">
        <w:fldChar w:fldCharType="begin"/>
      </w:r>
      <w:r w:rsidR="00DB7D48">
        <w:instrText xml:space="preserve"> REF _Ref24541076 \r \h </w:instrText>
      </w:r>
      <w:r w:rsidR="00DB7D48">
        <w:fldChar w:fldCharType="separate"/>
      </w:r>
      <w:r w:rsidR="008B7448">
        <w:t>Appendix C</w:t>
      </w:r>
      <w:r w:rsidR="00DB7D48">
        <w:fldChar w:fldCharType="end"/>
      </w:r>
      <w:r>
        <w:t>.</w:t>
      </w:r>
    </w:p>
    <w:p w14:paraId="19B36B73" w14:textId="77777777" w:rsidR="006A4A32" w:rsidRDefault="000230CC" w:rsidP="000230CC">
      <w:pPr>
        <w:pStyle w:val="Heading2"/>
        <w:spacing w:before="369" w:after="170" w:line="384" w:lineRule="atLeast"/>
        <w:ind w:left="992" w:hanging="992"/>
      </w:pPr>
      <w:bookmarkStart w:id="54" w:name="_Toc19097754"/>
      <w:bookmarkStart w:id="55" w:name="_Toc26366360"/>
      <w:r>
        <w:t>Triangulation of information</w:t>
      </w:r>
      <w:bookmarkEnd w:id="54"/>
      <w:bookmarkEnd w:id="55"/>
    </w:p>
    <w:p w14:paraId="5F1AA79D" w14:textId="77777777" w:rsidR="006A4A32" w:rsidRDefault="000230CC" w:rsidP="000230CC">
      <w:pPr>
        <w:pStyle w:val="BodyCopy"/>
      </w:pPr>
      <w:r w:rsidRPr="00693029">
        <w:t>Information from the previous stages were drawn together</w:t>
      </w:r>
      <w:r>
        <w:t xml:space="preserve"> as an evidence base to identify findings. Based on the findings, potential future options for discussion are presented in Chapter 7 of this document, the Final Report.</w:t>
      </w:r>
    </w:p>
    <w:p w14:paraId="5111A663" w14:textId="132DCCE8" w:rsidR="000230CC" w:rsidRDefault="000230CC" w:rsidP="000230CC">
      <w:pPr>
        <w:pStyle w:val="DividerPageTitle"/>
        <w:framePr w:wrap="around"/>
      </w:pPr>
      <w:bookmarkStart w:id="56" w:name="_Toc26366361"/>
      <w:r>
        <w:lastRenderedPageBreak/>
        <w:t>Review findings</w:t>
      </w:r>
      <w:bookmarkEnd w:id="56"/>
    </w:p>
    <w:p w14:paraId="2D28F2A4" w14:textId="77777777" w:rsidR="000230CC" w:rsidRDefault="000230CC" w:rsidP="000230CC">
      <w:pPr>
        <w:pStyle w:val="Heading1"/>
        <w:framePr w:wrap="around"/>
      </w:pPr>
      <w:bookmarkStart w:id="57" w:name="_Toc26366362"/>
      <w:r>
        <w:lastRenderedPageBreak/>
        <w:t>Appropriateness</w:t>
      </w:r>
      <w:bookmarkEnd w:id="57"/>
    </w:p>
    <w:p w14:paraId="16F14CC8" w14:textId="77777777" w:rsidR="000230CC" w:rsidRDefault="000230CC" w:rsidP="00AE14F0">
      <w:pPr>
        <w:pStyle w:val="StrategicDirection"/>
        <w:numPr>
          <w:ilvl w:val="0"/>
          <w:numId w:val="30"/>
        </w:numPr>
        <w:ind w:left="1417" w:hanging="1304"/>
      </w:pPr>
      <w:r w:rsidRPr="00447116">
        <w:t>Funding</w:t>
      </w:r>
      <w:r>
        <w:t xml:space="preserve"> of a program for service delivery trials is an appropriate response for the stated objectives of the PTP, which are to improve clinical outcomes for consumers, </w:t>
      </w:r>
      <w:r w:rsidRPr="00447116">
        <w:t>and</w:t>
      </w:r>
      <w:r>
        <w:t xml:space="preserve">/or extend the role of pharmacists in the delivery of primary health care services through community pharmacy. This is evidenced by the sector support to expand pharmacy service delivery, including greater collaboration with other health care professionals. The PTP is not duplicative of other research funding and aligns with the evidence building approach of the National Strategy for Quality Use of Medicines and the principles of the National Medicines Policy that support the 6CPA. It seems unlikely that the expected outcomes of </w:t>
      </w:r>
      <w:r w:rsidRPr="00447116">
        <w:t>the</w:t>
      </w:r>
      <w:r>
        <w:t xml:space="preserve"> PTP could be achieved without the financial support for trials offered by the program.</w:t>
      </w:r>
    </w:p>
    <w:p w14:paraId="215D3909" w14:textId="77777777" w:rsidR="006A4A32" w:rsidRDefault="000230CC" w:rsidP="000230CC">
      <w:pPr>
        <w:pStyle w:val="Heading2"/>
        <w:spacing w:before="369" w:after="170" w:line="384" w:lineRule="atLeast"/>
        <w:ind w:left="992" w:hanging="992"/>
      </w:pPr>
      <w:bookmarkStart w:id="58" w:name="_Toc19097757"/>
      <w:bookmarkStart w:id="59" w:name="_Toc26366363"/>
      <w:r>
        <w:t>Evaluation questions</w:t>
      </w:r>
      <w:bookmarkEnd w:id="58"/>
      <w:bookmarkEnd w:id="59"/>
    </w:p>
    <w:p w14:paraId="1149EE73" w14:textId="77777777" w:rsidR="006A4A32" w:rsidRDefault="000230CC" w:rsidP="000230CC">
      <w:pPr>
        <w:pStyle w:val="BodyCopy"/>
      </w:pPr>
      <w:r>
        <w:t>The implementation review of the PTP sought to assess the appropriateness of the program. The key evaluation question for appropriateness was:</w:t>
      </w:r>
    </w:p>
    <w:p w14:paraId="120C0BE6" w14:textId="1061C186" w:rsidR="000230CC" w:rsidRDefault="000230CC" w:rsidP="000230CC">
      <w:pPr>
        <w:pStyle w:val="Quote"/>
      </w:pPr>
      <w:r w:rsidRPr="00A61304">
        <w:t>Is the program the appropriate response for the program’s objectives?</w:t>
      </w:r>
    </w:p>
    <w:p w14:paraId="21FB4BB9" w14:textId="77777777" w:rsidR="006A4A32" w:rsidRDefault="000230CC" w:rsidP="000230CC">
      <w:pPr>
        <w:pStyle w:val="BodyCopy"/>
      </w:pPr>
      <w:r>
        <w:t>Review of the appropriateness of the PTP included analysis of the following detailed review questions:</w:t>
      </w:r>
    </w:p>
    <w:p w14:paraId="43FD5A59" w14:textId="5C4D712A" w:rsidR="000230CC" w:rsidRDefault="000230CC" w:rsidP="002C22EF">
      <w:pPr>
        <w:pStyle w:val="Numbers1"/>
        <w:numPr>
          <w:ilvl w:val="0"/>
          <w:numId w:val="29"/>
        </w:numPr>
      </w:pPr>
      <w:r>
        <w:t>How does the PTP align with the objectives of the Community Pharmacy Programme in the 6CPA?</w:t>
      </w:r>
    </w:p>
    <w:p w14:paraId="697FEBC2" w14:textId="77777777" w:rsidR="000230CC" w:rsidRDefault="000230CC" w:rsidP="002C22EF">
      <w:pPr>
        <w:pStyle w:val="Numbers1"/>
        <w:numPr>
          <w:ilvl w:val="0"/>
          <w:numId w:val="29"/>
        </w:numPr>
      </w:pPr>
      <w:r>
        <w:t xml:space="preserve">Does the community pharmacy sector have the capacity </w:t>
      </w:r>
      <w:r w:rsidRPr="001E5DA1">
        <w:t xml:space="preserve">to be able to expand service </w:t>
      </w:r>
      <w:r>
        <w:t>provision</w:t>
      </w:r>
      <w:r w:rsidRPr="001E5DA1">
        <w:t xml:space="preserve"> t</w:t>
      </w:r>
      <w:r>
        <w:t>o address the PTP objectives?</w:t>
      </w:r>
    </w:p>
    <w:p w14:paraId="6B84731A" w14:textId="77777777" w:rsidR="000230CC" w:rsidRPr="002C22EF" w:rsidRDefault="000230CC" w:rsidP="002C22EF">
      <w:pPr>
        <w:pStyle w:val="Numbers1"/>
        <w:numPr>
          <w:ilvl w:val="0"/>
          <w:numId w:val="29"/>
        </w:numPr>
        <w:rPr>
          <w:b/>
        </w:rPr>
      </w:pPr>
      <w:r>
        <w:t>Does the PTP promote appropriate links with other health professionals (interdisciplinary collaboration)?</w:t>
      </w:r>
    </w:p>
    <w:p w14:paraId="27C3CE1D" w14:textId="77777777" w:rsidR="006A4A32" w:rsidRDefault="000230CC" w:rsidP="002C22EF">
      <w:pPr>
        <w:pStyle w:val="Numbers1"/>
        <w:numPr>
          <w:ilvl w:val="0"/>
          <w:numId w:val="29"/>
        </w:numPr>
      </w:pPr>
      <w:r>
        <w:t>Is the PTP duplicative of efforts being undertaken by any other government grant programs?</w:t>
      </w:r>
    </w:p>
    <w:p w14:paraId="6ECB207C" w14:textId="4094CE86" w:rsidR="000230CC" w:rsidRPr="002C22EF" w:rsidRDefault="000230CC" w:rsidP="002C22EF">
      <w:pPr>
        <w:pStyle w:val="Numbers1"/>
        <w:numPr>
          <w:ilvl w:val="0"/>
          <w:numId w:val="29"/>
        </w:numPr>
        <w:rPr>
          <w:b/>
        </w:rPr>
      </w:pPr>
      <w:r>
        <w:t>Could the expected outcomes be achieved without PTP funding?</w:t>
      </w:r>
    </w:p>
    <w:p w14:paraId="01AA37BA" w14:textId="77777777" w:rsidR="000230CC" w:rsidRPr="004B11AE" w:rsidRDefault="000230CC" w:rsidP="000230CC">
      <w:pPr>
        <w:pStyle w:val="BodyCopy"/>
        <w:rPr>
          <w:b/>
        </w:rPr>
      </w:pPr>
      <w:r>
        <w:t>The detailed analysis of these questions is discussed in the remainder of this chapter.</w:t>
      </w:r>
    </w:p>
    <w:p w14:paraId="7A2885A7" w14:textId="77777777" w:rsidR="000230CC" w:rsidRDefault="000230CC" w:rsidP="000230CC">
      <w:pPr>
        <w:pStyle w:val="Heading2"/>
        <w:spacing w:before="369" w:after="170" w:line="384" w:lineRule="atLeast"/>
        <w:ind w:left="992" w:hanging="992"/>
      </w:pPr>
      <w:bookmarkStart w:id="60" w:name="_Ref10384119"/>
      <w:bookmarkStart w:id="61" w:name="_Toc19097758"/>
      <w:bookmarkStart w:id="62" w:name="_Toc26366364"/>
      <w:r>
        <w:t>Analysis and findings</w:t>
      </w:r>
      <w:bookmarkEnd w:id="60"/>
      <w:bookmarkEnd w:id="61"/>
      <w:bookmarkEnd w:id="62"/>
    </w:p>
    <w:p w14:paraId="7F9C4283" w14:textId="77777777" w:rsidR="000230CC" w:rsidRDefault="000230CC" w:rsidP="000230CC">
      <w:pPr>
        <w:pStyle w:val="Heading3"/>
        <w:spacing w:before="284" w:after="142" w:line="336" w:lineRule="atLeast"/>
        <w:ind w:left="992" w:hanging="992"/>
      </w:pPr>
      <w:bookmarkStart w:id="63" w:name="_Ref10315280"/>
      <w:bookmarkStart w:id="64" w:name="_Toc19097759"/>
      <w:bookmarkStart w:id="65" w:name="_Toc26366365"/>
      <w:r>
        <w:t>Alignment of PTP objectives with 6CPA</w:t>
      </w:r>
      <w:bookmarkEnd w:id="63"/>
      <w:bookmarkEnd w:id="64"/>
      <w:bookmarkEnd w:id="65"/>
    </w:p>
    <w:p w14:paraId="720FFC4D" w14:textId="77777777" w:rsidR="006A4A32" w:rsidRDefault="000230CC" w:rsidP="000230CC">
      <w:pPr>
        <w:pStyle w:val="BodyCopy"/>
      </w:pPr>
      <w:r>
        <w:t xml:space="preserve">The PTP sits within Section 6 of the 6CPA, Community Pharmacy Programmes, which describes the provision of </w:t>
      </w:r>
      <w:r w:rsidRPr="001C57E0">
        <w:t xml:space="preserve">funding for </w:t>
      </w:r>
      <w:r>
        <w:t>‘</w:t>
      </w:r>
      <w:r w:rsidRPr="001C57E0">
        <w:t>evidence-based, patient-focused professional pharmacy programmes and services (Community Pharmacy Programmes) over the Term</w:t>
      </w:r>
      <w:r>
        <w:t>’ of the 6CPA.</w:t>
      </w:r>
    </w:p>
    <w:p w14:paraId="76C4F182" w14:textId="77777777" w:rsidR="006A4A32" w:rsidRDefault="000230CC" w:rsidP="000230CC">
      <w:pPr>
        <w:pStyle w:val="BodyCopy"/>
      </w:pPr>
      <w:r>
        <w:t>The intent of the PTP is to trial new and expanded Community Pharmacy Programmes, with the following objectives:</w:t>
      </w:r>
    </w:p>
    <w:p w14:paraId="3D165D28" w14:textId="77777777" w:rsidR="006A4A32" w:rsidRDefault="000230CC" w:rsidP="002C22EF">
      <w:pPr>
        <w:pStyle w:val="Numbers1"/>
        <w:numPr>
          <w:ilvl w:val="0"/>
          <w:numId w:val="41"/>
        </w:numPr>
      </w:pPr>
      <w:r>
        <w:t>improve clinical outcomes for consumers</w:t>
      </w:r>
      <w:r w:rsidR="009459F6">
        <w:t>;</w:t>
      </w:r>
      <w:r>
        <w:t xml:space="preserve"> and/or</w:t>
      </w:r>
    </w:p>
    <w:p w14:paraId="12D1A9B6" w14:textId="7C720428" w:rsidR="000230CC" w:rsidRDefault="000230CC" w:rsidP="00463167">
      <w:pPr>
        <w:pStyle w:val="Numbers1"/>
        <w:tabs>
          <w:tab w:val="clear" w:pos="360"/>
          <w:tab w:val="num" w:pos="426"/>
        </w:tabs>
        <w:ind w:left="426" w:hanging="426"/>
      </w:pPr>
      <w:r>
        <w:t xml:space="preserve">extend the role of pharmacists in the delivery of primary health care services through community pharmacy </w:t>
      </w:r>
      <w:sdt>
        <w:sdtPr>
          <w:id w:val="72865416"/>
          <w:citation/>
        </w:sdtPr>
        <w:sdtContent>
          <w:r w:rsidRPr="00AD61FA">
            <w:fldChar w:fldCharType="begin"/>
          </w:r>
          <w:r w:rsidR="00820D12">
            <w:rPr>
              <w:lang w:val="en-US"/>
            </w:rPr>
            <w:instrText xml:space="preserve">CITATION Dep17 \l 1033 </w:instrText>
          </w:r>
          <w:r w:rsidRPr="00AD61FA">
            <w:fldChar w:fldCharType="separate"/>
          </w:r>
          <w:r w:rsidR="008B7448" w:rsidRPr="008B7448">
            <w:rPr>
              <w:noProof/>
              <w:lang w:val="en-US"/>
            </w:rPr>
            <w:t>[1]</w:t>
          </w:r>
          <w:r w:rsidRPr="00AD61FA">
            <w:fldChar w:fldCharType="end"/>
          </w:r>
        </w:sdtContent>
      </w:sdt>
      <w:r w:rsidRPr="00AD61FA">
        <w:t>.</w:t>
      </w:r>
    </w:p>
    <w:p w14:paraId="1CF7131B" w14:textId="77777777" w:rsidR="006A4A32" w:rsidRDefault="000230CC" w:rsidP="0077662C">
      <w:pPr>
        <w:pStyle w:val="BodyCopy"/>
      </w:pPr>
      <w:r>
        <w:t xml:space="preserve">Considering the research and evaluation focus of the National Strategy for QUM (see Section </w:t>
      </w:r>
      <w:r>
        <w:fldChar w:fldCharType="begin"/>
      </w:r>
      <w:r>
        <w:instrText xml:space="preserve"> REF _Ref10216863 \r \h </w:instrText>
      </w:r>
      <w:r>
        <w:fldChar w:fldCharType="separate"/>
      </w:r>
      <w:r w:rsidR="008B7448">
        <w:t>2.2</w:t>
      </w:r>
      <w:r>
        <w:fldChar w:fldCharType="end"/>
      </w:r>
      <w:r>
        <w:t xml:space="preserve">) </w:t>
      </w:r>
      <w:sdt>
        <w:sdtPr>
          <w:id w:val="1699730813"/>
          <w:citation/>
        </w:sdtPr>
        <w:sdtContent>
          <w:r>
            <w:fldChar w:fldCharType="begin"/>
          </w:r>
          <w:r>
            <w:rPr>
              <w:lang w:val="en-US"/>
            </w:rPr>
            <w:instrText xml:space="preserve"> CITATION Com02 \l 1033 </w:instrText>
          </w:r>
          <w:r>
            <w:fldChar w:fldCharType="separate"/>
          </w:r>
          <w:r w:rsidR="008B7448" w:rsidRPr="008B7448">
            <w:rPr>
              <w:noProof/>
              <w:lang w:val="en-US"/>
            </w:rPr>
            <w:t>[6]</w:t>
          </w:r>
          <w:r>
            <w:fldChar w:fldCharType="end"/>
          </w:r>
        </w:sdtContent>
      </w:sdt>
      <w:r>
        <w:t>, it is appropriate for the 6CPA to implement a mechanism to test and evaluate initiatives prior to committing ongoing funding. In addition, the increasing requirement of the Australian Government to have a robust evidence base for programs demonstrating the improved value and cost-effectiveness of services, makes a program such as the PTP an essential component in establishing new, or expanding existing, Community Pharmacy Programmes.</w:t>
      </w:r>
    </w:p>
    <w:p w14:paraId="42271DB3" w14:textId="77777777" w:rsidR="006A4A32" w:rsidRPr="0077662C" w:rsidRDefault="000230CC" w:rsidP="0077662C">
      <w:pPr>
        <w:pStyle w:val="KeyFinding"/>
      </w:pPr>
      <w:r w:rsidRPr="0077662C">
        <w:lastRenderedPageBreak/>
        <w:t>Research to validate the clinical and economic effectiveness of new or expanded Community Pharmacy Programmes is appropriate. It aligns with the evidence-based requirements of the National Strategy for QUM, and to the overarching NMP that is supported by the 6CPA.</w:t>
      </w:r>
    </w:p>
    <w:p w14:paraId="4E195005" w14:textId="77777777" w:rsidR="006A4A32" w:rsidRDefault="000230CC" w:rsidP="000230CC">
      <w:pPr>
        <w:pStyle w:val="BodyCopy"/>
      </w:pPr>
      <w:r>
        <w:t>Regarding the specific objectives of the PTP as stated above, responses to the pharmacist survey indicated that the majority of respondents felt the PTP objectives were suitable and effective in advancing pharmacy practice in Australia (83%, n=87 of 105 responses to this question). Further to this, approximately two thirds of pharmacists responding to the survey indicated that a grants program was a suitable mechanism to achieve the aims of the PTP (68%, n=71 of the 104 responses).</w:t>
      </w:r>
    </w:p>
    <w:p w14:paraId="4E50409A" w14:textId="77777777" w:rsidR="006A4A32" w:rsidRDefault="000230CC" w:rsidP="000230CC">
      <w:pPr>
        <w:pStyle w:val="BodyCopy"/>
      </w:pPr>
      <w:r>
        <w:t>Likewise, the Guild’s strategic plan (</w:t>
      </w:r>
      <w:r w:rsidRPr="008D3814">
        <w:rPr>
          <w:i/>
          <w:iCs/>
        </w:rPr>
        <w:t xml:space="preserve">Community Pharmacy 2025 Framework for </w:t>
      </w:r>
      <w:r>
        <w:rPr>
          <w:i/>
          <w:iCs/>
        </w:rPr>
        <w:t>C</w:t>
      </w:r>
      <w:r w:rsidRPr="008D3814">
        <w:rPr>
          <w:i/>
          <w:iCs/>
        </w:rPr>
        <w:t>hange</w:t>
      </w:r>
      <w:r>
        <w:t>) identifies health services</w:t>
      </w:r>
      <w:r w:rsidRPr="000A3F50">
        <w:t xml:space="preserve"> </w:t>
      </w:r>
      <w:r>
        <w:t xml:space="preserve">(including medication management, preventative health, screening and chronic disease management) as one of nine growth pathways for community pharmacy </w:t>
      </w:r>
      <w:sdt>
        <w:sdtPr>
          <w:id w:val="1282764069"/>
          <w:citation/>
        </w:sdtPr>
        <w:sdtContent>
          <w:r w:rsidRPr="00C45083">
            <w:fldChar w:fldCharType="begin"/>
          </w:r>
          <w:r>
            <w:rPr>
              <w:lang w:val="en-US"/>
            </w:rPr>
            <w:instrText xml:space="preserve">CITATION Pha18 \l 1033 </w:instrText>
          </w:r>
          <w:r w:rsidRPr="00C45083">
            <w:fldChar w:fldCharType="separate"/>
          </w:r>
          <w:r w:rsidR="008B7448" w:rsidRPr="008B7448">
            <w:rPr>
              <w:noProof/>
              <w:lang w:val="en-US"/>
            </w:rPr>
            <w:t>[20]</w:t>
          </w:r>
          <w:r w:rsidRPr="00C45083">
            <w:fldChar w:fldCharType="end"/>
          </w:r>
        </w:sdtContent>
      </w:sdt>
      <w:r>
        <w:t>, demonstrating further support for the PTP objectives.</w:t>
      </w:r>
    </w:p>
    <w:p w14:paraId="474F5936" w14:textId="77777777" w:rsidR="006A4A32" w:rsidRDefault="000230CC" w:rsidP="0077662C">
      <w:pPr>
        <w:pStyle w:val="KeyFinding"/>
      </w:pPr>
      <w:r>
        <w:t xml:space="preserve">The objectives of the PTP were supported by </w:t>
      </w:r>
      <w:r w:rsidRPr="002E1B92">
        <w:t>the pharmacy sector. This is evidenced by market research by the Guild</w:t>
      </w:r>
      <w:r>
        <w:t>,</w:t>
      </w:r>
      <w:r w:rsidRPr="002E1B92">
        <w:t xml:space="preserve"> which indicates support for ongoing development of community pharmacy health services including medication management, preventative health,</w:t>
      </w:r>
      <w:r w:rsidR="00F71900">
        <w:t xml:space="preserve"> </w:t>
      </w:r>
      <w:r w:rsidRPr="002E1B92">
        <w:t>screening and chronic disease management</w:t>
      </w:r>
      <w:r>
        <w:t xml:space="preserve">. Health service provision </w:t>
      </w:r>
      <w:r w:rsidRPr="002E1B92">
        <w:t>is noted as one of nine</w:t>
      </w:r>
      <w:r>
        <w:t xml:space="preserve"> growth pathways for community pharmacy identified by the Guild and survey responses by individual pharmacists.</w:t>
      </w:r>
    </w:p>
    <w:p w14:paraId="05D54FF0" w14:textId="77777777" w:rsidR="006A4A32" w:rsidRDefault="000230CC" w:rsidP="000230CC">
      <w:pPr>
        <w:pStyle w:val="BodyCopy"/>
        <w:keepNext/>
      </w:pPr>
      <w:r>
        <w:t>Consultation with the Guild and the Department showed that interpretation of the PTP objectives differed between the two stakeholders:</w:t>
      </w:r>
    </w:p>
    <w:p w14:paraId="385C37B8" w14:textId="77777777" w:rsidR="006A4A32" w:rsidRDefault="000230CC" w:rsidP="002C22EF">
      <w:pPr>
        <w:pStyle w:val="ListBullet"/>
      </w:pPr>
      <w:r>
        <w:t>The Guild interpreted the program to be specific to community pharmacy and /or community pharmacists with the development of programs that would expand community pharmacy service options.</w:t>
      </w:r>
    </w:p>
    <w:p w14:paraId="57AF6CEF" w14:textId="77777777" w:rsidR="006A4A32" w:rsidRDefault="000230CC" w:rsidP="002C22EF">
      <w:pPr>
        <w:pStyle w:val="ListBullet"/>
      </w:pPr>
      <w:r>
        <w:t>The Department interpreted the program objectives more broadly and saw improved clinical outcomes of consumers as</w:t>
      </w:r>
      <w:r w:rsidR="00425FF5">
        <w:t xml:space="preserve"> </w:t>
      </w:r>
      <w:r>
        <w:t>independent from</w:t>
      </w:r>
      <w:r w:rsidR="00425FF5">
        <w:t xml:space="preserve"> </w:t>
      </w:r>
      <w:r>
        <w:t>service delivery setting.</w:t>
      </w:r>
    </w:p>
    <w:p w14:paraId="25FD889F" w14:textId="77777777" w:rsidR="006A4A32" w:rsidRDefault="000230CC" w:rsidP="000230CC">
      <w:pPr>
        <w:pStyle w:val="BodyCopy"/>
      </w:pPr>
      <w:r>
        <w:t>Stakeholder consultation indicated many stakeholders supported a broader interpretation of the role that should be undertaken by the PTP in order to promote a consumer-centric and inter-disciplinary approach for the management of chronic conditions.</w:t>
      </w:r>
    </w:p>
    <w:p w14:paraId="5CFF4747" w14:textId="77777777" w:rsidR="006A4A32" w:rsidRDefault="000230CC" w:rsidP="000230CC">
      <w:pPr>
        <w:pStyle w:val="BodyCopy"/>
      </w:pPr>
      <w:r>
        <w:t>There was a general view among professional and advocacy peak bodies (including the PSA, SHPA, AACP, AHPA, NACCHO, and CHF), that restrictions placed around delivering trial activities through community pharmacies, or pharmacists employed by a community pharmacy, limited the potential of what the program had set out to achieve. These groups expressed concern that continued investment in the delivery of pharmacy services through a retail pharmacy model would not reflect the future needs of consumers nor integrate into changing primary care systems.</w:t>
      </w:r>
    </w:p>
    <w:p w14:paraId="6A7D99F6" w14:textId="0A6EF024" w:rsidR="000230CC" w:rsidRDefault="000230CC" w:rsidP="000230CC">
      <w:pPr>
        <w:pStyle w:val="BodyCopy"/>
      </w:pPr>
      <w:r>
        <w:t>Stakeholders said that, as implementation of the program progressed, there was a growing disparity between the sector’s vision for the PTP and the grant activity that eventuated. This perspective is summarised in the following stakeholder statement responding to a question on the appropriateness of the PTP.</w:t>
      </w:r>
    </w:p>
    <w:p w14:paraId="681A5239" w14:textId="77777777" w:rsidR="006A4A32" w:rsidRDefault="000230CC" w:rsidP="00F71900">
      <w:pPr>
        <w:pStyle w:val="Quote"/>
      </w:pPr>
      <w:r w:rsidRPr="001E7EA4">
        <w:t>‘</w:t>
      </w:r>
      <w:r w:rsidRPr="00F71900">
        <w:t>The PTP has been a program of lost opportunity; it could’ve been research that could have seriously impacted practice. It could’ve given us evidence around new programs…This was a once-in-a-lifetime investment in community pharmacy that will result in very little.’</w:t>
      </w:r>
    </w:p>
    <w:p w14:paraId="606C5F0A" w14:textId="485E6375" w:rsidR="000230CC" w:rsidRPr="00F71900" w:rsidRDefault="000230CC" w:rsidP="00F71900">
      <w:pPr>
        <w:pStyle w:val="Quote"/>
        <w:jc w:val="right"/>
      </w:pPr>
      <w:r w:rsidRPr="00F71900">
        <w:t>Peak professional body comment</w:t>
      </w:r>
    </w:p>
    <w:p w14:paraId="3886D97A" w14:textId="141AEDA2" w:rsidR="000230CC" w:rsidRPr="00FD366A" w:rsidRDefault="000230CC" w:rsidP="0077662C">
      <w:pPr>
        <w:pStyle w:val="KeyFinding"/>
      </w:pPr>
      <w:r w:rsidRPr="00607DA6">
        <w:lastRenderedPageBreak/>
        <w:t>Interpretation</w:t>
      </w:r>
      <w:r>
        <w:t xml:space="preserve"> of the PTP objectives differed between stakeholders. The Guild maintains that the PTP objectives are to focus on community pharmacy and community pharmacists. There was general support among other stakeholders interviewed for the review, including professional and advocacy peak bodies, for a broader interpretation of the PTP objectives in regard to the type of pharmacist engaged in trials and the location of trial service provision beyond community pharmacy settings.</w:t>
      </w:r>
    </w:p>
    <w:p w14:paraId="2851E4CE" w14:textId="77777777" w:rsidR="000230CC" w:rsidRDefault="000230CC" w:rsidP="000230CC">
      <w:pPr>
        <w:pStyle w:val="Heading3"/>
        <w:spacing w:before="284" w:after="142" w:line="336" w:lineRule="atLeast"/>
        <w:ind w:left="992" w:hanging="992"/>
      </w:pPr>
      <w:bookmarkStart w:id="66" w:name="_Ref10379898"/>
      <w:bookmarkStart w:id="67" w:name="_Toc19097760"/>
      <w:bookmarkStart w:id="68" w:name="_Toc26366366"/>
      <w:r>
        <w:t>Barriers to expanding pharmacist roles into provision of services</w:t>
      </w:r>
      <w:bookmarkEnd w:id="66"/>
      <w:bookmarkEnd w:id="67"/>
      <w:bookmarkEnd w:id="68"/>
    </w:p>
    <w:p w14:paraId="7B015F5A" w14:textId="77777777" w:rsidR="006A4A32" w:rsidRDefault="000230CC" w:rsidP="000230CC">
      <w:pPr>
        <w:pStyle w:val="BodyCopy"/>
      </w:pPr>
      <w:r>
        <w:t xml:space="preserve">The changing needs and expectations of consumers in primary care is changing the environment in which pharmacy services need to operate. Furthermore, as discussed in Section </w:t>
      </w:r>
      <w:r>
        <w:fldChar w:fldCharType="begin"/>
      </w:r>
      <w:r>
        <w:instrText xml:space="preserve"> REF _Ref10278962 \r \h </w:instrText>
      </w:r>
      <w:r>
        <w:fldChar w:fldCharType="separate"/>
      </w:r>
      <w:r w:rsidR="008B7448">
        <w:t>2.3</w:t>
      </w:r>
      <w:r>
        <w:fldChar w:fldCharType="end"/>
      </w:r>
      <w:r>
        <w:t>, inter-disciplinary approaches to health care and issues such as preventable medication misadventure resulting in hospitalisation highlight the need to expand pharmacist services to maximise the use of pharmacist expertise.</w:t>
      </w:r>
    </w:p>
    <w:p w14:paraId="2CDC89DB" w14:textId="54D142ED" w:rsidR="000230CC" w:rsidRDefault="000230CC" w:rsidP="000230CC">
      <w:pPr>
        <w:pStyle w:val="BodyCopy"/>
      </w:pPr>
      <w:r>
        <w:t xml:space="preserve">In response, the Guild has identified </w:t>
      </w:r>
      <w:r w:rsidRPr="00C45083">
        <w:t>nine future growth pathways for community pharmacy to ensure l</w:t>
      </w:r>
      <w:r>
        <w:t>o</w:t>
      </w:r>
      <w:r w:rsidRPr="00C45083">
        <w:t>ng-term sustainability</w:t>
      </w:r>
      <w:r>
        <w:t xml:space="preserve">, five of which </w:t>
      </w:r>
      <w:r w:rsidRPr="00C45083">
        <w:t>relate to health service provision by or in community pharmacy</w:t>
      </w:r>
      <w:r>
        <w:t xml:space="preserve">. These include provision of pharmacy-related </w:t>
      </w:r>
      <w:r w:rsidRPr="006A3F3D">
        <w:t>health services</w:t>
      </w:r>
      <w:r>
        <w:t xml:space="preserve">, establishing community health hubs, digital enablement, provision of in-home care, and collaboration and partnership with other health professionals </w:t>
      </w:r>
      <w:sdt>
        <w:sdtPr>
          <w:id w:val="1099143693"/>
          <w:citation/>
        </w:sdtPr>
        <w:sdtContent>
          <w:r w:rsidRPr="00C45083">
            <w:fldChar w:fldCharType="begin"/>
          </w:r>
          <w:r>
            <w:rPr>
              <w:lang w:val="en-US"/>
            </w:rPr>
            <w:instrText xml:space="preserve">CITATION Pha18 \l 1033 </w:instrText>
          </w:r>
          <w:r w:rsidRPr="00C45083">
            <w:fldChar w:fldCharType="separate"/>
          </w:r>
          <w:r w:rsidR="008B7448" w:rsidRPr="008B7448">
            <w:rPr>
              <w:noProof/>
              <w:lang w:val="en-US"/>
            </w:rPr>
            <w:t>[20]</w:t>
          </w:r>
          <w:r w:rsidRPr="00C45083">
            <w:fldChar w:fldCharType="end"/>
          </w:r>
        </w:sdtContent>
      </w:sdt>
      <w:r w:rsidRPr="00C45083">
        <w:t>.</w:t>
      </w:r>
    </w:p>
    <w:p w14:paraId="0B4B3CEE" w14:textId="77777777" w:rsidR="006A4A32" w:rsidRDefault="000230CC" w:rsidP="000230CC">
      <w:pPr>
        <w:pStyle w:val="BodyCopy"/>
      </w:pPr>
      <w:r>
        <w:t>Supporting these broad directions, three quarters of pharmacist survey respondents (76%, n=92 of 121 responses) agreed that the community pharmacy sector had the capacity to provide an expanded range of primary care services such as chronic disease monitoring and patient education.</w:t>
      </w:r>
    </w:p>
    <w:p w14:paraId="7F6278C3" w14:textId="4B3D574F" w:rsidR="000230CC" w:rsidRPr="00B92587" w:rsidRDefault="000230CC" w:rsidP="000230CC">
      <w:pPr>
        <w:pStyle w:val="BodyCopy"/>
        <w:keepNext/>
      </w:pPr>
      <w:r>
        <w:t>One respondent commented:</w:t>
      </w:r>
    </w:p>
    <w:p w14:paraId="7FBFD9E1" w14:textId="77777777" w:rsidR="000230CC" w:rsidRDefault="000230CC" w:rsidP="000230CC">
      <w:pPr>
        <w:pStyle w:val="Quote"/>
        <w:rPr>
          <w:lang w:eastAsia="en-AU"/>
        </w:rPr>
      </w:pPr>
      <w:r>
        <w:rPr>
          <w:lang w:eastAsia="en-AU"/>
        </w:rPr>
        <w:t>‘</w:t>
      </w:r>
      <w:r w:rsidRPr="00B92587">
        <w:rPr>
          <w:lang w:eastAsia="en-AU"/>
        </w:rPr>
        <w:t>Pharmacists are currently underutilised. A greater utilisation of pharmacists will offer consumers greater choice and improved medication management</w:t>
      </w:r>
      <w:r>
        <w:rPr>
          <w:lang w:eastAsia="en-AU"/>
        </w:rPr>
        <w:t>.’</w:t>
      </w:r>
    </w:p>
    <w:p w14:paraId="590B158B" w14:textId="77777777" w:rsidR="006A4A32" w:rsidRDefault="000230CC" w:rsidP="000230CC">
      <w:pPr>
        <w:pStyle w:val="Quote"/>
        <w:jc w:val="right"/>
        <w:rPr>
          <w:lang w:eastAsia="en-AU"/>
        </w:rPr>
      </w:pPr>
      <w:r>
        <w:rPr>
          <w:lang w:eastAsia="en-AU"/>
        </w:rPr>
        <w:t>Survey respondent</w:t>
      </w:r>
    </w:p>
    <w:p w14:paraId="3DED7368" w14:textId="77777777" w:rsidR="006A4A32" w:rsidRDefault="000230CC" w:rsidP="000230CC">
      <w:pPr>
        <w:pStyle w:val="BodyCopy"/>
      </w:pPr>
      <w:r>
        <w:t>However, many survey respondents also noted barriers to expanding services. The main barriers identified by approximately one quarter of respondents each were:</w:t>
      </w:r>
    </w:p>
    <w:p w14:paraId="73C42A93" w14:textId="19466DC2" w:rsidR="000230CC" w:rsidRDefault="000230CC" w:rsidP="002C22EF">
      <w:pPr>
        <w:pStyle w:val="ListBullet"/>
      </w:pPr>
      <w:r>
        <w:t>the lack of funding structures to support the expanded delivery of services (</w:t>
      </w:r>
      <w:r w:rsidRPr="00B92587">
        <w:t>26%</w:t>
      </w:r>
      <w:r>
        <w:t>, n</w:t>
      </w:r>
      <w:r w:rsidRPr="00B92587">
        <w:t>=23 of 87 respon</w:t>
      </w:r>
      <w:r>
        <w:t>ses)</w:t>
      </w:r>
      <w:r w:rsidR="00E33A97">
        <w:t>;</w:t>
      </w:r>
      <w:r>
        <w:t xml:space="preserve"> and</w:t>
      </w:r>
    </w:p>
    <w:p w14:paraId="69712A9A" w14:textId="77777777" w:rsidR="006A4A32" w:rsidRDefault="000230CC" w:rsidP="002C22EF">
      <w:pPr>
        <w:pStyle w:val="ListBullet"/>
      </w:pPr>
      <w:r>
        <w:t xml:space="preserve">the </w:t>
      </w:r>
      <w:r w:rsidRPr="00B92587">
        <w:t>lack of time and access to staffing support</w:t>
      </w:r>
      <w:r>
        <w:t xml:space="preserve"> (</w:t>
      </w:r>
      <w:r w:rsidRPr="00B92587">
        <w:t>23%</w:t>
      </w:r>
      <w:r>
        <w:t xml:space="preserve">, </w:t>
      </w:r>
      <w:r w:rsidRPr="00B92587">
        <w:t>n=20</w:t>
      </w:r>
      <w:r>
        <w:t xml:space="preserve"> of 87 responses).</w:t>
      </w:r>
    </w:p>
    <w:p w14:paraId="7A58ABA2" w14:textId="77777777" w:rsidR="006A4A32" w:rsidRDefault="000230CC" w:rsidP="000230CC">
      <w:pPr>
        <w:pStyle w:val="BodyCopy"/>
        <w:rPr>
          <w:lang w:eastAsia="en-AU"/>
        </w:rPr>
      </w:pPr>
      <w:r>
        <w:rPr>
          <w:lang w:eastAsia="en-AU"/>
        </w:rPr>
        <w:t>The following comment from a community pharmacy employee highlights several barriers to the implementation of new pharmacy service delivery programs.</w:t>
      </w:r>
    </w:p>
    <w:p w14:paraId="1B0C7851" w14:textId="77777777" w:rsidR="006A4A32" w:rsidRDefault="000230CC" w:rsidP="000230CC">
      <w:pPr>
        <w:pStyle w:val="Quote"/>
        <w:rPr>
          <w:lang w:eastAsia="en-AU"/>
        </w:rPr>
      </w:pPr>
      <w:r>
        <w:rPr>
          <w:lang w:eastAsia="en-AU"/>
        </w:rPr>
        <w:t>‘[There is a] c</w:t>
      </w:r>
      <w:r w:rsidRPr="002219D3">
        <w:rPr>
          <w:lang w:eastAsia="en-AU"/>
        </w:rPr>
        <w:t>onflict of interest between the retail offering with the owner</w:t>
      </w:r>
      <w:r>
        <w:rPr>
          <w:lang w:eastAsia="en-AU"/>
        </w:rPr>
        <w:t>’</w:t>
      </w:r>
      <w:r w:rsidRPr="002219D3">
        <w:rPr>
          <w:lang w:eastAsia="en-AU"/>
        </w:rPr>
        <w:t>s need for profitabilit</w:t>
      </w:r>
      <w:r>
        <w:rPr>
          <w:lang w:eastAsia="en-AU"/>
        </w:rPr>
        <w:t>y</w:t>
      </w:r>
      <w:r w:rsidRPr="002219D3">
        <w:rPr>
          <w:lang w:eastAsia="en-AU"/>
        </w:rPr>
        <w:t xml:space="preserve"> and delivering an authentic health service.</w:t>
      </w:r>
      <w:r>
        <w:rPr>
          <w:lang w:eastAsia="en-AU"/>
        </w:rPr>
        <w:t xml:space="preserve"> </w:t>
      </w:r>
      <w:r w:rsidRPr="002219D3">
        <w:rPr>
          <w:lang w:eastAsia="en-AU"/>
        </w:rPr>
        <w:t>Pharmacists are positioned more so</w:t>
      </w:r>
      <w:r>
        <w:rPr>
          <w:lang w:eastAsia="en-AU"/>
        </w:rPr>
        <w:t xml:space="preserve"> </w:t>
      </w:r>
      <w:r w:rsidRPr="002219D3">
        <w:rPr>
          <w:lang w:eastAsia="en-AU"/>
        </w:rPr>
        <w:t>as shop or b</w:t>
      </w:r>
      <w:r>
        <w:rPr>
          <w:lang w:eastAsia="en-AU"/>
        </w:rPr>
        <w:t>usiness</w:t>
      </w:r>
      <w:r w:rsidRPr="002219D3">
        <w:rPr>
          <w:lang w:eastAsia="en-AU"/>
        </w:rPr>
        <w:t xml:space="preserve"> managers</w:t>
      </w:r>
      <w:r>
        <w:rPr>
          <w:lang w:eastAsia="en-AU"/>
        </w:rPr>
        <w:t>. T</w:t>
      </w:r>
      <w:r w:rsidRPr="002219D3">
        <w:rPr>
          <w:lang w:eastAsia="en-AU"/>
        </w:rPr>
        <w:t>he bread</w:t>
      </w:r>
      <w:r>
        <w:rPr>
          <w:lang w:eastAsia="en-AU"/>
        </w:rPr>
        <w:t>-</w:t>
      </w:r>
      <w:r w:rsidRPr="002219D3">
        <w:rPr>
          <w:lang w:eastAsia="en-AU"/>
        </w:rPr>
        <w:t>and</w:t>
      </w:r>
      <w:r>
        <w:rPr>
          <w:lang w:eastAsia="en-AU"/>
        </w:rPr>
        <w:t>-</w:t>
      </w:r>
      <w:r w:rsidRPr="002219D3">
        <w:rPr>
          <w:lang w:eastAsia="en-AU"/>
        </w:rPr>
        <w:t>butter task of being a true pharmacist becomes an automated constant background task.</w:t>
      </w:r>
    </w:p>
    <w:p w14:paraId="320447AA" w14:textId="36BD665B" w:rsidR="000230CC" w:rsidRDefault="000230CC" w:rsidP="000230CC">
      <w:pPr>
        <w:pStyle w:val="Quote"/>
        <w:rPr>
          <w:lang w:eastAsia="en-AU"/>
        </w:rPr>
      </w:pPr>
      <w:r w:rsidRPr="002219D3">
        <w:rPr>
          <w:lang w:eastAsia="en-AU"/>
        </w:rPr>
        <w:t xml:space="preserve">Current industry </w:t>
      </w:r>
      <w:r>
        <w:rPr>
          <w:lang w:eastAsia="en-AU"/>
        </w:rPr>
        <w:t>structure</w:t>
      </w:r>
      <w:r w:rsidRPr="002219D3">
        <w:rPr>
          <w:lang w:eastAsia="en-AU"/>
        </w:rPr>
        <w:t xml:space="preserve"> regarding location rules and traditional pharmacy models</w:t>
      </w:r>
      <w:r>
        <w:rPr>
          <w:lang w:eastAsia="en-AU"/>
        </w:rPr>
        <w:t xml:space="preserve"> [is a barrier]</w:t>
      </w:r>
      <w:r w:rsidRPr="002219D3">
        <w:rPr>
          <w:lang w:eastAsia="en-AU"/>
        </w:rPr>
        <w:t xml:space="preserve">. These stores are overworked and under supported </w:t>
      </w:r>
      <w:r>
        <w:rPr>
          <w:lang w:eastAsia="en-AU"/>
        </w:rPr>
        <w:t>–</w:t>
      </w:r>
      <w:r w:rsidRPr="002219D3">
        <w:rPr>
          <w:lang w:eastAsia="en-AU"/>
        </w:rPr>
        <w:t xml:space="preserve"> and the constant blame is either PBS cuts or discount competitors.</w:t>
      </w:r>
      <w:r>
        <w:rPr>
          <w:lang w:eastAsia="en-AU"/>
        </w:rPr>
        <w:t>’</w:t>
      </w:r>
    </w:p>
    <w:p w14:paraId="693E208B" w14:textId="77777777" w:rsidR="000230CC" w:rsidRDefault="000230CC" w:rsidP="000230CC">
      <w:pPr>
        <w:pStyle w:val="Quote"/>
        <w:jc w:val="right"/>
        <w:rPr>
          <w:lang w:eastAsia="en-AU"/>
        </w:rPr>
      </w:pPr>
      <w:r>
        <w:rPr>
          <w:lang w:eastAsia="en-AU"/>
        </w:rPr>
        <w:t>Community pharmacist – employee</w:t>
      </w:r>
    </w:p>
    <w:p w14:paraId="209CD494" w14:textId="77777777" w:rsidR="006A4A32" w:rsidRDefault="000230CC" w:rsidP="000230CC">
      <w:pPr>
        <w:pStyle w:val="BodyCopy"/>
      </w:pPr>
      <w:r>
        <w:rPr>
          <w:lang w:eastAsia="en-AU"/>
        </w:rPr>
        <w:t>Very few survey respondents noted existing enablers for expanded services, although the</w:t>
      </w:r>
      <w:r>
        <w:t xml:space="preserve"> accessibility and existing skill set of pharmacists was mentioned as enablers by 9% of respondents (n=10 of 87 responses).</w:t>
      </w:r>
    </w:p>
    <w:p w14:paraId="587F4929" w14:textId="48708B4D" w:rsidR="000230CC" w:rsidRDefault="000230CC" w:rsidP="000230CC">
      <w:pPr>
        <w:pStyle w:val="BodyCopy"/>
      </w:pPr>
      <w:r>
        <w:t xml:space="preserve">Another confounding factor to expanded service delivery models identified by survey respondents was the lack of incentive payments for pharmacists to engage with emerging technologies such as My Health Record. GPs can apply for </w:t>
      </w:r>
      <w:r w:rsidR="009459F6">
        <w:t xml:space="preserve">the </w:t>
      </w:r>
      <w:r>
        <w:t>Practice Incentive</w:t>
      </w:r>
      <w:r w:rsidR="00FB1903">
        <w:t>s</w:t>
      </w:r>
      <w:r>
        <w:t xml:space="preserve"> </w:t>
      </w:r>
      <w:r w:rsidR="009459F6">
        <w:t xml:space="preserve">Program </w:t>
      </w:r>
      <w:r>
        <w:t xml:space="preserve">eHealth </w:t>
      </w:r>
      <w:r w:rsidR="009459F6">
        <w:t xml:space="preserve">Incentive </w:t>
      </w:r>
      <w:r>
        <w:t>(ePIP), which a</w:t>
      </w:r>
      <w:r w:rsidRPr="00AB573A">
        <w:t xml:space="preserve">ims to encourage </w:t>
      </w:r>
      <w:r>
        <w:t xml:space="preserve">GPs </w:t>
      </w:r>
      <w:r w:rsidRPr="00AB573A">
        <w:t>to keep up to date with the latest developments in digital health and adopt new digital health technology as it becomes availabl</w:t>
      </w:r>
      <w:r>
        <w:t xml:space="preserve">e </w:t>
      </w:r>
      <w:sdt>
        <w:sdtPr>
          <w:id w:val="-953949948"/>
          <w:citation/>
        </w:sdtPr>
        <w:sdtContent>
          <w:r>
            <w:fldChar w:fldCharType="begin"/>
          </w:r>
          <w:r>
            <w:rPr>
              <w:lang w:val="en-US"/>
            </w:rPr>
            <w:instrText xml:space="preserve"> CITATION Aus19 \l 1033 </w:instrText>
          </w:r>
          <w:r>
            <w:fldChar w:fldCharType="separate"/>
          </w:r>
          <w:r w:rsidR="008B7448" w:rsidRPr="008B7448">
            <w:rPr>
              <w:noProof/>
              <w:lang w:val="en-US"/>
            </w:rPr>
            <w:t>[49]</w:t>
          </w:r>
          <w:r>
            <w:fldChar w:fldCharType="end"/>
          </w:r>
        </w:sdtContent>
      </w:sdt>
      <w:r>
        <w:t>. Consultation with PHNs indicated there are no equivalent incentive payments for pharmacists.</w:t>
      </w:r>
    </w:p>
    <w:p w14:paraId="262681DD" w14:textId="77777777" w:rsidR="000230CC" w:rsidRDefault="000230CC" w:rsidP="000230CC">
      <w:pPr>
        <w:pStyle w:val="Heading3"/>
        <w:spacing w:before="284" w:after="142" w:line="336" w:lineRule="atLeast"/>
        <w:ind w:left="992" w:hanging="992"/>
      </w:pPr>
      <w:bookmarkStart w:id="69" w:name="_Ref10380695"/>
      <w:bookmarkStart w:id="70" w:name="_Toc19097761"/>
      <w:bookmarkStart w:id="71" w:name="_Toc26366367"/>
      <w:r>
        <w:lastRenderedPageBreak/>
        <w:t>Promotion of interdisciplinary collaboration among primary health care professionals through the PTP</w:t>
      </w:r>
      <w:bookmarkEnd w:id="69"/>
      <w:bookmarkEnd w:id="70"/>
      <w:bookmarkEnd w:id="71"/>
    </w:p>
    <w:p w14:paraId="2E50B834" w14:textId="77777777" w:rsidR="000230CC" w:rsidRPr="006763F1" w:rsidRDefault="000230CC" w:rsidP="000230CC">
      <w:pPr>
        <w:pStyle w:val="BodyCopy"/>
      </w:pPr>
      <w:r>
        <w:t>Primary health care involves many health professions. Increasingly a coordinated interdisciplinary approach is required to optimise consumer care. There was a perception among most stakeholders that opportunities to collaborate between pharmacy and other health professions through the PTP were limited. Collaboration in many PTP trials focused mostly on case conferencing with or referral to a GP. Three of the seven approved PTP trials were provided in a location other than a community pharmacy (RACF or ACCHS).</w:t>
      </w:r>
    </w:p>
    <w:p w14:paraId="364B5267" w14:textId="77777777" w:rsidR="006A4A32" w:rsidRDefault="007203A6" w:rsidP="000230CC">
      <w:pPr>
        <w:pStyle w:val="BodyCopy"/>
      </w:pPr>
      <w:r>
        <w:t>Many p</w:t>
      </w:r>
      <w:r w:rsidR="000230CC">
        <w:t>rofessional and advocacy peak bodies expressed a desire for community pharmacy to be better integrated into the primary health sector and other</w:t>
      </w:r>
      <w:r>
        <w:t xml:space="preserve"> </w:t>
      </w:r>
      <w:r w:rsidR="000230CC">
        <w:t xml:space="preserve">settings such as RACFs. </w:t>
      </w:r>
      <w:r>
        <w:t>T</w:t>
      </w:r>
      <w:r w:rsidR="000230CC">
        <w:t>he AHPA noted a need for greater involvement of allied health professionals in PTP trials relating to the management of chronic conditions.</w:t>
      </w:r>
    </w:p>
    <w:p w14:paraId="10179137" w14:textId="77777777" w:rsidR="006A4A32" w:rsidRDefault="000230CC" w:rsidP="000230CC">
      <w:pPr>
        <w:pStyle w:val="BodyCopy"/>
      </w:pPr>
      <w:r>
        <w:t>The perception that PTP trials were pharmacy-led also raised concerns about the lack of collaboration and the danger of duplicating services already being offered by other health professions. These concerns were raised by professional groups such as the RACGP and AHPA, and grant applicants.</w:t>
      </w:r>
    </w:p>
    <w:p w14:paraId="149176F6" w14:textId="02A50759" w:rsidR="000230CC" w:rsidRDefault="000230CC" w:rsidP="000230CC">
      <w:pPr>
        <w:pStyle w:val="Quote"/>
      </w:pPr>
      <w:r>
        <w:t>‘We’re trying to do fixes around the edges but what is the outcome for the consumer?’</w:t>
      </w:r>
    </w:p>
    <w:p w14:paraId="2B8D7164" w14:textId="77777777" w:rsidR="000230CC" w:rsidRDefault="000230CC" w:rsidP="000230CC">
      <w:pPr>
        <w:pStyle w:val="Quote"/>
        <w:jc w:val="right"/>
      </w:pPr>
      <w:r>
        <w:t>Professional peak body comment</w:t>
      </w:r>
    </w:p>
    <w:p w14:paraId="457272A7" w14:textId="77777777" w:rsidR="006A4A32" w:rsidRDefault="000230CC" w:rsidP="000230CC">
      <w:pPr>
        <w:pStyle w:val="Quote"/>
      </w:pPr>
      <w:r>
        <w:t>‘The rules set out in the trials are highly restrictive and innovation is hampered by this. Because of the 6CPA…the trials have to go through community pharmacy...’</w:t>
      </w:r>
    </w:p>
    <w:p w14:paraId="2A1CAF6B" w14:textId="77777777" w:rsidR="006A4A32" w:rsidRDefault="000230CC" w:rsidP="000230CC">
      <w:pPr>
        <w:pStyle w:val="Quote"/>
        <w:jc w:val="right"/>
      </w:pPr>
      <w:r>
        <w:t>Professional peak body comment</w:t>
      </w:r>
    </w:p>
    <w:p w14:paraId="0991FF55" w14:textId="77777777" w:rsidR="006A4A32" w:rsidRDefault="000230CC" w:rsidP="000230CC">
      <w:pPr>
        <w:pStyle w:val="Quote"/>
      </w:pPr>
      <w:r>
        <w:t>‘Funding is siloed, which makes it difficult for pharmacists to be doing multidisciplinary or collaborative work with other health professions.’</w:t>
      </w:r>
    </w:p>
    <w:p w14:paraId="47DC5BBB" w14:textId="77777777" w:rsidR="006A4A32" w:rsidRDefault="000230CC" w:rsidP="000230CC">
      <w:pPr>
        <w:pStyle w:val="Quote"/>
        <w:jc w:val="right"/>
      </w:pPr>
      <w:r>
        <w:t>PTP grant applicant comment</w:t>
      </w:r>
    </w:p>
    <w:p w14:paraId="0A3EB462" w14:textId="77777777" w:rsidR="006A4A32" w:rsidRDefault="000230CC" w:rsidP="000230CC">
      <w:pPr>
        <w:pStyle w:val="BodyCopy"/>
      </w:pPr>
      <w:r>
        <w:t>It was also noted by one grant recipient that study design using only community pharmacists may have been prohibitive in rural areas where there is only one community pharmacist.</w:t>
      </w:r>
    </w:p>
    <w:p w14:paraId="6C6AA917" w14:textId="6BB7EE52" w:rsidR="000230CC" w:rsidRDefault="000230CC" w:rsidP="000230CC">
      <w:pPr>
        <w:pStyle w:val="Quote"/>
        <w:keepNext/>
      </w:pPr>
      <w:r>
        <w:t>‘In some [areas], there was not a good relationship between the pharmacist and the community so this would not have worked. The community would have walked away from participating in the trial.’</w:t>
      </w:r>
    </w:p>
    <w:p w14:paraId="52E5B850" w14:textId="77777777" w:rsidR="000230CC" w:rsidRPr="006763F1" w:rsidRDefault="000230CC" w:rsidP="000230CC">
      <w:pPr>
        <w:pStyle w:val="Quote"/>
        <w:jc w:val="right"/>
      </w:pPr>
      <w:r>
        <w:t>PTP trial grant recipient comment</w:t>
      </w:r>
    </w:p>
    <w:p w14:paraId="24B7B441" w14:textId="77777777" w:rsidR="006A4A32" w:rsidRDefault="000230CC" w:rsidP="000230CC">
      <w:pPr>
        <w:pStyle w:val="BodyCopy"/>
        <w:keepNext/>
        <w:keepLines/>
      </w:pPr>
      <w:r>
        <w:t>Through the online survey, pharmacists were asked how they considered collaboration between pharmacists and other health professions could be encouraged. The pharmacist survey received 78 responses to this question, with five key themes identified:</w:t>
      </w:r>
    </w:p>
    <w:p w14:paraId="1A73A27D" w14:textId="229AB8FE" w:rsidR="000230CC" w:rsidRDefault="000230CC" w:rsidP="002C22EF">
      <w:pPr>
        <w:pStyle w:val="ListBullet"/>
      </w:pPr>
      <w:r>
        <w:t>better communication between professions and understanding of each other’s roles and capabilities (25%, n=19)</w:t>
      </w:r>
      <w:r w:rsidR="00461A3D">
        <w:t>;</w:t>
      </w:r>
    </w:p>
    <w:p w14:paraId="612D589E" w14:textId="75F8C1DC" w:rsidR="000230CC" w:rsidRDefault="000230CC" w:rsidP="002C22EF">
      <w:pPr>
        <w:pStyle w:val="ListBullet"/>
      </w:pPr>
      <w:r>
        <w:t>more opportunities for structured interactions such as inter</w:t>
      </w:r>
      <w:r w:rsidR="00461A3D">
        <w:t>-</w:t>
      </w:r>
      <w:r>
        <w:t>professional education and training events and networking evenings (24%, n=18)</w:t>
      </w:r>
      <w:r w:rsidR="00461A3D">
        <w:t>;</w:t>
      </w:r>
    </w:p>
    <w:p w14:paraId="23ADA2FB" w14:textId="48B1898A" w:rsidR="000230CC" w:rsidRDefault="000230CC" w:rsidP="002C22EF">
      <w:pPr>
        <w:pStyle w:val="ListBullet"/>
      </w:pPr>
      <w:r>
        <w:t>integration of pharmacists into general practices or other health care settings outside of the community pharmacy (16%, n=12)</w:t>
      </w:r>
      <w:r w:rsidR="00461A3D">
        <w:t>;</w:t>
      </w:r>
    </w:p>
    <w:p w14:paraId="082BD8E0" w14:textId="77777777" w:rsidR="006A4A32" w:rsidRDefault="000230CC" w:rsidP="002C22EF">
      <w:pPr>
        <w:pStyle w:val="ListBullet"/>
      </w:pPr>
      <w:r>
        <w:t>specific funding for multidisciplinary service delivery (14%, n=11)</w:t>
      </w:r>
      <w:r w:rsidR="00461A3D">
        <w:t>;</w:t>
      </w:r>
      <w:r>
        <w:t xml:space="preserve"> and</w:t>
      </w:r>
    </w:p>
    <w:p w14:paraId="4957D01C" w14:textId="77777777" w:rsidR="006A4A32" w:rsidRDefault="000230CC" w:rsidP="002C22EF">
      <w:pPr>
        <w:pStyle w:val="ListBullet"/>
      </w:pPr>
      <w:r>
        <w:t>better relationships between peak professional bodies (9%, n=7).</w:t>
      </w:r>
    </w:p>
    <w:p w14:paraId="7470D082" w14:textId="152BB8A8" w:rsidR="000230CC" w:rsidRDefault="000230CC" w:rsidP="000230CC">
      <w:pPr>
        <w:pStyle w:val="BodyCopy"/>
      </w:pPr>
      <w:r>
        <w:t>The survey responses suggest that ongoing efforts to enhance education and training of health professionals across disciplines is beneficial. This agenda could be progressed through greater involvement of PHNs and peak professional bodies in trial design in a future PTP.</w:t>
      </w:r>
    </w:p>
    <w:p w14:paraId="128EB082" w14:textId="77777777" w:rsidR="006A4A32" w:rsidRDefault="000230CC" w:rsidP="0077662C">
      <w:pPr>
        <w:pStyle w:val="KeyFinding"/>
      </w:pPr>
      <w:r>
        <w:t xml:space="preserve">Professional and advocacy peak bodies </w:t>
      </w:r>
      <w:r w:rsidRPr="005675B6">
        <w:t>felt that interdisciplinary collaboration could have been strengthened</w:t>
      </w:r>
      <w:r>
        <w:t xml:space="preserve"> in the PTP trials.</w:t>
      </w:r>
    </w:p>
    <w:p w14:paraId="2D6C36DA" w14:textId="48D79C29" w:rsidR="000230CC" w:rsidRDefault="000230CC" w:rsidP="000230CC">
      <w:pPr>
        <w:pStyle w:val="Heading3"/>
        <w:spacing w:before="284" w:after="142" w:line="336" w:lineRule="atLeast"/>
        <w:ind w:left="992" w:hanging="992"/>
      </w:pPr>
      <w:bookmarkStart w:id="72" w:name="_Ref10291899"/>
      <w:bookmarkStart w:id="73" w:name="_Ref10383931"/>
      <w:bookmarkStart w:id="74" w:name="_Toc19097762"/>
      <w:bookmarkStart w:id="75" w:name="_Toc26366368"/>
      <w:r>
        <w:t>Limited existing grant opportunities to address the PTP objectives</w:t>
      </w:r>
      <w:bookmarkEnd w:id="72"/>
      <w:bookmarkEnd w:id="73"/>
      <w:bookmarkEnd w:id="74"/>
      <w:bookmarkEnd w:id="75"/>
    </w:p>
    <w:p w14:paraId="2B810EE1" w14:textId="5B60187A" w:rsidR="000230CC" w:rsidRDefault="000230CC" w:rsidP="000230CC">
      <w:pPr>
        <w:pStyle w:val="BodyCopy"/>
      </w:pPr>
      <w:r>
        <w:t xml:space="preserve">The </w:t>
      </w:r>
      <w:r w:rsidRPr="00905ABF">
        <w:rPr>
          <w:i/>
          <w:iCs/>
        </w:rPr>
        <w:t>Commonwealth Grants Rules and Guidelines</w:t>
      </w:r>
      <w:r>
        <w:t xml:space="preserve"> (CGRG) aim to promote value for money and accountability for use of public funds and outline the legislative rules for grant agreements as well as best practice principles for management of public funds </w:t>
      </w:r>
      <w:sdt>
        <w:sdtPr>
          <w:id w:val="-971821595"/>
          <w:citation/>
        </w:sdtPr>
        <w:sdtContent>
          <w:r>
            <w:fldChar w:fldCharType="begin"/>
          </w:r>
          <w:r w:rsidR="00820D12">
            <w:instrText xml:space="preserve">CITATION Dep14 \l 3081 </w:instrText>
          </w:r>
          <w:r>
            <w:fldChar w:fldCharType="separate"/>
          </w:r>
          <w:r w:rsidR="008B7448" w:rsidRPr="008B7448">
            <w:rPr>
              <w:noProof/>
            </w:rPr>
            <w:t>[47]</w:t>
          </w:r>
          <w:r>
            <w:fldChar w:fldCharType="end"/>
          </w:r>
        </w:sdtContent>
      </w:sdt>
      <w:r>
        <w:t xml:space="preserve">. One consideration under the CGRG is that officials </w:t>
      </w:r>
      <w:r w:rsidRPr="00C6555D">
        <w:t xml:space="preserve">should determine whether </w:t>
      </w:r>
      <w:r w:rsidRPr="00C6555D">
        <w:lastRenderedPageBreak/>
        <w:t>an existing grant opportunity may be expanded or modified to meet</w:t>
      </w:r>
      <w:r>
        <w:t xml:space="preserve"> the objectives, </w:t>
      </w:r>
      <w:r w:rsidRPr="00C6555D">
        <w:t>rather than establishing an additional grant opportunity</w:t>
      </w:r>
      <w:r>
        <w:t xml:space="preserve"> and duplicating administrative efforts and costs</w:t>
      </w:r>
      <w:r>
        <w:rPr>
          <w:rStyle w:val="FootnoteReference"/>
        </w:rPr>
        <w:footnoteReference w:id="5"/>
      </w:r>
      <w:r>
        <w:t xml:space="preserve"> </w:t>
      </w:r>
      <w:sdt>
        <w:sdtPr>
          <w:id w:val="574940340"/>
          <w:citation/>
        </w:sdtPr>
        <w:sdtContent>
          <w:r>
            <w:fldChar w:fldCharType="begin"/>
          </w:r>
          <w:r w:rsidR="00820D12">
            <w:instrText xml:space="preserve">CITATION Dep14 \l 3081 </w:instrText>
          </w:r>
          <w:r>
            <w:fldChar w:fldCharType="separate"/>
          </w:r>
          <w:r w:rsidR="008B7448" w:rsidRPr="008B7448">
            <w:rPr>
              <w:noProof/>
            </w:rPr>
            <w:t>[47]</w:t>
          </w:r>
          <w:r>
            <w:fldChar w:fldCharType="end"/>
          </w:r>
        </w:sdtContent>
      </w:sdt>
      <w:r>
        <w:t>.</w:t>
      </w:r>
    </w:p>
    <w:p w14:paraId="7DF28A48" w14:textId="77777777" w:rsidR="006A4A32" w:rsidRDefault="000230CC" w:rsidP="000230CC">
      <w:pPr>
        <w:pStyle w:val="BodyCopy"/>
      </w:pPr>
      <w:r>
        <w:t xml:space="preserve">Many stakeholders stated that there is little funding available for pharmacy research, particularly for service delivery interventions, other than the funding made available through the PTP. Access to research funding in the broader health sector is otherwise provided through NHMRC grants. NHMRC is an </w:t>
      </w:r>
      <w:r w:rsidRPr="00B336EC">
        <w:t>independent statutory agency within the portfolio of the Australian Government Minister for Health.</w:t>
      </w:r>
    </w:p>
    <w:p w14:paraId="45D06F5A" w14:textId="1B0DDD61" w:rsidR="000230CC" w:rsidRDefault="000230CC" w:rsidP="000230CC">
      <w:pPr>
        <w:pStyle w:val="BodyCopy"/>
      </w:pPr>
      <w:r>
        <w:t>However, many stakeholders felt that components of the NHMRC processes were incompatible with the PTP. This includes</w:t>
      </w:r>
      <w:r w:rsidR="005A5851">
        <w:t xml:space="preserve"> </w:t>
      </w:r>
      <w:r w:rsidR="00461A3D" w:rsidRPr="005A5851">
        <w:t>(in their opinion)</w:t>
      </w:r>
      <w:r w:rsidRPr="005A5851">
        <w:t>:</w:t>
      </w:r>
    </w:p>
    <w:p w14:paraId="684CAC3B" w14:textId="31DBE9D6" w:rsidR="000230CC" w:rsidRDefault="000230CC" w:rsidP="002C22EF">
      <w:pPr>
        <w:pStyle w:val="ListBullet"/>
      </w:pPr>
      <w:r>
        <w:t>the lack of accountability as grant payments are not tied to achievement of outcomes and are not monitored</w:t>
      </w:r>
      <w:r w:rsidR="00461A3D">
        <w:t>;</w:t>
      </w:r>
    </w:p>
    <w:p w14:paraId="4419D580" w14:textId="77777777" w:rsidR="006A4A32" w:rsidRDefault="000230CC" w:rsidP="002C22EF">
      <w:pPr>
        <w:pStyle w:val="ListBullet"/>
      </w:pPr>
      <w:r>
        <w:t xml:space="preserve">low success rate for service delivery intervention research (an average of only 4% of NHMRC funding was provided to health services delivery from 2000 to 2016 </w:t>
      </w:r>
      <w:sdt>
        <w:sdtPr>
          <w:id w:val="-1069409961"/>
          <w:citation/>
        </w:sdtPr>
        <w:sdtContent>
          <w:r>
            <w:fldChar w:fldCharType="begin"/>
          </w:r>
          <w:r>
            <w:instrText xml:space="preserve">CITATION Nat17a \l 3081 </w:instrText>
          </w:r>
          <w:r>
            <w:fldChar w:fldCharType="separate"/>
          </w:r>
          <w:r w:rsidR="008B7448" w:rsidRPr="008B7448">
            <w:rPr>
              <w:noProof/>
            </w:rPr>
            <w:t>[50]</w:t>
          </w:r>
          <w:r>
            <w:fldChar w:fldCharType="end"/>
          </w:r>
        </w:sdtContent>
      </w:sdt>
      <w:r>
        <w:t>)</w:t>
      </w:r>
      <w:r w:rsidR="00461A3D">
        <w:t>;</w:t>
      </w:r>
      <w:r>
        <w:t xml:space="preserve"> and</w:t>
      </w:r>
    </w:p>
    <w:p w14:paraId="2BCC67E9" w14:textId="77777777" w:rsidR="006A4A32" w:rsidRDefault="000230CC" w:rsidP="002C22EF">
      <w:pPr>
        <w:pStyle w:val="ListBullet"/>
      </w:pPr>
      <w:r>
        <w:t>the NHMRC focus on acute care medical research.</w:t>
      </w:r>
    </w:p>
    <w:p w14:paraId="3339C656" w14:textId="77777777" w:rsidR="006A4A32" w:rsidRDefault="000230CC" w:rsidP="000230CC">
      <w:pPr>
        <w:pStyle w:val="BodyCopy"/>
      </w:pPr>
      <w:r>
        <w:t>Stakeholders were concerned that if funding for pharmacy research was incorporated into the NHMRC pool of funding, there was a danger the allocation for pharmacy-related initiatives would be absorbed by other research areas.</w:t>
      </w:r>
    </w:p>
    <w:p w14:paraId="5F49F311" w14:textId="77777777" w:rsidR="006A4A32" w:rsidRDefault="000230CC" w:rsidP="00F71900">
      <w:pPr>
        <w:pStyle w:val="Quote"/>
        <w:rPr>
          <w:rStyle w:val="QuoteChar"/>
          <w:i/>
          <w:iCs/>
        </w:rPr>
      </w:pPr>
      <w:r w:rsidRPr="00F71900">
        <w:rPr>
          <w:rStyle w:val="QuoteChar"/>
          <w:i/>
          <w:iCs/>
        </w:rPr>
        <w:t>‘Almost every other profession goes through NHMRC for the proof of concept research funding. But to date this has been very medically focused. If there [were] a focus on service delivery, then pharmacy could then be part of this.’</w:t>
      </w:r>
    </w:p>
    <w:p w14:paraId="70FDD014" w14:textId="77777777" w:rsidR="006A4A32" w:rsidRDefault="000230CC" w:rsidP="000230CC">
      <w:pPr>
        <w:pStyle w:val="Quote"/>
        <w:keepNext/>
        <w:jc w:val="right"/>
      </w:pPr>
      <w:r>
        <w:t>Grant applicant comment</w:t>
      </w:r>
    </w:p>
    <w:p w14:paraId="0CD39436" w14:textId="77777777" w:rsidR="006A4A32" w:rsidRDefault="000230CC" w:rsidP="000230CC">
      <w:pPr>
        <w:pStyle w:val="BodyCopy"/>
      </w:pPr>
      <w:r>
        <w:t xml:space="preserve">In addition to the administration and management of medical research funding, NHMRC manages grant funding administration for numerous agencies including the Cancer Council and the Medical Research Future Fund (MRFF). These funds are administered separately to NHMRC funds. Grant rounds and funding application assessments are core business for the NHMRC, with processes in place </w:t>
      </w:r>
      <w:r>
        <w:t xml:space="preserve">to facilitate assessment. This includes specific criteria to ensure the suitability of research with Aboriginal and Torres Strait Islander populations, i.e. </w:t>
      </w:r>
      <w:r w:rsidRPr="00A32598">
        <w:rPr>
          <w:i/>
        </w:rPr>
        <w:t>NHMRC</w:t>
      </w:r>
      <w:r w:rsidRPr="00A32598">
        <w:t xml:space="preserve"> </w:t>
      </w:r>
      <w:r w:rsidRPr="00A32598">
        <w:rPr>
          <w:i/>
        </w:rPr>
        <w:t>Indigenous Research Excellence Criteria</w:t>
      </w:r>
      <w:r>
        <w:rPr>
          <w:i/>
        </w:rPr>
        <w:t>,</w:t>
      </w:r>
      <w:r>
        <w:t xml:space="preserve"> which assess community engagement, benefit, sustainability and building capacity </w:t>
      </w:r>
      <w:sdt>
        <w:sdtPr>
          <w:id w:val="-551617678"/>
          <w:citation/>
        </w:sdtPr>
        <w:sdtContent>
          <w:r>
            <w:fldChar w:fldCharType="begin"/>
          </w:r>
          <w:r w:rsidR="00820D12">
            <w:rPr>
              <w:lang w:val="en-US"/>
            </w:rPr>
            <w:instrText xml:space="preserve">CITATION NHM191 \l 1033 </w:instrText>
          </w:r>
          <w:r>
            <w:fldChar w:fldCharType="separate"/>
          </w:r>
          <w:r w:rsidR="008B7448" w:rsidRPr="008B7448">
            <w:rPr>
              <w:noProof/>
              <w:lang w:val="en-US"/>
            </w:rPr>
            <w:t>[51]</w:t>
          </w:r>
          <w:r>
            <w:fldChar w:fldCharType="end"/>
          </w:r>
        </w:sdtContent>
      </w:sdt>
      <w:r>
        <w:t>.</w:t>
      </w:r>
    </w:p>
    <w:p w14:paraId="38B64DD1" w14:textId="77777777" w:rsidR="006A4A32" w:rsidRDefault="000230CC" w:rsidP="000230CC">
      <w:pPr>
        <w:pStyle w:val="BodyCopy"/>
      </w:pPr>
      <w:r>
        <w:t>Regarding the administration of the PTP, NHMRC felt that they would have been ideally placed to manage the PTP. NHMRC commented that application review is the core business of the NHMRC. It has skilled employees and panels for review, a comprehensive knowledge of expected timeframes, resources and salaries for research, and other established criteria (such as that for Indigenous research) to support assessment of grants.</w:t>
      </w:r>
    </w:p>
    <w:p w14:paraId="2A012C2E" w14:textId="2BE98594" w:rsidR="000230CC" w:rsidRDefault="000230CC" w:rsidP="000230CC">
      <w:pPr>
        <w:pStyle w:val="BodyCopy"/>
      </w:pPr>
      <w:r>
        <w:t xml:space="preserve">Another potential funding source for research </w:t>
      </w:r>
      <w:r w:rsidRPr="00702A9B">
        <w:t>is the MRFF, established</w:t>
      </w:r>
      <w:r>
        <w:t xml:space="preserve"> in</w:t>
      </w:r>
      <w:r w:rsidRPr="00702A9B">
        <w:t xml:space="preserve"> 2015.</w:t>
      </w:r>
      <w:r>
        <w:t xml:space="preserve"> </w:t>
      </w:r>
      <w:r w:rsidRPr="00702A9B">
        <w:t xml:space="preserve">MRFF </w:t>
      </w:r>
      <w:r>
        <w:t>is guided by ‘</w:t>
      </w:r>
      <w:r w:rsidRPr="00702A9B">
        <w:t>Research Missions</w:t>
      </w:r>
      <w:r>
        <w:t xml:space="preserve">’, </w:t>
      </w:r>
      <w:r w:rsidRPr="00702A9B">
        <w:t>to which the aim of the PTP aligns. A MRFF Research Mission is defined as</w:t>
      </w:r>
      <w:r>
        <w:t>:</w:t>
      </w:r>
    </w:p>
    <w:p w14:paraId="793FDD1A" w14:textId="77777777" w:rsidR="006A4A32" w:rsidRDefault="000230CC" w:rsidP="000230CC">
      <w:pPr>
        <w:pStyle w:val="Quote"/>
      </w:pPr>
      <w:r w:rsidRPr="00702A9B">
        <w:t xml:space="preserve">a </w:t>
      </w:r>
      <w:r w:rsidRPr="00313EE0">
        <w:t>program of work with ambitious objectives that are only possible through significant investment, leadership and collaboration</w:t>
      </w:r>
      <w:r>
        <w:t xml:space="preserve"> </w:t>
      </w:r>
      <w:sdt>
        <w:sdtPr>
          <w:id w:val="1442264788"/>
          <w:citation/>
        </w:sdtPr>
        <w:sdtContent>
          <w:r>
            <w:fldChar w:fldCharType="begin"/>
          </w:r>
          <w:r w:rsidR="008B7448">
            <w:rPr>
              <w:lang w:val="en-US"/>
            </w:rPr>
            <w:instrText xml:space="preserve">CITATION MRF19 \l 1033 </w:instrText>
          </w:r>
          <w:r>
            <w:fldChar w:fldCharType="separate"/>
          </w:r>
          <w:r w:rsidR="008B7448" w:rsidRPr="008B7448">
            <w:rPr>
              <w:noProof/>
              <w:lang w:val="en-US"/>
            </w:rPr>
            <w:t>[52]</w:t>
          </w:r>
          <w:r>
            <w:fldChar w:fldCharType="end"/>
          </w:r>
        </w:sdtContent>
      </w:sdt>
      <w:r w:rsidRPr="00313EE0">
        <w:t>.</w:t>
      </w:r>
    </w:p>
    <w:p w14:paraId="07DEB375" w14:textId="57C9F16E" w:rsidR="000230CC" w:rsidRDefault="000230CC" w:rsidP="000230CC">
      <w:pPr>
        <w:pStyle w:val="BodyCopy"/>
      </w:pPr>
      <w:r w:rsidRPr="00702A9B">
        <w:t>The aims are to bring together key researchers, health professionals, stakeholders, industry partners and patients</w:t>
      </w:r>
      <w:r>
        <w:t xml:space="preserve"> to tackle significant health challenges </w:t>
      </w:r>
      <w:sdt>
        <w:sdtPr>
          <w:id w:val="2004931820"/>
          <w:citation/>
        </w:sdtPr>
        <w:sdtContent>
          <w:r>
            <w:fldChar w:fldCharType="begin"/>
          </w:r>
          <w:r w:rsidR="008B7448">
            <w:rPr>
              <w:lang w:val="en-US"/>
            </w:rPr>
            <w:instrText xml:space="preserve">CITATION MRF19 \l 1033 </w:instrText>
          </w:r>
          <w:r>
            <w:fldChar w:fldCharType="separate"/>
          </w:r>
          <w:r w:rsidR="008B7448" w:rsidRPr="008B7448">
            <w:rPr>
              <w:noProof/>
              <w:lang w:val="en-US"/>
            </w:rPr>
            <w:t>[52]</w:t>
          </w:r>
          <w:r>
            <w:fldChar w:fldCharType="end"/>
          </w:r>
        </w:sdtContent>
      </w:sdt>
      <w:r>
        <w:t>.</w:t>
      </w:r>
    </w:p>
    <w:p w14:paraId="059735F2" w14:textId="56329D96" w:rsidR="000230CC" w:rsidRDefault="000230CC" w:rsidP="000230CC">
      <w:pPr>
        <w:pStyle w:val="BodyCopy"/>
      </w:pPr>
      <w:r>
        <w:t xml:space="preserve">Currently there are two MRFF Research Missions – the Australian Brain Cancer Mission and the </w:t>
      </w:r>
      <w:r w:rsidRPr="00480CFE">
        <w:t>Million Minds Mental Health Research Mission</w:t>
      </w:r>
      <w:r>
        <w:t xml:space="preserve"> </w:t>
      </w:r>
      <w:sdt>
        <w:sdtPr>
          <w:id w:val="965931107"/>
          <w:citation/>
        </w:sdtPr>
        <w:sdtContent>
          <w:r>
            <w:fldChar w:fldCharType="begin"/>
          </w:r>
          <w:r w:rsidR="008B7448">
            <w:rPr>
              <w:lang w:val="en-US"/>
            </w:rPr>
            <w:instrText xml:space="preserve">CITATION MRF19 \l 1033 </w:instrText>
          </w:r>
          <w:r>
            <w:fldChar w:fldCharType="separate"/>
          </w:r>
          <w:r w:rsidR="008B7448" w:rsidRPr="008B7448">
            <w:rPr>
              <w:noProof/>
              <w:lang w:val="en-US"/>
            </w:rPr>
            <w:t>[52]</w:t>
          </w:r>
          <w:r>
            <w:fldChar w:fldCharType="end"/>
          </w:r>
        </w:sdtContent>
      </w:sdt>
      <w:r>
        <w:t>. Neither of the existing missions address the objectives of the PTP, so there is no duplication with this funding source.</w:t>
      </w:r>
    </w:p>
    <w:p w14:paraId="14FD3F5C" w14:textId="77777777" w:rsidR="000230CC" w:rsidRDefault="000230CC" w:rsidP="000230CC">
      <w:pPr>
        <w:pStyle w:val="Heading3"/>
        <w:spacing w:before="284" w:after="142" w:line="336" w:lineRule="atLeast"/>
        <w:ind w:left="992" w:hanging="992"/>
      </w:pPr>
      <w:bookmarkStart w:id="76" w:name="_Toc19097763"/>
      <w:bookmarkStart w:id="77" w:name="_Toc26366369"/>
      <w:r>
        <w:t>Achieving the expected outcomes without PTP funding</w:t>
      </w:r>
      <w:bookmarkEnd w:id="76"/>
      <w:bookmarkEnd w:id="77"/>
    </w:p>
    <w:p w14:paraId="1EF06144" w14:textId="77777777" w:rsidR="006A4A32" w:rsidRDefault="000230CC" w:rsidP="000230CC">
      <w:pPr>
        <w:pStyle w:val="BodyCopy"/>
      </w:pPr>
      <w:r>
        <w:t xml:space="preserve">Investment in the PTP was highly valued by the pharmacy sector. As stated in Section </w:t>
      </w:r>
      <w:r>
        <w:fldChar w:fldCharType="begin"/>
      </w:r>
      <w:r>
        <w:instrText xml:space="preserve"> REF _Ref10291899 \r \h </w:instrText>
      </w:r>
      <w:r>
        <w:fldChar w:fldCharType="separate"/>
      </w:r>
      <w:r w:rsidR="008B7448">
        <w:t>4.2.4</w:t>
      </w:r>
      <w:r>
        <w:fldChar w:fldCharType="end"/>
      </w:r>
      <w:r>
        <w:t xml:space="preserve"> above, other research funding sources do not specifically target the objectives of the PTP. Therefore, it is unlikely that the innovative research undertaken by the PTP trials would have occurred otherwise.</w:t>
      </w:r>
    </w:p>
    <w:p w14:paraId="7D6FA705" w14:textId="77777777" w:rsidR="006A4A32" w:rsidRDefault="000230CC" w:rsidP="000230CC">
      <w:pPr>
        <w:pStyle w:val="BodyCopy"/>
      </w:pPr>
      <w:r>
        <w:lastRenderedPageBreak/>
        <w:t>NACCHO expressed the view that without PTP, the positive health outcomes being observed in the Aboriginal and Torres Strait Islander communities through the PTP-funded trials could not have been achieved.</w:t>
      </w:r>
    </w:p>
    <w:p w14:paraId="7E53470B" w14:textId="77777777" w:rsidR="006A4A32" w:rsidRDefault="000230CC" w:rsidP="0077662C">
      <w:pPr>
        <w:pStyle w:val="KeyFinding"/>
      </w:pPr>
      <w:r>
        <w:t>The expected outcomes of the PTP are unlikely to be achieved without PTP funding.</w:t>
      </w:r>
    </w:p>
    <w:p w14:paraId="2D7E833D" w14:textId="77777777" w:rsidR="006A4A32" w:rsidRDefault="000230CC" w:rsidP="000230CC">
      <w:pPr>
        <w:pStyle w:val="Heading2"/>
        <w:spacing w:before="369" w:after="170" w:line="384" w:lineRule="atLeast"/>
        <w:ind w:left="992" w:hanging="992"/>
      </w:pPr>
      <w:bookmarkStart w:id="78" w:name="_Toc19097764"/>
      <w:bookmarkStart w:id="79" w:name="_Toc26366370"/>
      <w:r>
        <w:t>Conclusion</w:t>
      </w:r>
      <w:bookmarkEnd w:id="78"/>
      <w:bookmarkEnd w:id="79"/>
    </w:p>
    <w:p w14:paraId="11627755" w14:textId="77777777" w:rsidR="006A4A32" w:rsidRDefault="000230CC" w:rsidP="000230CC">
      <w:pPr>
        <w:pStyle w:val="BodyCopy"/>
        <w:keepNext/>
        <w:keepLines/>
      </w:pPr>
      <w:r>
        <w:t>Evidence collected during the review suggests that research to validate the clinical and economic effectiveness of new or expanded Community Pharmacy Programmes is appropriate and that there was support for the objectives of the PTP among the community pharmacy and broader pharmacy sector. Many stakeholders expressed an interest in a broader interpretation of the PTP objectives to include alternative locations of service delivery within the community and engagement of consultant pharmacists in addition to community pharmacists.</w:t>
      </w:r>
    </w:p>
    <w:p w14:paraId="5A4DDD4D" w14:textId="77777777" w:rsidR="006A4A32" w:rsidRDefault="000230CC" w:rsidP="000230CC">
      <w:pPr>
        <w:pStyle w:val="BodyCopy"/>
        <w:keepNext/>
        <w:keepLines/>
      </w:pPr>
      <w:r>
        <w:t xml:space="preserve">Although PTP trials linked into general practice via referral or case conferencing, </w:t>
      </w:r>
      <w:r w:rsidRPr="005675B6">
        <w:t xml:space="preserve">interdisciplinary collaboration </w:t>
      </w:r>
      <w:r>
        <w:t>was an area noted by professional and advocacy peak bodies</w:t>
      </w:r>
      <w:r w:rsidRPr="005675B6">
        <w:t xml:space="preserve"> </w:t>
      </w:r>
      <w:r>
        <w:t>that could be strengthened. There were mixed views among stakeholders as to whether the expected outcomes of the PTP would be achieved without PTP funding, depending on the nature of the individual trial. Considering the limited funding availability for health service research in pharmacy through other research grants, it is unlikely that PTP objectives would be achieved without the funding. Furthermore, noting the limited capacity of community pharmacy to implement programs without financial incentives for staff time, expanding existing programs would be challenging without funding for trials.</w:t>
      </w:r>
    </w:p>
    <w:p w14:paraId="496385B8" w14:textId="2C83C3CC" w:rsidR="000230CC" w:rsidRPr="008E5453" w:rsidRDefault="000230CC" w:rsidP="000230CC">
      <w:pPr>
        <w:pStyle w:val="BodyCopy"/>
      </w:pPr>
      <w:r>
        <w:t>Therefore, the review concluded that funding of a program for service delivery trials is an appropriate response for the stated objectives of the PTP.</w:t>
      </w:r>
    </w:p>
    <w:p w14:paraId="0A0DAD6D" w14:textId="77777777" w:rsidR="000230CC" w:rsidRDefault="000230CC" w:rsidP="000230CC">
      <w:pPr>
        <w:pStyle w:val="Heading1"/>
        <w:framePr w:wrap="around"/>
      </w:pPr>
      <w:bookmarkStart w:id="80" w:name="_Toc26366371"/>
      <w:r>
        <w:lastRenderedPageBreak/>
        <w:t>Effectiveness</w:t>
      </w:r>
      <w:bookmarkEnd w:id="80"/>
    </w:p>
    <w:p w14:paraId="49C2F04F" w14:textId="77777777" w:rsidR="000230CC" w:rsidRDefault="000230CC" w:rsidP="000230CC">
      <w:pPr>
        <w:pStyle w:val="StrategicDirection"/>
      </w:pPr>
      <w:r>
        <w:t>Setting of PTP priority areas included reference to expert opinion and stakeholder consultation. Increased engagement of consumer groups from a broader range of health needs perspectives may further enhance trial design in the future. Further focus on the needs of consumers in rural and remote areas could also be considered.</w:t>
      </w:r>
    </w:p>
    <w:p w14:paraId="5689EC00" w14:textId="35080DE6" w:rsidR="000230CC" w:rsidRDefault="000230CC" w:rsidP="000230CC">
      <w:pPr>
        <w:pStyle w:val="StrategicDirection"/>
      </w:pPr>
      <w:r>
        <w:t xml:space="preserve">Issues that delayed implementation of PTP milestones included the unanticipated time required to refine trial protocols to meet requirements of prospective </w:t>
      </w:r>
      <w:r w:rsidR="005F4563">
        <w:t xml:space="preserve">independent </w:t>
      </w:r>
      <w:r>
        <w:t>HTA. Factors that could streamline implementation include increased clarity of application processes to reduce ineligible applications and further documentation of administrative processes associated with decision making.</w:t>
      </w:r>
    </w:p>
    <w:p w14:paraId="042FAC06" w14:textId="314F3AE0" w:rsidR="000230CC" w:rsidRDefault="00C57FB3" w:rsidP="000230CC">
      <w:pPr>
        <w:pStyle w:val="StrategicDirection"/>
      </w:pPr>
      <w:r>
        <w:t xml:space="preserve">At the time of the evaluation conclusion, seven trials had signed funding agreements, and an additional trial had approval from the Minister for Health to be undertaken in 2019–20 financial year. </w:t>
      </w:r>
      <w:r w:rsidR="000230CC">
        <w:t xml:space="preserve">One trial was completed and five more are scheduled to be completed by the end of the 6CPA. </w:t>
      </w:r>
      <w:r w:rsidR="00895BEC">
        <w:t>As at June 2019</w:t>
      </w:r>
      <w:r w:rsidR="000230CC">
        <w:t xml:space="preserve">, no trial had undergone an </w:t>
      </w:r>
      <w:r w:rsidR="00F71900">
        <w:t xml:space="preserve">independent </w:t>
      </w:r>
      <w:r w:rsidR="000230CC">
        <w:t>HTA. The selected HTA advisory body should consider the service delivery nature and qualitative consumer experience aspects of the PTP trials as part of its assessment.</w:t>
      </w:r>
    </w:p>
    <w:p w14:paraId="40A45D52" w14:textId="77777777" w:rsidR="000230CC" w:rsidRPr="003F4318" w:rsidRDefault="000230CC" w:rsidP="003F4318">
      <w:pPr>
        <w:pStyle w:val="Heading2"/>
      </w:pPr>
      <w:bookmarkStart w:id="81" w:name="_Toc19097766"/>
      <w:bookmarkStart w:id="82" w:name="_Toc26366372"/>
      <w:r w:rsidRPr="003F4318">
        <w:t>evaluation questions</w:t>
      </w:r>
      <w:bookmarkEnd w:id="81"/>
      <w:bookmarkEnd w:id="82"/>
    </w:p>
    <w:p w14:paraId="57A97D5F" w14:textId="77777777" w:rsidR="006A4A32" w:rsidRDefault="000230CC" w:rsidP="000230CC">
      <w:pPr>
        <w:pStyle w:val="BodyCopy"/>
      </w:pPr>
      <w:r>
        <w:t>The implementation review of the PTP sought to assess the effectiveness of the program. The key evaluation question for effectiveness was:</w:t>
      </w:r>
    </w:p>
    <w:p w14:paraId="28D02973" w14:textId="782FAA69" w:rsidR="000230CC" w:rsidRDefault="000230CC" w:rsidP="000230CC">
      <w:pPr>
        <w:pStyle w:val="Quote"/>
      </w:pPr>
      <w:r w:rsidRPr="00A61304">
        <w:t xml:space="preserve">How well is the PTP being delivered and </w:t>
      </w:r>
      <w:r>
        <w:t xml:space="preserve">is it </w:t>
      </w:r>
      <w:r w:rsidRPr="00A61304">
        <w:t>working as expected?</w:t>
      </w:r>
    </w:p>
    <w:p w14:paraId="54D2ED6E" w14:textId="77777777" w:rsidR="000230CC" w:rsidRDefault="000230CC" w:rsidP="000230CC">
      <w:pPr>
        <w:pStyle w:val="BodyCopy"/>
      </w:pPr>
      <w:r>
        <w:t>Review of the effectiveness of the PTP included analysis of the following detailed review questions:</w:t>
      </w:r>
    </w:p>
    <w:p w14:paraId="3AEB67D5" w14:textId="77777777" w:rsidR="000230CC" w:rsidRDefault="000230CC" w:rsidP="000230CC">
      <w:pPr>
        <w:pStyle w:val="Heading4"/>
      </w:pPr>
      <w:r>
        <w:t>Program development processes</w:t>
      </w:r>
    </w:p>
    <w:p w14:paraId="73FB2C2B" w14:textId="77777777" w:rsidR="000230CC" w:rsidRDefault="000230CC" w:rsidP="00CE4251">
      <w:pPr>
        <w:pStyle w:val="Numbers1"/>
        <w:numPr>
          <w:ilvl w:val="0"/>
          <w:numId w:val="42"/>
        </w:numPr>
        <w:ind w:left="426" w:hanging="426"/>
      </w:pPr>
      <w:r>
        <w:t>Were stakeholders adequately engaged in the development of the PTP?</w:t>
      </w:r>
    </w:p>
    <w:p w14:paraId="3409D4EB" w14:textId="77777777" w:rsidR="006A4A32" w:rsidRDefault="000230CC" w:rsidP="00CE4251">
      <w:pPr>
        <w:pStyle w:val="Numbers1"/>
        <w:numPr>
          <w:ilvl w:val="0"/>
          <w:numId w:val="20"/>
        </w:numPr>
        <w:ind w:left="426" w:hanging="426"/>
      </w:pPr>
      <w:r>
        <w:t>Was the TAG membership appropriate for its Terms of Reference (TOR) and was the TOR realised?</w:t>
      </w:r>
    </w:p>
    <w:p w14:paraId="27946AC0" w14:textId="1C3B8FD6" w:rsidR="000230CC" w:rsidRDefault="000230CC" w:rsidP="00CE4251">
      <w:pPr>
        <w:pStyle w:val="Numbers1"/>
        <w:tabs>
          <w:tab w:val="clear" w:pos="360"/>
          <w:tab w:val="num" w:pos="567"/>
        </w:tabs>
        <w:ind w:left="426" w:hanging="426"/>
      </w:pPr>
      <w:r>
        <w:t>Was the lead-in time for PTP development, appraisal and selection process timely and did it allow for the delivery of grant activities within the 6CPA?</w:t>
      </w:r>
    </w:p>
    <w:p w14:paraId="6397F4F7" w14:textId="77777777" w:rsidR="006A4A32" w:rsidRDefault="000230CC" w:rsidP="000230CC">
      <w:pPr>
        <w:pStyle w:val="Heading4"/>
      </w:pPr>
      <w:r>
        <w:t>Trial design and selection processes</w:t>
      </w:r>
    </w:p>
    <w:p w14:paraId="5DDFC67D" w14:textId="7839FC7B" w:rsidR="000230CC" w:rsidRDefault="000230CC" w:rsidP="00051612">
      <w:pPr>
        <w:pStyle w:val="Numbers1"/>
        <w:numPr>
          <w:ilvl w:val="0"/>
          <w:numId w:val="43"/>
        </w:numPr>
        <w:ind w:left="426" w:hanging="426"/>
      </w:pPr>
      <w:r>
        <w:t>Were competitive, merit-based selection processes used?</w:t>
      </w:r>
    </w:p>
    <w:p w14:paraId="6CCE9BE6" w14:textId="77777777" w:rsidR="000230CC" w:rsidRDefault="000230CC" w:rsidP="00CE4251">
      <w:pPr>
        <w:pStyle w:val="Numbers1"/>
        <w:tabs>
          <w:tab w:val="clear" w:pos="360"/>
          <w:tab w:val="num" w:pos="426"/>
        </w:tabs>
        <w:ind w:left="426" w:hanging="426"/>
      </w:pPr>
      <w:r>
        <w:t>Were application and decision-making processes suitably transparent to grant applicants?</w:t>
      </w:r>
    </w:p>
    <w:p w14:paraId="4D3FB560" w14:textId="77777777" w:rsidR="000230CC" w:rsidRDefault="000230CC" w:rsidP="00CE4251">
      <w:pPr>
        <w:pStyle w:val="Numbers1"/>
        <w:tabs>
          <w:tab w:val="clear" w:pos="360"/>
          <w:tab w:val="num" w:pos="426"/>
        </w:tabs>
        <w:ind w:left="426" w:hanging="426"/>
      </w:pPr>
      <w:r>
        <w:t>Did section processes foster an outcomes orientation for the grants?</w:t>
      </w:r>
    </w:p>
    <w:p w14:paraId="530472BE" w14:textId="77777777" w:rsidR="006A4A32" w:rsidRDefault="000230CC" w:rsidP="000230CC">
      <w:pPr>
        <w:pStyle w:val="Heading4"/>
      </w:pPr>
      <w:r>
        <w:t>Administrative processes</w:t>
      </w:r>
    </w:p>
    <w:p w14:paraId="3795BE6F" w14:textId="579D925A" w:rsidR="000230CC" w:rsidRDefault="000230CC" w:rsidP="002C22EF">
      <w:pPr>
        <w:pStyle w:val="Numbers1"/>
        <w:numPr>
          <w:ilvl w:val="0"/>
          <w:numId w:val="44"/>
        </w:numPr>
      </w:pPr>
      <w:r>
        <w:t>Were decision makers and advisors (and their roles) identified and transparently communicated among stakeholders?</w:t>
      </w:r>
    </w:p>
    <w:p w14:paraId="1F9700E0" w14:textId="77777777" w:rsidR="006A4A32" w:rsidRDefault="000230CC" w:rsidP="00CE4251">
      <w:pPr>
        <w:pStyle w:val="Numbers1"/>
        <w:tabs>
          <w:tab w:val="clear" w:pos="360"/>
          <w:tab w:val="num" w:pos="709"/>
        </w:tabs>
        <w:ind w:left="426" w:hanging="426"/>
      </w:pPr>
      <w:r>
        <w:t>Is the record keeping relevant to the PTP grant process satisfactory?</w:t>
      </w:r>
    </w:p>
    <w:p w14:paraId="4526C3AD" w14:textId="6CB2BA03" w:rsidR="000230CC" w:rsidRDefault="000230CC" w:rsidP="000230CC">
      <w:pPr>
        <w:pStyle w:val="Heading4"/>
      </w:pPr>
      <w:r>
        <w:t>Program outputs</w:t>
      </w:r>
    </w:p>
    <w:p w14:paraId="7B2DA3AD" w14:textId="4CA7710F" w:rsidR="000230CC" w:rsidRDefault="000230CC" w:rsidP="002C22EF">
      <w:pPr>
        <w:pStyle w:val="Numbers1"/>
        <w:numPr>
          <w:ilvl w:val="0"/>
          <w:numId w:val="45"/>
        </w:numPr>
      </w:pPr>
      <w:r>
        <w:t xml:space="preserve">In the term of the 6CPA, how many trials were completed and evaluated by a relevant </w:t>
      </w:r>
      <w:r w:rsidR="00FA6383">
        <w:t xml:space="preserve">independent </w:t>
      </w:r>
      <w:r>
        <w:t xml:space="preserve">health technology assessment </w:t>
      </w:r>
      <w:r w:rsidR="00FA6383">
        <w:t>(</w:t>
      </w:r>
      <w:r>
        <w:t>HTA</w:t>
      </w:r>
      <w:r w:rsidR="00FA6383">
        <w:t>)</w:t>
      </w:r>
      <w:r>
        <w:t xml:space="preserve"> body?</w:t>
      </w:r>
    </w:p>
    <w:p w14:paraId="20ED3044" w14:textId="65834B29" w:rsidR="000230CC" w:rsidRPr="006F4F5A" w:rsidRDefault="000230CC" w:rsidP="00CE4251">
      <w:pPr>
        <w:pStyle w:val="Numbers1"/>
        <w:tabs>
          <w:tab w:val="clear" w:pos="360"/>
          <w:tab w:val="num" w:pos="709"/>
        </w:tabs>
        <w:ind w:left="426" w:hanging="426"/>
      </w:pPr>
      <w:r w:rsidRPr="0021516E">
        <w:t xml:space="preserve">Were processes developed for finalising the trials, including a process to proceed to </w:t>
      </w:r>
      <w:r>
        <w:t xml:space="preserve">an appropriate </w:t>
      </w:r>
      <w:r w:rsidR="005F4563">
        <w:t xml:space="preserve">independent </w:t>
      </w:r>
      <w:r>
        <w:t xml:space="preserve">HTA </w:t>
      </w:r>
      <w:r w:rsidRPr="0021516E">
        <w:t>evaluation?</w:t>
      </w:r>
    </w:p>
    <w:p w14:paraId="46616377" w14:textId="77777777" w:rsidR="000230CC" w:rsidRPr="004B11AE" w:rsidRDefault="000230CC" w:rsidP="000230CC">
      <w:pPr>
        <w:pStyle w:val="BodyCopy"/>
        <w:rPr>
          <w:b/>
        </w:rPr>
      </w:pPr>
      <w:r>
        <w:t>The detailed analysis of these questions is discussed in the remainder of this chapter.</w:t>
      </w:r>
    </w:p>
    <w:p w14:paraId="2131A001" w14:textId="77777777" w:rsidR="000230CC" w:rsidRPr="003F4318" w:rsidRDefault="000230CC" w:rsidP="003F4318">
      <w:pPr>
        <w:pStyle w:val="Heading2"/>
      </w:pPr>
      <w:bookmarkStart w:id="83" w:name="_Ref10383594"/>
      <w:bookmarkStart w:id="84" w:name="_Toc19097767"/>
      <w:bookmarkStart w:id="85" w:name="_Toc26366373"/>
      <w:r w:rsidRPr="003F4318">
        <w:lastRenderedPageBreak/>
        <w:t>Analysis and findings</w:t>
      </w:r>
      <w:bookmarkEnd w:id="83"/>
      <w:bookmarkEnd w:id="84"/>
      <w:bookmarkEnd w:id="85"/>
    </w:p>
    <w:p w14:paraId="07D3FCB1" w14:textId="77777777" w:rsidR="000230CC" w:rsidRDefault="000230CC" w:rsidP="000230CC">
      <w:pPr>
        <w:pStyle w:val="ESHeading2"/>
      </w:pPr>
      <w:r>
        <w:t xml:space="preserve">program </w:t>
      </w:r>
      <w:r w:rsidRPr="00E77F97">
        <w:t>Development</w:t>
      </w:r>
      <w:r w:rsidRPr="00FD366A">
        <w:t xml:space="preserve"> </w:t>
      </w:r>
      <w:r>
        <w:t>processes</w:t>
      </w:r>
    </w:p>
    <w:p w14:paraId="6A91B9DC" w14:textId="77777777" w:rsidR="000230CC" w:rsidRPr="003F4318" w:rsidRDefault="000230CC" w:rsidP="003F4318">
      <w:pPr>
        <w:pStyle w:val="Heading3"/>
      </w:pPr>
      <w:bookmarkStart w:id="86" w:name="_Toc8217029"/>
      <w:bookmarkStart w:id="87" w:name="_Ref10316513"/>
      <w:bookmarkStart w:id="88" w:name="_Toc19097768"/>
      <w:bookmarkStart w:id="89" w:name="_Toc26366374"/>
      <w:r w:rsidRPr="003F4318">
        <w:t>Stakeholder engagement processes</w:t>
      </w:r>
      <w:bookmarkEnd w:id="86"/>
      <w:bookmarkEnd w:id="87"/>
      <w:bookmarkEnd w:id="88"/>
      <w:bookmarkEnd w:id="89"/>
    </w:p>
    <w:p w14:paraId="220AAC37" w14:textId="77777777" w:rsidR="006A4A32" w:rsidRDefault="000230CC" w:rsidP="000230CC">
      <w:pPr>
        <w:pStyle w:val="BodyCopy"/>
      </w:pPr>
      <w:r>
        <w:t>The Department took several approaches to ensure stakeholders were engaged in the development of the PTP, including its underlying rules and priority setting. This included a stakeholder forum, a written call for ideas and the establishment of a TAG of professional and advocacy peak body representatives.</w:t>
      </w:r>
    </w:p>
    <w:p w14:paraId="06395A3A" w14:textId="77777777" w:rsidR="006A4A32" w:rsidRDefault="000230CC" w:rsidP="000230CC">
      <w:pPr>
        <w:pStyle w:val="BodyCopy"/>
      </w:pPr>
      <w:r>
        <w:t xml:space="preserve">The stakeholder forum was held at the end of October 2015 </w:t>
      </w:r>
      <w:sdt>
        <w:sdtPr>
          <w:id w:val="-1093091959"/>
          <w:citation/>
        </w:sdtPr>
        <w:sdtContent>
          <w:r>
            <w:fldChar w:fldCharType="begin"/>
          </w:r>
          <w:r w:rsidR="00820D12">
            <w:rPr>
              <w:lang w:val="en-US"/>
            </w:rPr>
            <w:instrText xml:space="preserve">CITATION Com151 \l 1033 </w:instrText>
          </w:r>
          <w:r>
            <w:fldChar w:fldCharType="separate"/>
          </w:r>
          <w:r w:rsidR="008B7448" w:rsidRPr="008B7448">
            <w:rPr>
              <w:noProof/>
              <w:lang w:val="en-US"/>
            </w:rPr>
            <w:t>[2]</w:t>
          </w:r>
          <w:r>
            <w:fldChar w:fldCharType="end"/>
          </w:r>
        </w:sdtContent>
      </w:sdt>
      <w:r>
        <w:t xml:space="preserve">. The forum was facilitated by the Department with attendees addressed by the Minister, the Deputy Secretary of the Health Benefits Group and Special Advisor Emeritus Professor Lloyd Sansom, Chair of the TAG. Executive personnel from the Guild, PSA, AACP, AMA and CHF also made presentations </w:t>
      </w:r>
      <w:sdt>
        <w:sdtPr>
          <w:id w:val="990838999"/>
          <w:citation/>
        </w:sdtPr>
        <w:sdtContent>
          <w:r>
            <w:fldChar w:fldCharType="begin"/>
          </w:r>
          <w:r w:rsidR="008B7448">
            <w:instrText xml:space="preserve">CITATION Com153 \l 3081 </w:instrText>
          </w:r>
          <w:r>
            <w:fldChar w:fldCharType="separate"/>
          </w:r>
          <w:r w:rsidR="008B7448" w:rsidRPr="008B7448">
            <w:rPr>
              <w:noProof/>
            </w:rPr>
            <w:t>[53]</w:t>
          </w:r>
          <w:r>
            <w:fldChar w:fldCharType="end"/>
          </w:r>
        </w:sdtContent>
      </w:sdt>
      <w:r>
        <w:t>.</w:t>
      </w:r>
    </w:p>
    <w:p w14:paraId="1828C066" w14:textId="751D75B3" w:rsidR="000230CC" w:rsidRDefault="000230CC" w:rsidP="000230CC">
      <w:pPr>
        <w:pStyle w:val="BodyCopy"/>
      </w:pPr>
      <w:r>
        <w:t xml:space="preserve">HMA was informed that over </w:t>
      </w:r>
      <w:r w:rsidRPr="001E5DA1">
        <w:t xml:space="preserve">100 </w:t>
      </w:r>
      <w:r>
        <w:t>attendees from invited stakeholder organisations were in attendance and were asked to:</w:t>
      </w:r>
    </w:p>
    <w:p w14:paraId="6E69D33B" w14:textId="0CE10A83" w:rsidR="000230CC" w:rsidRDefault="000230CC" w:rsidP="002C22EF">
      <w:pPr>
        <w:pStyle w:val="ListBullet"/>
      </w:pPr>
      <w:r>
        <w:t>identify priority health areas to be addressed by the trials</w:t>
      </w:r>
      <w:r w:rsidR="00CE4251">
        <w:t xml:space="preserve">; </w:t>
      </w:r>
      <w:r>
        <w:t>and</w:t>
      </w:r>
    </w:p>
    <w:p w14:paraId="01103553" w14:textId="77777777" w:rsidR="006A4A32" w:rsidRDefault="000230CC" w:rsidP="002C22EF">
      <w:pPr>
        <w:pStyle w:val="ListBullet"/>
      </w:pPr>
      <w:r>
        <w:t>discuss potential design principles.</w:t>
      </w:r>
    </w:p>
    <w:p w14:paraId="631D4D7B" w14:textId="77777777" w:rsidR="006A4A32" w:rsidRDefault="000230CC" w:rsidP="000230CC">
      <w:pPr>
        <w:pStyle w:val="BodyCopy"/>
      </w:pPr>
      <w:r>
        <w:t xml:space="preserve">Examples of PTP targets emerging from this discussion included medication management for older Australians in both the community and in residential aged care, integration of care across the health system including eHealth and PHNs, and QUM and reducing medication related harm </w:t>
      </w:r>
      <w:sdt>
        <w:sdtPr>
          <w:id w:val="-1942207876"/>
          <w:citation/>
        </w:sdtPr>
        <w:sdtContent>
          <w:r>
            <w:fldChar w:fldCharType="begin"/>
          </w:r>
          <w:r w:rsidR="008B7448">
            <w:instrText xml:space="preserve">CITATION Com153 \l 3081 </w:instrText>
          </w:r>
          <w:r>
            <w:fldChar w:fldCharType="separate"/>
          </w:r>
          <w:r w:rsidR="008B7448" w:rsidRPr="008B7448">
            <w:rPr>
              <w:noProof/>
            </w:rPr>
            <w:t>[53]</w:t>
          </w:r>
          <w:r>
            <w:fldChar w:fldCharType="end"/>
          </w:r>
        </w:sdtContent>
      </w:sdt>
      <w:r>
        <w:t>.</w:t>
      </w:r>
    </w:p>
    <w:p w14:paraId="44F5F7A4" w14:textId="1BFA0EFA" w:rsidR="000230CC" w:rsidRDefault="000230CC" w:rsidP="000230CC">
      <w:pPr>
        <w:pStyle w:val="BodyCopy"/>
      </w:pPr>
      <w:r>
        <w:t>Stakeholders attending the forum emphasised the need to consider a range of issues in the design and delivery of PTP trials, including:</w:t>
      </w:r>
    </w:p>
    <w:p w14:paraId="2B2A245F" w14:textId="4314671A" w:rsidR="000230CC" w:rsidRDefault="000230CC" w:rsidP="002C22EF">
      <w:pPr>
        <w:pStyle w:val="ListBullet"/>
      </w:pPr>
      <w:r>
        <w:t>performing a needs analysis to identify appropriate target groups, health areas or service gaps and ensure a patient focus</w:t>
      </w:r>
      <w:r w:rsidR="00CE4251">
        <w:t>;</w:t>
      </w:r>
    </w:p>
    <w:p w14:paraId="0AC22988" w14:textId="05FA8B5F" w:rsidR="000230CC" w:rsidRDefault="000230CC" w:rsidP="002C22EF">
      <w:pPr>
        <w:pStyle w:val="ListBullet"/>
      </w:pPr>
      <w:r>
        <w:t>innovative service design with applicability to various locations/settings</w:t>
      </w:r>
      <w:r w:rsidR="00CE4251">
        <w:t>;</w:t>
      </w:r>
    </w:p>
    <w:p w14:paraId="55BFF1CA" w14:textId="0F69C005" w:rsidR="000230CC" w:rsidRDefault="000230CC" w:rsidP="002C22EF">
      <w:pPr>
        <w:pStyle w:val="ListBullet"/>
      </w:pPr>
      <w:r>
        <w:t>application of co-design principles and extensive stakeholder engagement</w:t>
      </w:r>
      <w:r w:rsidR="00CE4251">
        <w:t>;</w:t>
      </w:r>
      <w:r>
        <w:t xml:space="preserve"> and</w:t>
      </w:r>
    </w:p>
    <w:p w14:paraId="2E2B518F" w14:textId="77777777" w:rsidR="006A4A32" w:rsidRDefault="000230CC" w:rsidP="002C22EF">
      <w:pPr>
        <w:pStyle w:val="ListBullet"/>
      </w:pPr>
      <w:r>
        <w:t xml:space="preserve">capacity and capability of current community pharmacy workforce to deliver on individual trial objectives </w:t>
      </w:r>
      <w:sdt>
        <w:sdtPr>
          <w:id w:val="218791524"/>
          <w:citation/>
        </w:sdtPr>
        <w:sdtContent>
          <w:r>
            <w:fldChar w:fldCharType="begin"/>
          </w:r>
          <w:r w:rsidR="00820D12">
            <w:rPr>
              <w:lang w:val="en-US"/>
            </w:rPr>
            <w:instrText xml:space="preserve">CITATION Com151 \l 1033 </w:instrText>
          </w:r>
          <w:r>
            <w:fldChar w:fldCharType="separate"/>
          </w:r>
          <w:r w:rsidR="008B7448" w:rsidRPr="008B7448">
            <w:rPr>
              <w:noProof/>
              <w:lang w:val="en-US"/>
            </w:rPr>
            <w:t>[2]</w:t>
          </w:r>
          <w:r>
            <w:fldChar w:fldCharType="end"/>
          </w:r>
        </w:sdtContent>
      </w:sdt>
      <w:r>
        <w:t>.</w:t>
      </w:r>
    </w:p>
    <w:p w14:paraId="0860938D" w14:textId="77777777" w:rsidR="006A4A32" w:rsidRDefault="000230CC" w:rsidP="000230CC">
      <w:pPr>
        <w:pStyle w:val="BodyCopy"/>
      </w:pPr>
      <w:r w:rsidRPr="0087796C">
        <w:t>Following the stakeholder forum, a discussion paper was produced and circulated to a wider range of stakeholders over a six-week period from March to April 2016. This discussion paper included a ‘call for ideas’ from stakeholders to aid in the prioritisation of PTP themes</w:t>
      </w:r>
      <w:sdt>
        <w:sdtPr>
          <w:id w:val="2007625936"/>
          <w:citation/>
        </w:sdtPr>
        <w:sdtContent>
          <w:r>
            <w:fldChar w:fldCharType="begin"/>
          </w:r>
          <w:r w:rsidR="00820D12">
            <w:rPr>
              <w:lang w:val="en-US"/>
            </w:rPr>
            <w:instrText xml:space="preserve">CITATION Com164 \l 1033 </w:instrText>
          </w:r>
          <w:r>
            <w:fldChar w:fldCharType="separate"/>
          </w:r>
          <w:r w:rsidR="008B7448">
            <w:rPr>
              <w:noProof/>
              <w:lang w:val="en-US"/>
            </w:rPr>
            <w:t xml:space="preserve"> </w:t>
          </w:r>
          <w:r w:rsidR="008B7448" w:rsidRPr="008B7448">
            <w:rPr>
              <w:noProof/>
              <w:lang w:val="en-US"/>
            </w:rPr>
            <w:t>[11]</w:t>
          </w:r>
          <w:r>
            <w:fldChar w:fldCharType="end"/>
          </w:r>
        </w:sdtContent>
      </w:sdt>
      <w:r w:rsidRPr="0087796C">
        <w:t>.</w:t>
      </w:r>
    </w:p>
    <w:p w14:paraId="0727AC04" w14:textId="77777777" w:rsidR="006A4A32" w:rsidRDefault="000230CC" w:rsidP="000230CC">
      <w:pPr>
        <w:pStyle w:val="BodyCopy"/>
      </w:pPr>
      <w:bookmarkStart w:id="90" w:name="_Hlk10543619"/>
      <w:bookmarkStart w:id="91" w:name="_Toc8217031"/>
      <w:r w:rsidRPr="001E5DA1">
        <w:t>Although they participated in the stakeholder forum</w:t>
      </w:r>
      <w:r>
        <w:t xml:space="preserve">, the RACGP and ACRRM </w:t>
      </w:r>
      <w:r w:rsidRPr="001E5DA1">
        <w:t>still</w:t>
      </w:r>
      <w:r w:rsidRPr="006C7D54">
        <w:rPr>
          <w:shd w:val="clear" w:color="auto" w:fill="92D050"/>
        </w:rPr>
        <w:t xml:space="preserve"> </w:t>
      </w:r>
      <w:r>
        <w:t>indicated that they had little involvement in the design and development of the PTP. The NRHA, AHPA, NMHCCF and PA were not involved in the stakeholder forum and said they had no other engagement in the PTP design processes. The representative PHNs consulted in this review also indicated they were not involved in development of the PTP.</w:t>
      </w:r>
    </w:p>
    <w:p w14:paraId="70FE625A" w14:textId="7C092D9C" w:rsidR="000230CC" w:rsidRPr="004F4AC7" w:rsidRDefault="000230CC" w:rsidP="000230CC">
      <w:pPr>
        <w:pStyle w:val="BodyCopy"/>
      </w:pPr>
      <w:r>
        <w:t>Many stakeholders consulted felt that a future program would benefit from broader stakeholder input in the design phase. The RACGP commented that, despite having a representative on the TAG, it was</w:t>
      </w:r>
      <w:r w:rsidR="00425FF5">
        <w:t xml:space="preserve"> </w:t>
      </w:r>
      <w:r>
        <w:t>unable to provide adequate input to the PTP considering the importance of interactions between GPs and community pharmacists in consumer care.</w:t>
      </w:r>
    </w:p>
    <w:p w14:paraId="258317B8" w14:textId="77777777" w:rsidR="006A4A32" w:rsidRDefault="000230CC" w:rsidP="000230CC">
      <w:pPr>
        <w:pStyle w:val="Quote"/>
      </w:pPr>
      <w:r>
        <w:t>‘</w:t>
      </w:r>
      <w:r w:rsidRPr="003152CE">
        <w:t>The RACGP could and should be engaged with community pharmacy</w:t>
      </w:r>
      <w:r>
        <w:t>. W</w:t>
      </w:r>
      <w:r w:rsidRPr="003152CE">
        <w:t>e sometimes sense that various projects get the go</w:t>
      </w:r>
      <w:r>
        <w:t>-</w:t>
      </w:r>
      <w:r w:rsidRPr="003152CE">
        <w:t>ahead without enough discussion</w:t>
      </w:r>
      <w:r>
        <w:t>.’</w:t>
      </w:r>
    </w:p>
    <w:p w14:paraId="5BE92BB6" w14:textId="77777777" w:rsidR="006A4A32" w:rsidRDefault="000230CC" w:rsidP="000230CC">
      <w:pPr>
        <w:pStyle w:val="Quote"/>
        <w:jc w:val="right"/>
      </w:pPr>
      <w:r>
        <w:t>RACGP comment</w:t>
      </w:r>
    </w:p>
    <w:bookmarkEnd w:id="90"/>
    <w:p w14:paraId="193536FE" w14:textId="3131BB3F" w:rsidR="000230CC" w:rsidRDefault="000230CC" w:rsidP="0077662C">
      <w:pPr>
        <w:pStyle w:val="KeyFinding"/>
      </w:pPr>
      <w:r>
        <w:t xml:space="preserve">The Department undertook several approaches to seek stakeholder input into the development and design of the PTP and setting of priority areas. This included a stakeholder forum, a ‘call for ideas’ and convening a </w:t>
      </w:r>
      <w:r w:rsidR="00FF40AE">
        <w:t>T</w:t>
      </w:r>
      <w:r>
        <w:t xml:space="preserve">rial </w:t>
      </w:r>
      <w:r w:rsidR="00FF40AE">
        <w:t>A</w:t>
      </w:r>
      <w:r>
        <w:t xml:space="preserve">dvisory </w:t>
      </w:r>
      <w:r w:rsidR="00FF40AE">
        <w:t>G</w:t>
      </w:r>
      <w:r>
        <w:t>roup. Many professional and advocacy peak bodies would have liked greater engagement in the developmental stages, beyond the activities described.</w:t>
      </w:r>
    </w:p>
    <w:p w14:paraId="55E7D85C" w14:textId="77777777" w:rsidR="006A4A32" w:rsidRDefault="000230CC" w:rsidP="000230CC">
      <w:pPr>
        <w:pStyle w:val="Heading4"/>
      </w:pPr>
      <w:r>
        <w:lastRenderedPageBreak/>
        <w:t xml:space="preserve">Co-design of trials with </w:t>
      </w:r>
      <w:r w:rsidRPr="006B146E">
        <w:t>relevant stakeholders</w:t>
      </w:r>
    </w:p>
    <w:p w14:paraId="674DE516" w14:textId="1B3EDE6E" w:rsidR="000230CC" w:rsidRDefault="000230CC" w:rsidP="000230CC">
      <w:pPr>
        <w:pStyle w:val="BodyCopy"/>
      </w:pPr>
      <w:bookmarkStart w:id="92" w:name="_Hlk10543651"/>
      <w:r>
        <w:t>Peak bodies with a focus on vulnerable population groups noted a lack of engagement in the design of individual trials. In particular:</w:t>
      </w:r>
    </w:p>
    <w:p w14:paraId="529ECE90" w14:textId="0A03FD22" w:rsidR="000230CC" w:rsidRDefault="000230CC" w:rsidP="00051612">
      <w:pPr>
        <w:pStyle w:val="ListBullet"/>
      </w:pPr>
      <w:r>
        <w:t xml:space="preserve">the NMHCCF was not consulted in the development of the </w:t>
      </w:r>
      <w:r w:rsidR="00051612" w:rsidRPr="00051612">
        <w:t>Bridging the Gap between Physical and Mental Illness in Community Pharmacy Trial (PharMIbridge Trial</w:t>
      </w:r>
      <w:r w:rsidR="00051612">
        <w:t xml:space="preserve"> protocol has </w:t>
      </w:r>
      <w:r>
        <w:t>yet to be approved). It commented:</w:t>
      </w:r>
    </w:p>
    <w:p w14:paraId="31674580" w14:textId="77777777" w:rsidR="000230CC" w:rsidRPr="00F71900" w:rsidRDefault="000230CC" w:rsidP="00F71900">
      <w:pPr>
        <w:pStyle w:val="Quote"/>
      </w:pPr>
      <w:r w:rsidRPr="00F71900">
        <w:t>‘While intent of the program was good, all the programs are ‘doing to’ not ‘doing with’ consumers.’</w:t>
      </w:r>
    </w:p>
    <w:p w14:paraId="2CB8F38C" w14:textId="77777777" w:rsidR="006A4A32" w:rsidRDefault="000230CC" w:rsidP="002C22EF">
      <w:pPr>
        <w:pStyle w:val="ListBullet"/>
      </w:pPr>
      <w:r>
        <w:t xml:space="preserve">NACCHO was not initially involved in the design of the IMeRSe </w:t>
      </w:r>
      <w:r w:rsidR="00CE4251">
        <w:t>Feasibility Study</w:t>
      </w:r>
      <w:r>
        <w:t>, although it has</w:t>
      </w:r>
      <w:r w:rsidR="00425FF5">
        <w:t xml:space="preserve"> </w:t>
      </w:r>
      <w:r>
        <w:t xml:space="preserve">subsequently been engaged in the </w:t>
      </w:r>
      <w:r w:rsidR="00CE4251">
        <w:t>trial</w:t>
      </w:r>
      <w:r>
        <w:t>.</w:t>
      </w:r>
    </w:p>
    <w:p w14:paraId="71FA6E86" w14:textId="77777777" w:rsidR="006A4A32" w:rsidRDefault="000230CC" w:rsidP="000230CC">
      <w:pPr>
        <w:pStyle w:val="BodyCopy"/>
      </w:pPr>
      <w:r>
        <w:t>These stakeholders felt increased co-design with consumers from the start of the design process would improve potential trial uptake and hence the ultimate outcomes of trials.</w:t>
      </w:r>
      <w:bookmarkEnd w:id="92"/>
    </w:p>
    <w:p w14:paraId="3228713C" w14:textId="77777777" w:rsidR="006A4A32" w:rsidRDefault="000230CC" w:rsidP="003F4318">
      <w:pPr>
        <w:pStyle w:val="Heading3"/>
      </w:pPr>
      <w:bookmarkStart w:id="93" w:name="_Toc19097769"/>
      <w:bookmarkStart w:id="94" w:name="_Toc26366375"/>
      <w:r w:rsidRPr="003F4318">
        <w:t>Trials Advisory Group</w:t>
      </w:r>
      <w:bookmarkEnd w:id="91"/>
      <w:bookmarkEnd w:id="93"/>
      <w:bookmarkEnd w:id="94"/>
    </w:p>
    <w:p w14:paraId="121C2992" w14:textId="4B944FAA" w:rsidR="006A4A32" w:rsidRDefault="000230CC" w:rsidP="000230CC">
      <w:pPr>
        <w:pStyle w:val="BodyCopy"/>
      </w:pPr>
      <w:r>
        <w:t xml:space="preserve">The TAG was formed to provide expert and technical advice to the Minister and the Department throughout the development and implementation of the PTP. The TAG consisted of fourteen members including clinicians and policy experts. This included representatives from community, consultant and hospital pharmacy, primary health care, consumer advocacy, health research and evidence, health technology assessment and quality use of medicines. The potential appointment of a rural and remote health practitioner to the TAG was indicated, but this did not occur </w:t>
      </w:r>
      <w:sdt>
        <w:sdtPr>
          <w:id w:val="-1389407153"/>
          <w:citation/>
        </w:sdtPr>
        <w:sdtContent>
          <w:r>
            <w:fldChar w:fldCharType="begin"/>
          </w:r>
          <w:r w:rsidR="00820D12">
            <w:instrText xml:space="preserve">CITATION Com165 \l 3081 </w:instrText>
          </w:r>
          <w:r>
            <w:fldChar w:fldCharType="separate"/>
          </w:r>
          <w:r w:rsidR="008B7448" w:rsidRPr="008B7448">
            <w:rPr>
              <w:noProof/>
            </w:rPr>
            <w:t>[40]</w:t>
          </w:r>
          <w:r>
            <w:fldChar w:fldCharType="end"/>
          </w:r>
        </w:sdtContent>
      </w:sdt>
      <w:r>
        <w:t xml:space="preserve">. The membership of the TAG is presented in </w:t>
      </w:r>
      <w:r>
        <w:fldChar w:fldCharType="begin"/>
      </w:r>
      <w:r>
        <w:instrText xml:space="preserve"> REF _Ref4410325 \h </w:instrText>
      </w:r>
      <w:r>
        <w:fldChar w:fldCharType="separate"/>
      </w:r>
      <w:r w:rsidR="006B6B4C">
        <w:t xml:space="preserve">Table </w:t>
      </w:r>
      <w:r w:rsidR="006B6B4C">
        <w:rPr>
          <w:noProof/>
        </w:rPr>
        <w:t>5</w:t>
      </w:r>
      <w:r w:rsidR="006B6B4C">
        <w:t>.</w:t>
      </w:r>
      <w:r w:rsidR="006B6B4C">
        <w:rPr>
          <w:noProof/>
        </w:rPr>
        <w:t>1</w:t>
      </w:r>
      <w:r>
        <w:fldChar w:fldCharType="end"/>
      </w:r>
      <w:r>
        <w:t>.</w:t>
      </w:r>
    </w:p>
    <w:p w14:paraId="40B5656D" w14:textId="6C36EC82" w:rsidR="000230CC" w:rsidRDefault="000230CC" w:rsidP="00275CD3">
      <w:pPr>
        <w:pStyle w:val="Caption"/>
        <w:keepNext/>
      </w:pPr>
      <w:bookmarkStart w:id="95" w:name="_Ref4410325"/>
      <w:r>
        <w:t xml:space="preserve">Table </w:t>
      </w:r>
      <w:r>
        <w:rPr>
          <w:noProof/>
        </w:rPr>
        <w:fldChar w:fldCharType="begin"/>
      </w:r>
      <w:r>
        <w:rPr>
          <w:noProof/>
        </w:rPr>
        <w:instrText xml:space="preserve"> STYLEREF 1 \s </w:instrText>
      </w:r>
      <w:r>
        <w:rPr>
          <w:noProof/>
        </w:rPr>
        <w:fldChar w:fldCharType="separate"/>
      </w:r>
      <w:r w:rsidR="008B7448">
        <w:rPr>
          <w:noProof/>
        </w:rPr>
        <w:t>5</w:t>
      </w:r>
      <w:r>
        <w:rPr>
          <w:noProof/>
        </w:rPr>
        <w:fldChar w:fldCharType="end"/>
      </w:r>
      <w:r>
        <w:t>.</w:t>
      </w:r>
      <w:r>
        <w:rPr>
          <w:noProof/>
        </w:rPr>
        <w:fldChar w:fldCharType="begin"/>
      </w:r>
      <w:r>
        <w:rPr>
          <w:noProof/>
        </w:rPr>
        <w:instrText xml:space="preserve"> SEQ Table \* ARABIC \s 1 </w:instrText>
      </w:r>
      <w:r>
        <w:rPr>
          <w:noProof/>
        </w:rPr>
        <w:fldChar w:fldCharType="separate"/>
      </w:r>
      <w:r w:rsidR="008B7448">
        <w:rPr>
          <w:noProof/>
        </w:rPr>
        <w:t>1</w:t>
      </w:r>
      <w:r>
        <w:rPr>
          <w:noProof/>
        </w:rPr>
        <w:fldChar w:fldCharType="end"/>
      </w:r>
      <w:bookmarkEnd w:id="95"/>
      <w:r>
        <w:t xml:space="preserve"> </w:t>
      </w:r>
      <w:r w:rsidRPr="00A93DAC">
        <w:rPr>
          <w:rStyle w:val="Captionnotbold"/>
        </w:rPr>
        <w:t>TAG Membership</w:t>
      </w:r>
    </w:p>
    <w:tbl>
      <w:tblPr>
        <w:tblStyle w:val="TableGridLight"/>
        <w:tblW w:w="0" w:type="auto"/>
        <w:tblLook w:val="04A0" w:firstRow="1" w:lastRow="0" w:firstColumn="1" w:lastColumn="0" w:noHBand="0" w:noVBand="1"/>
        <w:tblCaption w:val="Table 5.1 TAG Membership"/>
        <w:tblDescription w:val="Table 5.1 TAG Membership"/>
      </w:tblPr>
      <w:tblGrid>
        <w:gridCol w:w="3369"/>
        <w:gridCol w:w="3260"/>
      </w:tblGrid>
      <w:tr w:rsidR="000230CC" w14:paraId="4294B150" w14:textId="77777777" w:rsidTr="000619E2">
        <w:trPr>
          <w:tblHeader/>
        </w:trPr>
        <w:tc>
          <w:tcPr>
            <w:tcW w:w="3369" w:type="dxa"/>
            <w:shd w:val="clear" w:color="auto" w:fill="ECECEC" w:themeFill="accent4" w:themeFillTint="33"/>
          </w:tcPr>
          <w:p w14:paraId="0A00E2D7" w14:textId="77777777" w:rsidR="000230CC" w:rsidRPr="00C064CB" w:rsidRDefault="000230CC" w:rsidP="000230CC">
            <w:pPr>
              <w:pStyle w:val="TableColumnHeading"/>
            </w:pPr>
            <w:r>
              <w:t>Member</w:t>
            </w:r>
          </w:p>
        </w:tc>
        <w:tc>
          <w:tcPr>
            <w:tcW w:w="3260" w:type="dxa"/>
            <w:shd w:val="clear" w:color="auto" w:fill="ECECEC" w:themeFill="accent4" w:themeFillTint="33"/>
          </w:tcPr>
          <w:p w14:paraId="5F0AF638" w14:textId="77777777" w:rsidR="000230CC" w:rsidRPr="00C064CB" w:rsidRDefault="000230CC" w:rsidP="000230CC">
            <w:pPr>
              <w:pStyle w:val="TableColumnHeading"/>
            </w:pPr>
            <w:r>
              <w:t>Area of expertise</w:t>
            </w:r>
          </w:p>
        </w:tc>
      </w:tr>
      <w:tr w:rsidR="000230CC" w14:paraId="4DE659B3" w14:textId="77777777" w:rsidTr="000619E2">
        <w:tc>
          <w:tcPr>
            <w:tcW w:w="3369" w:type="dxa"/>
          </w:tcPr>
          <w:p w14:paraId="5D632446" w14:textId="7F5D46AD" w:rsidR="000230CC" w:rsidRDefault="000230CC" w:rsidP="000230CC">
            <w:pPr>
              <w:pStyle w:val="TableCopy"/>
              <w:keepNext/>
            </w:pPr>
            <w:r>
              <w:t>Emeritus Professor Lloyd Sansom</w:t>
            </w:r>
            <w:r w:rsidR="00DA370D">
              <w:t xml:space="preserve"> AO</w:t>
            </w:r>
            <w:r w:rsidR="006A4A32">
              <w:t xml:space="preserve"> </w:t>
            </w:r>
            <w:r>
              <w:t>(Chair)</w:t>
            </w:r>
          </w:p>
        </w:tc>
        <w:tc>
          <w:tcPr>
            <w:tcW w:w="3260" w:type="dxa"/>
          </w:tcPr>
          <w:p w14:paraId="3F7385F2" w14:textId="77777777" w:rsidR="000230CC" w:rsidRDefault="000230CC" w:rsidP="000230CC">
            <w:pPr>
              <w:pStyle w:val="TableCopy"/>
              <w:keepNext/>
            </w:pPr>
            <w:r>
              <w:t>Pharmacy and national medicine policy</w:t>
            </w:r>
          </w:p>
        </w:tc>
      </w:tr>
      <w:tr w:rsidR="000230CC" w14:paraId="18832465" w14:textId="77777777" w:rsidTr="000619E2">
        <w:tc>
          <w:tcPr>
            <w:tcW w:w="3369" w:type="dxa"/>
          </w:tcPr>
          <w:p w14:paraId="190BF821" w14:textId="77777777" w:rsidR="000230CC" w:rsidRDefault="000230CC" w:rsidP="000230CC">
            <w:pPr>
              <w:pStyle w:val="TableCopy"/>
              <w:keepNext/>
            </w:pPr>
            <w:r>
              <w:t>Dr Ian Coombes</w:t>
            </w:r>
          </w:p>
        </w:tc>
        <w:tc>
          <w:tcPr>
            <w:tcW w:w="3260" w:type="dxa"/>
          </w:tcPr>
          <w:p w14:paraId="7B3AC421" w14:textId="77777777" w:rsidR="000230CC" w:rsidRDefault="000230CC" w:rsidP="000230CC">
            <w:pPr>
              <w:pStyle w:val="TableCopy"/>
              <w:keepNext/>
            </w:pPr>
            <w:r>
              <w:t>Hospital pharmacy</w:t>
            </w:r>
          </w:p>
        </w:tc>
      </w:tr>
      <w:tr w:rsidR="000230CC" w14:paraId="2C1527BC" w14:textId="77777777" w:rsidTr="000619E2">
        <w:tc>
          <w:tcPr>
            <w:tcW w:w="3369" w:type="dxa"/>
          </w:tcPr>
          <w:p w14:paraId="7A17FAA6" w14:textId="77777777" w:rsidR="000230CC" w:rsidRDefault="000230CC" w:rsidP="000230CC">
            <w:pPr>
              <w:pStyle w:val="TableCopy"/>
              <w:keepNext/>
            </w:pPr>
            <w:r>
              <w:t>Mr Mark Douglass</w:t>
            </w:r>
          </w:p>
        </w:tc>
        <w:tc>
          <w:tcPr>
            <w:tcW w:w="3260" w:type="dxa"/>
          </w:tcPr>
          <w:p w14:paraId="04F7A8D8" w14:textId="59BCF129" w:rsidR="000230CC" w:rsidRDefault="000230CC" w:rsidP="000230CC">
            <w:pPr>
              <w:pStyle w:val="TableCopy"/>
              <w:keepNext/>
            </w:pPr>
            <w:r>
              <w:t>Community pharmacy (</w:t>
            </w:r>
            <w:r w:rsidR="00411FDA">
              <w:t>t</w:t>
            </w:r>
            <w:r>
              <w:t>he Guild)</w:t>
            </w:r>
          </w:p>
        </w:tc>
      </w:tr>
      <w:tr w:rsidR="000230CC" w14:paraId="482B72A3" w14:textId="77777777" w:rsidTr="000619E2">
        <w:tc>
          <w:tcPr>
            <w:tcW w:w="3369" w:type="dxa"/>
          </w:tcPr>
          <w:p w14:paraId="42A212CA" w14:textId="77777777" w:rsidR="000230CC" w:rsidRDefault="000230CC" w:rsidP="000230CC">
            <w:pPr>
              <w:pStyle w:val="TableCopy"/>
              <w:keepNext/>
            </w:pPr>
            <w:r>
              <w:t xml:space="preserve">Dr Tony Hobbs </w:t>
            </w:r>
          </w:p>
        </w:tc>
        <w:tc>
          <w:tcPr>
            <w:tcW w:w="3260" w:type="dxa"/>
          </w:tcPr>
          <w:p w14:paraId="5EB7B1C3" w14:textId="77777777" w:rsidR="000230CC" w:rsidRDefault="000230CC" w:rsidP="000230CC">
            <w:pPr>
              <w:pStyle w:val="TableCopy"/>
              <w:keepNext/>
            </w:pPr>
            <w:r>
              <w:t xml:space="preserve">Primary health care </w:t>
            </w:r>
          </w:p>
        </w:tc>
      </w:tr>
      <w:tr w:rsidR="000230CC" w14:paraId="689B4D4C" w14:textId="77777777" w:rsidTr="000619E2">
        <w:tc>
          <w:tcPr>
            <w:tcW w:w="3369" w:type="dxa"/>
          </w:tcPr>
          <w:p w14:paraId="45D9A72A" w14:textId="77777777" w:rsidR="000230CC" w:rsidRDefault="000230CC" w:rsidP="000230CC">
            <w:pPr>
              <w:pStyle w:val="TableCopy"/>
              <w:keepNext/>
            </w:pPr>
            <w:r>
              <w:t>Dr Shane Jackson</w:t>
            </w:r>
          </w:p>
        </w:tc>
        <w:tc>
          <w:tcPr>
            <w:tcW w:w="3260" w:type="dxa"/>
          </w:tcPr>
          <w:p w14:paraId="49EEC8D4" w14:textId="77777777" w:rsidR="000230CC" w:rsidRDefault="000230CC" w:rsidP="000230CC">
            <w:pPr>
              <w:pStyle w:val="TableCopy"/>
              <w:keepNext/>
            </w:pPr>
            <w:r>
              <w:t xml:space="preserve">Community </w:t>
            </w:r>
            <w:r w:rsidRPr="00FA000D">
              <w:t>pharmacy (PSA)</w:t>
            </w:r>
          </w:p>
        </w:tc>
      </w:tr>
      <w:tr w:rsidR="000230CC" w14:paraId="76B4A750" w14:textId="77777777" w:rsidTr="000619E2">
        <w:tc>
          <w:tcPr>
            <w:tcW w:w="3369" w:type="dxa"/>
          </w:tcPr>
          <w:p w14:paraId="28F1461C" w14:textId="77777777" w:rsidR="000230CC" w:rsidRDefault="000230CC" w:rsidP="000230CC">
            <w:pPr>
              <w:pStyle w:val="TableCopy"/>
              <w:keepNext/>
            </w:pPr>
            <w:r>
              <w:t>Mr Grant Martin</w:t>
            </w:r>
          </w:p>
        </w:tc>
        <w:tc>
          <w:tcPr>
            <w:tcW w:w="3260" w:type="dxa"/>
          </w:tcPr>
          <w:p w14:paraId="4B1B706B" w14:textId="77777777" w:rsidR="000230CC" w:rsidRDefault="000230CC" w:rsidP="000230CC">
            <w:pPr>
              <w:pStyle w:val="TableCopy"/>
              <w:keepNext/>
            </w:pPr>
            <w:r>
              <w:t>Pharmacy (Australian Association of Consultant Pharmacy)</w:t>
            </w:r>
          </w:p>
        </w:tc>
      </w:tr>
      <w:tr w:rsidR="000230CC" w14:paraId="395150C9" w14:textId="77777777" w:rsidTr="000619E2">
        <w:tc>
          <w:tcPr>
            <w:tcW w:w="3369" w:type="dxa"/>
          </w:tcPr>
          <w:p w14:paraId="0B839E3A" w14:textId="77777777" w:rsidR="000230CC" w:rsidRDefault="000230CC" w:rsidP="000230CC">
            <w:pPr>
              <w:pStyle w:val="TableCopy"/>
              <w:keepNext/>
            </w:pPr>
            <w:r>
              <w:t>Dr Vlad Matic</w:t>
            </w:r>
          </w:p>
        </w:tc>
        <w:tc>
          <w:tcPr>
            <w:tcW w:w="3260" w:type="dxa"/>
          </w:tcPr>
          <w:p w14:paraId="5359DBC7" w14:textId="77777777" w:rsidR="000230CC" w:rsidRDefault="000230CC" w:rsidP="000230CC">
            <w:pPr>
              <w:pStyle w:val="TableCopy"/>
              <w:keepNext/>
            </w:pPr>
            <w:r>
              <w:t xml:space="preserve">Clinician and Indigenous representative </w:t>
            </w:r>
          </w:p>
        </w:tc>
      </w:tr>
      <w:tr w:rsidR="000230CC" w14:paraId="79227E03" w14:textId="77777777" w:rsidTr="000619E2">
        <w:tc>
          <w:tcPr>
            <w:tcW w:w="3369" w:type="dxa"/>
          </w:tcPr>
          <w:p w14:paraId="7F9513A5" w14:textId="77777777" w:rsidR="000230CC" w:rsidRDefault="000230CC" w:rsidP="000230CC">
            <w:pPr>
              <w:pStyle w:val="TableCopy"/>
              <w:keepNext/>
            </w:pPr>
            <w:r>
              <w:t>Ms Samantha Robertson</w:t>
            </w:r>
          </w:p>
        </w:tc>
        <w:tc>
          <w:tcPr>
            <w:tcW w:w="3260" w:type="dxa"/>
          </w:tcPr>
          <w:p w14:paraId="151F9EF9" w14:textId="77777777" w:rsidR="000230CC" w:rsidRDefault="000230CC" w:rsidP="000230CC">
            <w:pPr>
              <w:pStyle w:val="TableCopy"/>
              <w:keepNext/>
            </w:pPr>
            <w:r>
              <w:t>Evidence health and governance</w:t>
            </w:r>
          </w:p>
        </w:tc>
      </w:tr>
      <w:tr w:rsidR="000230CC" w14:paraId="0E82BB5B" w14:textId="77777777" w:rsidTr="000619E2">
        <w:tc>
          <w:tcPr>
            <w:tcW w:w="3369" w:type="dxa"/>
          </w:tcPr>
          <w:p w14:paraId="3B4924D6" w14:textId="77777777" w:rsidR="000230CC" w:rsidRDefault="000230CC" w:rsidP="000230CC">
            <w:pPr>
              <w:pStyle w:val="TableCopy"/>
              <w:keepNext/>
            </w:pPr>
            <w:r>
              <w:t xml:space="preserve">Dr Rashmi Sharma </w:t>
            </w:r>
          </w:p>
        </w:tc>
        <w:tc>
          <w:tcPr>
            <w:tcW w:w="3260" w:type="dxa"/>
          </w:tcPr>
          <w:p w14:paraId="00170761" w14:textId="77777777" w:rsidR="000230CC" w:rsidRDefault="000230CC" w:rsidP="000230CC">
            <w:pPr>
              <w:pStyle w:val="TableCopy"/>
              <w:keepNext/>
            </w:pPr>
            <w:r>
              <w:t>General Practice</w:t>
            </w:r>
          </w:p>
        </w:tc>
      </w:tr>
      <w:tr w:rsidR="000230CC" w14:paraId="5C734921" w14:textId="77777777" w:rsidTr="000619E2">
        <w:tc>
          <w:tcPr>
            <w:tcW w:w="3369" w:type="dxa"/>
          </w:tcPr>
          <w:p w14:paraId="485A3E7E" w14:textId="77777777" w:rsidR="000230CC" w:rsidRDefault="000230CC" w:rsidP="000230CC">
            <w:pPr>
              <w:pStyle w:val="TableCopy"/>
              <w:keepNext/>
            </w:pPr>
            <w:r>
              <w:t xml:space="preserve">Mr Brett Simmonds </w:t>
            </w:r>
          </w:p>
        </w:tc>
        <w:tc>
          <w:tcPr>
            <w:tcW w:w="3260" w:type="dxa"/>
          </w:tcPr>
          <w:p w14:paraId="491C4441" w14:textId="77777777" w:rsidR="000230CC" w:rsidRDefault="000230CC" w:rsidP="000230CC">
            <w:pPr>
              <w:pStyle w:val="TableCopy"/>
              <w:keepNext/>
            </w:pPr>
            <w:r>
              <w:t>Pharmacy</w:t>
            </w:r>
          </w:p>
        </w:tc>
      </w:tr>
      <w:tr w:rsidR="000230CC" w14:paraId="71BE9E94" w14:textId="77777777" w:rsidTr="000619E2">
        <w:tc>
          <w:tcPr>
            <w:tcW w:w="3369" w:type="dxa"/>
          </w:tcPr>
          <w:p w14:paraId="4DC956D2" w14:textId="77777777" w:rsidR="000230CC" w:rsidRDefault="000230CC" w:rsidP="000230CC">
            <w:pPr>
              <w:pStyle w:val="TableCopy"/>
              <w:keepNext/>
            </w:pPr>
            <w:r>
              <w:t>Mr Ian Todd</w:t>
            </w:r>
          </w:p>
        </w:tc>
        <w:tc>
          <w:tcPr>
            <w:tcW w:w="3260" w:type="dxa"/>
          </w:tcPr>
          <w:p w14:paraId="40149C57" w14:textId="77777777" w:rsidR="000230CC" w:rsidRDefault="000230CC" w:rsidP="000230CC">
            <w:pPr>
              <w:pStyle w:val="TableCopy"/>
              <w:keepNext/>
            </w:pPr>
            <w:r>
              <w:t>Community pharmacy (the Guild)</w:t>
            </w:r>
          </w:p>
        </w:tc>
      </w:tr>
      <w:tr w:rsidR="000230CC" w14:paraId="1C2461CA" w14:textId="77777777" w:rsidTr="000619E2">
        <w:tc>
          <w:tcPr>
            <w:tcW w:w="3369" w:type="dxa"/>
          </w:tcPr>
          <w:p w14:paraId="38D67FF6" w14:textId="77777777" w:rsidR="000230CC" w:rsidRDefault="000230CC" w:rsidP="000230CC">
            <w:pPr>
              <w:pStyle w:val="TableCopy"/>
              <w:keepNext/>
            </w:pPr>
            <w:r>
              <w:t>Ms Diane Walsh</w:t>
            </w:r>
          </w:p>
        </w:tc>
        <w:tc>
          <w:tcPr>
            <w:tcW w:w="3260" w:type="dxa"/>
          </w:tcPr>
          <w:p w14:paraId="17F7E54C" w14:textId="77777777" w:rsidR="000230CC" w:rsidRDefault="000230CC" w:rsidP="000230CC">
            <w:pPr>
              <w:pStyle w:val="TableCopy"/>
              <w:keepNext/>
            </w:pPr>
            <w:r>
              <w:t>Health care consumer</w:t>
            </w:r>
          </w:p>
        </w:tc>
      </w:tr>
      <w:tr w:rsidR="000230CC" w14:paraId="18954995" w14:textId="77777777" w:rsidTr="000619E2">
        <w:tc>
          <w:tcPr>
            <w:tcW w:w="3369" w:type="dxa"/>
          </w:tcPr>
          <w:p w14:paraId="3AC8394E" w14:textId="77777777" w:rsidR="000230CC" w:rsidRDefault="000230CC" w:rsidP="000230CC">
            <w:pPr>
              <w:pStyle w:val="TableCopy"/>
              <w:keepNext/>
            </w:pPr>
            <w:r>
              <w:t>Dr Claire O’Reilly</w:t>
            </w:r>
          </w:p>
        </w:tc>
        <w:tc>
          <w:tcPr>
            <w:tcW w:w="3260" w:type="dxa"/>
          </w:tcPr>
          <w:p w14:paraId="2E4B44A5" w14:textId="77777777" w:rsidR="000230CC" w:rsidRDefault="000230CC" w:rsidP="000230CC">
            <w:pPr>
              <w:pStyle w:val="TableCopy"/>
              <w:keepNext/>
            </w:pPr>
            <w:r>
              <w:t xml:space="preserve">Health Technology Assessment </w:t>
            </w:r>
          </w:p>
        </w:tc>
      </w:tr>
      <w:tr w:rsidR="000230CC" w14:paraId="4A2B675F" w14:textId="77777777" w:rsidTr="000619E2">
        <w:tc>
          <w:tcPr>
            <w:tcW w:w="3369" w:type="dxa"/>
          </w:tcPr>
          <w:p w14:paraId="3234923A" w14:textId="77777777" w:rsidR="000230CC" w:rsidRDefault="000230CC" w:rsidP="000230CC">
            <w:pPr>
              <w:pStyle w:val="TableCopy"/>
              <w:keepNext/>
            </w:pPr>
            <w:r>
              <w:t>Dr Lyn Weekes</w:t>
            </w:r>
          </w:p>
        </w:tc>
        <w:tc>
          <w:tcPr>
            <w:tcW w:w="3260" w:type="dxa"/>
          </w:tcPr>
          <w:p w14:paraId="25DA7E48" w14:textId="77777777" w:rsidR="000230CC" w:rsidRDefault="000230CC" w:rsidP="000230CC">
            <w:pPr>
              <w:pStyle w:val="TableCopy"/>
              <w:keepNext/>
            </w:pPr>
            <w:r>
              <w:t>Quality Use of Medicines and pharmacy education</w:t>
            </w:r>
          </w:p>
        </w:tc>
      </w:tr>
      <w:tr w:rsidR="000230CC" w14:paraId="11938EA3" w14:textId="77777777" w:rsidTr="000619E2">
        <w:tc>
          <w:tcPr>
            <w:tcW w:w="3369" w:type="dxa"/>
          </w:tcPr>
          <w:p w14:paraId="7E2991D5" w14:textId="77777777" w:rsidR="000230CC" w:rsidRDefault="000230CC" w:rsidP="000230CC">
            <w:pPr>
              <w:pStyle w:val="TableCopy"/>
              <w:keepNext/>
            </w:pPr>
            <w:r w:rsidRPr="008B5CD8">
              <w:t xml:space="preserve">Not appointed </w:t>
            </w:r>
          </w:p>
        </w:tc>
        <w:tc>
          <w:tcPr>
            <w:tcW w:w="3260" w:type="dxa"/>
          </w:tcPr>
          <w:p w14:paraId="1BCC8EEB" w14:textId="77777777" w:rsidR="000230CC" w:rsidRDefault="000230CC" w:rsidP="000230CC">
            <w:pPr>
              <w:pStyle w:val="TableCopy"/>
              <w:keepNext/>
            </w:pPr>
            <w:r>
              <w:t>Rural and remote health representative</w:t>
            </w:r>
          </w:p>
        </w:tc>
      </w:tr>
    </w:tbl>
    <w:p w14:paraId="2EBA3DF0" w14:textId="77777777" w:rsidR="006A4A32" w:rsidRDefault="000230CC" w:rsidP="000230CC">
      <w:pPr>
        <w:pStyle w:val="BodyCopy"/>
        <w:keepNext/>
        <w:spacing w:before="240"/>
      </w:pPr>
      <w:r>
        <w:t>Composition of the TAG was widely considered representative by stakeholders. The NMHCCF did not consider there was adequate Aboriginal and Torres Strait Islander</w:t>
      </w:r>
      <w:r w:rsidR="00CE4251">
        <w:t>s</w:t>
      </w:r>
      <w:r>
        <w:t xml:space="preserve"> or consumer representation stating:</w:t>
      </w:r>
    </w:p>
    <w:p w14:paraId="6D324ECA" w14:textId="77777777" w:rsidR="006A4A32" w:rsidRDefault="000230CC" w:rsidP="000230CC">
      <w:pPr>
        <w:pStyle w:val="Quote"/>
      </w:pPr>
      <w:r>
        <w:t>‘You can tick a box and say well we’ve had input but if they are not part of the group that is providing advice to the Minister, then they are relying on others and essentially that input can be lost.’</w:t>
      </w:r>
    </w:p>
    <w:p w14:paraId="286CED26" w14:textId="39E6FADA" w:rsidR="000230CC" w:rsidRDefault="000230CC" w:rsidP="000230CC">
      <w:pPr>
        <w:pStyle w:val="Quote"/>
        <w:jc w:val="right"/>
      </w:pPr>
      <w:r>
        <w:t>NMHCCF comment</w:t>
      </w:r>
    </w:p>
    <w:p w14:paraId="771207F7" w14:textId="77777777" w:rsidR="006A4A32" w:rsidRDefault="000230CC" w:rsidP="000230CC">
      <w:pPr>
        <w:pStyle w:val="BodyCopy"/>
      </w:pPr>
      <w:r>
        <w:t>HMA notes that, although not stated in the public information on the TAG membership, Dr Vlad Matic is an Aboriginal man and acted as the Indigenous representative for the TAG.</w:t>
      </w:r>
    </w:p>
    <w:p w14:paraId="2B87B0B0" w14:textId="3E05942B" w:rsidR="000230CC" w:rsidRDefault="000230CC" w:rsidP="0077662C">
      <w:pPr>
        <w:pStyle w:val="KeyFinding"/>
      </w:pPr>
      <w:r>
        <w:lastRenderedPageBreak/>
        <w:t xml:space="preserve">The TAG was </w:t>
      </w:r>
      <w:r w:rsidRPr="0045168C">
        <w:t xml:space="preserve">formed to provide expert and technical advice throughout the </w:t>
      </w:r>
      <w:r>
        <w:t>PTP. The membership was suitable for this narrowly defined purpose but may have benefited from additional representation from vulnerable consumer populations, including consumers in rural and remote areas and Aboriginal and Torres Strait Islander communities.</w:t>
      </w:r>
    </w:p>
    <w:p w14:paraId="0F920A03" w14:textId="2C66F779" w:rsidR="000230CC" w:rsidRDefault="000230CC" w:rsidP="000230CC">
      <w:pPr>
        <w:pStyle w:val="BodyCopy"/>
      </w:pPr>
      <w:r>
        <w:t xml:space="preserve">The TAG met five times throughout the PTP, with the first of these meetings being held in January 2016, consistent with the requirements outlined in the terms of reference (TOR) </w:t>
      </w:r>
      <w:sdt>
        <w:sdtPr>
          <w:id w:val="145012517"/>
          <w:citation/>
        </w:sdtPr>
        <w:sdtContent>
          <w:r>
            <w:fldChar w:fldCharType="begin"/>
          </w:r>
          <w:r w:rsidR="00820D12">
            <w:instrText xml:space="preserve">CITATION Com165 \l 3081 </w:instrText>
          </w:r>
          <w:r>
            <w:fldChar w:fldCharType="separate"/>
          </w:r>
          <w:r w:rsidR="008B7448" w:rsidRPr="008B7448">
            <w:rPr>
              <w:noProof/>
            </w:rPr>
            <w:t>[40]</w:t>
          </w:r>
          <w:r>
            <w:fldChar w:fldCharType="end"/>
          </w:r>
        </w:sdtContent>
      </w:sdt>
      <w:r>
        <w:t>.</w:t>
      </w:r>
    </w:p>
    <w:p w14:paraId="7096BFCC" w14:textId="77777777" w:rsidR="000230CC" w:rsidRDefault="000230CC" w:rsidP="000230CC">
      <w:pPr>
        <w:pStyle w:val="BodyCopy"/>
        <w:spacing w:before="240"/>
      </w:pPr>
      <w:r>
        <w:t>The role of the TAG as described by the TOR can be grouped into three main categories:</w:t>
      </w:r>
    </w:p>
    <w:p w14:paraId="6248E37A" w14:textId="3548C8E7" w:rsidR="000230CC" w:rsidRDefault="000230CC" w:rsidP="002C22EF">
      <w:pPr>
        <w:pStyle w:val="ListBullet"/>
      </w:pPr>
      <w:r>
        <w:t>setting priority areas for PTP trials</w:t>
      </w:r>
      <w:r w:rsidR="00CE4251">
        <w:t>;</w:t>
      </w:r>
    </w:p>
    <w:p w14:paraId="19C41B11" w14:textId="77777777" w:rsidR="006A4A32" w:rsidRDefault="000230CC" w:rsidP="002C22EF">
      <w:pPr>
        <w:pStyle w:val="ListBullet"/>
      </w:pPr>
      <w:r>
        <w:t>assessing submissions and trial protocols</w:t>
      </w:r>
      <w:r w:rsidR="00CE4251">
        <w:t>;</w:t>
      </w:r>
      <w:r>
        <w:t xml:space="preserve"> and</w:t>
      </w:r>
    </w:p>
    <w:p w14:paraId="5F27DDD7" w14:textId="77777777" w:rsidR="006A4A32" w:rsidRDefault="000230CC" w:rsidP="002C22EF">
      <w:pPr>
        <w:pStyle w:val="ListBullet"/>
      </w:pPr>
      <w:r>
        <w:t>providing input into the evaluation and transition of trials to longer term community pharmacy programs.</w:t>
      </w:r>
    </w:p>
    <w:p w14:paraId="0F845FCC" w14:textId="134F2AC1" w:rsidR="000230CC" w:rsidRDefault="000230CC" w:rsidP="002C22EF">
      <w:pPr>
        <w:pStyle w:val="BodyCopy"/>
        <w:spacing w:before="120"/>
      </w:pPr>
      <w:r>
        <w:t>Issues relating to TAG involvement in each of these main areas of activity are described below.</w:t>
      </w:r>
    </w:p>
    <w:p w14:paraId="645BDB77" w14:textId="77777777" w:rsidR="000230CC" w:rsidRDefault="000230CC" w:rsidP="000230CC">
      <w:pPr>
        <w:pStyle w:val="Heading4"/>
      </w:pPr>
      <w:r>
        <w:t>Setting priority areas</w:t>
      </w:r>
    </w:p>
    <w:p w14:paraId="369978E6" w14:textId="77777777" w:rsidR="006A4A32" w:rsidRDefault="000230CC" w:rsidP="000230CC">
      <w:pPr>
        <w:pStyle w:val="BodyCopy"/>
      </w:pPr>
      <w:r>
        <w:t>The TAG was involved in the setting of priority areas for Tranches 1 and 2 of the PTP but was not directly involved in providing advice on Tranche 3 trials.</w:t>
      </w:r>
    </w:p>
    <w:p w14:paraId="08360519" w14:textId="177675FF" w:rsidR="000230CC" w:rsidRDefault="000230CC" w:rsidP="000230CC">
      <w:pPr>
        <w:pStyle w:val="BodyCopy"/>
      </w:pPr>
      <w:r>
        <w:t xml:space="preserve">At the initial meeting of the TAG in January 2016, the group discussed priority areas for trials and potential trial themes that emerged from the stakeholder forum. This was used to prepare a discussion paper </w:t>
      </w:r>
      <w:r w:rsidRPr="001E5DA1">
        <w:t>to support the public</w:t>
      </w:r>
      <w:r>
        <w:t xml:space="preserve"> ‘call for ideas’. The submitted ideas were discussed and prioritised in the third meeting of the TAG, held in April 2016. Prioritised topics were submitted to the Minister for approval as Tranche 2 priority areas</w:t>
      </w:r>
      <w:sdt>
        <w:sdtPr>
          <w:id w:val="-1108191728"/>
          <w:citation/>
        </w:sdtPr>
        <w:sdtContent>
          <w:r>
            <w:fldChar w:fldCharType="begin"/>
          </w:r>
          <w:r>
            <w:instrText xml:space="preserve">CITATION Com185 \l 3081 </w:instrText>
          </w:r>
          <w:r>
            <w:fldChar w:fldCharType="separate"/>
          </w:r>
          <w:r w:rsidR="008B7448">
            <w:rPr>
              <w:noProof/>
            </w:rPr>
            <w:t xml:space="preserve"> </w:t>
          </w:r>
          <w:r w:rsidR="008B7448" w:rsidRPr="008B7448">
            <w:rPr>
              <w:noProof/>
            </w:rPr>
            <w:t>[54]</w:t>
          </w:r>
          <w:r>
            <w:fldChar w:fldCharType="end"/>
          </w:r>
        </w:sdtContent>
      </w:sdt>
      <w:r>
        <w:t>.</w:t>
      </w:r>
    </w:p>
    <w:p w14:paraId="60D12A7F" w14:textId="77777777" w:rsidR="006A4A32" w:rsidRDefault="000230CC" w:rsidP="000230CC">
      <w:pPr>
        <w:pStyle w:val="BodyCopy"/>
      </w:pPr>
      <w:r>
        <w:t>Tranche 1 topics were reviewed by the TAG at the second meeting (March 2016), based on the proposals submitted by the Guild</w:t>
      </w:r>
      <w:sdt>
        <w:sdtPr>
          <w:id w:val="-1709016611"/>
          <w:citation/>
        </w:sdtPr>
        <w:sdtContent>
          <w:r>
            <w:fldChar w:fldCharType="begin"/>
          </w:r>
          <w:r>
            <w:instrText xml:space="preserve">CITATION Com185 \l 3081 </w:instrText>
          </w:r>
          <w:r>
            <w:fldChar w:fldCharType="separate"/>
          </w:r>
          <w:r w:rsidR="008B7448">
            <w:rPr>
              <w:noProof/>
            </w:rPr>
            <w:t xml:space="preserve"> </w:t>
          </w:r>
          <w:r w:rsidR="008B7448" w:rsidRPr="008B7448">
            <w:rPr>
              <w:noProof/>
            </w:rPr>
            <w:t>[54]</w:t>
          </w:r>
          <w:r>
            <w:fldChar w:fldCharType="end"/>
          </w:r>
        </w:sdtContent>
      </w:sdt>
      <w:r>
        <w:t>.</w:t>
      </w:r>
    </w:p>
    <w:p w14:paraId="79C1C476" w14:textId="77777777" w:rsidR="006A4A32" w:rsidRDefault="000230CC" w:rsidP="000230CC">
      <w:pPr>
        <w:pStyle w:val="BodyCopy"/>
      </w:pPr>
      <w:r>
        <w:t xml:space="preserve">The setting of priority areas for the PTP was primarily based on expert opinion via invited stakeholder groups. Peak professional bodies, advocacy groups, PHNs and grant applicants felt the priority areas were important and expressed areas of need. Some professional and advocacy peak bodies (such as the SHPA, RACGP, CHF and the ADHA) felt that the finalised priority areas failed to address areas of opportunity such as interventions that integrate pharmacists into general practice or community health centres, or use of emerging technologies. </w:t>
      </w:r>
      <w:bookmarkStart w:id="96" w:name="_Hlk10543278"/>
      <w:r>
        <w:t>Greater communication about the priority area setting processes and the ranking of priority areas may have alleviated stakeholder concerns</w:t>
      </w:r>
      <w:bookmarkEnd w:id="96"/>
      <w:r>
        <w:t>.</w:t>
      </w:r>
    </w:p>
    <w:p w14:paraId="5E40AC4B" w14:textId="535833A3" w:rsidR="000230CC" w:rsidRDefault="000230CC" w:rsidP="000230CC">
      <w:pPr>
        <w:pStyle w:val="Heading4"/>
      </w:pPr>
      <w:r>
        <w:t>Assessment of submissions and trial protocols</w:t>
      </w:r>
    </w:p>
    <w:p w14:paraId="635CBA02" w14:textId="77777777" w:rsidR="006A4A32" w:rsidRDefault="000230CC" w:rsidP="000230CC">
      <w:pPr>
        <w:pStyle w:val="BodyCopy"/>
      </w:pPr>
      <w:r>
        <w:t>The TAG was heavily involved in the assessment of Tranche 1 trial protocols, which formed the majority of the discussion for TAG meetings 2, 3 and 5.</w:t>
      </w:r>
    </w:p>
    <w:p w14:paraId="26564EAE" w14:textId="77777777" w:rsidR="006A4A32" w:rsidRDefault="000230CC" w:rsidP="000230CC">
      <w:pPr>
        <w:pStyle w:val="BodyCopy"/>
      </w:pPr>
      <w:r>
        <w:t>The last TAG meeting occurred in September 2016, several months prior to submissions for Tranche 2 in December 2016. The TAG was not involved in the assessment of Tranche 2 trials. The TAG was not directly involved in the assessment of submissions or trial protocols for Tranche 3 trials.</w:t>
      </w:r>
    </w:p>
    <w:p w14:paraId="3B2783BF" w14:textId="7758D7A8" w:rsidR="000230CC" w:rsidRDefault="000230CC" w:rsidP="000230CC">
      <w:pPr>
        <w:pStyle w:val="BodyCopy"/>
      </w:pPr>
      <w:r>
        <w:t>A subsequent assessment committee (comprising Departmental staff and advisors, including the chair of the TAG) was established for the appraisal and selection of Tranche 2 and 3 trials. These advisors were:</w:t>
      </w:r>
    </w:p>
    <w:p w14:paraId="75F5FDDE" w14:textId="089D952D" w:rsidR="000230CC" w:rsidRDefault="000230CC" w:rsidP="002C22EF">
      <w:pPr>
        <w:pStyle w:val="ListBullet"/>
      </w:pPr>
      <w:r>
        <w:t>Director, Program Assessment Section, National Delivery Branch, Health Services Network (Chair)</w:t>
      </w:r>
      <w:r w:rsidR="00B53095">
        <w:t>;</w:t>
      </w:r>
    </w:p>
    <w:p w14:paraId="7919126D" w14:textId="737EA809" w:rsidR="000230CC" w:rsidRPr="00714499" w:rsidRDefault="000230CC" w:rsidP="00AD0DD9">
      <w:pPr>
        <w:pStyle w:val="ListBullet"/>
      </w:pPr>
      <w:r w:rsidRPr="00714499">
        <w:t xml:space="preserve">Director, </w:t>
      </w:r>
      <w:r w:rsidR="00AD0DD9" w:rsidRPr="00714499">
        <w:t xml:space="preserve">Pharmacy Policy and Stakeholder Engagement Section, Pharmacy Branch (then </w:t>
      </w:r>
      <w:r w:rsidRPr="00714499">
        <w:t>Pharmacy Programs Section, Pharmaceutical Access Branch</w:t>
      </w:r>
      <w:r w:rsidR="00AD0DD9" w:rsidRPr="00714499">
        <w:t>)</w:t>
      </w:r>
      <w:r w:rsidR="00B53095" w:rsidRPr="00714499">
        <w:t>;</w:t>
      </w:r>
      <w:r w:rsidRPr="00714499">
        <w:t xml:space="preserve"> and</w:t>
      </w:r>
    </w:p>
    <w:p w14:paraId="51E4C546" w14:textId="18D40D32" w:rsidR="000230CC" w:rsidRPr="00714499" w:rsidRDefault="000230CC" w:rsidP="002C22EF">
      <w:pPr>
        <w:pStyle w:val="ListBullet"/>
      </w:pPr>
      <w:r w:rsidRPr="00714499">
        <w:t>Technical Expert, Sansom Institute for Health Research.</w:t>
      </w:r>
    </w:p>
    <w:p w14:paraId="5070FB00" w14:textId="77777777" w:rsidR="000230CC" w:rsidRDefault="000230CC" w:rsidP="002C22EF">
      <w:pPr>
        <w:pStyle w:val="BodyCopy"/>
        <w:spacing w:before="120"/>
      </w:pPr>
      <w:r>
        <w:t xml:space="preserve">Stakeholders consulted for the review indicated that there was a lack of transparency about the decision-making process for Tranche 2 trials. Stakeholders felt that assessment by a panel of three advisors may have been insufficient. Broader representation of stakeholders, such as the TAG, would have provided stakeholders with greater confidence in the assessment </w:t>
      </w:r>
      <w:r w:rsidRPr="00BF4478">
        <w:t>process. Several stakeholders</w:t>
      </w:r>
      <w:r>
        <w:t xml:space="preserve"> including the PSA, AACP and grant applicants, commented that reliance on one expert advisor was insufficient to provide a balanced and informed </w:t>
      </w:r>
      <w:r w:rsidRPr="001E5DA1">
        <w:t>view about applications under Tranche</w:t>
      </w:r>
      <w:r>
        <w:t>s</w:t>
      </w:r>
      <w:r w:rsidRPr="001E5DA1">
        <w:t xml:space="preserve"> 2 and 3</w:t>
      </w:r>
      <w:r>
        <w:t>.</w:t>
      </w:r>
    </w:p>
    <w:p w14:paraId="195A1069" w14:textId="47914A66" w:rsidR="000230CC" w:rsidRDefault="000230CC" w:rsidP="0077662C">
      <w:pPr>
        <w:pStyle w:val="KeyFinding"/>
      </w:pPr>
      <w:r>
        <w:lastRenderedPageBreak/>
        <w:t>Greater communication about the decision-making processes for all tranches would have been appreciated by stakeholders.</w:t>
      </w:r>
    </w:p>
    <w:p w14:paraId="3F560274" w14:textId="77777777" w:rsidR="006A4A32" w:rsidRDefault="000230CC" w:rsidP="000230CC">
      <w:pPr>
        <w:pStyle w:val="Heading4"/>
      </w:pPr>
      <w:r>
        <w:t>Evaluation and sustainability of trials</w:t>
      </w:r>
    </w:p>
    <w:p w14:paraId="26AA159F" w14:textId="77777777" w:rsidR="006A4A32" w:rsidRDefault="000230CC" w:rsidP="000230CC">
      <w:pPr>
        <w:pStyle w:val="BodyCopy"/>
      </w:pPr>
      <w:r>
        <w:t>The TOR for the TAG noted a requirement to consider evaluation methodologies including data collection and key performance indicators, and to provide advice on the translation of trial outcomes to establish long-term community pharmacy programs. The TAG provided guidance on protocol refinement, including key performance indicators to inform assessment of program sustainability for Tranche 1 trials.</w:t>
      </w:r>
    </w:p>
    <w:p w14:paraId="7D7BA64B" w14:textId="77777777" w:rsidR="006A4A32" w:rsidRDefault="000230CC" w:rsidP="000230CC">
      <w:pPr>
        <w:pStyle w:val="BodyCopy"/>
      </w:pPr>
      <w:r>
        <w:t>This function was performed by internal Department</w:t>
      </w:r>
      <w:r w:rsidR="004C4AF6">
        <w:t xml:space="preserve">al staff and an expert </w:t>
      </w:r>
      <w:r>
        <w:t>advisor for Tranches 2 and 3</w:t>
      </w:r>
      <w:r w:rsidR="004C4AF6">
        <w:t xml:space="preserve"> (as discussed above)</w:t>
      </w:r>
      <w:r>
        <w:t>.</w:t>
      </w:r>
    </w:p>
    <w:p w14:paraId="35515E2A" w14:textId="77777777" w:rsidR="006A4A32" w:rsidRDefault="000230CC" w:rsidP="003F4318">
      <w:pPr>
        <w:pStyle w:val="Heading3"/>
      </w:pPr>
      <w:bookmarkStart w:id="97" w:name="_Ref9866360"/>
      <w:bookmarkStart w:id="98" w:name="_Toc19097770"/>
      <w:bookmarkStart w:id="99" w:name="_Toc26366376"/>
      <w:r w:rsidRPr="003F4318">
        <w:t xml:space="preserve">Suitability of the program </w:t>
      </w:r>
      <w:bookmarkEnd w:id="97"/>
      <w:r w:rsidRPr="003F4318">
        <w:t>length</w:t>
      </w:r>
      <w:bookmarkEnd w:id="98"/>
      <w:bookmarkEnd w:id="99"/>
    </w:p>
    <w:p w14:paraId="1DAE849B" w14:textId="4A3D862E" w:rsidR="000230CC" w:rsidRDefault="000230CC" w:rsidP="000230CC">
      <w:pPr>
        <w:pStyle w:val="Heading4"/>
      </w:pPr>
      <w:r>
        <w:t>Lead-in times for developmental processes and unexpected delays</w:t>
      </w:r>
    </w:p>
    <w:p w14:paraId="594A7593" w14:textId="77777777" w:rsidR="006A4A32" w:rsidRDefault="000230CC" w:rsidP="000230CC">
      <w:pPr>
        <w:pStyle w:val="BodyCopy"/>
      </w:pPr>
      <w:r>
        <w:t xml:space="preserve">The PTP sought to expend the full </w:t>
      </w:r>
      <w:r>
        <w:rPr>
          <w:rFonts w:ascii="Times New Roman" w:hAnsi="Times New Roman"/>
        </w:rPr>
        <w:t>$</w:t>
      </w:r>
      <w:r>
        <w:t>50 million on trial activity within the term of the 6CPA (5 years). In order for the outcomes of the trials to inform future negotiations of the 7CPA, the</w:t>
      </w:r>
      <w:r w:rsidR="00425FF5">
        <w:t xml:space="preserve"> </w:t>
      </w:r>
      <w:r>
        <w:t>period for program activities should have been completed before negotiations commenced. Clause 10.4 of the 6CPA advises that negotiations for a new agreement would commence 12 months prior to the end of the 6CPA and conclude by March 2020.</w:t>
      </w:r>
    </w:p>
    <w:p w14:paraId="6CC78155" w14:textId="77777777" w:rsidR="006A4A32" w:rsidRDefault="000230CC" w:rsidP="000230CC">
      <w:pPr>
        <w:pStyle w:val="BodyCopy"/>
      </w:pPr>
      <w:r>
        <w:t xml:space="preserve">Consistent with these broad program timelines, the grant guidelines developed for each Tranche of the PTP specified that trials were expected to be implemented over </w:t>
      </w:r>
      <w:r>
        <w:t xml:space="preserve">three years </w:t>
      </w:r>
      <w:sdt>
        <w:sdtPr>
          <w:id w:val="1212846064"/>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sdt>
        <w:sdtPr>
          <w:id w:val="-662082139"/>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r>
        <w:t xml:space="preserve"> </w:t>
      </w:r>
      <w:sdt>
        <w:sdtPr>
          <w:id w:val="37400303"/>
          <w:citation/>
        </w:sdtPr>
        <w:sdtContent>
          <w:r>
            <w:fldChar w:fldCharType="begin"/>
          </w:r>
          <w:r>
            <w:rPr>
              <w:lang w:val="en-US"/>
            </w:rPr>
            <w:instrText xml:space="preserve">CITATION Aus183 \l 1033 </w:instrText>
          </w:r>
          <w:r>
            <w:fldChar w:fldCharType="separate"/>
          </w:r>
          <w:r w:rsidR="008B7448" w:rsidRPr="008B7448">
            <w:rPr>
              <w:noProof/>
              <w:lang w:val="en-US"/>
            </w:rPr>
            <w:t>[42]</w:t>
          </w:r>
          <w:r>
            <w:fldChar w:fldCharType="end"/>
          </w:r>
        </w:sdtContent>
      </w:sdt>
      <w:r>
        <w:t xml:space="preserve"> </w:t>
      </w:r>
      <w:sdt>
        <w:sdtPr>
          <w:id w:val="-1485390646"/>
          <w:citation/>
        </w:sdtPr>
        <w:sdtContent>
          <w:r>
            <w:fldChar w:fldCharType="begin"/>
          </w:r>
          <w:r>
            <w:rPr>
              <w:lang w:val="en-US"/>
            </w:rPr>
            <w:instrText xml:space="preserve">CITATION Aus184 \l 1033 </w:instrText>
          </w:r>
          <w:r>
            <w:fldChar w:fldCharType="separate"/>
          </w:r>
          <w:r w:rsidR="008B7448" w:rsidRPr="008B7448">
            <w:rPr>
              <w:noProof/>
              <w:lang w:val="en-US"/>
            </w:rPr>
            <w:t>[43]</w:t>
          </w:r>
          <w:r>
            <w:fldChar w:fldCharType="end"/>
          </w:r>
        </w:sdtContent>
      </w:sdt>
      <w:r>
        <w:t>. This would allow for up to 18 months from commencement of the 6CPA to identify priority areas and develop the appropriate processes to administer the grant program.</w:t>
      </w:r>
    </w:p>
    <w:p w14:paraId="334B3823" w14:textId="77777777" w:rsidR="006A4A32" w:rsidRDefault="000230CC" w:rsidP="000230CC">
      <w:pPr>
        <w:pStyle w:val="BodyCopy"/>
      </w:pPr>
      <w:r>
        <w:t>There was extensive activity to support program implementation both in the early stages and as PTP implementation continued to progress. Within the first 18</w:t>
      </w:r>
      <w:r w:rsidR="004C4AF6">
        <w:t> </w:t>
      </w:r>
      <w:r>
        <w:t>months of the PTP (July 2015 to December 2016), the following developmental activities had been completed:</w:t>
      </w:r>
    </w:p>
    <w:p w14:paraId="376C6098" w14:textId="77777777" w:rsidR="006A4A32" w:rsidRDefault="000230CC" w:rsidP="002C22EF">
      <w:pPr>
        <w:pStyle w:val="ListBullet"/>
      </w:pPr>
      <w:r>
        <w:t>PTP principles established</w:t>
      </w:r>
      <w:r w:rsidR="00B53095">
        <w:t>;</w:t>
      </w:r>
    </w:p>
    <w:p w14:paraId="738439C9" w14:textId="67B57592" w:rsidR="000230CC" w:rsidRDefault="000230CC" w:rsidP="002C22EF">
      <w:pPr>
        <w:pStyle w:val="ListBullet"/>
      </w:pPr>
      <w:r>
        <w:t>priority areas for Tranches 1 and 2 approved</w:t>
      </w:r>
      <w:r w:rsidR="00B53095">
        <w:t>;</w:t>
      </w:r>
      <w:r>
        <w:rPr>
          <w:rStyle w:val="FootnoteReference"/>
        </w:rPr>
        <w:footnoteReference w:id="6"/>
      </w:r>
    </w:p>
    <w:p w14:paraId="32A9CDEE" w14:textId="6C0B666E" w:rsidR="000230CC" w:rsidRDefault="000230CC" w:rsidP="002C22EF">
      <w:pPr>
        <w:pStyle w:val="ListBullet"/>
      </w:pPr>
      <w:r>
        <w:t>grant guidelines for Tranches 1 and 2 developed</w:t>
      </w:r>
      <w:r w:rsidR="00B53095">
        <w:t>;</w:t>
      </w:r>
      <w:r>
        <w:rPr>
          <w:rStyle w:val="FootnoteReference"/>
        </w:rPr>
        <w:footnoteReference w:id="7"/>
      </w:r>
    </w:p>
    <w:p w14:paraId="66AA5BF5" w14:textId="77777777" w:rsidR="006A4A32" w:rsidRDefault="000230CC" w:rsidP="002C22EF">
      <w:pPr>
        <w:pStyle w:val="ListBullet"/>
      </w:pPr>
      <w:r>
        <w:t>three Tranche 1 proposals submitted, and one approved with funding agreement signed</w:t>
      </w:r>
      <w:r w:rsidR="00B53095">
        <w:t>;</w:t>
      </w:r>
      <w:r>
        <w:t xml:space="preserve"> and</w:t>
      </w:r>
    </w:p>
    <w:p w14:paraId="4DAB1DDD" w14:textId="77777777" w:rsidR="006A4A32" w:rsidRDefault="000230CC" w:rsidP="002C22EF">
      <w:pPr>
        <w:pStyle w:val="ListBullet"/>
      </w:pPr>
      <w:r>
        <w:t>Tranche 2 approach to market closed</w:t>
      </w:r>
      <w:r w:rsidR="00F71900">
        <w:t>.</w:t>
      </w:r>
      <w:r>
        <w:t xml:space="preserve"> </w:t>
      </w:r>
      <w:sdt>
        <w:sdtPr>
          <w:id w:val="-303240742"/>
          <w:citation/>
        </w:sdtPr>
        <w:sdtContent>
          <w:r>
            <w:fldChar w:fldCharType="begin"/>
          </w:r>
          <w:r w:rsidR="008B7448">
            <w:rPr>
              <w:lang w:val="en-US"/>
            </w:rPr>
            <w:instrText xml:space="preserve">CITATION Aus195 \l 1033 </w:instrText>
          </w:r>
          <w:r>
            <w:fldChar w:fldCharType="separate"/>
          </w:r>
          <w:r w:rsidR="008B7448" w:rsidRPr="008B7448">
            <w:rPr>
              <w:noProof/>
              <w:lang w:val="en-US"/>
            </w:rPr>
            <w:t>[55]</w:t>
          </w:r>
          <w:r>
            <w:fldChar w:fldCharType="end"/>
          </w:r>
        </w:sdtContent>
      </w:sdt>
      <w:r>
        <w:t xml:space="preserve"> </w:t>
      </w:r>
      <w:sdt>
        <w:sdtPr>
          <w:id w:val="-869371166"/>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rsidR="00F71900">
        <w:t>.</w:t>
      </w:r>
    </w:p>
    <w:p w14:paraId="71820192" w14:textId="71CC822E" w:rsidR="000230CC" w:rsidRDefault="000230CC" w:rsidP="000230CC">
      <w:pPr>
        <w:pStyle w:val="BodyCopy"/>
      </w:pPr>
      <w:r>
        <w:t>A further four months were required for:</w:t>
      </w:r>
    </w:p>
    <w:p w14:paraId="23832571" w14:textId="28457052" w:rsidR="000230CC" w:rsidRDefault="000230CC" w:rsidP="002C22EF">
      <w:pPr>
        <w:pStyle w:val="ListBullet"/>
      </w:pPr>
      <w:r>
        <w:t>assessment of Tranche 2 applications for eligibility and compliance</w:t>
      </w:r>
      <w:r w:rsidR="00B53095">
        <w:t>;</w:t>
      </w:r>
    </w:p>
    <w:p w14:paraId="79402D00" w14:textId="47D21DA3" w:rsidR="000230CC" w:rsidRDefault="000230CC" w:rsidP="002C22EF">
      <w:pPr>
        <w:pStyle w:val="ListBullet"/>
      </w:pPr>
      <w:r>
        <w:t>PASC review of the 29 eligible submissions</w:t>
      </w:r>
      <w:r w:rsidR="00B53095">
        <w:t>;</w:t>
      </w:r>
    </w:p>
    <w:p w14:paraId="2E0B47BF" w14:textId="7087E366" w:rsidR="000230CC" w:rsidRDefault="000230CC" w:rsidP="002C22EF">
      <w:pPr>
        <w:pStyle w:val="ListBullet"/>
      </w:pPr>
      <w:r>
        <w:t>invitations to eligible submissions to resubmit based on PASC feedback</w:t>
      </w:r>
      <w:r w:rsidR="00B53095">
        <w:t>;</w:t>
      </w:r>
      <w:r>
        <w:t xml:space="preserve"> and</w:t>
      </w:r>
    </w:p>
    <w:p w14:paraId="41C1AA01" w14:textId="77777777" w:rsidR="006A4A32" w:rsidRDefault="000230CC" w:rsidP="002C22EF">
      <w:pPr>
        <w:pStyle w:val="ListBullet"/>
      </w:pPr>
      <w:r>
        <w:t>re-assessment of resubmitted applications.</w:t>
      </w:r>
    </w:p>
    <w:p w14:paraId="115459EC" w14:textId="38A58A91" w:rsidR="000230CC" w:rsidRDefault="000230CC" w:rsidP="000230CC">
      <w:pPr>
        <w:pStyle w:val="BodyCopy"/>
      </w:pPr>
      <w:r>
        <w:t xml:space="preserve">The level of revision required for some PTP application protocols was not anticipated. For example, an additional three to four months was required to negotiate protocols with the IMeRSe </w:t>
      </w:r>
      <w:r w:rsidR="00B53095">
        <w:t xml:space="preserve">Feasibility Study </w:t>
      </w:r>
      <w:r>
        <w:t>under Tranche 1, and three of the four trials under Tranche 2 (IPAC</w:t>
      </w:r>
      <w:r w:rsidR="00B53095">
        <w:t xml:space="preserve"> Project</w:t>
      </w:r>
      <w:r>
        <w:t xml:space="preserve">, ReMInDAR </w:t>
      </w:r>
      <w:r w:rsidR="00B53095">
        <w:t xml:space="preserve">Trial </w:t>
      </w:r>
      <w:r>
        <w:t>and CVD</w:t>
      </w:r>
      <w:r w:rsidR="00B53095">
        <w:t xml:space="preserve"> Trial</w:t>
      </w:r>
      <w:r>
        <w:t xml:space="preserve">) </w:t>
      </w:r>
      <w:sdt>
        <w:sdtPr>
          <w:id w:val="1226175381"/>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r>
        <w:t xml:space="preserve"> </w:t>
      </w:r>
      <w:sdt>
        <w:sdtPr>
          <w:id w:val="939417798"/>
          <w:citation/>
        </w:sdtPr>
        <w:sdtContent>
          <w:r>
            <w:fldChar w:fldCharType="begin"/>
          </w:r>
          <w:r>
            <w:rPr>
              <w:lang w:val="en-US"/>
            </w:rPr>
            <w:instrText xml:space="preserve">CITATION Aus1 \l 1033 </w:instrText>
          </w:r>
          <w:r>
            <w:fldChar w:fldCharType="separate"/>
          </w:r>
          <w:r w:rsidR="008B7448" w:rsidRPr="008B7448">
            <w:rPr>
              <w:noProof/>
              <w:lang w:val="en-US"/>
            </w:rPr>
            <w:t>[23]</w:t>
          </w:r>
          <w:r>
            <w:fldChar w:fldCharType="end"/>
          </w:r>
        </w:sdtContent>
      </w:sdt>
      <w:r>
        <w:t xml:space="preserve">. Similarly, the </w:t>
      </w:r>
      <w:r w:rsidR="00B53095">
        <w:t xml:space="preserve">Bridging the Gap between Physical and </w:t>
      </w:r>
      <w:r>
        <w:t xml:space="preserve">Mental </w:t>
      </w:r>
      <w:r w:rsidR="00B53095">
        <w:t>Illness in</w:t>
      </w:r>
      <w:r w:rsidRPr="00480196">
        <w:t xml:space="preserve"> </w:t>
      </w:r>
      <w:r w:rsidRPr="00480196">
        <w:lastRenderedPageBreak/>
        <w:t>Community Pharmacy</w:t>
      </w:r>
      <w:r>
        <w:t xml:space="preserve"> </w:t>
      </w:r>
      <w:r w:rsidR="00B53095">
        <w:t>T</w:t>
      </w:r>
      <w:r>
        <w:t xml:space="preserve">rial (PharMIbridge) protocol was submitted in May 2018 under Tranche 3 </w:t>
      </w:r>
      <w:sdt>
        <w:sdtPr>
          <w:id w:val="1074775547"/>
          <w:citation/>
        </w:sdtPr>
        <w:sdtContent>
          <w:r>
            <w:fldChar w:fldCharType="begin"/>
          </w:r>
          <w:r>
            <w:rPr>
              <w:lang w:val="en-US"/>
            </w:rPr>
            <w:instrText xml:space="preserve">CITATION Aus184 \l 1033 </w:instrText>
          </w:r>
          <w:r>
            <w:fldChar w:fldCharType="separate"/>
          </w:r>
          <w:r w:rsidR="008B7448" w:rsidRPr="008B7448">
            <w:rPr>
              <w:noProof/>
              <w:lang w:val="en-US"/>
            </w:rPr>
            <w:t>[43]</w:t>
          </w:r>
          <w:r>
            <w:fldChar w:fldCharType="end"/>
          </w:r>
        </w:sdtContent>
      </w:sdt>
      <w:r>
        <w:t xml:space="preserve"> and was still to be finalised as at May 2019.</w:t>
      </w:r>
    </w:p>
    <w:p w14:paraId="6C0A6E27" w14:textId="77777777" w:rsidR="000230CC" w:rsidRDefault="000230CC" w:rsidP="000230CC">
      <w:pPr>
        <w:pStyle w:val="BodyCopy"/>
      </w:pPr>
      <w:r>
        <w:t>The NHMRC commented that the scientific rigour of applications could be strengthened if applications are submitted to their respective University Research Offices prior to submission to the PTP. The role of University Research Offices is to provide support to researchers to ensure grant applications have the maximum chance of success. NHMRC commented that ensuring applications follow scientific methodology and rigour prior to submission would decrease the time required for refinement post submission.</w:t>
      </w:r>
    </w:p>
    <w:p w14:paraId="6730C095" w14:textId="77777777" w:rsidR="000230CC" w:rsidRDefault="000230CC" w:rsidP="0077662C">
      <w:pPr>
        <w:pStyle w:val="KeyFinding"/>
      </w:pPr>
      <w:r>
        <w:t>The timing objectives of the PTP processes did not allow for staggered tranches throughout the term of the 6CPA, nor did it allow time to assess and review applications in the open grant round (Tranche 2). Future program implementation planning should allow time to refine trial protocols to meet the required level of rigour expected by program administrators. Alternatively, University Research Offices could be engaged by applicants to ensure the quality of submissions.</w:t>
      </w:r>
    </w:p>
    <w:p w14:paraId="46280534" w14:textId="77777777" w:rsidR="006A4A32" w:rsidRDefault="000230CC" w:rsidP="000230CC">
      <w:pPr>
        <w:pStyle w:val="Heading4"/>
      </w:pPr>
      <w:r>
        <w:t>Suitability of the length of grants for trials to realise the intended outcomes</w:t>
      </w:r>
    </w:p>
    <w:p w14:paraId="5D3762F3" w14:textId="7258CDDD" w:rsidR="006A4A32" w:rsidRDefault="000230CC" w:rsidP="000230CC">
      <w:pPr>
        <w:pStyle w:val="BodyCopy"/>
      </w:pPr>
      <w:r>
        <w:t xml:space="preserve">During the review process some grant recipients commented on the delays between approval and signing of the funding agreements. The period for signing of PTP trial funding agreements varied between one to eight months, as shown in </w:t>
      </w:r>
      <w:r>
        <w:fldChar w:fldCharType="begin"/>
      </w:r>
      <w:r>
        <w:instrText xml:space="preserve"> REF _Ref9862005 \h </w:instrText>
      </w:r>
      <w:r>
        <w:fldChar w:fldCharType="separate"/>
      </w:r>
      <w:r w:rsidR="006B6B4C">
        <w:t xml:space="preserve">Table </w:t>
      </w:r>
      <w:r w:rsidR="006B6B4C">
        <w:rPr>
          <w:noProof/>
        </w:rPr>
        <w:t>5</w:t>
      </w:r>
      <w:r w:rsidR="006B6B4C">
        <w:t>.</w:t>
      </w:r>
      <w:r w:rsidR="006B6B4C">
        <w:rPr>
          <w:noProof/>
        </w:rPr>
        <w:t>2</w:t>
      </w:r>
      <w:r>
        <w:fldChar w:fldCharType="end"/>
      </w:r>
      <w:r>
        <w:t>.</w:t>
      </w:r>
    </w:p>
    <w:p w14:paraId="1715400A" w14:textId="085C6FBD" w:rsidR="000230CC" w:rsidRDefault="000230CC" w:rsidP="000230CC">
      <w:pPr>
        <w:pStyle w:val="Caption"/>
      </w:pPr>
      <w:bookmarkStart w:id="100" w:name="_Ref9862005"/>
      <w:r>
        <w:t xml:space="preserve">Table </w:t>
      </w:r>
      <w:r>
        <w:rPr>
          <w:noProof/>
        </w:rPr>
        <w:fldChar w:fldCharType="begin"/>
      </w:r>
      <w:r>
        <w:rPr>
          <w:noProof/>
        </w:rPr>
        <w:instrText xml:space="preserve"> STYLEREF 1 \s </w:instrText>
      </w:r>
      <w:r>
        <w:rPr>
          <w:noProof/>
        </w:rPr>
        <w:fldChar w:fldCharType="separate"/>
      </w:r>
      <w:r w:rsidR="008B7448">
        <w:rPr>
          <w:noProof/>
        </w:rPr>
        <w:t>5</w:t>
      </w:r>
      <w:r>
        <w:rPr>
          <w:noProof/>
        </w:rPr>
        <w:fldChar w:fldCharType="end"/>
      </w:r>
      <w:r>
        <w:t>.</w:t>
      </w:r>
      <w:r>
        <w:rPr>
          <w:noProof/>
        </w:rPr>
        <w:fldChar w:fldCharType="begin"/>
      </w:r>
      <w:r>
        <w:rPr>
          <w:noProof/>
        </w:rPr>
        <w:instrText xml:space="preserve"> SEQ Table \* ARABIC \s 1 </w:instrText>
      </w:r>
      <w:r>
        <w:rPr>
          <w:noProof/>
        </w:rPr>
        <w:fldChar w:fldCharType="separate"/>
      </w:r>
      <w:r w:rsidR="008B7448">
        <w:rPr>
          <w:noProof/>
        </w:rPr>
        <w:t>2</w:t>
      </w:r>
      <w:r>
        <w:rPr>
          <w:noProof/>
        </w:rPr>
        <w:fldChar w:fldCharType="end"/>
      </w:r>
      <w:bookmarkEnd w:id="100"/>
      <w:r>
        <w:t xml:space="preserve"> </w:t>
      </w:r>
      <w:r w:rsidRPr="00B3226F">
        <w:rPr>
          <w:rStyle w:val="Captionnotbold"/>
        </w:rPr>
        <w:t>Summary of PTP trials</w:t>
      </w:r>
      <w:r>
        <w:rPr>
          <w:rStyle w:val="Captionnotbold"/>
        </w:rPr>
        <w:t xml:space="preserve"> elapsed time between approval and funding agreement dates </w:t>
      </w:r>
    </w:p>
    <w:tbl>
      <w:tblPr>
        <w:tblStyle w:val="HMATableB"/>
        <w:tblW w:w="5000" w:type="pct"/>
        <w:tblLook w:val="0620" w:firstRow="1" w:lastRow="0" w:firstColumn="0" w:lastColumn="0" w:noHBand="1" w:noVBand="1"/>
        <w:tblCaption w:val="Table 5.2 Summary of PTP trials elapsed time between approval and funding agreement dates"/>
        <w:tblDescription w:val="Table 5.2 Summary of PTP trials elapsed time between approval and funding agreement dates"/>
      </w:tblPr>
      <w:tblGrid>
        <w:gridCol w:w="1106"/>
        <w:gridCol w:w="1710"/>
        <w:gridCol w:w="1409"/>
        <w:gridCol w:w="1409"/>
        <w:gridCol w:w="1410"/>
      </w:tblGrid>
      <w:tr w:rsidR="000230CC" w14:paraId="7298B24A" w14:textId="77777777" w:rsidTr="00B51421">
        <w:trPr>
          <w:cnfStyle w:val="100000000000" w:firstRow="1" w:lastRow="0" w:firstColumn="0" w:lastColumn="0" w:oddVBand="0" w:evenVBand="0" w:oddHBand="0" w:evenHBand="0" w:firstRowFirstColumn="0" w:firstRowLastColumn="0" w:lastRowFirstColumn="0" w:lastRowLastColumn="0"/>
          <w:trHeight w:val="516"/>
          <w:tblHeader/>
        </w:trPr>
        <w:tc>
          <w:tcPr>
            <w:tcW w:w="668" w:type="pct"/>
            <w:shd w:val="clear" w:color="auto" w:fill="E4E4E4" w:themeFill="accent3" w:themeFillTint="33"/>
          </w:tcPr>
          <w:p w14:paraId="254687A4" w14:textId="77777777" w:rsidR="000230CC" w:rsidRPr="006F48FD" w:rsidRDefault="000230CC" w:rsidP="000230CC">
            <w:pPr>
              <w:pStyle w:val="TableColumnHeading"/>
            </w:pPr>
            <w:r w:rsidRPr="006F48FD">
              <w:t>Tranche</w:t>
            </w:r>
          </w:p>
        </w:tc>
        <w:tc>
          <w:tcPr>
            <w:tcW w:w="1243" w:type="pct"/>
            <w:shd w:val="clear" w:color="auto" w:fill="E4E4E4" w:themeFill="accent3" w:themeFillTint="33"/>
          </w:tcPr>
          <w:p w14:paraId="1DCE6769" w14:textId="77777777" w:rsidR="000230CC" w:rsidRPr="006F48FD" w:rsidRDefault="000230CC" w:rsidP="000230CC">
            <w:pPr>
              <w:pStyle w:val="TableColumnHeading"/>
            </w:pPr>
            <w:r w:rsidRPr="006F48FD">
              <w:t xml:space="preserve">Trial </w:t>
            </w:r>
          </w:p>
        </w:tc>
        <w:tc>
          <w:tcPr>
            <w:tcW w:w="1029" w:type="pct"/>
            <w:shd w:val="clear" w:color="auto" w:fill="E4E4E4" w:themeFill="accent3" w:themeFillTint="33"/>
          </w:tcPr>
          <w:p w14:paraId="1261EFE7" w14:textId="77777777" w:rsidR="000230CC" w:rsidRDefault="000230CC" w:rsidP="000230CC">
            <w:pPr>
              <w:pStyle w:val="TableColumnHeading"/>
            </w:pPr>
            <w:r>
              <w:t xml:space="preserve">Approval </w:t>
            </w:r>
          </w:p>
        </w:tc>
        <w:tc>
          <w:tcPr>
            <w:tcW w:w="1029" w:type="pct"/>
            <w:shd w:val="clear" w:color="auto" w:fill="E4E4E4" w:themeFill="accent3" w:themeFillTint="33"/>
          </w:tcPr>
          <w:p w14:paraId="523D32B4" w14:textId="77777777" w:rsidR="000230CC" w:rsidRPr="006F48FD" w:rsidRDefault="000230CC" w:rsidP="000230CC">
            <w:pPr>
              <w:pStyle w:val="TableColumnHeading"/>
            </w:pPr>
            <w:r>
              <w:t>Funding Agreement</w:t>
            </w:r>
            <w:r w:rsidRPr="006F48FD">
              <w:t xml:space="preserve"> </w:t>
            </w:r>
            <w:r>
              <w:t xml:space="preserve">signature </w:t>
            </w:r>
            <w:r w:rsidRPr="006F48FD">
              <w:t>date</w:t>
            </w:r>
          </w:p>
        </w:tc>
        <w:tc>
          <w:tcPr>
            <w:tcW w:w="1030" w:type="pct"/>
            <w:shd w:val="clear" w:color="auto" w:fill="E4E4E4" w:themeFill="accent3" w:themeFillTint="33"/>
          </w:tcPr>
          <w:p w14:paraId="10CF0FAA" w14:textId="77777777" w:rsidR="000230CC" w:rsidRDefault="000230CC" w:rsidP="000230CC">
            <w:pPr>
              <w:pStyle w:val="TableColumnHeading"/>
            </w:pPr>
            <w:r>
              <w:t>Elapsed time</w:t>
            </w:r>
          </w:p>
        </w:tc>
      </w:tr>
      <w:tr w:rsidR="000230CC" w14:paraId="53412AB2" w14:textId="77777777" w:rsidTr="00B51421">
        <w:trPr>
          <w:trHeight w:val="425"/>
        </w:trPr>
        <w:tc>
          <w:tcPr>
            <w:tcW w:w="668" w:type="pct"/>
            <w:vMerge w:val="restart"/>
          </w:tcPr>
          <w:p w14:paraId="66FCB04D" w14:textId="77777777" w:rsidR="000230CC" w:rsidRPr="006F48FD" w:rsidRDefault="000230CC" w:rsidP="000230CC">
            <w:pPr>
              <w:pStyle w:val="TableCopy"/>
              <w:rPr>
                <w:b/>
              </w:rPr>
            </w:pPr>
            <w:r w:rsidRPr="006F48FD">
              <w:t>1</w:t>
            </w:r>
          </w:p>
        </w:tc>
        <w:tc>
          <w:tcPr>
            <w:tcW w:w="1243" w:type="pct"/>
          </w:tcPr>
          <w:p w14:paraId="070457B6" w14:textId="0D6AD2EA" w:rsidR="000230CC" w:rsidRPr="006F48FD" w:rsidRDefault="000230CC" w:rsidP="000230CC">
            <w:pPr>
              <w:pStyle w:val="TableCopy"/>
              <w:rPr>
                <w:b/>
              </w:rPr>
            </w:pPr>
            <w:r>
              <w:rPr>
                <w:b/>
              </w:rPr>
              <w:t xml:space="preserve">Diabetes </w:t>
            </w:r>
            <w:r w:rsidR="00BF2348">
              <w:rPr>
                <w:b/>
              </w:rPr>
              <w:t xml:space="preserve">Screening </w:t>
            </w:r>
            <w:r>
              <w:rPr>
                <w:b/>
              </w:rPr>
              <w:t>Trial</w:t>
            </w:r>
          </w:p>
        </w:tc>
        <w:tc>
          <w:tcPr>
            <w:tcW w:w="1029" w:type="pct"/>
          </w:tcPr>
          <w:p w14:paraId="4CA59D82" w14:textId="77777777" w:rsidR="000230CC" w:rsidRPr="00C70D33" w:rsidRDefault="000230CC" w:rsidP="000230CC">
            <w:pPr>
              <w:pStyle w:val="TableCopy"/>
            </w:pPr>
            <w:r>
              <w:t xml:space="preserve">March 2016 </w:t>
            </w:r>
          </w:p>
        </w:tc>
        <w:tc>
          <w:tcPr>
            <w:tcW w:w="1029" w:type="pct"/>
          </w:tcPr>
          <w:p w14:paraId="08986D81" w14:textId="77777777" w:rsidR="000230CC" w:rsidRDefault="000230CC" w:rsidP="000230CC">
            <w:pPr>
              <w:pStyle w:val="TableCopy"/>
            </w:pPr>
            <w:r w:rsidRPr="00C70D33">
              <w:t>May 2016</w:t>
            </w:r>
          </w:p>
        </w:tc>
        <w:tc>
          <w:tcPr>
            <w:tcW w:w="1030" w:type="pct"/>
          </w:tcPr>
          <w:p w14:paraId="5AADA935" w14:textId="77777777" w:rsidR="000230CC" w:rsidRPr="00C70D33" w:rsidRDefault="000230CC" w:rsidP="000230CC">
            <w:pPr>
              <w:pStyle w:val="TableCopy"/>
            </w:pPr>
            <w:r>
              <w:t xml:space="preserve">2 months </w:t>
            </w:r>
          </w:p>
        </w:tc>
      </w:tr>
      <w:tr w:rsidR="000230CC" w14:paraId="42E62F78" w14:textId="77777777" w:rsidTr="00B51421">
        <w:trPr>
          <w:trHeight w:val="741"/>
        </w:trPr>
        <w:tc>
          <w:tcPr>
            <w:tcW w:w="668" w:type="pct"/>
            <w:vMerge/>
          </w:tcPr>
          <w:p w14:paraId="060FE3B5" w14:textId="77777777" w:rsidR="000230CC" w:rsidRDefault="000230CC" w:rsidP="000230CC">
            <w:pPr>
              <w:pStyle w:val="TableCopy"/>
            </w:pPr>
          </w:p>
        </w:tc>
        <w:tc>
          <w:tcPr>
            <w:tcW w:w="1243" w:type="pct"/>
          </w:tcPr>
          <w:p w14:paraId="2A9F3F97" w14:textId="77777777" w:rsidR="000230CC" w:rsidRPr="006F48FD" w:rsidRDefault="000230CC" w:rsidP="000230CC">
            <w:pPr>
              <w:pStyle w:val="TableCopy"/>
              <w:rPr>
                <w:b/>
              </w:rPr>
            </w:pPr>
            <w:r>
              <w:rPr>
                <w:b/>
              </w:rPr>
              <w:t>IMeRSe Feasibility Study</w:t>
            </w:r>
          </w:p>
        </w:tc>
        <w:tc>
          <w:tcPr>
            <w:tcW w:w="1029" w:type="pct"/>
          </w:tcPr>
          <w:p w14:paraId="3A575D78" w14:textId="77777777" w:rsidR="000230CC" w:rsidRDefault="000230CC" w:rsidP="000230CC">
            <w:pPr>
              <w:pStyle w:val="TableCopy"/>
            </w:pPr>
            <w:r>
              <w:t xml:space="preserve">June 2017 </w:t>
            </w:r>
          </w:p>
        </w:tc>
        <w:tc>
          <w:tcPr>
            <w:tcW w:w="1029" w:type="pct"/>
          </w:tcPr>
          <w:p w14:paraId="44A9A7B9" w14:textId="77777777" w:rsidR="000230CC" w:rsidRDefault="000230CC" w:rsidP="000230CC">
            <w:pPr>
              <w:pStyle w:val="TableCopy"/>
            </w:pPr>
            <w:r>
              <w:t>October 2017</w:t>
            </w:r>
          </w:p>
        </w:tc>
        <w:tc>
          <w:tcPr>
            <w:tcW w:w="1030" w:type="pct"/>
          </w:tcPr>
          <w:p w14:paraId="3B9449F6" w14:textId="77777777" w:rsidR="000230CC" w:rsidRDefault="000230CC" w:rsidP="000230CC">
            <w:pPr>
              <w:pStyle w:val="TableCopy"/>
            </w:pPr>
            <w:r>
              <w:t xml:space="preserve">4 months </w:t>
            </w:r>
          </w:p>
        </w:tc>
      </w:tr>
      <w:tr w:rsidR="000230CC" w14:paraId="0CFE3F0A" w14:textId="77777777" w:rsidTr="00B51421">
        <w:trPr>
          <w:trHeight w:val="754"/>
        </w:trPr>
        <w:tc>
          <w:tcPr>
            <w:tcW w:w="668" w:type="pct"/>
            <w:vMerge w:val="restart"/>
          </w:tcPr>
          <w:p w14:paraId="13B7E4EA" w14:textId="77777777" w:rsidR="000230CC" w:rsidRPr="00F02C97" w:rsidRDefault="000230CC" w:rsidP="000230CC">
            <w:pPr>
              <w:pStyle w:val="TableCopy"/>
              <w:rPr>
                <w:b/>
              </w:rPr>
            </w:pPr>
            <w:r w:rsidRPr="00F02C97">
              <w:t>2</w:t>
            </w:r>
          </w:p>
        </w:tc>
        <w:tc>
          <w:tcPr>
            <w:tcW w:w="1243" w:type="pct"/>
          </w:tcPr>
          <w:p w14:paraId="10D5A214" w14:textId="77777777" w:rsidR="000230CC" w:rsidRPr="00F02C97" w:rsidRDefault="000230CC" w:rsidP="000230CC">
            <w:pPr>
              <w:pStyle w:val="TableCopy"/>
              <w:rPr>
                <w:b/>
              </w:rPr>
            </w:pPr>
            <w:r>
              <w:rPr>
                <w:b/>
              </w:rPr>
              <w:t>Asthma Trial</w:t>
            </w:r>
          </w:p>
        </w:tc>
        <w:tc>
          <w:tcPr>
            <w:tcW w:w="1029" w:type="pct"/>
          </w:tcPr>
          <w:p w14:paraId="6EB78E2A" w14:textId="77777777" w:rsidR="000230CC" w:rsidRDefault="000230CC" w:rsidP="000230CC">
            <w:pPr>
              <w:pStyle w:val="TableCopy"/>
            </w:pPr>
            <w:r>
              <w:t xml:space="preserve">July 2017 </w:t>
            </w:r>
          </w:p>
        </w:tc>
        <w:tc>
          <w:tcPr>
            <w:tcW w:w="1029" w:type="pct"/>
          </w:tcPr>
          <w:p w14:paraId="12D5C43E" w14:textId="77777777" w:rsidR="000230CC" w:rsidRDefault="000230CC" w:rsidP="000230CC">
            <w:pPr>
              <w:pStyle w:val="TableCopy"/>
            </w:pPr>
            <w:r>
              <w:t>November 2017</w:t>
            </w:r>
          </w:p>
        </w:tc>
        <w:tc>
          <w:tcPr>
            <w:tcW w:w="1030" w:type="pct"/>
          </w:tcPr>
          <w:p w14:paraId="2DD6300D" w14:textId="77777777" w:rsidR="000230CC" w:rsidRDefault="000230CC" w:rsidP="000230CC">
            <w:pPr>
              <w:pStyle w:val="TableCopy"/>
            </w:pPr>
            <w:r>
              <w:t xml:space="preserve">4 months </w:t>
            </w:r>
          </w:p>
        </w:tc>
      </w:tr>
      <w:tr w:rsidR="000230CC" w14:paraId="049F214D" w14:textId="77777777" w:rsidTr="00B51421">
        <w:trPr>
          <w:trHeight w:val="440"/>
        </w:trPr>
        <w:tc>
          <w:tcPr>
            <w:tcW w:w="668" w:type="pct"/>
            <w:vMerge/>
          </w:tcPr>
          <w:p w14:paraId="10C50DB8" w14:textId="77777777" w:rsidR="000230CC" w:rsidRDefault="000230CC" w:rsidP="000230CC">
            <w:pPr>
              <w:pStyle w:val="TableCopy"/>
            </w:pPr>
          </w:p>
        </w:tc>
        <w:tc>
          <w:tcPr>
            <w:tcW w:w="1243" w:type="pct"/>
          </w:tcPr>
          <w:p w14:paraId="72AC1053" w14:textId="4476F637" w:rsidR="000230CC" w:rsidRPr="00F02C97" w:rsidRDefault="000230CC">
            <w:pPr>
              <w:pStyle w:val="TableCopy"/>
              <w:rPr>
                <w:b/>
              </w:rPr>
            </w:pPr>
            <w:r>
              <w:rPr>
                <w:b/>
              </w:rPr>
              <w:t>IPAC</w:t>
            </w:r>
            <w:r w:rsidRPr="00F02C97">
              <w:rPr>
                <w:b/>
              </w:rPr>
              <w:t xml:space="preserve"> </w:t>
            </w:r>
            <w:r w:rsidR="00BF2348">
              <w:rPr>
                <w:b/>
              </w:rPr>
              <w:t>Project</w:t>
            </w:r>
          </w:p>
        </w:tc>
        <w:tc>
          <w:tcPr>
            <w:tcW w:w="1029" w:type="pct"/>
          </w:tcPr>
          <w:p w14:paraId="4DFB411A" w14:textId="77777777" w:rsidR="000230CC" w:rsidRDefault="000230CC" w:rsidP="000230CC">
            <w:pPr>
              <w:pStyle w:val="TableCopy"/>
            </w:pPr>
            <w:r>
              <w:t xml:space="preserve">October 2017 </w:t>
            </w:r>
          </w:p>
        </w:tc>
        <w:tc>
          <w:tcPr>
            <w:tcW w:w="1029" w:type="pct"/>
          </w:tcPr>
          <w:p w14:paraId="3AFD7383" w14:textId="77777777" w:rsidR="000230CC" w:rsidRDefault="000230CC" w:rsidP="000230CC">
            <w:pPr>
              <w:pStyle w:val="TableCopy"/>
            </w:pPr>
            <w:r>
              <w:t>December 2017</w:t>
            </w:r>
          </w:p>
        </w:tc>
        <w:tc>
          <w:tcPr>
            <w:tcW w:w="1030" w:type="pct"/>
          </w:tcPr>
          <w:p w14:paraId="2845461A" w14:textId="77777777" w:rsidR="000230CC" w:rsidRDefault="000230CC" w:rsidP="000230CC">
            <w:pPr>
              <w:pStyle w:val="TableCopy"/>
            </w:pPr>
            <w:r>
              <w:t xml:space="preserve">2 months </w:t>
            </w:r>
          </w:p>
        </w:tc>
      </w:tr>
      <w:tr w:rsidR="000230CC" w14:paraId="3A218B9C" w14:textId="77777777" w:rsidTr="00B51421">
        <w:trPr>
          <w:trHeight w:val="452"/>
        </w:trPr>
        <w:tc>
          <w:tcPr>
            <w:tcW w:w="668" w:type="pct"/>
            <w:vMerge/>
          </w:tcPr>
          <w:p w14:paraId="67CD2FE2" w14:textId="77777777" w:rsidR="000230CC" w:rsidRDefault="000230CC" w:rsidP="000230CC">
            <w:pPr>
              <w:pStyle w:val="TableCopy"/>
            </w:pPr>
          </w:p>
        </w:tc>
        <w:tc>
          <w:tcPr>
            <w:tcW w:w="1243" w:type="pct"/>
          </w:tcPr>
          <w:p w14:paraId="45B2D1AF" w14:textId="77777777" w:rsidR="000230CC" w:rsidRPr="00F02C97" w:rsidRDefault="000230CC" w:rsidP="000230CC">
            <w:pPr>
              <w:pStyle w:val="TableCopy"/>
              <w:rPr>
                <w:b/>
              </w:rPr>
            </w:pPr>
            <w:r w:rsidRPr="00F02C97">
              <w:rPr>
                <w:b/>
              </w:rPr>
              <w:t>Re</w:t>
            </w:r>
            <w:r>
              <w:rPr>
                <w:b/>
              </w:rPr>
              <w:t>MInDAR Trial</w:t>
            </w:r>
            <w:r w:rsidRPr="00F02C97">
              <w:rPr>
                <w:b/>
              </w:rPr>
              <w:t xml:space="preserve"> </w:t>
            </w:r>
          </w:p>
        </w:tc>
        <w:tc>
          <w:tcPr>
            <w:tcW w:w="1029" w:type="pct"/>
          </w:tcPr>
          <w:p w14:paraId="78230595" w14:textId="77777777" w:rsidR="000230CC" w:rsidRDefault="000230CC" w:rsidP="000230CC">
            <w:pPr>
              <w:pStyle w:val="TableCopy"/>
            </w:pPr>
            <w:r>
              <w:t>October 2017</w:t>
            </w:r>
          </w:p>
        </w:tc>
        <w:tc>
          <w:tcPr>
            <w:tcW w:w="1029" w:type="pct"/>
          </w:tcPr>
          <w:p w14:paraId="729A0B41" w14:textId="77777777" w:rsidR="000230CC" w:rsidRDefault="000230CC" w:rsidP="000230CC">
            <w:pPr>
              <w:pStyle w:val="TableCopy"/>
            </w:pPr>
            <w:r>
              <w:t>April 2018</w:t>
            </w:r>
          </w:p>
        </w:tc>
        <w:tc>
          <w:tcPr>
            <w:tcW w:w="1030" w:type="pct"/>
          </w:tcPr>
          <w:p w14:paraId="1AAEACA2" w14:textId="77777777" w:rsidR="000230CC" w:rsidRDefault="000230CC" w:rsidP="000230CC">
            <w:pPr>
              <w:pStyle w:val="TableCopy"/>
            </w:pPr>
            <w:r>
              <w:t>6 months</w:t>
            </w:r>
          </w:p>
        </w:tc>
      </w:tr>
      <w:tr w:rsidR="000230CC" w14:paraId="7DE50250" w14:textId="77777777" w:rsidTr="00B51421">
        <w:trPr>
          <w:trHeight w:val="440"/>
        </w:trPr>
        <w:tc>
          <w:tcPr>
            <w:tcW w:w="668" w:type="pct"/>
            <w:vMerge/>
          </w:tcPr>
          <w:p w14:paraId="33F5A176" w14:textId="77777777" w:rsidR="000230CC" w:rsidRDefault="000230CC" w:rsidP="000230CC">
            <w:pPr>
              <w:pStyle w:val="TableCopy"/>
            </w:pPr>
          </w:p>
        </w:tc>
        <w:tc>
          <w:tcPr>
            <w:tcW w:w="1243" w:type="pct"/>
          </w:tcPr>
          <w:p w14:paraId="713FF1C6" w14:textId="77777777" w:rsidR="000230CC" w:rsidRPr="00F02C97" w:rsidRDefault="000230CC" w:rsidP="000230CC">
            <w:pPr>
              <w:pStyle w:val="TableCopy"/>
              <w:rPr>
                <w:b/>
              </w:rPr>
            </w:pPr>
            <w:r>
              <w:rPr>
                <w:b/>
              </w:rPr>
              <w:t>CVD Trial</w:t>
            </w:r>
          </w:p>
        </w:tc>
        <w:tc>
          <w:tcPr>
            <w:tcW w:w="1029" w:type="pct"/>
          </w:tcPr>
          <w:p w14:paraId="3D2B24D4" w14:textId="77777777" w:rsidR="000230CC" w:rsidRDefault="000230CC" w:rsidP="000230CC">
            <w:pPr>
              <w:pStyle w:val="TableCopy"/>
            </w:pPr>
            <w:r>
              <w:t>October 2017</w:t>
            </w:r>
          </w:p>
        </w:tc>
        <w:tc>
          <w:tcPr>
            <w:tcW w:w="1029" w:type="pct"/>
          </w:tcPr>
          <w:p w14:paraId="3B30A212" w14:textId="77777777" w:rsidR="000230CC" w:rsidRDefault="000230CC" w:rsidP="000230CC">
            <w:pPr>
              <w:pStyle w:val="TableCopy"/>
            </w:pPr>
            <w:r>
              <w:t>June 2018</w:t>
            </w:r>
          </w:p>
        </w:tc>
        <w:tc>
          <w:tcPr>
            <w:tcW w:w="1030" w:type="pct"/>
          </w:tcPr>
          <w:p w14:paraId="53C66A33" w14:textId="77777777" w:rsidR="000230CC" w:rsidRDefault="000230CC" w:rsidP="000230CC">
            <w:pPr>
              <w:pStyle w:val="TableCopy"/>
            </w:pPr>
            <w:r>
              <w:t xml:space="preserve">8 months </w:t>
            </w:r>
          </w:p>
        </w:tc>
      </w:tr>
      <w:tr w:rsidR="000230CC" w14:paraId="206DF572" w14:textId="77777777" w:rsidTr="00B51421">
        <w:trPr>
          <w:trHeight w:val="462"/>
        </w:trPr>
        <w:tc>
          <w:tcPr>
            <w:tcW w:w="668" w:type="pct"/>
          </w:tcPr>
          <w:p w14:paraId="5596A475" w14:textId="77777777" w:rsidR="000230CC" w:rsidRPr="00B3226F" w:rsidRDefault="000230CC" w:rsidP="000230CC">
            <w:pPr>
              <w:pStyle w:val="TableCopy"/>
              <w:rPr>
                <w:b/>
              </w:rPr>
            </w:pPr>
            <w:r w:rsidRPr="00B3226F">
              <w:t>3</w:t>
            </w:r>
          </w:p>
        </w:tc>
        <w:tc>
          <w:tcPr>
            <w:tcW w:w="1243" w:type="pct"/>
          </w:tcPr>
          <w:p w14:paraId="0F2FFDD7" w14:textId="77777777" w:rsidR="000230CC" w:rsidRPr="00F02C97" w:rsidRDefault="000230CC" w:rsidP="000230CC">
            <w:pPr>
              <w:pStyle w:val="TableCopy"/>
              <w:rPr>
                <w:b/>
              </w:rPr>
            </w:pPr>
            <w:r w:rsidRPr="00F02C97">
              <w:rPr>
                <w:b/>
              </w:rPr>
              <w:t>Chronic Pain Med</w:t>
            </w:r>
            <w:r>
              <w:rPr>
                <w:b/>
              </w:rPr>
              <w:t>s</w:t>
            </w:r>
            <w:r w:rsidRPr="00F02C97">
              <w:rPr>
                <w:b/>
              </w:rPr>
              <w:t>Check</w:t>
            </w:r>
            <w:r>
              <w:rPr>
                <w:b/>
              </w:rPr>
              <w:t xml:space="preserve"> Trial</w:t>
            </w:r>
          </w:p>
        </w:tc>
        <w:tc>
          <w:tcPr>
            <w:tcW w:w="1029" w:type="pct"/>
          </w:tcPr>
          <w:p w14:paraId="3F29D2B5" w14:textId="77777777" w:rsidR="000230CC" w:rsidRDefault="000230CC" w:rsidP="000230CC">
            <w:pPr>
              <w:pStyle w:val="TableCopy"/>
            </w:pPr>
            <w:r>
              <w:t xml:space="preserve">March 2018 </w:t>
            </w:r>
          </w:p>
        </w:tc>
        <w:tc>
          <w:tcPr>
            <w:tcW w:w="1029" w:type="pct"/>
          </w:tcPr>
          <w:p w14:paraId="42854D09" w14:textId="77777777" w:rsidR="000230CC" w:rsidRDefault="000230CC" w:rsidP="000230CC">
            <w:pPr>
              <w:pStyle w:val="TableCopy"/>
            </w:pPr>
            <w:r>
              <w:t>April 2018</w:t>
            </w:r>
          </w:p>
        </w:tc>
        <w:tc>
          <w:tcPr>
            <w:tcW w:w="1030" w:type="pct"/>
          </w:tcPr>
          <w:p w14:paraId="0EE91F99" w14:textId="77777777" w:rsidR="000230CC" w:rsidRDefault="000230CC" w:rsidP="000230CC">
            <w:pPr>
              <w:pStyle w:val="TableCopy"/>
            </w:pPr>
            <w:r>
              <w:t xml:space="preserve">1 month </w:t>
            </w:r>
          </w:p>
        </w:tc>
      </w:tr>
    </w:tbl>
    <w:p w14:paraId="3714EADB" w14:textId="77777777" w:rsidR="006A4A32" w:rsidRDefault="000230CC" w:rsidP="00275CD3">
      <w:pPr>
        <w:pStyle w:val="BodyCopy"/>
        <w:spacing w:before="120"/>
      </w:pPr>
      <w:r>
        <w:t>With the exception of the Tranche 1 Diabetes trial, PTP trials did not commence until between October 2017 and June 2018.</w:t>
      </w:r>
    </w:p>
    <w:p w14:paraId="4F7CA649" w14:textId="4A04D966" w:rsidR="000230CC" w:rsidRDefault="000230CC" w:rsidP="000230CC">
      <w:pPr>
        <w:pStyle w:val="BodyCopy"/>
      </w:pPr>
      <w:r>
        <w:t xml:space="preserve">Implementation timeframes for some trials were further </w:t>
      </w:r>
      <w:r w:rsidR="00513307">
        <w:t xml:space="preserve">prolonged due to extended periods of time </w:t>
      </w:r>
      <w:r w:rsidR="002C22EF">
        <w:t>required to obtain</w:t>
      </w:r>
      <w:r w:rsidR="00513307">
        <w:t xml:space="preserve"> ethics </w:t>
      </w:r>
      <w:r>
        <w:t>approval</w:t>
      </w:r>
      <w:r w:rsidR="002C22EF">
        <w:t xml:space="preserve"> in order for the </w:t>
      </w:r>
      <w:r w:rsidR="00513307">
        <w:t xml:space="preserve">trial to </w:t>
      </w:r>
      <w:r w:rsidR="00BF2348">
        <w:t xml:space="preserve">proceed. </w:t>
      </w:r>
      <w:r>
        <w:t>NHMRC felt that seeking ethics approval prior to PTP application would also increase the scientific rigour of applications.</w:t>
      </w:r>
    </w:p>
    <w:p w14:paraId="094E47B4" w14:textId="77777777" w:rsidR="006A4A32" w:rsidRDefault="000230CC" w:rsidP="000230CC">
      <w:pPr>
        <w:pStyle w:val="BodyCopy"/>
      </w:pPr>
      <w:r>
        <w:t>To accommodate the reduced timeframes in which trials needed to be conducted,</w:t>
      </w:r>
      <w:r w:rsidRPr="00316971">
        <w:t xml:space="preserve"> </w:t>
      </w:r>
      <w:r>
        <w:t>researchers had to modify their recruitment processes. For example:</w:t>
      </w:r>
    </w:p>
    <w:p w14:paraId="43F0B58D" w14:textId="3882B45E" w:rsidR="000230CC" w:rsidRDefault="000230CC" w:rsidP="002C22EF">
      <w:pPr>
        <w:pStyle w:val="ListBullet"/>
      </w:pPr>
      <w:r>
        <w:t>the Woolcock Institute (Asthma trial) had to increase the number of participating pharmacies</w:t>
      </w:r>
      <w:r w:rsidR="006C3F29">
        <w:t>;</w:t>
      </w:r>
      <w:r>
        <w:t xml:space="preserve"> and</w:t>
      </w:r>
    </w:p>
    <w:p w14:paraId="6DFD7172" w14:textId="77777777" w:rsidR="006A4A32" w:rsidRDefault="000230CC" w:rsidP="002C22EF">
      <w:pPr>
        <w:pStyle w:val="ListBullet"/>
      </w:pPr>
      <w:r>
        <w:t xml:space="preserve">the University of SA (ReMInDAR trial) </w:t>
      </w:r>
      <w:r w:rsidRPr="001E5DA1">
        <w:t>had to increase</w:t>
      </w:r>
      <w:r>
        <w:t xml:space="preserve"> the number of participating RACFs.</w:t>
      </w:r>
    </w:p>
    <w:p w14:paraId="1A76816B" w14:textId="1B2177CB" w:rsidR="000230CC" w:rsidRDefault="000230CC" w:rsidP="00275CD3">
      <w:pPr>
        <w:pStyle w:val="BodyCopy"/>
        <w:spacing w:before="120"/>
      </w:pPr>
      <w:r>
        <w:lastRenderedPageBreak/>
        <w:t>Ultimately, both these trials had to request an extension to ensure that sufficient participants could be enrolled in their trials to ensure statistical power (all extension requests were approved by the Department).</w:t>
      </w:r>
    </w:p>
    <w:p w14:paraId="4F4FA3B0" w14:textId="77777777" w:rsidR="000230CC" w:rsidRDefault="000230CC" w:rsidP="0077662C">
      <w:pPr>
        <w:pStyle w:val="KeyFinding"/>
      </w:pPr>
      <w:r>
        <w:t>Time to obtain ethics and difficulties in recruiting sufficient participants to provide statistical power necessitated extensions of trial timeframes until the end of the 6CPA term in June 2020.</w:t>
      </w:r>
    </w:p>
    <w:p w14:paraId="3D476B28" w14:textId="77777777" w:rsidR="000230CC" w:rsidRPr="003F4318" w:rsidRDefault="000230CC" w:rsidP="003F4318">
      <w:pPr>
        <w:pStyle w:val="Heading3"/>
      </w:pPr>
      <w:bookmarkStart w:id="101" w:name="_Toc19097771"/>
      <w:bookmarkStart w:id="102" w:name="_Toc26366377"/>
      <w:bookmarkStart w:id="103" w:name="_Toc4167901"/>
      <w:bookmarkStart w:id="104" w:name="_Toc8217015"/>
      <w:r w:rsidRPr="003F4318">
        <w:t>Suitability of the application processes</w:t>
      </w:r>
      <w:bookmarkEnd w:id="101"/>
      <w:bookmarkEnd w:id="102"/>
    </w:p>
    <w:p w14:paraId="77E6BDA9" w14:textId="77777777" w:rsidR="000230CC" w:rsidRDefault="000230CC" w:rsidP="000230CC">
      <w:pPr>
        <w:pStyle w:val="Heading4"/>
      </w:pPr>
      <w:r>
        <w:t>Suitability of the grant guidelines</w:t>
      </w:r>
      <w:bookmarkEnd w:id="103"/>
      <w:bookmarkEnd w:id="104"/>
    </w:p>
    <w:p w14:paraId="3427B2BC" w14:textId="77777777" w:rsidR="006A4A32" w:rsidRDefault="000230CC" w:rsidP="000230CC">
      <w:pPr>
        <w:pStyle w:val="BodyCopy"/>
      </w:pPr>
      <w:r>
        <w:t>Consistent with the requirements of the CGRG, grant guidelines were developed for all three tranches of the PTP, specific to their operations.</w:t>
      </w:r>
    </w:p>
    <w:p w14:paraId="1DDCB2A0" w14:textId="77777777" w:rsidR="006A4A32" w:rsidRDefault="000230CC" w:rsidP="000230CC">
      <w:pPr>
        <w:pStyle w:val="BodyCopy"/>
      </w:pPr>
      <w:r>
        <w:t>Tranche 1 grant guidelines were developed retrospectively after the initial submissions from the Guild. This was due to the decision by the Department to change from a contract for services to a grant program in June 2016. Tranche 1 grants were resubmitted after the release of the Guidelines in December 2016.</w:t>
      </w:r>
    </w:p>
    <w:p w14:paraId="199FB791" w14:textId="77777777" w:rsidR="006A4A32" w:rsidRDefault="000230CC" w:rsidP="000230CC">
      <w:pPr>
        <w:pStyle w:val="BodyCopy"/>
      </w:pPr>
      <w:r>
        <w:t>Tranche 2 guidelines were developed prospectively and made publicly available for eight weeks, from 20 October 2016 up until the due date for submissions on 15 December 2016.</w:t>
      </w:r>
    </w:p>
    <w:p w14:paraId="271C2FCE" w14:textId="77777777" w:rsidR="006A4A32" w:rsidRDefault="000230CC" w:rsidP="000230CC">
      <w:pPr>
        <w:pStyle w:val="BodyCopy"/>
      </w:pPr>
      <w:r>
        <w:t>Tranche 3 grant guidelines were prepared so they could be used to deal with unsolicited proposals. The Tranche 3 guidelines were tailored to the specific nature of the individual projects selected for ad hoc submission.</w:t>
      </w:r>
    </w:p>
    <w:p w14:paraId="079D7208" w14:textId="77777777" w:rsidR="006A4A32" w:rsidRDefault="000230CC" w:rsidP="000230CC">
      <w:pPr>
        <w:pStyle w:val="BodyCopy"/>
      </w:pPr>
      <w:r>
        <w:t xml:space="preserve">In step with </w:t>
      </w:r>
      <w:r w:rsidRPr="00883BBF">
        <w:t xml:space="preserve">the CGRG, </w:t>
      </w:r>
      <w:r>
        <w:t>the</w:t>
      </w:r>
      <w:r w:rsidRPr="00883BBF">
        <w:t xml:space="preserve"> guidelines for all three tranches included details of </w:t>
      </w:r>
      <w:r>
        <w:t xml:space="preserve">how funds </w:t>
      </w:r>
      <w:r w:rsidRPr="00883BBF">
        <w:t xml:space="preserve">could be used. This </w:t>
      </w:r>
      <w:r>
        <w:t xml:space="preserve">included provision </w:t>
      </w:r>
      <w:r w:rsidRPr="00883BBF">
        <w:t xml:space="preserve">to prevent inappropriate cost-shifting from </w:t>
      </w:r>
      <w:r>
        <w:t xml:space="preserve">other levels of </w:t>
      </w:r>
      <w:r w:rsidRPr="00883BBF">
        <w:t>government to the Australian Government.</w:t>
      </w:r>
    </w:p>
    <w:p w14:paraId="42CA2BA8" w14:textId="77777777" w:rsidR="006A4A32" w:rsidRDefault="000230CC" w:rsidP="0077662C">
      <w:pPr>
        <w:pStyle w:val="KeyFinding"/>
      </w:pPr>
      <w:r>
        <w:t xml:space="preserve">Grant guidelines developed for all three tranches were consistent with the </w:t>
      </w:r>
      <w:r w:rsidRPr="00883BBF">
        <w:t>Commonwealth Grant Rules and Guidelines</w:t>
      </w:r>
      <w:r>
        <w:t>.</w:t>
      </w:r>
    </w:p>
    <w:p w14:paraId="7AE4CC8D" w14:textId="3E2C4119" w:rsidR="000230CC" w:rsidRDefault="000230CC" w:rsidP="000230CC">
      <w:pPr>
        <w:pStyle w:val="BodyCopy"/>
      </w:pPr>
      <w:r>
        <w:t>Assessment criteria and rating scales differed between the tranche guidelines. Tranche 1 guidelines gave very little detail on the assessment criteria. Tranches 2 and 3 provided additional information for respondents for all assessment criteria.</w:t>
      </w:r>
    </w:p>
    <w:p w14:paraId="3688267F" w14:textId="77777777" w:rsidR="000230CC" w:rsidRDefault="000230CC" w:rsidP="000230CC">
      <w:pPr>
        <w:pStyle w:val="BodyCopy"/>
      </w:pPr>
      <w:r>
        <w:t>Assessment criteria in Tranche 2 guidelines created a level of duplication in responses. For example:</w:t>
      </w:r>
    </w:p>
    <w:p w14:paraId="63CD7426" w14:textId="77777777" w:rsidR="006A4A32" w:rsidRDefault="000230CC" w:rsidP="002C22EF">
      <w:pPr>
        <w:pStyle w:val="ListBullet"/>
      </w:pPr>
      <w:r>
        <w:t>criteria 1, 2 and 3 sought information on the trial methodology and target patient cohorts; and</w:t>
      </w:r>
    </w:p>
    <w:p w14:paraId="4A8906D1" w14:textId="77777777" w:rsidR="006A4A32" w:rsidRDefault="000230CC" w:rsidP="002C22EF">
      <w:pPr>
        <w:pStyle w:val="ListBullet"/>
      </w:pPr>
      <w:r>
        <w:t>both criteria 1 and 3 sought information on the supporting evidence and the intended outcomes.</w:t>
      </w:r>
    </w:p>
    <w:p w14:paraId="32E33722" w14:textId="77777777" w:rsidR="006A4A32" w:rsidRDefault="000230CC" w:rsidP="000230CC">
      <w:pPr>
        <w:pStyle w:val="BodyCopy"/>
      </w:pPr>
      <w:r>
        <w:t>Tranche 3 assessment criteria had less duplication with the PICO information being required under the trial design criterion. Tranche 3 guidelines were also suitably adapted to the specific needs of the individual proposals they were seeking.</w:t>
      </w:r>
    </w:p>
    <w:p w14:paraId="297030FA" w14:textId="05D7624F" w:rsidR="000230CC" w:rsidRDefault="000230CC" w:rsidP="000230CC">
      <w:pPr>
        <w:pStyle w:val="BodyCopy"/>
      </w:pPr>
      <w:r>
        <w:t>Both Tranches 1 and 3 grant guidelines used a three-tier rating scale, while Tranche 2 guidelines used a five-tier rating scale. This may reflect the proportionality of the grant rounds and the need for a more detailed rating scale for an open tender round, but comparability between the tranches was reduced.</w:t>
      </w:r>
    </w:p>
    <w:p w14:paraId="5013BCEA" w14:textId="77777777" w:rsidR="000230CC" w:rsidRDefault="000230CC" w:rsidP="0077662C">
      <w:pPr>
        <w:pStyle w:val="KeyFinding"/>
        <w:rPr>
          <w:b/>
        </w:rPr>
      </w:pPr>
      <w:r>
        <w:t>Assessment criteria and rating scales in the PTP grant guidelines differed between the three tranches, reducing comparability of the assessment processes across the tranches.</w:t>
      </w:r>
    </w:p>
    <w:p w14:paraId="560AD38B" w14:textId="77777777" w:rsidR="006A4A32" w:rsidRDefault="000230CC" w:rsidP="000230CC">
      <w:pPr>
        <w:pStyle w:val="Heading4"/>
      </w:pPr>
      <w:r>
        <w:t>Suitability of Tranche 2 application process (open round)</w:t>
      </w:r>
    </w:p>
    <w:p w14:paraId="7067CACA" w14:textId="77777777" w:rsidR="006A4A32" w:rsidRDefault="000230CC" w:rsidP="000230CC">
      <w:pPr>
        <w:pStyle w:val="BodyCopy"/>
      </w:pPr>
      <w:r>
        <w:t>In addition to advertising the PTP approach to market for Tranche 2 on the GrantConnect website, the PTP was also advertised through the Department’s website, as well as the Guild and 6CPA websites.</w:t>
      </w:r>
    </w:p>
    <w:p w14:paraId="7C4907CA" w14:textId="77777777" w:rsidR="006A4A32" w:rsidRDefault="000230CC" w:rsidP="000230CC">
      <w:pPr>
        <w:pStyle w:val="BodyCopy"/>
      </w:pPr>
      <w:r>
        <w:t>Of the 90 pharmacist survey respondents aware of the PTP prior to the survey, approximately half had learned about the program through the Guild website, newsletters or social media (56%, n=50 of 90 respondents) or the 6CPA website (48%, n=43 of 90 respondents). Other common sources of information regarding the PTP were other pharmacists, and the Department of Health website or media release. A few respondents recalled hearing of the program through researchers, other peak body websites and conferences.</w:t>
      </w:r>
    </w:p>
    <w:p w14:paraId="692E8738" w14:textId="58DB9DFE" w:rsidR="000230CC" w:rsidRDefault="000230CC" w:rsidP="0077662C">
      <w:pPr>
        <w:pStyle w:val="KeyFinding"/>
      </w:pPr>
      <w:r>
        <w:lastRenderedPageBreak/>
        <w:t>Advertising of the open round of PTP grants (Tranche 2) via official websites, media releases and word-of-mouth is appropriate and appears to have been effective.</w:t>
      </w:r>
    </w:p>
    <w:p w14:paraId="39065C24" w14:textId="77777777" w:rsidR="000230CC" w:rsidRDefault="000230CC" w:rsidP="000230CC">
      <w:pPr>
        <w:pStyle w:val="BodyCopy"/>
      </w:pPr>
      <w:r>
        <w:t>The approach to market for Tranche 2 allowed applicants approximately two months to prepare and apply through the GrantConnect website.</w:t>
      </w:r>
    </w:p>
    <w:p w14:paraId="1E25019E" w14:textId="77777777" w:rsidR="006A4A32" w:rsidRDefault="000230CC" w:rsidP="000230CC">
      <w:pPr>
        <w:pStyle w:val="BodyCopy"/>
        <w:keepNext/>
      </w:pPr>
      <w:r>
        <w:t>Grant applicants commented that the application processes for the PTP was time-intensive and onerous compared to other grant application processes such as the NHMRC. For example:</w:t>
      </w:r>
    </w:p>
    <w:p w14:paraId="3E2C2F72" w14:textId="77777777" w:rsidR="006A4A32" w:rsidRDefault="000230CC" w:rsidP="002C22EF">
      <w:pPr>
        <w:pStyle w:val="ListBullet"/>
      </w:pPr>
      <w:r>
        <w:t xml:space="preserve">the PTP applications were considered to be very large (100 plus pages) in comparison to other grant process (an average of nine pages for the NHMRC applications research proposal component </w:t>
      </w:r>
      <w:sdt>
        <w:sdtPr>
          <w:id w:val="-808478599"/>
          <w:citation/>
        </w:sdtPr>
        <w:sdtContent>
          <w:r>
            <w:fldChar w:fldCharType="begin"/>
          </w:r>
          <w:r w:rsidR="00820D12">
            <w:rPr>
              <w:lang w:val="en-US"/>
            </w:rPr>
            <w:instrText xml:space="preserve">CITATION NHM18 \l 1033 </w:instrText>
          </w:r>
          <w:r>
            <w:fldChar w:fldCharType="separate"/>
          </w:r>
          <w:r w:rsidR="008B7448" w:rsidRPr="008B7448">
            <w:rPr>
              <w:noProof/>
              <w:lang w:val="en-US"/>
            </w:rPr>
            <w:t>[56]</w:t>
          </w:r>
          <w:r>
            <w:fldChar w:fldCharType="end"/>
          </w:r>
        </w:sdtContent>
      </w:sdt>
      <w:r>
        <w:t>)</w:t>
      </w:r>
      <w:r w:rsidR="00F71900">
        <w:t>;</w:t>
      </w:r>
    </w:p>
    <w:p w14:paraId="24A1A4D2" w14:textId="2EFD1570" w:rsidR="000230CC" w:rsidRDefault="000230CC" w:rsidP="002C22EF">
      <w:pPr>
        <w:pStyle w:val="ListBullet"/>
      </w:pPr>
      <w:r>
        <w:t>applications were resource intensive (many required multiple staff over six to eight weeks to complete)</w:t>
      </w:r>
      <w:r w:rsidR="006C3F29">
        <w:t>;</w:t>
      </w:r>
      <w:r>
        <w:t xml:space="preserve"> and</w:t>
      </w:r>
    </w:p>
    <w:p w14:paraId="683CCF6C" w14:textId="77777777" w:rsidR="000230CC" w:rsidRDefault="000230CC" w:rsidP="002C22EF">
      <w:pPr>
        <w:pStyle w:val="ListBullet"/>
      </w:pPr>
      <w:r>
        <w:t>the application time was short (approximately eight weeks from invitation to apply to closing date) for the level of work required.</w:t>
      </w:r>
    </w:p>
    <w:p w14:paraId="6772622C" w14:textId="77777777" w:rsidR="006A4A32" w:rsidRDefault="000230CC" w:rsidP="000230CC">
      <w:pPr>
        <w:pStyle w:val="BodyCopy"/>
      </w:pPr>
      <w:r>
        <w:t>Several applicants also commented that the response criteria were duplicative, and it was often unclear where to present information in the application.</w:t>
      </w:r>
    </w:p>
    <w:p w14:paraId="1DA14A06" w14:textId="77777777" w:rsidR="006A4A32" w:rsidRDefault="000230CC" w:rsidP="000230CC">
      <w:pPr>
        <w:pStyle w:val="BodyCopy"/>
      </w:pPr>
      <w:r>
        <w:t>Given the level of information requested in the PTP full application process, all stakeholders agreed that the two-step process of calling for an expression of interest (EOI) prior to inviting applicants to submit a full application was a good process. This narrowed down over 100 EOIs to 46 full applications, of which 29 were considered eligible and assessed. Some stakeholders queried if the selection process should include another pre-selection round before the full application is completed, i.e. a three-step process.</w:t>
      </w:r>
    </w:p>
    <w:p w14:paraId="450794F5" w14:textId="2A2D0EE6" w:rsidR="000230CC" w:rsidRDefault="000230CC" w:rsidP="0077662C">
      <w:pPr>
        <w:pStyle w:val="KeyFinding"/>
      </w:pPr>
      <w:r>
        <w:t>PTP grant applications were considered by applicants to be onerous compared to other grant application processes such as NHMRC. The time available to complete the applications (approximately two months) was considered short by consulted applicants.</w:t>
      </w:r>
    </w:p>
    <w:p w14:paraId="046D270A" w14:textId="77777777" w:rsidR="006A4A32" w:rsidRDefault="000230CC" w:rsidP="000230CC">
      <w:pPr>
        <w:pStyle w:val="Heading4"/>
      </w:pPr>
      <w:r>
        <w:t>Suitability of non-competitive grant rounds</w:t>
      </w:r>
    </w:p>
    <w:p w14:paraId="32899282" w14:textId="540DF9B7" w:rsidR="006A4A32" w:rsidRDefault="000230CC" w:rsidP="000230CC">
      <w:pPr>
        <w:pStyle w:val="BodyCopy"/>
      </w:pPr>
      <w:r>
        <w:t>Tranches 1 and 3 of the PTP were non-competitive grant rounds, open only to the Guild (Tranche 1) or the Guild in collaboration with the PSA (Tranche</w:t>
      </w:r>
      <w:r w:rsidR="0032084B">
        <w:t xml:space="preserve"> </w:t>
      </w:r>
      <w:r>
        <w:t>3).</w:t>
      </w:r>
    </w:p>
    <w:p w14:paraId="1EA72233" w14:textId="77777777" w:rsidR="006A4A32" w:rsidRDefault="000230CC" w:rsidP="000230CC">
      <w:pPr>
        <w:pStyle w:val="BodyCopy"/>
      </w:pPr>
      <w:r>
        <w:t xml:space="preserve">The decision-making process for implementing closed rounds was not communicated as part of the PTP, but may have considered </w:t>
      </w:r>
      <w:r w:rsidRPr="002200CC">
        <w:rPr>
          <w:i/>
        </w:rPr>
        <w:t>the need for timeliness and cost-effectiveness in the decision-making process while maintaining rigour, equity and accountability</w:t>
      </w:r>
      <w:r>
        <w:rPr>
          <w:i/>
        </w:rPr>
        <w:t>,</w:t>
      </w:r>
      <w:r>
        <w:t xml:space="preserve"> as noted in the CGRG</w:t>
      </w:r>
      <w:sdt>
        <w:sdtPr>
          <w:id w:val="-1373224078"/>
          <w:citation/>
        </w:sdtPr>
        <w:sdtContent>
          <w:r>
            <w:fldChar w:fldCharType="begin"/>
          </w:r>
          <w:r w:rsidR="00820D12">
            <w:rPr>
              <w:lang w:val="en-US"/>
            </w:rPr>
            <w:instrText xml:space="preserve">CITATION Placeholder1 \l 1033 </w:instrText>
          </w:r>
          <w:r>
            <w:fldChar w:fldCharType="separate"/>
          </w:r>
          <w:r w:rsidR="008B7448">
            <w:rPr>
              <w:noProof/>
              <w:lang w:val="en-US"/>
            </w:rPr>
            <w:t xml:space="preserve"> </w:t>
          </w:r>
          <w:r w:rsidR="008B7448" w:rsidRPr="008B7448">
            <w:rPr>
              <w:noProof/>
              <w:lang w:val="en-US"/>
            </w:rPr>
            <w:t>[57]</w:t>
          </w:r>
          <w:r>
            <w:fldChar w:fldCharType="end"/>
          </w:r>
        </w:sdtContent>
      </w:sdt>
      <w:r>
        <w:t>.</w:t>
      </w:r>
    </w:p>
    <w:p w14:paraId="47DD647F" w14:textId="77777777" w:rsidR="006A4A32" w:rsidRDefault="000230CC" w:rsidP="000230CC">
      <w:pPr>
        <w:pStyle w:val="BodyCopy"/>
      </w:pPr>
      <w:r>
        <w:t xml:space="preserve">One of the Tranche 3 topics was the subject of four grant applications under Tranche 2 (interventions for pharmacist-led management of pain/chronic pain). None of the Tranche 2 applications for pain/chronic pain were successful, and the quality of the applications and proposed methodologies varied </w:t>
      </w:r>
      <w:sdt>
        <w:sdtPr>
          <w:id w:val="-937372998"/>
          <w:citation/>
        </w:sdtPr>
        <w:sdtContent>
          <w:r>
            <w:fldChar w:fldCharType="begin"/>
          </w:r>
          <w:r>
            <w:rPr>
              <w:lang w:val="en-US"/>
            </w:rPr>
            <w:instrText xml:space="preserve"> CITATION PTP17 \l 1033 </w:instrText>
          </w:r>
          <w:r>
            <w:fldChar w:fldCharType="separate"/>
          </w:r>
          <w:r w:rsidR="008B7448" w:rsidRPr="008B7448">
            <w:rPr>
              <w:noProof/>
              <w:lang w:val="en-US"/>
            </w:rPr>
            <w:t>[44]</w:t>
          </w:r>
          <w:r>
            <w:fldChar w:fldCharType="end"/>
          </w:r>
        </w:sdtContent>
      </w:sdt>
      <w:r>
        <w:t>. The broader interest in the topic may have warranted an open or invited round.</w:t>
      </w:r>
    </w:p>
    <w:p w14:paraId="2075B79F" w14:textId="1AF86F95" w:rsidR="000230CC" w:rsidRDefault="000230CC" w:rsidP="000230CC">
      <w:pPr>
        <w:pStyle w:val="ESHeading2"/>
      </w:pPr>
      <w:r>
        <w:t xml:space="preserve">Trial design and </w:t>
      </w:r>
      <w:r w:rsidRPr="00FD366A">
        <w:t xml:space="preserve">Selection </w:t>
      </w:r>
      <w:r>
        <w:t>processes</w:t>
      </w:r>
    </w:p>
    <w:p w14:paraId="5F1209F4" w14:textId="2B85AA5B" w:rsidR="000230CC" w:rsidRPr="003F4318" w:rsidRDefault="000230CC" w:rsidP="003F4318">
      <w:pPr>
        <w:pStyle w:val="Heading3"/>
      </w:pPr>
      <w:bookmarkStart w:id="105" w:name="_Toc19097772"/>
      <w:bookmarkStart w:id="106" w:name="_Toc26366378"/>
      <w:r w:rsidRPr="003F4318">
        <w:t>Appraisal and selection processes</w:t>
      </w:r>
      <w:bookmarkEnd w:id="105"/>
      <w:bookmarkEnd w:id="106"/>
    </w:p>
    <w:p w14:paraId="5214C283" w14:textId="77777777" w:rsidR="000230CC" w:rsidRDefault="000230CC" w:rsidP="000230CC">
      <w:pPr>
        <w:pStyle w:val="BodyCopy"/>
        <w:keepNext/>
      </w:pPr>
      <w:r>
        <w:t>For all three tranches, grants guidelines specified assessment criteria and rating scales, which were used to assess the suitability of the grant applications. In all three tranches, the Departmental assessment committee was responsible for assessing the applications and making recommendations to the decision maker. In Tranche 1, the TAG also provided advice to the assessment committee. The decision maker for each of the tranches was as follows:</w:t>
      </w:r>
    </w:p>
    <w:p w14:paraId="6F4EB0F2" w14:textId="77777777" w:rsidR="006A4A32" w:rsidRDefault="000230CC" w:rsidP="001F0680">
      <w:pPr>
        <w:pStyle w:val="ListBullet"/>
      </w:pPr>
      <w:r>
        <w:t xml:space="preserve">Tranche 1: The Minister for Health or the Departmental delegate – the First Assistant Secretary, </w:t>
      </w:r>
      <w:r w:rsidR="001F0680">
        <w:t xml:space="preserve">then </w:t>
      </w:r>
      <w:r>
        <w:t>Pharmaceutical Benefits Division</w:t>
      </w:r>
      <w:r w:rsidR="001F0680">
        <w:t xml:space="preserve"> (now </w:t>
      </w:r>
      <w:r w:rsidR="001F0680" w:rsidRPr="001F0680">
        <w:t>Technology Assessment and Access Division</w:t>
      </w:r>
      <w:r w:rsidR="001F0680">
        <w:t xml:space="preserve"> (TAAD))</w:t>
      </w:r>
      <w:r>
        <w:t xml:space="preserve"> </w:t>
      </w:r>
      <w:sdt>
        <w:sdtPr>
          <w:id w:val="1092440881"/>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r w:rsidR="00F71900">
        <w:t>;</w:t>
      </w:r>
    </w:p>
    <w:p w14:paraId="4B4233AD" w14:textId="51637364" w:rsidR="000230CC" w:rsidRDefault="000230CC" w:rsidP="002C22EF">
      <w:pPr>
        <w:pStyle w:val="ListBullet"/>
      </w:pPr>
      <w:r>
        <w:t xml:space="preserve">Tranche 2: The Minister for </w:t>
      </w:r>
      <w:r w:rsidRPr="00714499">
        <w:t>Health and Aged Care</w:t>
      </w:r>
      <w:r>
        <w:t xml:space="preserve"> </w:t>
      </w:r>
      <w:sdt>
        <w:sdtPr>
          <w:id w:val="101394770"/>
          <w:citation/>
        </w:sdtPr>
        <w:sdtContent>
          <w:r>
            <w:fldChar w:fldCharType="begin"/>
          </w:r>
          <w:r>
            <w:rPr>
              <w:lang w:val="en-US"/>
            </w:rPr>
            <w:instrText xml:space="preserve">CITATION Aus1 \l 1033 </w:instrText>
          </w:r>
          <w:r>
            <w:fldChar w:fldCharType="separate"/>
          </w:r>
          <w:r w:rsidR="008B7448" w:rsidRPr="008B7448">
            <w:rPr>
              <w:noProof/>
              <w:lang w:val="en-US"/>
            </w:rPr>
            <w:t>[23]</w:t>
          </w:r>
          <w:r>
            <w:fldChar w:fldCharType="end"/>
          </w:r>
        </w:sdtContent>
      </w:sdt>
      <w:r w:rsidR="00F71900">
        <w:t>;</w:t>
      </w:r>
      <w:r w:rsidR="006C3F29">
        <w:t xml:space="preserve"> and</w:t>
      </w:r>
    </w:p>
    <w:p w14:paraId="32015F67" w14:textId="77777777" w:rsidR="006A4A32" w:rsidRDefault="000230CC" w:rsidP="002C22EF">
      <w:pPr>
        <w:pStyle w:val="ListBullet"/>
      </w:pPr>
      <w:r>
        <w:t xml:space="preserve">Tranche 3: </w:t>
      </w:r>
      <w:r w:rsidRPr="005C516D">
        <w:t xml:space="preserve">The Assistant Secretary, </w:t>
      </w:r>
      <w:r w:rsidR="001F0680">
        <w:t xml:space="preserve">then </w:t>
      </w:r>
      <w:r w:rsidRPr="005C516D">
        <w:t>Private Health Insurance and Pharmacy Branch</w:t>
      </w:r>
      <w:r w:rsidR="001F0680">
        <w:t xml:space="preserve"> (now Pharmacy Branch)</w:t>
      </w:r>
      <w:r w:rsidRPr="005C516D">
        <w:t xml:space="preserve">, </w:t>
      </w:r>
      <w:r w:rsidR="001F0680">
        <w:t>TAAD</w:t>
      </w:r>
      <w:r w:rsidR="006C3F29">
        <w:t>.</w:t>
      </w:r>
      <w:r>
        <w:t xml:space="preserve"> </w:t>
      </w:r>
      <w:sdt>
        <w:sdtPr>
          <w:id w:val="-14924686"/>
          <w:citation/>
        </w:sdtPr>
        <w:sdtContent>
          <w:r>
            <w:fldChar w:fldCharType="begin"/>
          </w:r>
          <w:r>
            <w:rPr>
              <w:lang w:val="en-US"/>
            </w:rPr>
            <w:instrText xml:space="preserve">CITATION Aus183 \l 1033 </w:instrText>
          </w:r>
          <w:r>
            <w:fldChar w:fldCharType="separate"/>
          </w:r>
          <w:r w:rsidR="008B7448" w:rsidRPr="008B7448">
            <w:rPr>
              <w:noProof/>
              <w:lang w:val="en-US"/>
            </w:rPr>
            <w:t>[42]</w:t>
          </w:r>
          <w:r>
            <w:fldChar w:fldCharType="end"/>
          </w:r>
        </w:sdtContent>
      </w:sdt>
      <w:r w:rsidRPr="005C516D">
        <w:t xml:space="preserve"> </w:t>
      </w:r>
      <w:sdt>
        <w:sdtPr>
          <w:id w:val="-2067951084"/>
          <w:citation/>
        </w:sdtPr>
        <w:sdtContent>
          <w:r>
            <w:fldChar w:fldCharType="begin"/>
          </w:r>
          <w:r>
            <w:rPr>
              <w:lang w:val="en-US"/>
            </w:rPr>
            <w:instrText xml:space="preserve">CITATION Aus184 \l 1033 </w:instrText>
          </w:r>
          <w:r>
            <w:fldChar w:fldCharType="separate"/>
          </w:r>
          <w:r w:rsidR="008B7448" w:rsidRPr="008B7448">
            <w:rPr>
              <w:noProof/>
              <w:lang w:val="en-US"/>
            </w:rPr>
            <w:t>[43]</w:t>
          </w:r>
          <w:r>
            <w:fldChar w:fldCharType="end"/>
          </w:r>
        </w:sdtContent>
      </w:sdt>
      <w:r>
        <w:t>.</w:t>
      </w:r>
    </w:p>
    <w:p w14:paraId="394AD203" w14:textId="77777777" w:rsidR="006A4A32" w:rsidRDefault="000230CC" w:rsidP="000230CC">
      <w:pPr>
        <w:pStyle w:val="BodyCopy"/>
      </w:pPr>
      <w:r>
        <w:lastRenderedPageBreak/>
        <w:t xml:space="preserve">Application appraisals were merit-based and assessors scored applications against each of the specified criteria using the agreed scoring scale (three-point scale for Tranches 1 and 3 and a five-point scale for Tranche 2) </w:t>
      </w:r>
      <w:sdt>
        <w:sdtPr>
          <w:id w:val="460155321"/>
          <w:citation/>
        </w:sdtPr>
        <w:sdtContent>
          <w:r>
            <w:fldChar w:fldCharType="begin"/>
          </w:r>
          <w:r>
            <w:rPr>
              <w:lang w:val="en-US"/>
            </w:rPr>
            <w:instrText xml:space="preserve"> CITATION PTP17 \l 1033 </w:instrText>
          </w:r>
          <w:r>
            <w:fldChar w:fldCharType="separate"/>
          </w:r>
          <w:r w:rsidR="008B7448" w:rsidRPr="008B7448">
            <w:rPr>
              <w:noProof/>
              <w:lang w:val="en-US"/>
            </w:rPr>
            <w:t>[44]</w:t>
          </w:r>
          <w:r>
            <w:fldChar w:fldCharType="end"/>
          </w:r>
        </w:sdtContent>
      </w:sdt>
      <w:r>
        <w:t xml:space="preserve"> </w:t>
      </w:r>
      <w:sdt>
        <w:sdtPr>
          <w:id w:val="-389966997"/>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r>
        <w:t xml:space="preserve"> </w:t>
      </w:r>
      <w:sdt>
        <w:sdtPr>
          <w:id w:val="452919779"/>
          <w:citation/>
        </w:sdtPr>
        <w:sdtContent>
          <w:r>
            <w:fldChar w:fldCharType="begin"/>
          </w:r>
          <w:r>
            <w:rPr>
              <w:lang w:val="en-US"/>
            </w:rPr>
            <w:instrText xml:space="preserve">CITATION Aus1 \l 1033 </w:instrText>
          </w:r>
          <w:r>
            <w:fldChar w:fldCharType="separate"/>
          </w:r>
          <w:r w:rsidR="008B7448" w:rsidRPr="008B7448">
            <w:rPr>
              <w:noProof/>
              <w:lang w:val="en-US"/>
            </w:rPr>
            <w:t>[23]</w:t>
          </w:r>
          <w:r>
            <w:fldChar w:fldCharType="end"/>
          </w:r>
        </w:sdtContent>
      </w:sdt>
      <w:r>
        <w:t xml:space="preserve"> </w:t>
      </w:r>
      <w:sdt>
        <w:sdtPr>
          <w:id w:val="-1827731411"/>
          <w:citation/>
        </w:sdtPr>
        <w:sdtContent>
          <w:r>
            <w:fldChar w:fldCharType="begin"/>
          </w:r>
          <w:r>
            <w:rPr>
              <w:lang w:val="en-US"/>
            </w:rPr>
            <w:instrText xml:space="preserve">CITATION Aus183 \l 1033 </w:instrText>
          </w:r>
          <w:r>
            <w:fldChar w:fldCharType="separate"/>
          </w:r>
          <w:r w:rsidR="008B7448" w:rsidRPr="008B7448">
            <w:rPr>
              <w:noProof/>
              <w:lang w:val="en-US"/>
            </w:rPr>
            <w:t>[42]</w:t>
          </w:r>
          <w:r>
            <w:fldChar w:fldCharType="end"/>
          </w:r>
        </w:sdtContent>
      </w:sdt>
      <w:r>
        <w:t xml:space="preserve"> </w:t>
      </w:r>
      <w:sdt>
        <w:sdtPr>
          <w:id w:val="1286014289"/>
          <w:citation/>
        </w:sdtPr>
        <w:sdtContent>
          <w:r>
            <w:fldChar w:fldCharType="begin"/>
          </w:r>
          <w:r>
            <w:rPr>
              <w:lang w:val="en-US"/>
            </w:rPr>
            <w:instrText xml:space="preserve">CITATION Aus184 \l 1033 </w:instrText>
          </w:r>
          <w:r>
            <w:fldChar w:fldCharType="separate"/>
          </w:r>
          <w:r w:rsidR="008B7448" w:rsidRPr="008B7448">
            <w:rPr>
              <w:noProof/>
              <w:lang w:val="en-US"/>
            </w:rPr>
            <w:t>[43]</w:t>
          </w:r>
          <w:r>
            <w:fldChar w:fldCharType="end"/>
          </w:r>
        </w:sdtContent>
      </w:sdt>
      <w:r>
        <w:t>.</w:t>
      </w:r>
    </w:p>
    <w:p w14:paraId="6328EC53" w14:textId="2A8B33B1" w:rsidR="000230CC" w:rsidRDefault="000230CC" w:rsidP="000230CC">
      <w:pPr>
        <w:pStyle w:val="BodyCopy"/>
      </w:pPr>
      <w:r>
        <w:t>The Internal Audit of the PTP noted that the mechanism to progress from application assessment to grant approval required improvement. The Internal Audit report observed that the Minister was invited to choose from the higher rated proposals, inconsistent with the assessment report conclusion that none of the trials fully achieved all of the assessment criteria</w:t>
      </w:r>
      <w:r>
        <w:rPr>
          <w:rStyle w:val="FootnoteReference"/>
        </w:rPr>
        <w:footnoteReference w:id="8"/>
      </w:r>
      <w:r>
        <w:t xml:space="preserve"> </w:t>
      </w:r>
      <w:sdt>
        <w:sdtPr>
          <w:id w:val="-1514371695"/>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w:t>
      </w:r>
    </w:p>
    <w:p w14:paraId="12CD4109" w14:textId="77777777" w:rsidR="006A4A32" w:rsidRDefault="000230CC" w:rsidP="000230CC">
      <w:pPr>
        <w:pStyle w:val="BodyCopy"/>
      </w:pPr>
      <w:r>
        <w:t>Grant applicants suggested that adoption of a scoring threshold (i.e. grants must score above a set value in order to be funded), similar to the process used by NHMRC for assessment, would provide greater rigour to the assessment process.</w:t>
      </w:r>
    </w:p>
    <w:p w14:paraId="0A5B5F15" w14:textId="77777777" w:rsidR="006A4A32" w:rsidRDefault="000230CC" w:rsidP="000230CC">
      <w:pPr>
        <w:pStyle w:val="BodyCopy"/>
      </w:pPr>
      <w:r>
        <w:t xml:space="preserve">In addition, the Internal Audit noted that negotiated protocol amendments should have documented endorsement by Departmental expert technical advisor(s) prior to </w:t>
      </w:r>
      <w:r w:rsidRPr="00FC7DC4">
        <w:t>the approval of the trial and the signing of the trial funding agreement</w:t>
      </w:r>
      <w:r>
        <w:rPr>
          <w:rStyle w:val="FootnoteReference"/>
        </w:rPr>
        <w:footnoteReference w:id="9"/>
      </w:r>
      <w:r>
        <w:t xml:space="preserve"> </w:t>
      </w:r>
      <w:sdt>
        <w:sdtPr>
          <w:id w:val="-747272449"/>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w:t>
      </w:r>
    </w:p>
    <w:p w14:paraId="0A2CA0E3" w14:textId="5124C30B" w:rsidR="000230CC" w:rsidRDefault="000230CC" w:rsidP="0077662C">
      <w:pPr>
        <w:pStyle w:val="KeyFinding"/>
      </w:pPr>
      <w:r>
        <w:t>The assessment process for the PTP trials was merit-based. The process could be strengthened to ensure an agreed level of readiness and endorsement by Departmental expert advisors prior to approval of grant funding.</w:t>
      </w:r>
    </w:p>
    <w:p w14:paraId="409338DF" w14:textId="77777777" w:rsidR="006A4A32" w:rsidRDefault="000230CC" w:rsidP="003F4318">
      <w:pPr>
        <w:pStyle w:val="Heading3"/>
      </w:pPr>
      <w:bookmarkStart w:id="107" w:name="_Toc19097773"/>
      <w:bookmarkStart w:id="108" w:name="_Toc26366379"/>
      <w:r w:rsidRPr="003F4318">
        <w:t>Transparency of decision-making</w:t>
      </w:r>
      <w:bookmarkEnd w:id="107"/>
      <w:bookmarkEnd w:id="108"/>
    </w:p>
    <w:p w14:paraId="03B5B7DF" w14:textId="77777777" w:rsidR="006A4A32" w:rsidRDefault="000230CC" w:rsidP="000230CC">
      <w:pPr>
        <w:pStyle w:val="BodyCopy"/>
      </w:pPr>
      <w:r>
        <w:t>Professional and advocacy peak bodies consulted had concerns about the lack of transparency of the PTP key decision-making processes. It was felt that the rationale for selecting priority areas or approved trials was not communicated more broadly to interested stakeholders. This resulted in a level of scepticism among stakeholders about how decisions were made about which organisations were approved to receive funds.</w:t>
      </w:r>
    </w:p>
    <w:p w14:paraId="204128F4" w14:textId="6AF99428" w:rsidR="000230CC" w:rsidRDefault="000230CC" w:rsidP="00312D13">
      <w:pPr>
        <w:pStyle w:val="Quote"/>
        <w:keepNext/>
      </w:pPr>
      <w:r>
        <w:t>‘C</w:t>
      </w:r>
      <w:r w:rsidRPr="00230891">
        <w:rPr>
          <w:rStyle w:val="QuoteChar"/>
        </w:rPr>
        <w:t>o</w:t>
      </w:r>
      <w:r>
        <w:t>mmunication…on the PTP on the whole has not been great.’</w:t>
      </w:r>
    </w:p>
    <w:p w14:paraId="70B70413" w14:textId="77777777" w:rsidR="006A4A32" w:rsidRDefault="000230CC" w:rsidP="00312D13">
      <w:pPr>
        <w:pStyle w:val="Quote"/>
        <w:keepNext/>
        <w:jc w:val="right"/>
      </w:pPr>
      <w:r>
        <w:t>Advocacy peak body comment</w:t>
      </w:r>
    </w:p>
    <w:p w14:paraId="116C1053" w14:textId="6D5BAADE" w:rsidR="000230CC" w:rsidRDefault="000230CC" w:rsidP="00312D13">
      <w:pPr>
        <w:pStyle w:val="Quote"/>
        <w:keepNext/>
        <w:rPr>
          <w:lang w:eastAsia="en-AU"/>
        </w:rPr>
      </w:pPr>
      <w:r>
        <w:rPr>
          <w:lang w:eastAsia="en-AU"/>
        </w:rPr>
        <w:t>‘</w:t>
      </w:r>
      <w:r w:rsidRPr="001F52F6">
        <w:rPr>
          <w:lang w:eastAsia="en-AU"/>
        </w:rPr>
        <w:t>The tender process was secretive and opaque</w:t>
      </w:r>
      <w:r>
        <w:rPr>
          <w:lang w:eastAsia="en-AU"/>
        </w:rPr>
        <w:t>.’</w:t>
      </w:r>
    </w:p>
    <w:p w14:paraId="641651E6" w14:textId="77777777" w:rsidR="006A4A32" w:rsidRDefault="000230CC" w:rsidP="000230CC">
      <w:pPr>
        <w:pStyle w:val="Quote"/>
        <w:jc w:val="right"/>
        <w:rPr>
          <w:lang w:eastAsia="en-AU"/>
        </w:rPr>
      </w:pPr>
      <w:r>
        <w:rPr>
          <w:lang w:eastAsia="en-AU"/>
        </w:rPr>
        <w:t>Pharmacist survey respondent</w:t>
      </w:r>
    </w:p>
    <w:p w14:paraId="01628652" w14:textId="77777777" w:rsidR="006A4A32" w:rsidRDefault="000230CC" w:rsidP="000230CC">
      <w:pPr>
        <w:pStyle w:val="BodyCopy"/>
      </w:pPr>
      <w:r>
        <w:t xml:space="preserve">Many professional peak bodies (including the PSA, SHPA, RACGP) commented on the levels of transparency regarding Tranches 1 and 3 of the PTP. Stakeholder scepticism of processes for these tranches was increased by the large number of approved trials led by the Guild (four of seven trials), including the Chronic Pain MedsCheck trial, which received notably higher funding (at approximately </w:t>
      </w:r>
      <w:r>
        <w:rPr>
          <w:rFonts w:ascii="Times New Roman" w:hAnsi="Times New Roman"/>
        </w:rPr>
        <w:t>$</w:t>
      </w:r>
      <w:r>
        <w:t xml:space="preserve">21 million) than the other PTP trials (at an average of </w:t>
      </w:r>
      <w:r>
        <w:rPr>
          <w:rFonts w:ascii="Times New Roman" w:hAnsi="Times New Roman"/>
        </w:rPr>
        <w:t>$</w:t>
      </w:r>
      <w:r>
        <w:t>3.2 million per trial). In response to this observation by HMA, the Guild commented that, although they were the lead-organisation from a contract perspective, the engaged universities and researchers were in charge of the trials and leading the day-to-day implementation.</w:t>
      </w:r>
    </w:p>
    <w:p w14:paraId="1C750962" w14:textId="4750CA02" w:rsidR="000230CC" w:rsidRDefault="000230CC" w:rsidP="000230CC">
      <w:pPr>
        <w:pStyle w:val="BodyCopy"/>
      </w:pPr>
      <w:r>
        <w:t xml:space="preserve">There was a perception among many stakeholders that the Guild was the administrator of the PTP as they had been for the R&amp;D program under previous CPAs. While this perception is incorrect (see Section </w:t>
      </w:r>
      <w:r>
        <w:fldChar w:fldCharType="begin"/>
      </w:r>
      <w:r>
        <w:instrText xml:space="preserve"> REF _Ref10302001 \r \h </w:instrText>
      </w:r>
      <w:r>
        <w:fldChar w:fldCharType="separate"/>
      </w:r>
      <w:r w:rsidR="008B7448">
        <w:t>5.2.8</w:t>
      </w:r>
      <w:r>
        <w:fldChar w:fldCharType="end"/>
      </w:r>
      <w:r>
        <w:t xml:space="preserve"> below for further comment), the confusion added to general scepticism in the sector, as reported to the review team.</w:t>
      </w:r>
    </w:p>
    <w:p w14:paraId="77F36B00" w14:textId="77777777" w:rsidR="006A4A32" w:rsidRDefault="000230CC" w:rsidP="000230CC">
      <w:pPr>
        <w:pStyle w:val="BodyCopy"/>
      </w:pPr>
      <w:r>
        <w:t xml:space="preserve">Most professional peak bodies, advocacy groups, grant applicants and TAG members consulted felt that PTP tranches should not be non-competitive rounds. Limited communication on the rationale for the non-competitive tranches was also expressed by stakeholders. </w:t>
      </w:r>
      <w:r w:rsidRPr="00755BF3">
        <w:t>Professional peak bodies commented</w:t>
      </w:r>
      <w:r>
        <w:t xml:space="preserve"> that the non-competitive grant round in Tranches 1 and 3 were announced without consultation and associated documentation appeared to some of those interviewed to be discouraging of applications from others in the profession.</w:t>
      </w:r>
    </w:p>
    <w:p w14:paraId="7C886A10" w14:textId="3BC7B83A" w:rsidR="000230CC" w:rsidRDefault="000230CC" w:rsidP="0077662C">
      <w:pPr>
        <w:pStyle w:val="KeyFinding"/>
      </w:pPr>
      <w:r>
        <w:lastRenderedPageBreak/>
        <w:t>Stakeholders reported being sceptical about the PTP decision-making processes. They sought greater information on the reasons for decision making about which grants were successful in gaining a PTP grant.</w:t>
      </w:r>
    </w:p>
    <w:p w14:paraId="1436B34C" w14:textId="77777777" w:rsidR="006A4A32" w:rsidRDefault="000230CC" w:rsidP="000230CC">
      <w:pPr>
        <w:pStyle w:val="Heading4"/>
      </w:pPr>
      <w:r>
        <w:t>Clarity of grant eligibility and assessment criteria</w:t>
      </w:r>
    </w:p>
    <w:p w14:paraId="6A81E5BC" w14:textId="77777777" w:rsidR="006A4A32" w:rsidRDefault="000230CC" w:rsidP="000230CC">
      <w:pPr>
        <w:pStyle w:val="BodyCopy"/>
      </w:pPr>
      <w:r>
        <w:t>Despite the comprehensive grant guidelines for Tranche 2 trials that met the requirements of the CGRG, grant applicants interviewed for the review indicated that more guidance was required throughout the application process to address queries. Approximately one third of submitted applications were considered ineligible</w:t>
      </w:r>
      <w:sdt>
        <w:sdtPr>
          <w:id w:val="303665148"/>
          <w:citation/>
        </w:sdtPr>
        <w:sdtContent>
          <w:r>
            <w:fldChar w:fldCharType="begin"/>
          </w:r>
          <w:r w:rsidR="00820D12">
            <w:rPr>
              <w:lang w:val="en-US"/>
            </w:rPr>
            <w:instrText xml:space="preserve">CITATION NHM19 \l 1033 </w:instrText>
          </w:r>
          <w:r>
            <w:fldChar w:fldCharType="separate"/>
          </w:r>
          <w:r w:rsidR="008B7448">
            <w:rPr>
              <w:noProof/>
              <w:lang w:val="en-US"/>
            </w:rPr>
            <w:t xml:space="preserve"> </w:t>
          </w:r>
          <w:r w:rsidR="008B7448" w:rsidRPr="008B7448">
            <w:rPr>
              <w:noProof/>
              <w:lang w:val="en-US"/>
            </w:rPr>
            <w:t>[58]</w:t>
          </w:r>
          <w:r>
            <w:fldChar w:fldCharType="end"/>
          </w:r>
        </w:sdtContent>
      </w:sdt>
      <w:r>
        <w:t>, suggesting additional guidance may have been helpful.</w:t>
      </w:r>
    </w:p>
    <w:p w14:paraId="76435275" w14:textId="0E40E445" w:rsidR="000230CC" w:rsidRDefault="000230CC" w:rsidP="000230CC">
      <w:pPr>
        <w:pStyle w:val="BodyCopy"/>
      </w:pPr>
      <w:r>
        <w:t>Similarly, the relatively low scores of eligible applications suggest that the criterion requirements were not well understood by applicants. Tallied application scores of the 29 eligible applications ranged from 10 to 28, with</w:t>
      </w:r>
      <w:r w:rsidRPr="00091DB1">
        <w:t xml:space="preserve"> </w:t>
      </w:r>
      <w:r>
        <w:t>an average score of 20 (out of a possible score of 50)</w:t>
      </w:r>
      <w:sdt>
        <w:sdtPr>
          <w:id w:val="-1832599270"/>
          <w:citation/>
        </w:sdtPr>
        <w:sdtContent>
          <w:r>
            <w:fldChar w:fldCharType="begin"/>
          </w:r>
          <w:r>
            <w:rPr>
              <w:lang w:val="en-US"/>
            </w:rPr>
            <w:instrText xml:space="preserve"> CITATION PTP17 \l 1033 </w:instrText>
          </w:r>
          <w:r>
            <w:fldChar w:fldCharType="separate"/>
          </w:r>
          <w:r w:rsidR="008B7448">
            <w:rPr>
              <w:noProof/>
              <w:lang w:val="en-US"/>
            </w:rPr>
            <w:t xml:space="preserve"> </w:t>
          </w:r>
          <w:r w:rsidR="008B7448" w:rsidRPr="008B7448">
            <w:rPr>
              <w:noProof/>
              <w:lang w:val="en-US"/>
            </w:rPr>
            <w:t>[44]</w:t>
          </w:r>
          <w:r>
            <w:fldChar w:fldCharType="end"/>
          </w:r>
        </w:sdtContent>
      </w:sdt>
      <w:r>
        <w:t>.</w:t>
      </w:r>
    </w:p>
    <w:p w14:paraId="7015AE99" w14:textId="77777777" w:rsidR="006A4A32" w:rsidRDefault="000230CC" w:rsidP="000230CC">
      <w:pPr>
        <w:pStyle w:val="BodyCopy"/>
      </w:pPr>
      <w:r w:rsidRPr="008F192E">
        <w:t>Given th</w:t>
      </w:r>
      <w:r>
        <w:t>e</w:t>
      </w:r>
      <w:r w:rsidRPr="008F192E">
        <w:t xml:space="preserve"> value of the grants (average of </w:t>
      </w:r>
      <w:r w:rsidRPr="008F192E">
        <w:rPr>
          <w:rFonts w:ascii="Times New Roman" w:hAnsi="Times New Roman"/>
        </w:rPr>
        <w:t>$</w:t>
      </w:r>
      <w:r w:rsidRPr="008F192E">
        <w:t xml:space="preserve">3.2 million per trial), it was not unreasonable to expect a minimum level of rigour </w:t>
      </w:r>
      <w:r>
        <w:t xml:space="preserve">for trial </w:t>
      </w:r>
      <w:r w:rsidRPr="008F192E">
        <w:t>protocols.</w:t>
      </w:r>
      <w:r>
        <w:t xml:space="preserve"> However, the need for further information on trial requirements also appears to have translated to additional effort in protocol refinement to increase the robustness of the trial protocols prior to signing-off funding </w:t>
      </w:r>
      <w:r w:rsidRPr="008F192E">
        <w:t>agreements.</w:t>
      </w:r>
    </w:p>
    <w:p w14:paraId="39170409" w14:textId="0DC23FC9" w:rsidR="000230CC" w:rsidRDefault="000230CC" w:rsidP="0077662C">
      <w:pPr>
        <w:pStyle w:val="KeyFinding"/>
      </w:pPr>
      <w:r>
        <w:t>Clarity of Tranche 2 eligibility criteria could have been improved to reduce the proportion of ineligible applications. The relatively low application scores suggested that the assessment criteria were not well understood.</w:t>
      </w:r>
    </w:p>
    <w:p w14:paraId="2151C2CD" w14:textId="77777777" w:rsidR="006A4A32" w:rsidRDefault="000230CC" w:rsidP="000230CC">
      <w:pPr>
        <w:pStyle w:val="Heading4"/>
      </w:pPr>
      <w:r>
        <w:t>Feedback on selection processes</w:t>
      </w:r>
    </w:p>
    <w:p w14:paraId="30330237" w14:textId="77777777" w:rsidR="006A4A32" w:rsidRDefault="000230CC" w:rsidP="000230CC">
      <w:pPr>
        <w:pStyle w:val="BodyCopy"/>
      </w:pPr>
      <w:r>
        <w:t>Feedback and communication on assessment and selection processes was highlighted as an area for improvement</w:t>
      </w:r>
      <w:r w:rsidRPr="000E11AB">
        <w:t xml:space="preserve"> </w:t>
      </w:r>
      <w:r>
        <w:t>by Tranche 2 applicants.</w:t>
      </w:r>
    </w:p>
    <w:p w14:paraId="1230922E" w14:textId="77777777" w:rsidR="006A4A32" w:rsidRDefault="000230CC" w:rsidP="000230CC">
      <w:pPr>
        <w:pStyle w:val="BodyCopy"/>
      </w:pPr>
      <w:r>
        <w:t xml:space="preserve">The feedback process involved notification of unsuccessful applicants with an invitation to contact the Department for feedback. Unsuccessful applicants who </w:t>
      </w:r>
      <w:r>
        <w:t>contacted the Department were provided verbal feedback based around the assessment criteria. This met the obligations under the grant guidelines.</w:t>
      </w:r>
    </w:p>
    <w:p w14:paraId="6BC2FC34" w14:textId="77777777" w:rsidR="006A4A32" w:rsidRDefault="000230CC" w:rsidP="000230CC">
      <w:pPr>
        <w:pStyle w:val="BodyCopy"/>
      </w:pPr>
      <w:r>
        <w:t>Unsuccessful applicants commented that there was limited feedback provided on their grants. Researchers had different expectations on the level of feedback they would receive, based on experiences with NHMRC and similar funding bodies. Researchers expected detailed peer-reviewed feedback that would enable improvement in their approach for future funding rounds.</w:t>
      </w:r>
    </w:p>
    <w:p w14:paraId="69CAE4B5" w14:textId="6C64A2B5" w:rsidR="000230CC" w:rsidRDefault="000230CC" w:rsidP="0077662C">
      <w:pPr>
        <w:pStyle w:val="KeyFinding"/>
      </w:pPr>
      <w:r>
        <w:t>Researchers expected additional detail in their feedback, based on their experiences with NHMRC grant application processes.</w:t>
      </w:r>
    </w:p>
    <w:p w14:paraId="769FE9E1" w14:textId="77777777" w:rsidR="006A4A32" w:rsidRDefault="000230CC" w:rsidP="000230CC">
      <w:pPr>
        <w:pStyle w:val="Heading4"/>
      </w:pPr>
      <w:bookmarkStart w:id="109" w:name="_Hlk11759970"/>
      <w:bookmarkStart w:id="110" w:name="_Hlk12446030"/>
      <w:r>
        <w:t>Public dissemination of information on trial activities</w:t>
      </w:r>
    </w:p>
    <w:p w14:paraId="70B3203A" w14:textId="77777777" w:rsidR="006A4A32" w:rsidRDefault="000230CC" w:rsidP="000230CC">
      <w:pPr>
        <w:pStyle w:val="BodyCopy"/>
      </w:pPr>
      <w:r w:rsidRPr="00632DC4">
        <w:t>Under the terms of the standard grant agreements</w:t>
      </w:r>
      <w:sdt>
        <w:sdtPr>
          <w:id w:val="1942869439"/>
          <w:citation/>
        </w:sdtPr>
        <w:sdtContent>
          <w:r w:rsidRPr="00632DC4">
            <w:fldChar w:fldCharType="begin"/>
          </w:r>
          <w:r w:rsidR="00820D12">
            <w:rPr>
              <w:lang w:val="en-US"/>
            </w:rPr>
            <w:instrText xml:space="preserve">CITATION Dep \l 1033 </w:instrText>
          </w:r>
          <w:r w:rsidRPr="00632DC4">
            <w:fldChar w:fldCharType="separate"/>
          </w:r>
          <w:r w:rsidR="008B7448">
            <w:rPr>
              <w:noProof/>
              <w:lang w:val="en-US"/>
            </w:rPr>
            <w:t xml:space="preserve"> </w:t>
          </w:r>
          <w:r w:rsidR="008B7448" w:rsidRPr="008B7448">
            <w:rPr>
              <w:noProof/>
              <w:lang w:val="en-US"/>
            </w:rPr>
            <w:t>[59]</w:t>
          </w:r>
          <w:r w:rsidRPr="00632DC4">
            <w:fldChar w:fldCharType="end"/>
          </w:r>
        </w:sdtContent>
      </w:sdt>
      <w:r w:rsidRPr="00632DC4">
        <w:t>, publication</w:t>
      </w:r>
      <w:r>
        <w:t xml:space="preserve"> of PTP trial activities required prior approval form the Department. This was in order to manage consumer/public expectations prior to completion of an </w:t>
      </w:r>
      <w:r w:rsidR="005F4563">
        <w:t xml:space="preserve">independent </w:t>
      </w:r>
      <w:r>
        <w:t>HTA assessment.</w:t>
      </w:r>
    </w:p>
    <w:bookmarkEnd w:id="109"/>
    <w:p w14:paraId="4554BE3F" w14:textId="77777777" w:rsidR="006A4A32" w:rsidRDefault="000230CC" w:rsidP="000230CC">
      <w:pPr>
        <w:pStyle w:val="BodyCopy"/>
      </w:pPr>
      <w:r>
        <w:t xml:space="preserve">Departmental approval prior to publication throughout the trial process was considered by some grant recipients to limit the opportunity for peer review and contribution to the evidence base. The Guild felt that not allowing researchers to publish results throughout the trials would hinder the evaluations to be undertaken by the </w:t>
      </w:r>
      <w:r w:rsidR="005F4563">
        <w:t xml:space="preserve">independent </w:t>
      </w:r>
      <w:r>
        <w:t>HTA, which will make assessments based on the existing body of evidence for a service.</w:t>
      </w:r>
    </w:p>
    <w:p w14:paraId="0268E89E" w14:textId="77777777" w:rsidR="006A4A32" w:rsidRDefault="000230CC" w:rsidP="000230CC">
      <w:pPr>
        <w:pStyle w:val="BodyCopy"/>
      </w:pPr>
      <w:r>
        <w:t>Grant recipients for the two trials focused on Aboriginal and Torres Strait Islander communities also said that general promotion of trial activities among communities or to consumers would be beneficial for recruitment and consumer engagement.</w:t>
      </w:r>
    </w:p>
    <w:p w14:paraId="290EE2DB" w14:textId="5F134C74" w:rsidR="000230CC" w:rsidRDefault="000230CC" w:rsidP="000230CC">
      <w:pPr>
        <w:pStyle w:val="BodyCopy"/>
      </w:pPr>
      <w:r>
        <w:t>The Department commented that at the time of this review (July 2019), all but one PTP request for journal publication, newsletter communication, conference presentation and/or community engagement promotional material had been approved, albeit sometimes with minor edits. Typical edits included:</w:t>
      </w:r>
    </w:p>
    <w:p w14:paraId="4DEF43AD" w14:textId="77777777" w:rsidR="006A4A32" w:rsidRDefault="000230CC" w:rsidP="002C22EF">
      <w:pPr>
        <w:pStyle w:val="ListBullet"/>
      </w:pPr>
      <w:r>
        <w:t>acknowledgement of the Australian Government as funders of the trials, or</w:t>
      </w:r>
    </w:p>
    <w:p w14:paraId="0E9FDBD5" w14:textId="77777777" w:rsidR="006A4A32" w:rsidRDefault="000230CC" w:rsidP="002C22EF">
      <w:pPr>
        <w:pStyle w:val="ListBullet"/>
      </w:pPr>
      <w:r>
        <w:lastRenderedPageBreak/>
        <w:t>ensuring wording did not imply that trial activities were considered best practice in Australia prior to completion, as the role of the trial is to find evidence for or against this.</w:t>
      </w:r>
    </w:p>
    <w:p w14:paraId="0175E04D" w14:textId="77777777" w:rsidR="006A4A32" w:rsidRDefault="000230CC" w:rsidP="0077662C">
      <w:pPr>
        <w:pStyle w:val="KeyFinding"/>
      </w:pPr>
      <w:r>
        <w:t>Grant recipients felt that the rules for publication relating to the PTP trials were restrictive and could limit consumer engagement, or available evidence for an</w:t>
      </w:r>
      <w:r w:rsidR="005F4563">
        <w:t xml:space="preserve"> independent</w:t>
      </w:r>
      <w:r>
        <w:t xml:space="preserve"> HTA assessment. The Department worked closely with grant recipients to approve publication requests quickly with minimal edits. To date (July 2019) only one publication request had been refused.</w:t>
      </w:r>
    </w:p>
    <w:p w14:paraId="31365D31" w14:textId="25C13E0B" w:rsidR="000230CC" w:rsidRPr="003F4318" w:rsidRDefault="000230CC" w:rsidP="003F4318">
      <w:pPr>
        <w:pStyle w:val="Heading3"/>
      </w:pPr>
      <w:bookmarkStart w:id="111" w:name="_Toc19097774"/>
      <w:bookmarkStart w:id="112" w:name="_Toc26366380"/>
      <w:bookmarkEnd w:id="110"/>
      <w:r w:rsidRPr="003F4318">
        <w:t>Fostering an outcomes orientation for PTP trials</w:t>
      </w:r>
      <w:bookmarkEnd w:id="111"/>
      <w:bookmarkEnd w:id="112"/>
    </w:p>
    <w:p w14:paraId="21393E07" w14:textId="77777777" w:rsidR="006A4A32" w:rsidRDefault="000230CC" w:rsidP="000230CC">
      <w:pPr>
        <w:pStyle w:val="Heading4"/>
      </w:pPr>
      <w:r>
        <w:t>Clinical outcomes</w:t>
      </w:r>
    </w:p>
    <w:p w14:paraId="1950004E" w14:textId="526253E4" w:rsidR="000230CC" w:rsidRDefault="000230CC" w:rsidP="000230CC">
      <w:pPr>
        <w:pStyle w:val="BodyCopy"/>
      </w:pPr>
      <w:r>
        <w:t>The assessment criteria of the grant guidelines for all three tranches had a focus on demonstrating a need for the intervention and ensuring scientific rigour for the trial protocol. Trial protocols were reviewed by:</w:t>
      </w:r>
    </w:p>
    <w:p w14:paraId="15ED6C5A" w14:textId="77777777" w:rsidR="006A4A32" w:rsidRDefault="000230CC" w:rsidP="002C22EF">
      <w:pPr>
        <w:pStyle w:val="ListBullet"/>
      </w:pPr>
      <w:r>
        <w:t>the TAG for Tranche 1</w:t>
      </w:r>
      <w:r w:rsidR="00B339A9">
        <w:t>;</w:t>
      </w:r>
    </w:p>
    <w:p w14:paraId="0475529D" w14:textId="2C0D511C" w:rsidR="000230CC" w:rsidRDefault="000230CC" w:rsidP="002C22EF">
      <w:pPr>
        <w:pStyle w:val="ListBullet"/>
      </w:pPr>
      <w:r>
        <w:t>the PASC of MSAC for Tranche 2</w:t>
      </w:r>
      <w:r w:rsidR="00B339A9">
        <w:t>;</w:t>
      </w:r>
      <w:r>
        <w:t xml:space="preserve"> and</w:t>
      </w:r>
    </w:p>
    <w:p w14:paraId="6B60DFB4" w14:textId="77777777" w:rsidR="006A4A32" w:rsidRDefault="000230CC" w:rsidP="002C22EF">
      <w:pPr>
        <w:pStyle w:val="ListBullet"/>
      </w:pPr>
      <w:r>
        <w:t>Department</w:t>
      </w:r>
      <w:r w:rsidR="00DA370D">
        <w:t>’s</w:t>
      </w:r>
      <w:r>
        <w:t xml:space="preserve"> </w:t>
      </w:r>
      <w:r w:rsidR="00B339A9">
        <w:t xml:space="preserve">special </w:t>
      </w:r>
      <w:r>
        <w:t>advisor, Emeritus Professor Lloyd Sansom, for Tranches 2 and 3.</w:t>
      </w:r>
    </w:p>
    <w:p w14:paraId="1C9621DD" w14:textId="77777777" w:rsidR="006A4A32" w:rsidRDefault="000230CC" w:rsidP="000230CC">
      <w:pPr>
        <w:pStyle w:val="BodyCopy"/>
      </w:pPr>
      <w:r>
        <w:t>The nature of the advice provided was how researchers could strengthen the scientific rigour of their trial protocol to ensure clinical outcomes could be achieved and measured.</w:t>
      </w:r>
    </w:p>
    <w:p w14:paraId="5BD13773" w14:textId="7E72FE63" w:rsidR="000230CC" w:rsidRDefault="000230CC" w:rsidP="0077662C">
      <w:pPr>
        <w:pStyle w:val="KeyFinding"/>
      </w:pPr>
      <w:r w:rsidRPr="00192E6F">
        <w:t>Assessment criteria supported a clinical outcome focus of trials. Additional supports provided</w:t>
      </w:r>
      <w:r>
        <w:t>,</w:t>
      </w:r>
      <w:r w:rsidRPr="00192E6F">
        <w:t xml:space="preserve"> including review by PASC, TAG and an expert advisor</w:t>
      </w:r>
      <w:r>
        <w:t>,</w:t>
      </w:r>
      <w:r w:rsidRPr="00192E6F">
        <w:t xml:space="preserve"> fostered </w:t>
      </w:r>
      <w:r>
        <w:t>a focus</w:t>
      </w:r>
      <w:r w:rsidRPr="00192E6F">
        <w:t xml:space="preserve"> on clinical outcomes</w:t>
      </w:r>
      <w:r>
        <w:t>.</w:t>
      </w:r>
    </w:p>
    <w:p w14:paraId="0449103F" w14:textId="77777777" w:rsidR="000230CC" w:rsidRDefault="000230CC" w:rsidP="000230CC">
      <w:pPr>
        <w:pStyle w:val="Heading4"/>
      </w:pPr>
      <w:r>
        <w:t>Cost-effectiveness</w:t>
      </w:r>
    </w:p>
    <w:p w14:paraId="0200EFB9" w14:textId="3E331C1B" w:rsidR="000230CC" w:rsidRDefault="000230CC" w:rsidP="000230CC">
      <w:pPr>
        <w:pStyle w:val="BodyCopy"/>
      </w:pPr>
      <w:r>
        <w:t xml:space="preserve">The need for cost-effectiveness analysis of trial outcomes was clearly stated in the grant guidelines for Tranches 2 and 3. Tranche 3 was the only tranche to specifically request </w:t>
      </w:r>
      <w:r w:rsidRPr="001E5DA1">
        <w:t>a methodology for the cost-effectiveness analysis to be undertaken in the grant assessment criteria</w:t>
      </w:r>
      <w:r>
        <w:t xml:space="preserve"> </w:t>
      </w:r>
      <w:sdt>
        <w:sdtPr>
          <w:id w:val="-417709528"/>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sdt>
        <w:sdtPr>
          <w:id w:val="1496145423"/>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sdt>
        <w:sdtPr>
          <w:id w:val="1074782963"/>
          <w:citation/>
        </w:sdtPr>
        <w:sdtContent>
          <w:r>
            <w:fldChar w:fldCharType="begin"/>
          </w:r>
          <w:r>
            <w:rPr>
              <w:lang w:val="en-US"/>
            </w:rPr>
            <w:instrText xml:space="preserve">CITATION Aus183 \l 1033 </w:instrText>
          </w:r>
          <w:r>
            <w:fldChar w:fldCharType="separate"/>
          </w:r>
          <w:r w:rsidR="008B7448">
            <w:rPr>
              <w:noProof/>
              <w:lang w:val="en-US"/>
            </w:rPr>
            <w:t xml:space="preserve"> </w:t>
          </w:r>
          <w:r w:rsidR="008B7448" w:rsidRPr="008B7448">
            <w:rPr>
              <w:noProof/>
              <w:lang w:val="en-US"/>
            </w:rPr>
            <w:t>[42]</w:t>
          </w:r>
          <w:r>
            <w:fldChar w:fldCharType="end"/>
          </w:r>
        </w:sdtContent>
      </w:sdt>
      <w:sdt>
        <w:sdtPr>
          <w:id w:val="-2115583605"/>
          <w:citation/>
        </w:sdtPr>
        <w:sdtContent>
          <w:r>
            <w:fldChar w:fldCharType="begin"/>
          </w:r>
          <w:r>
            <w:rPr>
              <w:lang w:val="en-US"/>
            </w:rPr>
            <w:instrText xml:space="preserve">CITATION Aus184 \l 1033 </w:instrText>
          </w:r>
          <w:r>
            <w:fldChar w:fldCharType="separate"/>
          </w:r>
          <w:r w:rsidR="008B7448">
            <w:rPr>
              <w:noProof/>
              <w:lang w:val="en-US"/>
            </w:rPr>
            <w:t xml:space="preserve"> </w:t>
          </w:r>
          <w:r w:rsidR="008B7448" w:rsidRPr="008B7448">
            <w:rPr>
              <w:noProof/>
              <w:lang w:val="en-US"/>
            </w:rPr>
            <w:t>[43]</w:t>
          </w:r>
          <w:r>
            <w:fldChar w:fldCharType="end"/>
          </w:r>
        </w:sdtContent>
      </w:sdt>
      <w:r>
        <w:t>.</w:t>
      </w:r>
    </w:p>
    <w:p w14:paraId="78F92D79" w14:textId="2249A5E5" w:rsidR="000230CC" w:rsidRDefault="000230CC" w:rsidP="000230CC">
      <w:pPr>
        <w:pStyle w:val="BodyCopy"/>
      </w:pPr>
      <w:r w:rsidRPr="001E5DA1">
        <w:t xml:space="preserve">Other supports such as the review of trial protocol by PASC, TAG and </w:t>
      </w:r>
      <w:r w:rsidR="00792B7A">
        <w:t>the Department’s special a</w:t>
      </w:r>
      <w:r w:rsidRPr="001E5DA1">
        <w:t>dvisor, considered and advised on the cost-effectiveness methodology and data inputs.</w:t>
      </w:r>
      <w:r>
        <w:t xml:space="preserve"> In addition, PTP grant recipients all included health economic expertise on their teams – typically partnering with a health economics department from a university.</w:t>
      </w:r>
    </w:p>
    <w:p w14:paraId="0A526DAE" w14:textId="77777777" w:rsidR="000230CC" w:rsidRPr="00250A0C" w:rsidRDefault="000230CC" w:rsidP="0077662C">
      <w:pPr>
        <w:pStyle w:val="KeyFinding"/>
      </w:pPr>
      <w:r>
        <w:t>Use of PASC, TAG and Departmental Advisors, plus engagement of health economic expertise in researcher teams, all fostered an outcomes focus for cost-effectiveness analysis. This could have been strengthened by inclusion of cost-effectiveness methodology in the assessment criteria for all tranches as it was done for Tranche 3.</w:t>
      </w:r>
    </w:p>
    <w:p w14:paraId="5734B9C9" w14:textId="77777777" w:rsidR="006A4A32" w:rsidRDefault="000230CC" w:rsidP="000230CC">
      <w:pPr>
        <w:pStyle w:val="Heading4"/>
      </w:pPr>
      <w:r>
        <w:t>Focus on Aboriginal and Torres Strait Islanders and people living in rural and remote areas</w:t>
      </w:r>
    </w:p>
    <w:p w14:paraId="000B890C" w14:textId="2E502D3A" w:rsidR="000230CC" w:rsidRDefault="000230CC" w:rsidP="000230CC">
      <w:pPr>
        <w:pStyle w:val="BodyCopy"/>
      </w:pPr>
      <w:r>
        <w:t xml:space="preserve">Consistent with the 6CPA Continuing Pharmacy Programmes, </w:t>
      </w:r>
      <w:r>
        <w:rPr>
          <w:sz w:val="23"/>
          <w:szCs w:val="23"/>
        </w:rPr>
        <w:t xml:space="preserve">interventions providing benefit to Aboriginal and Torres Strait Islanders and people living in rural and remote areas were to be focus areas for the PTP </w:t>
      </w:r>
      <w:sdt>
        <w:sdtPr>
          <w:rPr>
            <w:sz w:val="23"/>
            <w:szCs w:val="23"/>
          </w:rPr>
          <w:id w:val="-1760057711"/>
          <w:citation/>
        </w:sdtPr>
        <w:sdtContent>
          <w:r>
            <w:rPr>
              <w:sz w:val="23"/>
              <w:szCs w:val="23"/>
            </w:rPr>
            <w:fldChar w:fldCharType="begin"/>
          </w:r>
          <w:r w:rsidR="00820D12">
            <w:rPr>
              <w:sz w:val="23"/>
              <w:szCs w:val="23"/>
              <w:lang w:val="en-US"/>
            </w:rPr>
            <w:instrText xml:space="preserve">CITATION Aus161 \l 1033 </w:instrText>
          </w:r>
          <w:r>
            <w:rPr>
              <w:sz w:val="23"/>
              <w:szCs w:val="23"/>
            </w:rPr>
            <w:fldChar w:fldCharType="separate"/>
          </w:r>
          <w:r w:rsidR="008B7448" w:rsidRPr="008B7448">
            <w:rPr>
              <w:noProof/>
              <w:sz w:val="23"/>
              <w:szCs w:val="23"/>
              <w:lang w:val="en-US"/>
            </w:rPr>
            <w:t>[38]</w:t>
          </w:r>
          <w:r>
            <w:rPr>
              <w:sz w:val="23"/>
              <w:szCs w:val="23"/>
            </w:rPr>
            <w:fldChar w:fldCharType="end"/>
          </w:r>
        </w:sdtContent>
      </w:sdt>
      <w:r>
        <w:rPr>
          <w:sz w:val="23"/>
          <w:szCs w:val="23"/>
        </w:rPr>
        <w:t>.</w:t>
      </w:r>
      <w:r>
        <w:t xml:space="preserve"> However, only one of the nine topics/priority areas identified for the PTP (see </w:t>
      </w:r>
      <w:r>
        <w:fldChar w:fldCharType="begin"/>
      </w:r>
      <w:r>
        <w:instrText xml:space="preserve"> REF _Ref10024776 \h </w:instrText>
      </w:r>
      <w:r>
        <w:fldChar w:fldCharType="separate"/>
      </w:r>
      <w:r w:rsidR="006B6B4C">
        <w:t xml:space="preserve">Table </w:t>
      </w:r>
      <w:r w:rsidR="006B6B4C">
        <w:rPr>
          <w:noProof/>
        </w:rPr>
        <w:t>5</w:t>
      </w:r>
      <w:r w:rsidR="006B6B4C">
        <w:t>.</w:t>
      </w:r>
      <w:r w:rsidR="006B6B4C">
        <w:rPr>
          <w:noProof/>
        </w:rPr>
        <w:t>3</w:t>
      </w:r>
      <w:r>
        <w:fldChar w:fldCharType="end"/>
      </w:r>
      <w:r>
        <w:t>), had a specific focus on Aboriginal and Torres Strait Islander people</w:t>
      </w:r>
      <w:r w:rsidR="00FA6383">
        <w:t>s</w:t>
      </w:r>
      <w:r>
        <w:t>, and none of the trials had a specific emphasis on the needs of people living in rural and remote areas.</w:t>
      </w:r>
    </w:p>
    <w:p w14:paraId="55954356" w14:textId="58F8CED6" w:rsidR="000230CC" w:rsidRPr="00551704" w:rsidRDefault="000230CC" w:rsidP="000230CC">
      <w:pPr>
        <w:pStyle w:val="Caption"/>
        <w:rPr>
          <w:rStyle w:val="Captionnotbold"/>
        </w:rPr>
      </w:pPr>
      <w:bookmarkStart w:id="113" w:name="_Ref10024776"/>
      <w:r>
        <w:t xml:space="preserve">Table </w:t>
      </w:r>
      <w:r>
        <w:rPr>
          <w:noProof/>
        </w:rPr>
        <w:fldChar w:fldCharType="begin"/>
      </w:r>
      <w:r>
        <w:rPr>
          <w:noProof/>
        </w:rPr>
        <w:instrText xml:space="preserve"> STYLEREF 1 \s </w:instrText>
      </w:r>
      <w:r>
        <w:rPr>
          <w:noProof/>
        </w:rPr>
        <w:fldChar w:fldCharType="separate"/>
      </w:r>
      <w:r w:rsidR="008B7448">
        <w:rPr>
          <w:noProof/>
        </w:rPr>
        <w:t>5</w:t>
      </w:r>
      <w:r>
        <w:rPr>
          <w:noProof/>
        </w:rPr>
        <w:fldChar w:fldCharType="end"/>
      </w:r>
      <w:r>
        <w:t>.</w:t>
      </w:r>
      <w:r>
        <w:rPr>
          <w:noProof/>
        </w:rPr>
        <w:fldChar w:fldCharType="begin"/>
      </w:r>
      <w:r>
        <w:rPr>
          <w:noProof/>
        </w:rPr>
        <w:instrText xml:space="preserve"> SEQ Table \* ARABIC \s 1 </w:instrText>
      </w:r>
      <w:r>
        <w:rPr>
          <w:noProof/>
        </w:rPr>
        <w:fldChar w:fldCharType="separate"/>
      </w:r>
      <w:r w:rsidR="008B7448">
        <w:rPr>
          <w:noProof/>
        </w:rPr>
        <w:t>3</w:t>
      </w:r>
      <w:r>
        <w:rPr>
          <w:noProof/>
        </w:rPr>
        <w:fldChar w:fldCharType="end"/>
      </w:r>
      <w:bookmarkEnd w:id="113"/>
      <w:r>
        <w:t xml:space="preserve">: </w:t>
      </w:r>
      <w:r w:rsidRPr="00551704">
        <w:rPr>
          <w:rStyle w:val="Captionnotbold"/>
        </w:rPr>
        <w:t>Topics / priority areas for PTP trials by tranche</w:t>
      </w:r>
    </w:p>
    <w:tbl>
      <w:tblPr>
        <w:tblStyle w:val="HMATableB"/>
        <w:tblW w:w="0" w:type="auto"/>
        <w:tblLook w:val="0420" w:firstRow="1" w:lastRow="0" w:firstColumn="0" w:lastColumn="0" w:noHBand="0" w:noVBand="1"/>
        <w:tblCaption w:val="Table 5.3: Topics / priority areas for PTP trials by tranche"/>
        <w:tblDescription w:val="Table 5.3 Topics / priority areas for PTP trials by tranche"/>
      </w:tblPr>
      <w:tblGrid>
        <w:gridCol w:w="2547"/>
        <w:gridCol w:w="2410"/>
        <w:gridCol w:w="2077"/>
      </w:tblGrid>
      <w:tr w:rsidR="000230CC" w:rsidRPr="00551704" w14:paraId="05221022" w14:textId="77777777" w:rsidTr="00401B60">
        <w:trPr>
          <w:cnfStyle w:val="100000000000" w:firstRow="1" w:lastRow="0" w:firstColumn="0" w:lastColumn="0" w:oddVBand="0" w:evenVBand="0" w:oddHBand="0" w:evenHBand="0" w:firstRowFirstColumn="0" w:firstRowLastColumn="0" w:lastRowFirstColumn="0" w:lastRowLastColumn="0"/>
          <w:tblHeader/>
        </w:trPr>
        <w:tc>
          <w:tcPr>
            <w:tcW w:w="2547" w:type="dxa"/>
            <w:shd w:val="clear" w:color="auto" w:fill="E4E4E4" w:themeFill="accent3" w:themeFillTint="33"/>
          </w:tcPr>
          <w:p w14:paraId="5A451A00" w14:textId="77777777" w:rsidR="000230CC" w:rsidRPr="00551704" w:rsidRDefault="000230CC" w:rsidP="000230CC">
            <w:pPr>
              <w:pStyle w:val="TableColumnHeading"/>
              <w:rPr>
                <w:rStyle w:val="Captionnotbold"/>
              </w:rPr>
            </w:pPr>
            <w:r w:rsidRPr="00551704">
              <w:rPr>
                <w:rStyle w:val="Captionnotbold"/>
              </w:rPr>
              <w:t>Tranche 1 topics</w:t>
            </w:r>
          </w:p>
        </w:tc>
        <w:tc>
          <w:tcPr>
            <w:tcW w:w="2410" w:type="dxa"/>
            <w:shd w:val="clear" w:color="auto" w:fill="E4E4E4" w:themeFill="accent3" w:themeFillTint="33"/>
          </w:tcPr>
          <w:p w14:paraId="28035EB9" w14:textId="77777777" w:rsidR="000230CC" w:rsidRPr="00551704" w:rsidRDefault="000230CC" w:rsidP="000230CC">
            <w:pPr>
              <w:pStyle w:val="TableColumnHeading"/>
              <w:rPr>
                <w:rStyle w:val="Captionnotbold"/>
              </w:rPr>
            </w:pPr>
            <w:r w:rsidRPr="00551704">
              <w:rPr>
                <w:rStyle w:val="Captionnotbold"/>
              </w:rPr>
              <w:t>Tranche 2 priorities</w:t>
            </w:r>
          </w:p>
        </w:tc>
        <w:tc>
          <w:tcPr>
            <w:tcW w:w="2077" w:type="dxa"/>
            <w:shd w:val="clear" w:color="auto" w:fill="E4E4E4" w:themeFill="accent3" w:themeFillTint="33"/>
          </w:tcPr>
          <w:p w14:paraId="2455A830" w14:textId="77777777" w:rsidR="000230CC" w:rsidRPr="00551704" w:rsidRDefault="000230CC" w:rsidP="000230CC">
            <w:pPr>
              <w:pStyle w:val="TableColumnHeading"/>
              <w:rPr>
                <w:rStyle w:val="Captionnotbold"/>
              </w:rPr>
            </w:pPr>
            <w:r w:rsidRPr="00551704">
              <w:rPr>
                <w:rStyle w:val="Captionnotbold"/>
              </w:rPr>
              <w:t>Tranche 3 topics</w:t>
            </w:r>
          </w:p>
        </w:tc>
      </w:tr>
      <w:tr w:rsidR="000230CC" w14:paraId="14A7DD93" w14:textId="77777777" w:rsidTr="00312D13">
        <w:tc>
          <w:tcPr>
            <w:tcW w:w="2547" w:type="dxa"/>
          </w:tcPr>
          <w:p w14:paraId="299FED6F" w14:textId="77777777" w:rsidR="006A4A32" w:rsidRDefault="000230CC" w:rsidP="000230CC">
            <w:pPr>
              <w:pStyle w:val="TableNumbers1"/>
            </w:pPr>
            <w:r w:rsidRPr="00551704">
              <w:t>Pharmacy</w:t>
            </w:r>
            <w:r>
              <w:t>-</w:t>
            </w:r>
            <w:r w:rsidRPr="00551704">
              <w:t>based screening and referral for diabetes</w:t>
            </w:r>
          </w:p>
          <w:p w14:paraId="658AE2A8" w14:textId="77777777" w:rsidR="006A4A32" w:rsidRDefault="000230CC" w:rsidP="000230CC">
            <w:pPr>
              <w:pStyle w:val="TableNumbers1"/>
            </w:pPr>
            <w:r w:rsidRPr="00551704">
              <w:lastRenderedPageBreak/>
              <w:t xml:space="preserve">Improved medication management for </w:t>
            </w:r>
            <w:r w:rsidRPr="00F71900">
              <w:t>Aboriginal and Torres Strait Islander people</w:t>
            </w:r>
            <w:r w:rsidRPr="00551704">
              <w:t xml:space="preserve"> through pharmacist advice and culturally appropriate services, and</w:t>
            </w:r>
          </w:p>
          <w:p w14:paraId="3BE6EB79" w14:textId="77647FE1" w:rsidR="000230CC" w:rsidRDefault="000230CC" w:rsidP="000230CC">
            <w:pPr>
              <w:pStyle w:val="TableNumbers1"/>
            </w:pPr>
            <w:r w:rsidRPr="00551704">
              <w:t>Improved continuity in the management of patients’ medications when they are discharged from hospital</w:t>
            </w:r>
            <w:r w:rsidRPr="00951C73">
              <w:t>.</w:t>
            </w:r>
          </w:p>
        </w:tc>
        <w:tc>
          <w:tcPr>
            <w:tcW w:w="2410" w:type="dxa"/>
          </w:tcPr>
          <w:p w14:paraId="00A7BB95" w14:textId="77777777" w:rsidR="006A4A32" w:rsidRDefault="000230CC" w:rsidP="000230CC">
            <w:pPr>
              <w:pStyle w:val="TableNumbers1"/>
            </w:pPr>
            <w:r w:rsidRPr="00951C73">
              <w:lastRenderedPageBreak/>
              <w:t xml:space="preserve">Community pharmacist outreach to </w:t>
            </w:r>
            <w:r w:rsidRPr="00951C73">
              <w:lastRenderedPageBreak/>
              <w:t>residential aged care facilities</w:t>
            </w:r>
          </w:p>
          <w:p w14:paraId="04B74BDE" w14:textId="77777777" w:rsidR="006A4A32" w:rsidRDefault="000230CC" w:rsidP="000230CC">
            <w:pPr>
              <w:pStyle w:val="TableNumbers1"/>
            </w:pPr>
            <w:r w:rsidRPr="00951C73">
              <w:t>Medicines management and medicines reconciliation services</w:t>
            </w:r>
          </w:p>
          <w:p w14:paraId="4B58DBB7" w14:textId="77777777" w:rsidR="006A4A32" w:rsidRDefault="000230CC" w:rsidP="000230CC">
            <w:pPr>
              <w:pStyle w:val="TableNumbers1"/>
            </w:pPr>
            <w:r w:rsidRPr="00951C73">
              <w:t>Disease management for appropriate conditions</w:t>
            </w:r>
            <w:r>
              <w:t>,</w:t>
            </w:r>
            <w:r w:rsidRPr="00951C73">
              <w:t xml:space="preserve"> and</w:t>
            </w:r>
          </w:p>
          <w:p w14:paraId="7B9C4C75" w14:textId="06E647B0" w:rsidR="000230CC" w:rsidRDefault="000230CC" w:rsidP="000230CC">
            <w:pPr>
              <w:pStyle w:val="TableNumbers1"/>
            </w:pPr>
            <w:r w:rsidRPr="00951C73">
              <w:t>Screening and referral by pharmacists for cardiovascular risk</w:t>
            </w:r>
          </w:p>
        </w:tc>
        <w:tc>
          <w:tcPr>
            <w:tcW w:w="2077" w:type="dxa"/>
          </w:tcPr>
          <w:p w14:paraId="362E1892" w14:textId="77777777" w:rsidR="000230CC" w:rsidRDefault="000230CC" w:rsidP="000230CC">
            <w:pPr>
              <w:pStyle w:val="TableNumbers1"/>
            </w:pPr>
            <w:r>
              <w:lastRenderedPageBreak/>
              <w:t>Chronic Pain MedsCheck</w:t>
            </w:r>
          </w:p>
          <w:p w14:paraId="21715A74" w14:textId="6F4A86ED" w:rsidR="000230CC" w:rsidRDefault="000230CC" w:rsidP="000230CC">
            <w:pPr>
              <w:pStyle w:val="TableNumbers1"/>
            </w:pPr>
            <w:r w:rsidRPr="00551704">
              <w:lastRenderedPageBreak/>
              <w:t>Mental health support in community pharmacy</w:t>
            </w:r>
          </w:p>
        </w:tc>
      </w:tr>
    </w:tbl>
    <w:p w14:paraId="06EC042E" w14:textId="16788668" w:rsidR="000230CC" w:rsidRDefault="000230CC" w:rsidP="00275CD3">
      <w:pPr>
        <w:pStyle w:val="BodyCopy"/>
        <w:spacing w:before="120"/>
      </w:pPr>
      <w:r w:rsidRPr="00947529">
        <w:lastRenderedPageBreak/>
        <w:t xml:space="preserve">Assessment criteria in Tranches 1 and 3 did not mention </w:t>
      </w:r>
      <w:r w:rsidRPr="00947529">
        <w:rPr>
          <w:sz w:val="23"/>
          <w:szCs w:val="23"/>
        </w:rPr>
        <w:t>Aboriginal and Torres Strait Islanders and people living in rural and remote areas as a focus of the PTP</w:t>
      </w:r>
      <w:r>
        <w:rPr>
          <w:sz w:val="23"/>
          <w:szCs w:val="23"/>
        </w:rPr>
        <w:t xml:space="preserve"> </w:t>
      </w:r>
      <w:sdt>
        <w:sdtPr>
          <w:rPr>
            <w:sz w:val="23"/>
            <w:szCs w:val="23"/>
          </w:rPr>
          <w:id w:val="430867763"/>
          <w:citation/>
        </w:sdtPr>
        <w:sdtContent>
          <w:r>
            <w:rPr>
              <w:sz w:val="23"/>
              <w:szCs w:val="23"/>
            </w:rPr>
            <w:fldChar w:fldCharType="begin"/>
          </w:r>
          <w:r>
            <w:rPr>
              <w:sz w:val="23"/>
              <w:szCs w:val="23"/>
              <w:lang w:val="en-US"/>
            </w:rPr>
            <w:instrText xml:space="preserve">CITATION Aus16 \l 1033 </w:instrText>
          </w:r>
          <w:r>
            <w:rPr>
              <w:sz w:val="23"/>
              <w:szCs w:val="23"/>
            </w:rPr>
            <w:fldChar w:fldCharType="separate"/>
          </w:r>
          <w:r w:rsidR="008B7448" w:rsidRPr="008B7448">
            <w:rPr>
              <w:noProof/>
              <w:sz w:val="23"/>
              <w:szCs w:val="23"/>
              <w:lang w:val="en-US"/>
            </w:rPr>
            <w:t>[41]</w:t>
          </w:r>
          <w:r>
            <w:rPr>
              <w:sz w:val="23"/>
              <w:szCs w:val="23"/>
            </w:rPr>
            <w:fldChar w:fldCharType="end"/>
          </w:r>
        </w:sdtContent>
      </w:sdt>
      <w:r>
        <w:rPr>
          <w:sz w:val="23"/>
          <w:szCs w:val="23"/>
        </w:rPr>
        <w:t xml:space="preserve"> </w:t>
      </w:r>
      <w:sdt>
        <w:sdtPr>
          <w:rPr>
            <w:sz w:val="23"/>
            <w:szCs w:val="23"/>
          </w:rPr>
          <w:id w:val="-562720148"/>
          <w:citation/>
        </w:sdtPr>
        <w:sdtContent>
          <w:r>
            <w:rPr>
              <w:sz w:val="23"/>
              <w:szCs w:val="23"/>
            </w:rPr>
            <w:fldChar w:fldCharType="begin"/>
          </w:r>
          <w:r>
            <w:rPr>
              <w:sz w:val="23"/>
              <w:szCs w:val="23"/>
              <w:lang w:val="en-US"/>
            </w:rPr>
            <w:instrText xml:space="preserve">CITATION Aus183 \l 1033 </w:instrText>
          </w:r>
          <w:r>
            <w:rPr>
              <w:sz w:val="23"/>
              <w:szCs w:val="23"/>
            </w:rPr>
            <w:fldChar w:fldCharType="separate"/>
          </w:r>
          <w:r w:rsidR="008B7448" w:rsidRPr="008B7448">
            <w:rPr>
              <w:noProof/>
              <w:sz w:val="23"/>
              <w:szCs w:val="23"/>
              <w:lang w:val="en-US"/>
            </w:rPr>
            <w:t>[42]</w:t>
          </w:r>
          <w:r>
            <w:rPr>
              <w:sz w:val="23"/>
              <w:szCs w:val="23"/>
            </w:rPr>
            <w:fldChar w:fldCharType="end"/>
          </w:r>
        </w:sdtContent>
      </w:sdt>
      <w:r>
        <w:rPr>
          <w:sz w:val="23"/>
          <w:szCs w:val="23"/>
        </w:rPr>
        <w:t xml:space="preserve"> </w:t>
      </w:r>
      <w:sdt>
        <w:sdtPr>
          <w:rPr>
            <w:sz w:val="23"/>
            <w:szCs w:val="23"/>
          </w:rPr>
          <w:id w:val="243841141"/>
          <w:citation/>
        </w:sdtPr>
        <w:sdtContent>
          <w:r>
            <w:rPr>
              <w:sz w:val="23"/>
              <w:szCs w:val="23"/>
            </w:rPr>
            <w:fldChar w:fldCharType="begin"/>
          </w:r>
          <w:r>
            <w:rPr>
              <w:sz w:val="23"/>
              <w:szCs w:val="23"/>
              <w:lang w:val="en-US"/>
            </w:rPr>
            <w:instrText xml:space="preserve">CITATION Aus184 \l 1033 </w:instrText>
          </w:r>
          <w:r>
            <w:rPr>
              <w:sz w:val="23"/>
              <w:szCs w:val="23"/>
            </w:rPr>
            <w:fldChar w:fldCharType="separate"/>
          </w:r>
          <w:r w:rsidR="008B7448" w:rsidRPr="008B7448">
            <w:rPr>
              <w:noProof/>
              <w:sz w:val="23"/>
              <w:szCs w:val="23"/>
              <w:lang w:val="en-US"/>
            </w:rPr>
            <w:t>[43]</w:t>
          </w:r>
          <w:r>
            <w:rPr>
              <w:sz w:val="23"/>
              <w:szCs w:val="23"/>
            </w:rPr>
            <w:fldChar w:fldCharType="end"/>
          </w:r>
        </w:sdtContent>
      </w:sdt>
      <w:r>
        <w:rPr>
          <w:sz w:val="23"/>
          <w:szCs w:val="23"/>
        </w:rPr>
        <w:t xml:space="preserve">. </w:t>
      </w:r>
      <w:r>
        <w:t>Tranche 2 assessment criterion 3 included the focus of PTP initiatives on these areas</w:t>
      </w:r>
      <w:sdt>
        <w:sdtPr>
          <w:id w:val="-1985548000"/>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r>
        <w:t xml:space="preserve">, and these were considered in the assessment of Tranche 2 grant applications </w:t>
      </w:r>
      <w:sdt>
        <w:sdtPr>
          <w:id w:val="-245342806"/>
          <w:citation/>
        </w:sdtPr>
        <w:sdtContent>
          <w:r>
            <w:fldChar w:fldCharType="begin"/>
          </w:r>
          <w:r>
            <w:rPr>
              <w:lang w:val="en-US"/>
            </w:rPr>
            <w:instrText xml:space="preserve"> CITATION PTP17 \l 1033 </w:instrText>
          </w:r>
          <w:r>
            <w:fldChar w:fldCharType="separate"/>
          </w:r>
          <w:r w:rsidR="008B7448" w:rsidRPr="008B7448">
            <w:rPr>
              <w:noProof/>
              <w:lang w:val="en-US"/>
            </w:rPr>
            <w:t>[44]</w:t>
          </w:r>
          <w:r>
            <w:fldChar w:fldCharType="end"/>
          </w:r>
        </w:sdtContent>
      </w:sdt>
      <w:r>
        <w:t>.</w:t>
      </w:r>
    </w:p>
    <w:p w14:paraId="1ADDB57F" w14:textId="77777777" w:rsidR="006A4A32" w:rsidRDefault="000230CC" w:rsidP="000230CC">
      <w:pPr>
        <w:pStyle w:val="BodyCopy"/>
      </w:pPr>
      <w:r>
        <w:t>Two o</w:t>
      </w:r>
      <w:r w:rsidRPr="005A1DF6">
        <w:t>f the seven</w:t>
      </w:r>
      <w:r>
        <w:t xml:space="preserve"> funded </w:t>
      </w:r>
      <w:r w:rsidRPr="005A1DF6">
        <w:t xml:space="preserve">PTP trials had a specific focus on Aboriginal and Torres Strait Islander people. </w:t>
      </w:r>
      <w:r>
        <w:t xml:space="preserve">No </w:t>
      </w:r>
      <w:r w:rsidRPr="005A1DF6">
        <w:t>trial had a specific focus on rural and remote areas, although remoteness may have been considered in trial site s</w:t>
      </w:r>
      <w:r>
        <w:t xml:space="preserve">election </w:t>
      </w:r>
      <w:r w:rsidRPr="005A1DF6">
        <w:t>for some trials.</w:t>
      </w:r>
    </w:p>
    <w:p w14:paraId="06F95D1A" w14:textId="4079C740" w:rsidR="000230CC" w:rsidRDefault="000230CC" w:rsidP="000230CC">
      <w:pPr>
        <w:pStyle w:val="BodyCopy"/>
      </w:pPr>
      <w:r>
        <w:t xml:space="preserve">NHMRC expressed disappointment that research applications focused on Aboriginal and Torres Strait Islander populations did not consider the </w:t>
      </w:r>
      <w:r w:rsidRPr="00A32598">
        <w:rPr>
          <w:i/>
        </w:rPr>
        <w:t>Indigenous Research Excellence Criteria</w:t>
      </w:r>
      <w:r>
        <w:rPr>
          <w:i/>
        </w:rPr>
        <w:t xml:space="preserve"> </w:t>
      </w:r>
      <w:r>
        <w:t>in their initial submissions to the PTP.</w:t>
      </w:r>
    </w:p>
    <w:p w14:paraId="01BECF8F" w14:textId="77777777" w:rsidR="006A4A32" w:rsidRDefault="000230CC" w:rsidP="000230CC">
      <w:pPr>
        <w:pStyle w:val="BodyCopy"/>
      </w:pPr>
      <w:r>
        <w:t>Inclusion of remoteness as an assessment criterion may have been insufficient to drive this PTP focus area.</w:t>
      </w:r>
    </w:p>
    <w:p w14:paraId="351E1602" w14:textId="77777777" w:rsidR="006A4A32" w:rsidRDefault="000230CC" w:rsidP="000230CC">
      <w:pPr>
        <w:pStyle w:val="ESHeading2"/>
      </w:pPr>
      <w:r w:rsidRPr="00FD366A">
        <w:t>Administra</w:t>
      </w:r>
      <w:r>
        <w:t>tive processes</w:t>
      </w:r>
    </w:p>
    <w:p w14:paraId="7E3BD3ED" w14:textId="102D4E36" w:rsidR="000230CC" w:rsidRPr="003F4318" w:rsidRDefault="000230CC" w:rsidP="003F4318">
      <w:pPr>
        <w:pStyle w:val="Heading3"/>
      </w:pPr>
      <w:bookmarkStart w:id="114" w:name="_Ref10302001"/>
      <w:bookmarkStart w:id="115" w:name="_Toc19097775"/>
      <w:bookmarkStart w:id="116" w:name="_Toc26366381"/>
      <w:r w:rsidRPr="003F4318">
        <w:t>Roles and responsibilities</w:t>
      </w:r>
      <w:bookmarkEnd w:id="114"/>
      <w:bookmarkEnd w:id="115"/>
      <w:bookmarkEnd w:id="116"/>
    </w:p>
    <w:p w14:paraId="28D94CF6" w14:textId="77777777" w:rsidR="006A4A32" w:rsidRDefault="000230CC" w:rsidP="000230CC">
      <w:pPr>
        <w:pStyle w:val="BodyCopy"/>
      </w:pPr>
      <w:r>
        <w:t xml:space="preserve">The grant guidelines for all tranches clearly state the roles and responsibilities of the Department, the Minister, the assessment committee, the TAG (in Tranche 1), and the applicants </w:t>
      </w:r>
      <w:sdt>
        <w:sdtPr>
          <w:id w:val="-344940771"/>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sdt>
        <w:sdtPr>
          <w:id w:val="136153122"/>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sdt>
        <w:sdtPr>
          <w:id w:val="601233222"/>
          <w:citation/>
        </w:sdtPr>
        <w:sdtContent>
          <w:r>
            <w:fldChar w:fldCharType="begin"/>
          </w:r>
          <w:r>
            <w:rPr>
              <w:lang w:val="en-US"/>
            </w:rPr>
            <w:instrText xml:space="preserve">CITATION Aus183 \l 1033 </w:instrText>
          </w:r>
          <w:r>
            <w:fldChar w:fldCharType="separate"/>
          </w:r>
          <w:r w:rsidR="008B7448">
            <w:rPr>
              <w:noProof/>
              <w:lang w:val="en-US"/>
            </w:rPr>
            <w:t xml:space="preserve"> </w:t>
          </w:r>
          <w:r w:rsidR="008B7448" w:rsidRPr="008B7448">
            <w:rPr>
              <w:noProof/>
              <w:lang w:val="en-US"/>
            </w:rPr>
            <w:t>[42]</w:t>
          </w:r>
          <w:r>
            <w:fldChar w:fldCharType="end"/>
          </w:r>
        </w:sdtContent>
      </w:sdt>
      <w:sdt>
        <w:sdtPr>
          <w:id w:val="-865901923"/>
          <w:citation/>
        </w:sdtPr>
        <w:sdtContent>
          <w:r>
            <w:fldChar w:fldCharType="begin"/>
          </w:r>
          <w:r>
            <w:rPr>
              <w:lang w:val="en-US"/>
            </w:rPr>
            <w:instrText xml:space="preserve">CITATION Aus184 \l 1033 </w:instrText>
          </w:r>
          <w:r>
            <w:fldChar w:fldCharType="separate"/>
          </w:r>
          <w:r w:rsidR="008B7448">
            <w:rPr>
              <w:noProof/>
              <w:lang w:val="en-US"/>
            </w:rPr>
            <w:t xml:space="preserve"> </w:t>
          </w:r>
          <w:r w:rsidR="008B7448" w:rsidRPr="008B7448">
            <w:rPr>
              <w:noProof/>
              <w:lang w:val="en-US"/>
            </w:rPr>
            <w:t>[43]</w:t>
          </w:r>
          <w:r>
            <w:fldChar w:fldCharType="end"/>
          </w:r>
        </w:sdtContent>
      </w:sdt>
      <w:r>
        <w:t>.</w:t>
      </w:r>
    </w:p>
    <w:p w14:paraId="0EF8E198" w14:textId="77777777" w:rsidR="006A4A32" w:rsidRDefault="000230CC" w:rsidP="000230CC">
      <w:pPr>
        <w:pStyle w:val="BodyCopy"/>
      </w:pPr>
      <w:r>
        <w:t xml:space="preserve">The TAG </w:t>
      </w:r>
      <w:r w:rsidRPr="001E5DA1">
        <w:t xml:space="preserve">spent several meetings refining Tranche 1 protocols but its activities </w:t>
      </w:r>
      <w:r>
        <w:t>ceased before the assessment of Tranche 2 trial applications commenced.</w:t>
      </w:r>
    </w:p>
    <w:p w14:paraId="1D63EE88" w14:textId="77777777" w:rsidR="006A4A32" w:rsidRDefault="000230CC" w:rsidP="000230CC">
      <w:pPr>
        <w:pStyle w:val="BodyCopy"/>
      </w:pPr>
      <w:r>
        <w:t>As co-signatory to the 6CPA, the Guild expressed a desire to be jointly involved in the PTP development and decision-making processes. The Department viewed the Guild to be a potential applicant for funding and therefore considered involvement of the Guild in the PTP decision processes to be a conflict of interest.</w:t>
      </w:r>
    </w:p>
    <w:p w14:paraId="5BCA6D54" w14:textId="7CF3507E" w:rsidR="000230CC" w:rsidRDefault="000230CC" w:rsidP="000230CC">
      <w:pPr>
        <w:pStyle w:val="BodyCopy"/>
      </w:pPr>
      <w:r>
        <w:t>HMA observed some confusion among broader stakeholders about the role of the Guild in relation to the PTP. Many professional peak bodies incorrectly thought the Guild was both a program administrator and grant recipient.</w:t>
      </w:r>
    </w:p>
    <w:p w14:paraId="4DD4F510" w14:textId="77777777" w:rsidR="006A4A32" w:rsidRDefault="000230CC" w:rsidP="003F4318">
      <w:pPr>
        <w:pStyle w:val="Heading3"/>
      </w:pPr>
      <w:bookmarkStart w:id="117" w:name="_Toc19097776"/>
      <w:bookmarkStart w:id="118" w:name="_Toc26366382"/>
      <w:r w:rsidRPr="003F4318">
        <w:t>Suitability of record keeping and performance measures</w:t>
      </w:r>
      <w:bookmarkEnd w:id="117"/>
      <w:bookmarkEnd w:id="118"/>
    </w:p>
    <w:p w14:paraId="53EE0F07" w14:textId="77777777" w:rsidR="006A4A32" w:rsidRDefault="000230CC" w:rsidP="000230CC">
      <w:pPr>
        <w:pStyle w:val="Heading4"/>
      </w:pPr>
      <w:r>
        <w:t>Record keeping</w:t>
      </w:r>
    </w:p>
    <w:p w14:paraId="14F7A506" w14:textId="77777777" w:rsidR="006A4A32" w:rsidRDefault="000230CC" w:rsidP="000230CC">
      <w:pPr>
        <w:pStyle w:val="BodyCopy"/>
      </w:pPr>
      <w:r>
        <w:t>The Internal Audit noted that the complete written records, including in minutes of relevant meetings, were not maintained</w:t>
      </w:r>
      <w:r>
        <w:rPr>
          <w:rStyle w:val="FootnoteReference"/>
        </w:rPr>
        <w:footnoteReference w:id="10"/>
      </w:r>
      <w:r>
        <w:t xml:space="preserve"> </w:t>
      </w:r>
      <w:sdt>
        <w:sdtPr>
          <w:id w:val="-683213684"/>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 Lack of documentation possibly contributed to a reduced ability to recall and communicate the reasons for decisions.</w:t>
      </w:r>
    </w:p>
    <w:p w14:paraId="5BCE8C87" w14:textId="77777777" w:rsidR="006A4A32" w:rsidRDefault="000230CC" w:rsidP="000230CC">
      <w:pPr>
        <w:pStyle w:val="Heading4"/>
      </w:pPr>
      <w:r>
        <w:t>Performance measures and reporting requirements</w:t>
      </w:r>
    </w:p>
    <w:p w14:paraId="1884FC14" w14:textId="77777777" w:rsidR="006A4A32" w:rsidRDefault="000230CC" w:rsidP="000230CC">
      <w:pPr>
        <w:pStyle w:val="BodyCopy"/>
      </w:pPr>
      <w:r>
        <w:t xml:space="preserve">All three tranche guidelines outline the PTP objectives and note the expectation of an </w:t>
      </w:r>
      <w:r w:rsidR="005F4563">
        <w:t xml:space="preserve">independent </w:t>
      </w:r>
      <w:r>
        <w:t xml:space="preserve">HTA evaluation upon completion, to determine suitability for </w:t>
      </w:r>
      <w:r>
        <w:lastRenderedPageBreak/>
        <w:t xml:space="preserve">ongoing program funding </w:t>
      </w:r>
      <w:sdt>
        <w:sdtPr>
          <w:id w:val="-335536259"/>
          <w:citation/>
        </w:sdtPr>
        <w:sdtContent>
          <w:r>
            <w:fldChar w:fldCharType="begin"/>
          </w:r>
          <w:r>
            <w:rPr>
              <w:lang w:val="en-US"/>
            </w:rPr>
            <w:instrText xml:space="preserve">CITATION Aus16 \l 1033 </w:instrText>
          </w:r>
          <w:r>
            <w:fldChar w:fldCharType="separate"/>
          </w:r>
          <w:r w:rsidR="008B7448" w:rsidRPr="008B7448">
            <w:rPr>
              <w:noProof/>
              <w:lang w:val="en-US"/>
            </w:rPr>
            <w:t>[41]</w:t>
          </w:r>
          <w:r>
            <w:fldChar w:fldCharType="end"/>
          </w:r>
        </w:sdtContent>
      </w:sdt>
      <w:sdt>
        <w:sdtPr>
          <w:id w:val="1113331109"/>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sdt>
        <w:sdtPr>
          <w:id w:val="-1713342787"/>
          <w:citation/>
        </w:sdtPr>
        <w:sdtContent>
          <w:r>
            <w:fldChar w:fldCharType="begin"/>
          </w:r>
          <w:r>
            <w:rPr>
              <w:lang w:val="en-US"/>
            </w:rPr>
            <w:instrText xml:space="preserve">CITATION Aus183 \l 1033 </w:instrText>
          </w:r>
          <w:r>
            <w:fldChar w:fldCharType="separate"/>
          </w:r>
          <w:r w:rsidR="008B7448">
            <w:rPr>
              <w:noProof/>
              <w:lang w:val="en-US"/>
            </w:rPr>
            <w:t xml:space="preserve"> </w:t>
          </w:r>
          <w:r w:rsidR="008B7448" w:rsidRPr="008B7448">
            <w:rPr>
              <w:noProof/>
              <w:lang w:val="en-US"/>
            </w:rPr>
            <w:t>[42]</w:t>
          </w:r>
          <w:r>
            <w:fldChar w:fldCharType="end"/>
          </w:r>
        </w:sdtContent>
      </w:sdt>
      <w:sdt>
        <w:sdtPr>
          <w:id w:val="130526375"/>
          <w:citation/>
        </w:sdtPr>
        <w:sdtContent>
          <w:r>
            <w:fldChar w:fldCharType="begin"/>
          </w:r>
          <w:r>
            <w:rPr>
              <w:lang w:val="en-US"/>
            </w:rPr>
            <w:instrText xml:space="preserve">CITATION Aus184 \l 1033 </w:instrText>
          </w:r>
          <w:r>
            <w:fldChar w:fldCharType="separate"/>
          </w:r>
          <w:r w:rsidR="008B7448">
            <w:rPr>
              <w:noProof/>
              <w:lang w:val="en-US"/>
            </w:rPr>
            <w:t xml:space="preserve"> </w:t>
          </w:r>
          <w:r w:rsidR="008B7448" w:rsidRPr="008B7448">
            <w:rPr>
              <w:noProof/>
              <w:lang w:val="en-US"/>
            </w:rPr>
            <w:t>[43]</w:t>
          </w:r>
          <w:r>
            <w:fldChar w:fldCharType="end"/>
          </w:r>
        </w:sdtContent>
      </w:sdt>
      <w:r>
        <w:t>. In addition, the funding agreements for each trial are milestone-based and describe the expected deliverables for each trial.</w:t>
      </w:r>
    </w:p>
    <w:p w14:paraId="3A4B27D4" w14:textId="77777777" w:rsidR="006A4A32" w:rsidRDefault="000230CC" w:rsidP="000230CC">
      <w:pPr>
        <w:pStyle w:val="BodyCopy"/>
      </w:pPr>
      <w:r w:rsidRPr="00947529">
        <w:t>Grant recipients indicated that once the funding agreements were signed, the reporting requirements were straightforward and proportional to the value of the grants and level of work to be undertaken. One</w:t>
      </w:r>
      <w:r>
        <w:t xml:space="preserve"> grant recipient noted that reporting and administration of the grant would be challenging without dedicated administration personnel in their grant team.</w:t>
      </w:r>
    </w:p>
    <w:p w14:paraId="315B3B9B" w14:textId="40C7566B" w:rsidR="000230CC" w:rsidRDefault="000230CC" w:rsidP="000230CC">
      <w:pPr>
        <w:pStyle w:val="ESHeading2"/>
      </w:pPr>
      <w:r>
        <w:t xml:space="preserve">program </w:t>
      </w:r>
      <w:r w:rsidRPr="00FD366A">
        <w:t>Out</w:t>
      </w:r>
      <w:r>
        <w:t>puts</w:t>
      </w:r>
    </w:p>
    <w:p w14:paraId="140A77C3" w14:textId="77777777" w:rsidR="000230CC" w:rsidRPr="003F4318" w:rsidRDefault="000230CC" w:rsidP="003F4318">
      <w:pPr>
        <w:pStyle w:val="Heading3"/>
      </w:pPr>
      <w:bookmarkStart w:id="119" w:name="_Toc19097777"/>
      <w:bookmarkStart w:id="120" w:name="_Toc26366383"/>
      <w:r w:rsidRPr="003F4318">
        <w:t>Completion of trials within the term of the 6CPA</w:t>
      </w:r>
      <w:bookmarkEnd w:id="119"/>
      <w:bookmarkEnd w:id="120"/>
    </w:p>
    <w:p w14:paraId="73E2E562" w14:textId="77777777" w:rsidR="006A4A32" w:rsidRDefault="000230CC" w:rsidP="000230CC">
      <w:pPr>
        <w:pStyle w:val="BodyCopy"/>
        <w:keepNext/>
      </w:pPr>
      <w:r>
        <w:t>At the time of this review (June 2019), the status of the PTP trials was as follows:</w:t>
      </w:r>
    </w:p>
    <w:p w14:paraId="69432969" w14:textId="77777777" w:rsidR="006A4A32" w:rsidRDefault="000230CC" w:rsidP="002C22EF">
      <w:pPr>
        <w:pStyle w:val="ListBullet"/>
      </w:pPr>
      <w:r>
        <w:t>two applications under review (one in Tranche 1 and one in Tranche 3)</w:t>
      </w:r>
    </w:p>
    <w:p w14:paraId="5BD9DC98" w14:textId="6286D26A" w:rsidR="000230CC" w:rsidRDefault="000230CC" w:rsidP="002C22EF">
      <w:pPr>
        <w:pStyle w:val="ListBullet2"/>
      </w:pPr>
      <w:r>
        <w:t>one of these applications (Tranche 3) had been approved by the Minister for Health, but had not yet signed a funding agreement</w:t>
      </w:r>
      <w:r w:rsidR="00622197">
        <w:t>;</w:t>
      </w:r>
    </w:p>
    <w:p w14:paraId="4FF0AA94" w14:textId="509B1E3B" w:rsidR="000230CC" w:rsidRDefault="000230CC" w:rsidP="002C22EF">
      <w:pPr>
        <w:pStyle w:val="ListBullet"/>
      </w:pPr>
      <w:r>
        <w:t>seven trials had signed funding agreements and had commenced</w:t>
      </w:r>
      <w:r w:rsidR="00622197">
        <w:t>;</w:t>
      </w:r>
    </w:p>
    <w:p w14:paraId="0944D296" w14:textId="77777777" w:rsidR="006A4A32" w:rsidRDefault="000230CC" w:rsidP="002C22EF">
      <w:pPr>
        <w:pStyle w:val="ListBullet"/>
      </w:pPr>
      <w:r>
        <w:t>one of the seven trials had been completed</w:t>
      </w:r>
    </w:p>
    <w:p w14:paraId="73675992" w14:textId="5098997B" w:rsidR="000230CC" w:rsidRDefault="000230CC" w:rsidP="002C22EF">
      <w:pPr>
        <w:pStyle w:val="ListBullet2"/>
      </w:pPr>
      <w:r>
        <w:t>five of the remaining six were due for completion by the end of the 6CPA term</w:t>
      </w:r>
      <w:r w:rsidR="00622197">
        <w:t>; and</w:t>
      </w:r>
    </w:p>
    <w:p w14:paraId="5EE424C8" w14:textId="5B921F1D" w:rsidR="000230CC" w:rsidRDefault="000230CC" w:rsidP="002C22EF">
      <w:pPr>
        <w:pStyle w:val="ListBullet2"/>
      </w:pPr>
      <w:r>
        <w:t>one trial anticipated it would need to apply for an extension beyond the term of the 6CPA)</w:t>
      </w:r>
      <w:r w:rsidR="00622197">
        <w:t>;</w:t>
      </w:r>
      <w:r>
        <w:t xml:space="preserve"> and</w:t>
      </w:r>
    </w:p>
    <w:p w14:paraId="7544050C" w14:textId="77777777" w:rsidR="006A4A32" w:rsidRDefault="000230CC" w:rsidP="002C22EF">
      <w:pPr>
        <w:pStyle w:val="ListBullet"/>
      </w:pPr>
      <w:r>
        <w:t xml:space="preserve">no trial had undergone an </w:t>
      </w:r>
      <w:r w:rsidR="005F4563">
        <w:t xml:space="preserve">independent </w:t>
      </w:r>
      <w:r>
        <w:t>HTA evaluation.</w:t>
      </w:r>
    </w:p>
    <w:p w14:paraId="234048C6" w14:textId="304F823C" w:rsidR="000230CC" w:rsidRDefault="000230CC" w:rsidP="0077662C">
      <w:pPr>
        <w:pStyle w:val="KeyFinding"/>
      </w:pPr>
      <w:r>
        <w:t>It is likely that only one PTP trial will undergo an HTA evaluation during the term of the 6CPA.</w:t>
      </w:r>
    </w:p>
    <w:p w14:paraId="74348F7F" w14:textId="77777777" w:rsidR="000230CC" w:rsidRPr="003F4318" w:rsidRDefault="000230CC" w:rsidP="003F4318">
      <w:pPr>
        <w:pStyle w:val="Heading3"/>
      </w:pPr>
      <w:bookmarkStart w:id="121" w:name="_Ref10381419"/>
      <w:bookmarkStart w:id="122" w:name="_Toc19097778"/>
      <w:bookmarkStart w:id="123" w:name="_Toc26366384"/>
      <w:r w:rsidRPr="003F4318">
        <w:t>Process for proceeding to health technology assessment</w:t>
      </w:r>
      <w:bookmarkEnd w:id="121"/>
      <w:bookmarkEnd w:id="122"/>
      <w:bookmarkEnd w:id="123"/>
    </w:p>
    <w:p w14:paraId="1F71E47D" w14:textId="10B0171D" w:rsidR="000230CC" w:rsidRDefault="000230CC" w:rsidP="000230CC">
      <w:pPr>
        <w:pStyle w:val="BodyCopy"/>
      </w:pPr>
      <w:r>
        <w:t xml:space="preserve">Grant recipients were aware that trial outcomes were required to be submitted to an appropriate </w:t>
      </w:r>
      <w:r w:rsidR="005F4563">
        <w:t xml:space="preserve">independent </w:t>
      </w:r>
      <w:r>
        <w:t xml:space="preserve">HTA advisory body (such as MSAC). Grant guidelines for Tranche 2 provided an </w:t>
      </w:r>
      <w:r w:rsidRPr="00BB5287">
        <w:rPr>
          <w:i/>
        </w:rPr>
        <w:t>example of the handling strategies for the review of evidence</w:t>
      </w:r>
      <w:r>
        <w:t>, via a pdf link to ‘Guidelines for preparing assessment reports for the MSAC – Service Type: Investigative’</w:t>
      </w:r>
      <w:r>
        <w:rPr>
          <w:rStyle w:val="FootnoteReference"/>
        </w:rPr>
        <w:footnoteReference w:id="11"/>
      </w:r>
      <w:r>
        <w:t xml:space="preserve"> </w:t>
      </w:r>
      <w:sdt>
        <w:sdtPr>
          <w:id w:val="1650703965"/>
          <w:citation/>
        </w:sdtPr>
        <w:sdtContent>
          <w:r>
            <w:fldChar w:fldCharType="begin"/>
          </w:r>
          <w:r>
            <w:rPr>
              <w:lang w:val="en-US"/>
            </w:rPr>
            <w:instrText xml:space="preserve">CITATION Aus1 \l 1033 </w:instrText>
          </w:r>
          <w:r>
            <w:fldChar w:fldCharType="separate"/>
          </w:r>
          <w:r w:rsidR="008B7448" w:rsidRPr="008B7448">
            <w:rPr>
              <w:noProof/>
              <w:lang w:val="en-US"/>
            </w:rPr>
            <w:t>[23]</w:t>
          </w:r>
          <w:r>
            <w:fldChar w:fldCharType="end"/>
          </w:r>
        </w:sdtContent>
      </w:sdt>
      <w:r>
        <w:t>.</w:t>
      </w:r>
    </w:p>
    <w:p w14:paraId="10DEC791" w14:textId="77777777" w:rsidR="006A4A32" w:rsidRDefault="000230CC" w:rsidP="000230CC">
      <w:pPr>
        <w:pStyle w:val="BodyCopy"/>
      </w:pPr>
      <w:r>
        <w:t>To meet the economic requirements of the PTP, most grant recipients partnered with university health economic departments familiar with HTA</w:t>
      </w:r>
      <w:r w:rsidR="001250F7">
        <w:t xml:space="preserve"> processes</w:t>
      </w:r>
      <w:r>
        <w:t>.</w:t>
      </w:r>
    </w:p>
    <w:p w14:paraId="431FC5F4" w14:textId="77777777" w:rsidR="006A4A32" w:rsidRDefault="000230CC" w:rsidP="000230CC">
      <w:pPr>
        <w:pStyle w:val="BodyCopy"/>
      </w:pPr>
      <w:r>
        <w:t xml:space="preserve">As only one trial has been completed to date – the Diabetes </w:t>
      </w:r>
      <w:r w:rsidR="00622197">
        <w:t xml:space="preserve">Screening </w:t>
      </w:r>
      <w:r>
        <w:t xml:space="preserve">Trial – this has been provided as an example of PTP completion processes. As lead-organisation for the Diabetes </w:t>
      </w:r>
      <w:r w:rsidR="00622197">
        <w:t xml:space="preserve">Screening </w:t>
      </w:r>
      <w:r>
        <w:t>Trial, the Guild commented on trial finalisation processes compared to the structure employed for the R&amp;D program under the 5CPA and prior CPAs.</w:t>
      </w:r>
    </w:p>
    <w:p w14:paraId="74991635" w14:textId="77777777" w:rsidR="006A4A32" w:rsidRDefault="000230CC" w:rsidP="000230CC">
      <w:pPr>
        <w:pStyle w:val="BodyCopy"/>
      </w:pPr>
      <w:r>
        <w:t>The finalisation processes for the R&amp;D program included the following steps:</w:t>
      </w:r>
    </w:p>
    <w:p w14:paraId="071BA242" w14:textId="77777777" w:rsidR="006A4A32" w:rsidRDefault="000230CC" w:rsidP="002C22EF">
      <w:pPr>
        <w:pStyle w:val="ListBullet"/>
      </w:pPr>
      <w:r>
        <w:t xml:space="preserve">preparation of final report (based on a template format) and presentation to the </w:t>
      </w:r>
      <w:r w:rsidR="00622197">
        <w:t>Trial’s Expert Panel;</w:t>
      </w:r>
    </w:p>
    <w:p w14:paraId="28E63FD6" w14:textId="77777777" w:rsidR="006A4A32" w:rsidRDefault="000230CC" w:rsidP="002C22EF">
      <w:pPr>
        <w:pStyle w:val="ListBullet"/>
      </w:pPr>
      <w:r>
        <w:t xml:space="preserve">review of final report by </w:t>
      </w:r>
      <w:r w:rsidR="00622197">
        <w:t>Expert Panel</w:t>
      </w:r>
      <w:r>
        <w:t>, with comments and requested edits then provided back to the researchers</w:t>
      </w:r>
      <w:r w:rsidR="001A2ECE">
        <w:t>;</w:t>
      </w:r>
    </w:p>
    <w:p w14:paraId="3D4DF692" w14:textId="77777777" w:rsidR="006A4A32" w:rsidRDefault="000230CC" w:rsidP="002C22EF">
      <w:pPr>
        <w:pStyle w:val="ListBullet"/>
      </w:pPr>
      <w:r>
        <w:t>researchers to re-submit amended report</w:t>
      </w:r>
      <w:r w:rsidR="001A2ECE">
        <w:t>; and</w:t>
      </w:r>
    </w:p>
    <w:p w14:paraId="5A86D289" w14:textId="77777777" w:rsidR="006A4A32" w:rsidRDefault="001A2ECE" w:rsidP="002C22EF">
      <w:pPr>
        <w:pStyle w:val="ListBullet"/>
      </w:pPr>
      <w:r w:rsidRPr="005A5851">
        <w:t xml:space="preserve">before the </w:t>
      </w:r>
      <w:r w:rsidR="000230CC" w:rsidRPr="005A5851">
        <w:t xml:space="preserve">project </w:t>
      </w:r>
      <w:r w:rsidRPr="005A5851">
        <w:t xml:space="preserve">can be </w:t>
      </w:r>
      <w:r w:rsidR="000230CC" w:rsidRPr="005A5851">
        <w:t>finalised.</w:t>
      </w:r>
    </w:p>
    <w:p w14:paraId="3938672F" w14:textId="77777777" w:rsidR="006A4A32" w:rsidRDefault="000230CC" w:rsidP="000230CC">
      <w:pPr>
        <w:pStyle w:val="BodyCopy"/>
      </w:pPr>
      <w:r>
        <w:t xml:space="preserve">The Guild indicated that, in order to finalise the Diabetes </w:t>
      </w:r>
      <w:r w:rsidR="00622197">
        <w:t xml:space="preserve">Screening </w:t>
      </w:r>
      <w:r>
        <w:t>Trial, it had undergone several review and re-submission cycles for the final report.</w:t>
      </w:r>
    </w:p>
    <w:p w14:paraId="0912E134" w14:textId="77777777" w:rsidR="006A4A32" w:rsidRDefault="000230CC" w:rsidP="000230CC">
      <w:pPr>
        <w:pStyle w:val="BodyCopy"/>
      </w:pPr>
      <w:r>
        <w:t xml:space="preserve">This may reflect the need to provide additional detail on </w:t>
      </w:r>
      <w:r w:rsidRPr="00701D85">
        <w:t>patient-focused trial activities and outcomes</w:t>
      </w:r>
      <w:r>
        <w:t xml:space="preserve"> in the final report compared to interim reports (as noted in the Internal Audit report)</w:t>
      </w:r>
      <w:r w:rsidR="001A2ECE">
        <w:t>.</w:t>
      </w:r>
      <w:r>
        <w:t xml:space="preserve"> </w:t>
      </w:r>
      <w:sdt>
        <w:sdtPr>
          <w:id w:val="957687107"/>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p>
    <w:p w14:paraId="6602FA76" w14:textId="77777777" w:rsidR="006A4A32" w:rsidRDefault="000230CC" w:rsidP="000230CC">
      <w:pPr>
        <w:pStyle w:val="BodyCopy"/>
      </w:pPr>
      <w:r w:rsidRPr="00714499">
        <w:lastRenderedPageBreak/>
        <w:t xml:space="preserve">Preparation of a monitoring and evaluation framework for endorsement by the </w:t>
      </w:r>
      <w:r w:rsidRPr="00E728A9">
        <w:t>appropriate</w:t>
      </w:r>
      <w:r w:rsidR="005F4563" w:rsidRPr="00E728A9">
        <w:t xml:space="preserve"> indepe</w:t>
      </w:r>
      <w:r w:rsidR="005F4563" w:rsidRPr="00714499">
        <w:t>ndent</w:t>
      </w:r>
      <w:r w:rsidRPr="00714499">
        <w:t xml:space="preserve"> HTA (once selected), as recommended in the Internal Audit</w:t>
      </w:r>
      <w:r w:rsidRPr="00714499">
        <w:rPr>
          <w:rStyle w:val="FootnoteReference"/>
        </w:rPr>
        <w:t xml:space="preserve"> </w:t>
      </w:r>
      <w:r w:rsidRPr="00714499">
        <w:rPr>
          <w:rStyle w:val="FootnoteReference"/>
        </w:rPr>
        <w:footnoteReference w:id="12"/>
      </w:r>
      <w:r w:rsidRPr="00714499">
        <w:t xml:space="preserve"> </w:t>
      </w:r>
      <w:sdt>
        <w:sdtPr>
          <w:rPr>
            <w:highlight w:val="cyan"/>
          </w:rPr>
          <w:id w:val="-2019765045"/>
          <w:citation/>
        </w:sdtPr>
        <w:sdtContent>
          <w:r w:rsidRPr="00714499">
            <w:fldChar w:fldCharType="begin"/>
          </w:r>
          <w:r w:rsidR="00820D12">
            <w:rPr>
              <w:lang w:val="en-US"/>
            </w:rPr>
            <w:instrText xml:space="preserve">CITATION Com184 \l 1033 </w:instrText>
          </w:r>
          <w:r w:rsidRPr="00714499">
            <w:fldChar w:fldCharType="separate"/>
          </w:r>
          <w:r w:rsidR="008B7448" w:rsidRPr="008B7448">
            <w:rPr>
              <w:noProof/>
              <w:lang w:val="en-US"/>
            </w:rPr>
            <w:t>[4]</w:t>
          </w:r>
          <w:r w:rsidRPr="00714499">
            <w:fldChar w:fldCharType="end"/>
          </w:r>
        </w:sdtContent>
      </w:sdt>
      <w:r w:rsidRPr="00714499">
        <w:t>, would help ensure data collection processes are appropriate for subsequent HTA evaluation. This may streamline trial finalisation processes in future.</w:t>
      </w:r>
    </w:p>
    <w:p w14:paraId="288D67A3" w14:textId="0D8FF051" w:rsidR="000230CC" w:rsidRDefault="000230CC" w:rsidP="000230CC">
      <w:pPr>
        <w:pStyle w:val="Heading4"/>
      </w:pPr>
      <w:r>
        <w:t>Suitability of health technology assessment bodies</w:t>
      </w:r>
    </w:p>
    <w:p w14:paraId="7248CB29" w14:textId="77777777" w:rsidR="006A4A32" w:rsidRDefault="000230CC" w:rsidP="000230CC">
      <w:pPr>
        <w:pStyle w:val="BodyCopy"/>
      </w:pPr>
      <w:r>
        <w:t xml:space="preserve">An </w:t>
      </w:r>
      <w:r w:rsidR="001A2ECE">
        <w:t xml:space="preserve">independent </w:t>
      </w:r>
      <w:r w:rsidRPr="001E5DA1">
        <w:t xml:space="preserve">HTA </w:t>
      </w:r>
      <w:r>
        <w:t xml:space="preserve">advisory </w:t>
      </w:r>
      <w:r w:rsidRPr="001E5DA1">
        <w:t>body has not yet been formally identified for the PTP. MSAC is referred to as an example in multiple PTP documentation, including the discussion paper</w:t>
      </w:r>
      <w:r>
        <w:t>,</w:t>
      </w:r>
      <w:r w:rsidRPr="001E5DA1">
        <w:t xml:space="preserve"> which called for ideas</w:t>
      </w:r>
      <w:r>
        <w:t xml:space="preserve"> </w:t>
      </w:r>
      <w:r w:rsidRPr="001E5DA1">
        <w:t>on priority areas and</w:t>
      </w:r>
      <w:r>
        <w:t xml:space="preserve"> grant guidelines</w:t>
      </w:r>
      <w:r w:rsidR="001A2ECE">
        <w:t>.</w:t>
      </w:r>
      <w:r>
        <w:t xml:space="preserve"> </w:t>
      </w:r>
      <w:sdt>
        <w:sdtPr>
          <w:id w:val="-489565703"/>
          <w:citation/>
        </w:sdtPr>
        <w:sdtContent>
          <w:r>
            <w:fldChar w:fldCharType="begin"/>
          </w:r>
          <w:r w:rsidR="00820D12">
            <w:rPr>
              <w:lang w:val="en-US"/>
            </w:rPr>
            <w:instrText xml:space="preserve">CITATION Com164 \l 1033 </w:instrText>
          </w:r>
          <w:r>
            <w:fldChar w:fldCharType="separate"/>
          </w:r>
          <w:r w:rsidR="008B7448" w:rsidRPr="008B7448">
            <w:rPr>
              <w:noProof/>
              <w:lang w:val="en-US"/>
            </w:rPr>
            <w:t>[11]</w:t>
          </w:r>
          <w:r>
            <w:fldChar w:fldCharType="end"/>
          </w:r>
        </w:sdtContent>
      </w:sdt>
      <w:sdt>
        <w:sdtPr>
          <w:id w:val="1132145566"/>
          <w:citation/>
        </w:sdtPr>
        <w:sdtContent>
          <w:r>
            <w:fldChar w:fldCharType="begin"/>
          </w:r>
          <w:r>
            <w:rPr>
              <w:lang w:val="en-US"/>
            </w:rPr>
            <w:instrText xml:space="preserve">CITATION Aus1 \l 1033 </w:instrText>
          </w:r>
          <w:r>
            <w:fldChar w:fldCharType="separate"/>
          </w:r>
          <w:r w:rsidR="008B7448">
            <w:rPr>
              <w:noProof/>
              <w:lang w:val="en-US"/>
            </w:rPr>
            <w:t xml:space="preserve"> </w:t>
          </w:r>
          <w:r w:rsidR="008B7448" w:rsidRPr="008B7448">
            <w:rPr>
              <w:noProof/>
              <w:lang w:val="en-US"/>
            </w:rPr>
            <w:t>[23]</w:t>
          </w:r>
          <w:r>
            <w:fldChar w:fldCharType="end"/>
          </w:r>
        </w:sdtContent>
      </w:sdt>
    </w:p>
    <w:p w14:paraId="36D9E135" w14:textId="77777777" w:rsidR="006A4A32" w:rsidRDefault="000230CC" w:rsidP="000230CC">
      <w:pPr>
        <w:pStyle w:val="BodyCopy"/>
      </w:pPr>
      <w:r w:rsidRPr="00947529">
        <w:t>Due to the service delivery nature of projects trialled under the PTP, several</w:t>
      </w:r>
      <w:r>
        <w:t xml:space="preserve"> stakeholder organisations expressed concerns that the MSAC evaluation process will not </w:t>
      </w:r>
      <w:r w:rsidR="00D5485B">
        <w:t xml:space="preserve">adequately </w:t>
      </w:r>
      <w:r>
        <w:t xml:space="preserve">capture </w:t>
      </w:r>
      <w:r w:rsidR="00D5485B">
        <w:t xml:space="preserve">information on </w:t>
      </w:r>
      <w:r>
        <w:t xml:space="preserve">qualitative and quantitative outcomes needed to make a comprehensive assessment of </w:t>
      </w:r>
      <w:r w:rsidR="00D5485B">
        <w:t xml:space="preserve">each </w:t>
      </w:r>
      <w:r>
        <w:t>trial</w:t>
      </w:r>
      <w:r w:rsidR="002C22EF">
        <w:t>’</w:t>
      </w:r>
      <w:r w:rsidR="00D5485B">
        <w:t>s</w:t>
      </w:r>
      <w:r>
        <w:t xml:space="preserve"> effectiveness.</w:t>
      </w:r>
    </w:p>
    <w:p w14:paraId="2B0860BE" w14:textId="6DA6E631" w:rsidR="000230CC" w:rsidRDefault="000230CC" w:rsidP="000230CC">
      <w:pPr>
        <w:pStyle w:val="BodyCopy"/>
      </w:pPr>
      <w:r>
        <w:t xml:space="preserve">In addition, peak advocacy bodies such as the CHF and NACCHO highlighted the need to consider consumer experience and increased awareness of medication safety and </w:t>
      </w:r>
      <w:r w:rsidR="004B40B6">
        <w:t xml:space="preserve">consumer-related </w:t>
      </w:r>
      <w:r>
        <w:t xml:space="preserve">quality use of medicines </w:t>
      </w:r>
      <w:r w:rsidR="004B40B6">
        <w:t xml:space="preserve">issues </w:t>
      </w:r>
      <w:r>
        <w:t xml:space="preserve">as part of an evaluation of PTP trials. </w:t>
      </w:r>
      <w:r w:rsidRPr="001E5DA1">
        <w:t xml:space="preserve">The implication was that </w:t>
      </w:r>
      <w:r w:rsidR="004B40B6">
        <w:t xml:space="preserve">some peak bodies felt that </w:t>
      </w:r>
      <w:r w:rsidRPr="001E5DA1">
        <w:t>this not a core component of an MSAC assessment.</w:t>
      </w:r>
      <w:r>
        <w:t xml:space="preserve"> However, consumer engagement through public consultation and consumer representation on MSAC and its sub-committees is demonstrably an important part of the MSAC process and considerations</w:t>
      </w:r>
      <w:r w:rsidR="00406972">
        <w:t>.</w:t>
      </w:r>
      <w:sdt>
        <w:sdtPr>
          <w:id w:val="-1252890458"/>
          <w:citation/>
        </w:sdtPr>
        <w:sdtContent>
          <w:r w:rsidR="00B67CED">
            <w:fldChar w:fldCharType="begin"/>
          </w:r>
          <w:r w:rsidR="00B67CED">
            <w:rPr>
              <w:lang w:val="en-US"/>
            </w:rPr>
            <w:instrText xml:space="preserve"> CITATION Med16 \l 1033 </w:instrText>
          </w:r>
          <w:r w:rsidR="00B67CED">
            <w:fldChar w:fldCharType="separate"/>
          </w:r>
          <w:r w:rsidR="008B7448">
            <w:rPr>
              <w:noProof/>
              <w:lang w:val="en-US"/>
            </w:rPr>
            <w:t xml:space="preserve"> </w:t>
          </w:r>
          <w:r w:rsidR="008B7448" w:rsidRPr="008B7448">
            <w:rPr>
              <w:noProof/>
              <w:lang w:val="en-US"/>
            </w:rPr>
            <w:t>[60]</w:t>
          </w:r>
          <w:r w:rsidR="00B67CED">
            <w:fldChar w:fldCharType="end"/>
          </w:r>
        </w:sdtContent>
      </w:sdt>
    </w:p>
    <w:p w14:paraId="4779F51A" w14:textId="77777777" w:rsidR="006A4A32" w:rsidRDefault="000230CC" w:rsidP="000230CC">
      <w:pPr>
        <w:pStyle w:val="BodyCopy"/>
      </w:pPr>
      <w:r>
        <w:t>Pharmacy peak body groups expressed concern about the appropriateness of existing</w:t>
      </w:r>
      <w:r w:rsidR="005F4563">
        <w:t xml:space="preserve"> independent</w:t>
      </w:r>
      <w:r>
        <w:t xml:space="preserve"> HTA advisory bodies to undertake assessment of a service delivery intervention within current protocols. It was suggested that a new protocol for service delivery interventions may be required, to be implemented by experts with sufficient knowledge of pharmacy services in the community. One peak body commented:</w:t>
      </w:r>
    </w:p>
    <w:p w14:paraId="51DDFCCA" w14:textId="5E24DE88" w:rsidR="000230CC" w:rsidRDefault="000230CC" w:rsidP="000230CC">
      <w:pPr>
        <w:pStyle w:val="Quote"/>
      </w:pPr>
      <w:r>
        <w:t>‘There is a need for greater input from pharmacy as well as representation within the organisation from pharmacists with real-world service delivery experience.’</w:t>
      </w:r>
    </w:p>
    <w:p w14:paraId="4C37AA3F" w14:textId="77777777" w:rsidR="000230CC" w:rsidRDefault="000230CC" w:rsidP="000230CC">
      <w:pPr>
        <w:pStyle w:val="Quote"/>
        <w:jc w:val="right"/>
      </w:pPr>
      <w:r>
        <w:t>Professional peak body comment</w:t>
      </w:r>
    </w:p>
    <w:p w14:paraId="0E8B1D10" w14:textId="77777777" w:rsidR="000230CC" w:rsidRPr="00B161CE" w:rsidRDefault="000230CC" w:rsidP="000230CC">
      <w:pPr>
        <w:pStyle w:val="BodyCopy"/>
      </w:pPr>
      <w:r>
        <w:t>To support its consideration of pharmacy service assessments, MSAC specifically appointed a member with expertise in community pharmacy services.</w:t>
      </w:r>
    </w:p>
    <w:p w14:paraId="09E6B10E" w14:textId="26B9228B" w:rsidR="000230CC" w:rsidRDefault="000230CC" w:rsidP="0077662C">
      <w:pPr>
        <w:pStyle w:val="KeyFinding"/>
      </w:pPr>
      <w:r>
        <w:t xml:space="preserve">Stakeholders expressed concern regarding the ability of </w:t>
      </w:r>
      <w:r w:rsidRPr="001E5DA1">
        <w:t xml:space="preserve">existing </w:t>
      </w:r>
      <w:r w:rsidR="005F4563">
        <w:t>independent</w:t>
      </w:r>
      <w:r w:rsidR="005F4563" w:rsidRPr="001E5DA1">
        <w:t xml:space="preserve"> </w:t>
      </w:r>
      <w:r w:rsidRPr="001E5DA1">
        <w:t xml:space="preserve">HTA </w:t>
      </w:r>
      <w:r>
        <w:t xml:space="preserve">advisory </w:t>
      </w:r>
      <w:r w:rsidRPr="001E5DA1">
        <w:t>bodies</w:t>
      </w:r>
      <w:r>
        <w:t xml:space="preserve"> to </w:t>
      </w:r>
      <w:r w:rsidRPr="001E5DA1">
        <w:t xml:space="preserve">address the service delivery nature and qualitative consumer experience aspects of the </w:t>
      </w:r>
      <w:r>
        <w:t>PTP.</w:t>
      </w:r>
    </w:p>
    <w:p w14:paraId="72230913" w14:textId="62EEB44C" w:rsidR="000230CC" w:rsidRPr="003F4318" w:rsidRDefault="000230CC" w:rsidP="003F4318">
      <w:pPr>
        <w:pStyle w:val="Heading2"/>
      </w:pPr>
      <w:bookmarkStart w:id="124" w:name="_Toc19097779"/>
      <w:bookmarkStart w:id="125" w:name="_Toc26366385"/>
      <w:r w:rsidRPr="003F4318">
        <w:t>Conclusion</w:t>
      </w:r>
      <w:bookmarkEnd w:id="124"/>
      <w:bookmarkEnd w:id="125"/>
    </w:p>
    <w:p w14:paraId="45201770" w14:textId="77777777" w:rsidR="000230CC" w:rsidRDefault="000230CC" w:rsidP="000230CC">
      <w:pPr>
        <w:pStyle w:val="Heading4"/>
      </w:pPr>
      <w:r>
        <w:t>Program development processes</w:t>
      </w:r>
    </w:p>
    <w:p w14:paraId="5FB6875D" w14:textId="77777777" w:rsidR="006A4A32" w:rsidRDefault="000230CC" w:rsidP="000230CC">
      <w:pPr>
        <w:pStyle w:val="BodyCopy"/>
      </w:pPr>
      <w:r>
        <w:t xml:space="preserve">The Department undertook several approaches to seeking stakeholder input into the development and design of the PTP and setting priority areas. This included a stakeholder forum, a ‘call for ideas’ and convening </w:t>
      </w:r>
      <w:r w:rsidR="00406972">
        <w:t>the TAG</w:t>
      </w:r>
      <w:r>
        <w:t>. Many professional and advocacy peak bodies would have liked greater engagement in the developmental stages. In addition, stakeholder engagement reduced when the TAG ceased meeting prior to the submission of grant applications under Tranche 2.</w:t>
      </w:r>
    </w:p>
    <w:p w14:paraId="10547CEB" w14:textId="77777777" w:rsidR="006A4A32" w:rsidRDefault="000230CC" w:rsidP="000230CC">
      <w:pPr>
        <w:pStyle w:val="Heading4"/>
      </w:pPr>
      <w:r>
        <w:t>Trial design and selection processes</w:t>
      </w:r>
    </w:p>
    <w:p w14:paraId="4FF32054" w14:textId="77777777" w:rsidR="006A4A32" w:rsidRDefault="000230CC" w:rsidP="000230CC">
      <w:pPr>
        <w:pStyle w:val="BodyCopy"/>
      </w:pPr>
      <w:r>
        <w:t>The term of the 6CPA was sufficient time to develop guidelines and processes and implement at least one round of trials. Unexpected delays encountered in protocol development stages, combined with the processes required for ethics approval, led to reduced time to conduct trials. There is evidence this affected the time available for trial site selection and patient recruitment and hence potential outcomes from the PTP achievable in the life of the agreement.</w:t>
      </w:r>
    </w:p>
    <w:p w14:paraId="0D3D4020" w14:textId="1449028A" w:rsidR="000230CC" w:rsidRDefault="000230CC" w:rsidP="000230CC">
      <w:pPr>
        <w:pStyle w:val="Heading4"/>
      </w:pPr>
      <w:r>
        <w:lastRenderedPageBreak/>
        <w:t>Administrative processes</w:t>
      </w:r>
    </w:p>
    <w:p w14:paraId="5FCF7578" w14:textId="77777777" w:rsidR="006A4A32" w:rsidRDefault="000230CC" w:rsidP="000230CC">
      <w:pPr>
        <w:pStyle w:val="BodyCopy"/>
      </w:pPr>
      <w:r>
        <w:t xml:space="preserve">The administrative processes of the PTP were guided by </w:t>
      </w:r>
      <w:r w:rsidRPr="00E728A9">
        <w:rPr>
          <w:i/>
        </w:rPr>
        <w:t>the Commonwealth Grant Rules and Guidelines</w:t>
      </w:r>
      <w:r>
        <w:t>. The PTP grant guidelines met those requirements. There are several areas that could be strengthened in the future, such as increased clarity of application processes to reduce ineligible applications and further documentation of administrative processes associated with decision making.</w:t>
      </w:r>
    </w:p>
    <w:p w14:paraId="38FE9D4E" w14:textId="77777777" w:rsidR="006A4A32" w:rsidRDefault="000230CC" w:rsidP="000230CC">
      <w:pPr>
        <w:pStyle w:val="Heading4"/>
      </w:pPr>
      <w:r>
        <w:t>Program outputs</w:t>
      </w:r>
    </w:p>
    <w:p w14:paraId="7248656D" w14:textId="792A0B22" w:rsidR="000230CC" w:rsidRPr="00EF3BE5" w:rsidRDefault="000230CC" w:rsidP="000230CC">
      <w:pPr>
        <w:pStyle w:val="BodyCopy"/>
      </w:pPr>
      <w:r>
        <w:t xml:space="preserve">It is likely that only one PTP trial will undergo an </w:t>
      </w:r>
      <w:r w:rsidR="00947529">
        <w:t xml:space="preserve">independent </w:t>
      </w:r>
      <w:r>
        <w:t>HTA during the term of the 6CPA.</w:t>
      </w:r>
    </w:p>
    <w:p w14:paraId="5E6800A8" w14:textId="77777777" w:rsidR="000230CC" w:rsidRDefault="000230CC" w:rsidP="000230CC">
      <w:pPr>
        <w:pStyle w:val="Heading1"/>
        <w:framePr w:wrap="around"/>
      </w:pPr>
      <w:bookmarkStart w:id="126" w:name="_Toc26366386"/>
      <w:r>
        <w:lastRenderedPageBreak/>
        <w:t>Efficiency</w:t>
      </w:r>
      <w:bookmarkEnd w:id="126"/>
    </w:p>
    <w:p w14:paraId="56EE02D3" w14:textId="40960D09" w:rsidR="000230CC" w:rsidRDefault="000230CC" w:rsidP="000230CC">
      <w:pPr>
        <w:pStyle w:val="StrategicDirection"/>
      </w:pPr>
      <w:r w:rsidRPr="001E3F87">
        <w:t>Implementing RCT methodolog</w:t>
      </w:r>
      <w:r>
        <w:t>ies</w:t>
      </w:r>
      <w:r w:rsidRPr="001E3F87">
        <w:t xml:space="preserve"> can be challenging in the context of service delivery trials in the community. Approval of PTP study design should be guided by an assessment of whether the proposed method is appropriate and sufficiently robust to enable a</w:t>
      </w:r>
      <w:r>
        <w:t>n</w:t>
      </w:r>
      <w:r w:rsidR="005F4563">
        <w:t xml:space="preserve"> independent</w:t>
      </w:r>
      <w:r>
        <w:t xml:space="preserve"> HTA</w:t>
      </w:r>
      <w:r w:rsidRPr="001E3F87">
        <w:t xml:space="preserve"> upon completion.</w:t>
      </w:r>
    </w:p>
    <w:p w14:paraId="03EF31AC" w14:textId="77777777" w:rsidR="000230CC" w:rsidRDefault="000230CC" w:rsidP="000230CC">
      <w:pPr>
        <w:pStyle w:val="Heading2"/>
        <w:spacing w:before="369" w:after="170" w:line="384" w:lineRule="atLeast"/>
        <w:ind w:left="992" w:hanging="992"/>
      </w:pPr>
      <w:bookmarkStart w:id="127" w:name="_Toc10547215"/>
      <w:bookmarkStart w:id="128" w:name="_Toc19097781"/>
      <w:bookmarkStart w:id="129" w:name="_Toc26366387"/>
      <w:r>
        <w:t>evaluation questions</w:t>
      </w:r>
      <w:bookmarkEnd w:id="127"/>
      <w:bookmarkEnd w:id="128"/>
      <w:bookmarkEnd w:id="129"/>
    </w:p>
    <w:p w14:paraId="51534EDF" w14:textId="77777777" w:rsidR="006A4A32" w:rsidRDefault="000230CC" w:rsidP="000230CC">
      <w:pPr>
        <w:pStyle w:val="BodyCopy"/>
      </w:pPr>
      <w:r>
        <w:t>The implementation review of the PTP sought to assess the efficiency of the program. The key evaluation question for efficiency was:</w:t>
      </w:r>
    </w:p>
    <w:p w14:paraId="69E5AB01" w14:textId="3142235C" w:rsidR="000230CC" w:rsidRDefault="00E57F4F" w:rsidP="000230CC">
      <w:pPr>
        <w:pStyle w:val="Quote"/>
      </w:pPr>
      <w:r w:rsidRPr="00E57F4F">
        <w:t>What alternative models could be considered to improve clinical outcomes for consumers by extending the role of pharmacists in the delivery of cost effective primary health care services?</w:t>
      </w:r>
    </w:p>
    <w:p w14:paraId="2ADE35D5" w14:textId="77777777" w:rsidR="000230CC" w:rsidRDefault="000230CC" w:rsidP="000230CC">
      <w:pPr>
        <w:pStyle w:val="BodyCopy"/>
      </w:pPr>
      <w:r>
        <w:t>Review of the efficiency of the PTP included analysis of the following detailed review questions:</w:t>
      </w:r>
    </w:p>
    <w:p w14:paraId="29C3F882" w14:textId="77777777" w:rsidR="000230CC" w:rsidRDefault="000230CC" w:rsidP="00E96273">
      <w:pPr>
        <w:pStyle w:val="Numbers1"/>
        <w:numPr>
          <w:ilvl w:val="0"/>
          <w:numId w:val="52"/>
        </w:numPr>
      </w:pPr>
      <w:r>
        <w:t xml:space="preserve">Did the PTP promote equitable access </w:t>
      </w:r>
      <w:r w:rsidRPr="00394236">
        <w:t>to</w:t>
      </w:r>
      <w:r>
        <w:t xml:space="preserve"> funding for pharmacists and researchers, and to services for intended beneficiaries?</w:t>
      </w:r>
    </w:p>
    <w:p w14:paraId="5E215BAE" w14:textId="77777777" w:rsidR="000230CC" w:rsidRPr="00394236" w:rsidRDefault="000230CC" w:rsidP="00E96273">
      <w:pPr>
        <w:pStyle w:val="Numbers1"/>
        <w:numPr>
          <w:ilvl w:val="0"/>
          <w:numId w:val="52"/>
        </w:numPr>
      </w:pPr>
      <w:r w:rsidRPr="00394236">
        <w:t>Are rigorous clinical trials the most suitable method to generate the desired outcomes? Could alternative trial models be used?</w:t>
      </w:r>
    </w:p>
    <w:p w14:paraId="67180319" w14:textId="77777777" w:rsidR="006A4A32" w:rsidRDefault="000230CC" w:rsidP="000230CC">
      <w:pPr>
        <w:pStyle w:val="Heading2"/>
        <w:spacing w:before="369" w:after="170" w:line="384" w:lineRule="atLeast"/>
        <w:ind w:left="992" w:hanging="992"/>
      </w:pPr>
      <w:bookmarkStart w:id="130" w:name="_Toc10547216"/>
      <w:bookmarkStart w:id="131" w:name="_Toc19097782"/>
      <w:bookmarkStart w:id="132" w:name="_Toc26366388"/>
      <w:r>
        <w:t>Analysis and findings</w:t>
      </w:r>
      <w:bookmarkEnd w:id="130"/>
      <w:bookmarkEnd w:id="131"/>
      <w:bookmarkEnd w:id="132"/>
    </w:p>
    <w:p w14:paraId="49169BF5" w14:textId="77777777" w:rsidR="006A4A32" w:rsidRDefault="000230CC" w:rsidP="000230CC">
      <w:pPr>
        <w:pStyle w:val="Heading3"/>
        <w:spacing w:before="284" w:after="142" w:line="336" w:lineRule="atLeast"/>
        <w:ind w:left="992" w:hanging="992"/>
      </w:pPr>
      <w:bookmarkStart w:id="133" w:name="_Ref10382520"/>
      <w:bookmarkStart w:id="134" w:name="_Toc10547217"/>
      <w:bookmarkStart w:id="135" w:name="_Toc19097783"/>
      <w:bookmarkStart w:id="136" w:name="_Toc26366389"/>
      <w:r>
        <w:t>Equity of the PTP processes</w:t>
      </w:r>
      <w:bookmarkEnd w:id="133"/>
      <w:bookmarkEnd w:id="134"/>
      <w:bookmarkEnd w:id="135"/>
      <w:bookmarkEnd w:id="136"/>
    </w:p>
    <w:p w14:paraId="127A9397" w14:textId="77777777" w:rsidR="006A4A32" w:rsidRDefault="000230CC" w:rsidP="000230CC">
      <w:pPr>
        <w:pStyle w:val="Heading4"/>
      </w:pPr>
      <w:r>
        <w:t>Pharmacists and researcher access to funding</w:t>
      </w:r>
    </w:p>
    <w:p w14:paraId="61E3CC4B" w14:textId="77777777" w:rsidR="006A4A32" w:rsidRDefault="000230CC" w:rsidP="000230CC">
      <w:pPr>
        <w:pStyle w:val="BodyCopy"/>
      </w:pPr>
      <w:r>
        <w:t>There were mixed views among stakeholders as to whether the use of a grant program such as the PTP provided equal access to researchers and pharmacists.</w:t>
      </w:r>
    </w:p>
    <w:p w14:paraId="450A9525" w14:textId="77777777" w:rsidR="006A4A32" w:rsidRDefault="000230CC" w:rsidP="000230CC">
      <w:pPr>
        <w:pStyle w:val="BodyCopy"/>
      </w:pPr>
      <w:r>
        <w:t>Approximately half the pharmacist survey respondents (57%, n=57 of 100 responses to this question) felt that the PTP provided equitable access to both researchers and pharmacists, and half did not (43%, n= 43 of 100 responses).</w:t>
      </w:r>
    </w:p>
    <w:p w14:paraId="5CA9C31A" w14:textId="77777777" w:rsidR="006A4A32" w:rsidRDefault="000230CC" w:rsidP="000230CC">
      <w:pPr>
        <w:pStyle w:val="BodyCopy"/>
      </w:pPr>
      <w:r>
        <w:t>From the 52 comments provided by respondents, 37% (n=19 of 52 responses) indicated that the PTP favoured researchers and that pharmacists would not have the expertise to a write a successful grant application. Other respondents expressed the view that this bias was necessary to provide high-quality evidence.</w:t>
      </w:r>
    </w:p>
    <w:p w14:paraId="3E1BC339" w14:textId="42088A2D" w:rsidR="000230CC" w:rsidRDefault="000230CC" w:rsidP="000230CC">
      <w:pPr>
        <w:pStyle w:val="Quote"/>
      </w:pPr>
      <w:r>
        <w:t>‘</w:t>
      </w:r>
      <w:r w:rsidRPr="00F1508C">
        <w:t>Competitive research grants underpin our research sector. It’s a reasonable and fair way to distribute fun</w:t>
      </w:r>
      <w:r>
        <w:t>ds.’</w:t>
      </w:r>
    </w:p>
    <w:p w14:paraId="4A1D370D" w14:textId="77777777" w:rsidR="000230CC" w:rsidRPr="00F1508C" w:rsidRDefault="000230CC" w:rsidP="000230CC">
      <w:pPr>
        <w:pStyle w:val="Quote"/>
        <w:jc w:val="right"/>
      </w:pPr>
      <w:r>
        <w:t>Pharmacy survey respondent</w:t>
      </w:r>
    </w:p>
    <w:p w14:paraId="0218658E" w14:textId="77777777" w:rsidR="006A4A32" w:rsidRDefault="000230CC" w:rsidP="000230CC">
      <w:pPr>
        <w:pStyle w:val="BodyCopy"/>
        <w:keepNext/>
      </w:pPr>
      <w:r>
        <w:lastRenderedPageBreak/>
        <w:t>A small proportion of respondents felt that trial selection was not merit-based and (15%, n=8 of 52 responses). Comments included:</w:t>
      </w:r>
    </w:p>
    <w:p w14:paraId="6CB1D85A" w14:textId="77AEA5B7" w:rsidR="000230CC" w:rsidRPr="001F52F6" w:rsidRDefault="000230CC" w:rsidP="000230CC">
      <w:pPr>
        <w:pStyle w:val="Quote"/>
        <w:keepNext/>
      </w:pPr>
      <w:r>
        <w:t>‘</w:t>
      </w:r>
      <w:r w:rsidRPr="001F52F6">
        <w:t>It is not equitable when you have people who have received grants who have not gone through the original tendering process</w:t>
      </w:r>
      <w:r>
        <w:t>’</w:t>
      </w:r>
    </w:p>
    <w:p w14:paraId="7DC5F92A" w14:textId="77777777" w:rsidR="000230CC" w:rsidRDefault="000230CC" w:rsidP="000230CC">
      <w:pPr>
        <w:pStyle w:val="Quote"/>
        <w:keepNext/>
        <w:jc w:val="right"/>
        <w:rPr>
          <w:lang w:eastAsia="en-AU"/>
        </w:rPr>
      </w:pPr>
      <w:r>
        <w:rPr>
          <w:lang w:eastAsia="en-AU"/>
        </w:rPr>
        <w:t>Pharmacist survey respondent</w:t>
      </w:r>
    </w:p>
    <w:p w14:paraId="2EF4C5DB" w14:textId="77777777" w:rsidR="000230CC" w:rsidRPr="00895BEC" w:rsidRDefault="000230CC" w:rsidP="000230CC">
      <w:pPr>
        <w:pStyle w:val="Quote"/>
        <w:keepNext/>
        <w:rPr>
          <w:rStyle w:val="QuoteChar"/>
          <w:i/>
          <w:iCs/>
        </w:rPr>
      </w:pPr>
      <w:r w:rsidRPr="00895BEC">
        <w:rPr>
          <w:i w:val="0"/>
        </w:rPr>
        <w:t>‘</w:t>
      </w:r>
      <w:r w:rsidRPr="00895BEC">
        <w:rPr>
          <w:rStyle w:val="QuoteChar"/>
          <w:i/>
        </w:rPr>
        <w:t>It seems to be advantageous if applicants are politically and personally connected.’</w:t>
      </w:r>
    </w:p>
    <w:p w14:paraId="7F57374D" w14:textId="77777777" w:rsidR="000230CC" w:rsidRDefault="000230CC" w:rsidP="000230CC">
      <w:pPr>
        <w:pStyle w:val="Quote"/>
        <w:jc w:val="right"/>
        <w:rPr>
          <w:lang w:eastAsia="en-AU"/>
        </w:rPr>
      </w:pPr>
      <w:r>
        <w:rPr>
          <w:lang w:eastAsia="en-AU"/>
        </w:rPr>
        <w:t>Pharmacist survey respondent</w:t>
      </w:r>
    </w:p>
    <w:p w14:paraId="0392BCCD" w14:textId="77777777" w:rsidR="006A4A32" w:rsidRDefault="000230CC" w:rsidP="000230CC">
      <w:pPr>
        <w:pStyle w:val="BodyCopy"/>
      </w:pPr>
      <w:r>
        <w:t>A few respondents commented that trials were difficult to access or that the focus of funding should be rolling-out services rather than investing in a large grants program.</w:t>
      </w:r>
    </w:p>
    <w:p w14:paraId="7C50268B" w14:textId="7CFCA6AA" w:rsidR="000230CC" w:rsidRDefault="000230CC" w:rsidP="000230CC">
      <w:pPr>
        <w:pStyle w:val="BodyCopy"/>
      </w:pPr>
      <w:r>
        <w:t>Stakeholder consultation reflected many of these views. Stakeholders considered that the rigour of the methodology required by the grant rules restricted both the type of organisation that could apply for grant funding as well as the pharmacies that were able to participate in the trial. At the grant applicant level, many felt that only large academic institutions would have the capacity and expertise to make</w:t>
      </w:r>
      <w:r w:rsidR="00425FF5">
        <w:t xml:space="preserve"> </w:t>
      </w:r>
      <w:r>
        <w:t>a successful submission.</w:t>
      </w:r>
    </w:p>
    <w:p w14:paraId="29E38B8C" w14:textId="1A7F0B68" w:rsidR="000230CC" w:rsidRDefault="000230CC" w:rsidP="0077662C">
      <w:pPr>
        <w:pStyle w:val="KeyFinding"/>
      </w:pPr>
      <w:r>
        <w:t xml:space="preserve">The level of scientific rigour required to ensure PTP trials are able to undergo an </w:t>
      </w:r>
      <w:r w:rsidR="005F4563">
        <w:t xml:space="preserve">independent </w:t>
      </w:r>
      <w:r>
        <w:t>HTA may favour academic researchers. This was considered appropriate by many stakeholders consulted and surveyed.</w:t>
      </w:r>
    </w:p>
    <w:p w14:paraId="196D46D0" w14:textId="77777777" w:rsidR="000230CC" w:rsidRDefault="000230CC" w:rsidP="000230CC">
      <w:pPr>
        <w:pStyle w:val="Heading4"/>
      </w:pPr>
      <w:r>
        <w:t>Intended beneficiaries (consumers) access to services</w:t>
      </w:r>
    </w:p>
    <w:p w14:paraId="3F90AD01" w14:textId="77777777" w:rsidR="006A4A32" w:rsidRDefault="000230CC" w:rsidP="000230CC">
      <w:pPr>
        <w:pStyle w:val="BodyCopy"/>
      </w:pPr>
      <w:r>
        <w:t xml:space="preserve">The PTP trial priorities were based on areas of greatest need, and therefore vulnerable populations were appropriately targeted for the trials. A focus on regional/rural areas was not explicitly listed as a priority area or referred to in assessment criteria, except for Tranche 2 applications </w:t>
      </w:r>
      <w:sdt>
        <w:sdtPr>
          <w:id w:val="732815513"/>
          <w:citation/>
        </w:sdtPr>
        <w:sdtContent>
          <w:r>
            <w:fldChar w:fldCharType="begin"/>
          </w:r>
          <w:r>
            <w:rPr>
              <w:lang w:val="en-US"/>
            </w:rPr>
            <w:instrText xml:space="preserve"> CITATION PTP17 \l 1033 </w:instrText>
          </w:r>
          <w:r>
            <w:fldChar w:fldCharType="separate"/>
          </w:r>
          <w:r w:rsidR="008B7448" w:rsidRPr="008B7448">
            <w:rPr>
              <w:noProof/>
              <w:lang w:val="en-US"/>
            </w:rPr>
            <w:t>[44]</w:t>
          </w:r>
          <w:r>
            <w:fldChar w:fldCharType="end"/>
          </w:r>
        </w:sdtContent>
      </w:sdt>
      <w:r>
        <w:t>.</w:t>
      </w:r>
    </w:p>
    <w:p w14:paraId="2A631771" w14:textId="77777777" w:rsidR="006A4A32" w:rsidRDefault="000230CC" w:rsidP="000230CC">
      <w:pPr>
        <w:pStyle w:val="BodyCopy"/>
      </w:pPr>
      <w:r>
        <w:t xml:space="preserve">The Guild commented that the focus on rigorous trial protocols such as RCT methodology may have favoured participation from larger, better resourced pharmacists. This may have inadvertently excluded many rural and remote </w:t>
      </w:r>
      <w:r>
        <w:t>pharmacies, especially sole-pharmacist pharmacies which have limited capacity to direct their staffing resources to activities not associated with dispensing and running a small business.</w:t>
      </w:r>
    </w:p>
    <w:p w14:paraId="75626292" w14:textId="77777777" w:rsidR="006A4A32" w:rsidRDefault="000230CC" w:rsidP="000230CC">
      <w:pPr>
        <w:pStyle w:val="BodyCopy"/>
      </w:pPr>
      <w:r>
        <w:t>However, it must be noted that approved trials that have commenced implementation have included rural / remote pharmacies in the selection of participating pharmacies.</w:t>
      </w:r>
    </w:p>
    <w:p w14:paraId="0F450553" w14:textId="77777777" w:rsidR="006A4A32" w:rsidRDefault="000230CC" w:rsidP="000230CC">
      <w:pPr>
        <w:pStyle w:val="BodyCopy"/>
      </w:pPr>
      <w:r>
        <w:t xml:space="preserve">Implementing RCT methodology was also challenging for the two trials focused on Aboriginal and Torres Strait Islander communities (IMeRSe and IPAC). NACCHO and James Cook University commented that RCTs </w:t>
      </w:r>
      <w:r w:rsidR="00B67CED">
        <w:t xml:space="preserve">are challenging </w:t>
      </w:r>
      <w:r>
        <w:t>in the context of Aboriginal and Torres Strait Islander Health as they do not promote a culturally sensitive approach because of the method reliance on randomising patients to control and intervention groups. Conducting these trials as feasibility studies was regarded as a positive step by both NACCHO and James Cook University. NACCHO considered feasibility and implementation trials are more appropriate in the context of developing medicine-related services for Aboriginal and Torres Strait Islander communities.</w:t>
      </w:r>
      <w:r w:rsidRPr="00905B33">
        <w:t xml:space="preserve"> </w:t>
      </w:r>
      <w:r>
        <w:t>There was recognition that the flexibility afforded in changing the two trials involving Aboriginal and Torres Strait Islander populations to feasibility studies has had a positive impact in the community. James Cook University considered the pragmatic research methods were beneficial and expressed desire to see even more value placed on these methods in future.</w:t>
      </w:r>
    </w:p>
    <w:p w14:paraId="43AD8588" w14:textId="77777777" w:rsidR="006A4A32" w:rsidRDefault="000230CC" w:rsidP="000230CC">
      <w:pPr>
        <w:pStyle w:val="Heading3"/>
        <w:spacing w:before="284" w:after="142" w:line="336" w:lineRule="atLeast"/>
        <w:ind w:left="992" w:hanging="992"/>
      </w:pPr>
      <w:bookmarkStart w:id="137" w:name="_Ref10382510"/>
      <w:bookmarkStart w:id="138" w:name="_Toc10547218"/>
      <w:bookmarkStart w:id="139" w:name="_Toc19097784"/>
      <w:bookmarkStart w:id="140" w:name="_Toc26366390"/>
      <w:r w:rsidRPr="005A5851">
        <w:t>Rigour of the evidence base</w:t>
      </w:r>
      <w:bookmarkEnd w:id="137"/>
      <w:bookmarkEnd w:id="138"/>
      <w:bookmarkEnd w:id="139"/>
      <w:bookmarkEnd w:id="140"/>
    </w:p>
    <w:p w14:paraId="5C53B5D6" w14:textId="77777777" w:rsidR="006A4A32" w:rsidRDefault="000230CC" w:rsidP="000230CC">
      <w:pPr>
        <w:pStyle w:val="BodyCopy"/>
      </w:pPr>
      <w:r>
        <w:t>The grant guidelines for PTP trials specify that trial design must be valid and include scientific rigour, but do not specify that an RCT methodology must be employed. In contrast, the perception among stakeholders and grant applicants interviewed for the review was that an RCT methodology was preferred. This may have been influenced by the preference of RCT derived evidence for MSAC evaluations.</w:t>
      </w:r>
    </w:p>
    <w:p w14:paraId="15AE8312" w14:textId="72E87EC1" w:rsidR="000230CC" w:rsidRDefault="000230CC" w:rsidP="000230CC">
      <w:pPr>
        <w:pStyle w:val="BodyCopy"/>
      </w:pPr>
      <w:r>
        <w:t>The Guild commented that refinement of trial protocols with the TAG and assessment committee in Tranches 1 and 3 preferentially focused on RCT methodologies.</w:t>
      </w:r>
    </w:p>
    <w:p w14:paraId="7627A4A6" w14:textId="77777777" w:rsidR="006A4A32" w:rsidRDefault="000230CC" w:rsidP="000230CC">
      <w:pPr>
        <w:pStyle w:val="BodyCopy"/>
      </w:pPr>
      <w:r>
        <w:lastRenderedPageBreak/>
        <w:t xml:space="preserve">An RCT methodology is considered the most rigorous study methodology for determining a cause and effect relationship between an intervention and patient outcomes, based on the elimination of confounding variables </w:t>
      </w:r>
      <w:sdt>
        <w:sdtPr>
          <w:id w:val="-1673250981"/>
          <w:citation/>
        </w:sdtPr>
        <w:sdtContent>
          <w:r>
            <w:fldChar w:fldCharType="begin"/>
          </w:r>
          <w:r>
            <w:instrText xml:space="preserve"> CITATION Sib98 \l 3081 </w:instrText>
          </w:r>
          <w:r>
            <w:fldChar w:fldCharType="separate"/>
          </w:r>
          <w:r w:rsidR="008B7448" w:rsidRPr="008B7448">
            <w:rPr>
              <w:noProof/>
            </w:rPr>
            <w:t>[24]</w:t>
          </w:r>
          <w:r>
            <w:fldChar w:fldCharType="end"/>
          </w:r>
        </w:sdtContent>
      </w:sdt>
      <w:r>
        <w:t>.</w:t>
      </w:r>
    </w:p>
    <w:p w14:paraId="78D8791E" w14:textId="77777777" w:rsidR="006A4A32" w:rsidRDefault="000230CC" w:rsidP="000230CC">
      <w:pPr>
        <w:pStyle w:val="BodyCopy"/>
      </w:pPr>
      <w:r>
        <w:t xml:space="preserve">Stakeholders including the Guild and the PSA questioned the generalisability of trial results due to the </w:t>
      </w:r>
      <w:r w:rsidR="00907CF9">
        <w:t xml:space="preserve">eligibility criteria restrictions required to implement an RCT. </w:t>
      </w:r>
      <w:r w:rsidR="007B4254">
        <w:t>The ADHA noted that RCT methodology may be appropriate for some trials but commented that most service delivery interventions did not require evidence that is as rigorous as an RCT. The NMHCCF felt that use of RCT methodology is not appropriate for trials in a service delivery settin</w:t>
      </w:r>
      <w:r w:rsidR="00C52EF1">
        <w:t>g; they argued</w:t>
      </w:r>
      <w:r w:rsidR="007B4254">
        <w:t xml:space="preserve"> that the collection of qualitative data is very important in this context and often not collected in RCT study design.</w:t>
      </w:r>
      <w:r w:rsidR="007B4254" w:rsidRPr="00B94203">
        <w:t xml:space="preserve"> </w:t>
      </w:r>
      <w:r w:rsidR="007B4254">
        <w:t xml:space="preserve">The RACGP felt that evaluation of the PTP trials needed to be broader than </w:t>
      </w:r>
      <w:r w:rsidR="00411FDA">
        <w:t xml:space="preserve">an </w:t>
      </w:r>
      <w:r w:rsidR="007B4254">
        <w:t xml:space="preserve">assessment focused on health economics and health outcomes, and should include assessment of societal impacts. </w:t>
      </w:r>
      <w:r w:rsidR="00CB50D0">
        <w:t xml:space="preserve">One grant recipient </w:t>
      </w:r>
      <w:r w:rsidR="00C52EF1">
        <w:t>said</w:t>
      </w:r>
      <w:r w:rsidR="00CB50D0">
        <w:t xml:space="preserve"> that the MSAC guidelines provided for reporting purposes were tailored for RCT methodology</w:t>
      </w:r>
      <w:r w:rsidR="00C52EF1">
        <w:t xml:space="preserve">; they felt that some </w:t>
      </w:r>
      <w:r w:rsidR="00CB50D0">
        <w:t xml:space="preserve">of the reporting criteria </w:t>
      </w:r>
      <w:r w:rsidR="00C52EF1">
        <w:t xml:space="preserve">specified </w:t>
      </w:r>
      <w:r w:rsidR="00CB50D0">
        <w:t xml:space="preserve">were </w:t>
      </w:r>
      <w:r w:rsidR="00C52EF1">
        <w:t xml:space="preserve">not relevant </w:t>
      </w:r>
      <w:r w:rsidR="00CB50D0">
        <w:t>for the trial they were implementing.</w:t>
      </w:r>
    </w:p>
    <w:p w14:paraId="44FF467C" w14:textId="69E45D34" w:rsidR="00CB50D0" w:rsidRDefault="000230CC" w:rsidP="000230CC">
      <w:pPr>
        <w:pStyle w:val="BodyCopy"/>
      </w:pPr>
      <w:r>
        <w:t xml:space="preserve">Many stakeholders felt that other study designs could have yielded </w:t>
      </w:r>
      <w:r w:rsidR="00C52EF1">
        <w:t>adequate</w:t>
      </w:r>
      <w:r>
        <w:t xml:space="preserve"> results, sufficient for clinical and economic assessment, and should have also been considered within the scope of the PTP. </w:t>
      </w:r>
      <w:r w:rsidR="00C52EF1">
        <w:t xml:space="preserve">There is some support for this view in </w:t>
      </w:r>
      <w:r w:rsidR="00411FDA">
        <w:t>l</w:t>
      </w:r>
      <w:r w:rsidR="00394236">
        <w:t xml:space="preserve">iterature </w:t>
      </w:r>
      <w:r w:rsidR="00C52EF1">
        <w:t xml:space="preserve">which notes that </w:t>
      </w:r>
      <w:r w:rsidR="00083BB7">
        <w:t>other</w:t>
      </w:r>
      <w:r w:rsidR="00411FDA">
        <w:t xml:space="preserve"> study design</w:t>
      </w:r>
      <w:r w:rsidR="00083BB7">
        <w:t xml:space="preserve"> methods </w:t>
      </w:r>
      <w:r w:rsidR="00411FDA">
        <w:t xml:space="preserve">can be </w:t>
      </w:r>
      <w:r w:rsidR="00083BB7">
        <w:t xml:space="preserve">more suitable for assessing </w:t>
      </w:r>
      <w:r w:rsidR="00394236">
        <w:t xml:space="preserve">the effectiveness of public health interventions where there are considerable extraneous or potentially confounding variables that </w:t>
      </w:r>
      <w:r w:rsidR="00083BB7">
        <w:t xml:space="preserve">are difficult to </w:t>
      </w:r>
      <w:r w:rsidR="00394236">
        <w:t>control</w:t>
      </w:r>
      <w:r w:rsidR="00083BB7">
        <w:t xml:space="preserve"> for in </w:t>
      </w:r>
      <w:r w:rsidR="00394236">
        <w:t xml:space="preserve">study design </w:t>
      </w:r>
      <w:sdt>
        <w:sdtPr>
          <w:id w:val="-2110883168"/>
          <w:citation/>
        </w:sdtPr>
        <w:sdtContent>
          <w:r w:rsidR="00394236">
            <w:fldChar w:fldCharType="begin"/>
          </w:r>
          <w:r w:rsidR="00394236">
            <w:instrText xml:space="preserve"> CITATION Cri08 \l 3081 </w:instrText>
          </w:r>
          <w:r w:rsidR="00394236">
            <w:fldChar w:fldCharType="separate"/>
          </w:r>
          <w:r w:rsidR="008B7448" w:rsidRPr="008B7448">
            <w:rPr>
              <w:noProof/>
            </w:rPr>
            <w:t>[35]</w:t>
          </w:r>
          <w:r w:rsidR="00394236">
            <w:fldChar w:fldCharType="end"/>
          </w:r>
        </w:sdtContent>
      </w:sdt>
      <w:r w:rsidR="00394236">
        <w:t>.</w:t>
      </w:r>
    </w:p>
    <w:p w14:paraId="3ACCFD81" w14:textId="236F95C4" w:rsidR="00CB50D0" w:rsidRDefault="00CB50D0" w:rsidP="000230CC">
      <w:pPr>
        <w:pStyle w:val="BodyCopy"/>
      </w:pPr>
      <w:r>
        <w:t xml:space="preserve">However, the key focus for the PTP is to assess whether pharmacy services do improve clinical outcomes for consumers. </w:t>
      </w:r>
      <w:r w:rsidR="005F4563">
        <w:t xml:space="preserve">Independent </w:t>
      </w:r>
      <w:r>
        <w:t>HTA reviews of existing pharmacy services already considered by MSAC showed that the evidence base was consistently weak across the</w:t>
      </w:r>
      <w:r w:rsidR="00411FDA">
        <w:t xml:space="preserve"> </w:t>
      </w:r>
      <w:r>
        <w:t>services</w:t>
      </w:r>
      <w:r w:rsidR="00083BB7">
        <w:t xml:space="preserve"> that they had examined. Furthermore, t</w:t>
      </w:r>
      <w:r>
        <w:t>he MSAC reviews of existing pharmacy services indicated that there were either insufficient evidence to show an effect in improving clinical outcomes for consumers, or showed that these effects were small</w:t>
      </w:r>
      <w:r w:rsidR="00E857AB">
        <w:t xml:space="preserve"> </w:t>
      </w:r>
      <w:sdt>
        <w:sdtPr>
          <w:id w:val="979115379"/>
          <w:citation/>
        </w:sdtPr>
        <w:sdtContent>
          <w:r w:rsidR="00E857AB">
            <w:fldChar w:fldCharType="begin"/>
          </w:r>
          <w:r w:rsidR="00E857AB">
            <w:rPr>
              <w:lang w:val="en-US"/>
            </w:rPr>
            <w:instrText xml:space="preserve"> CITATION Med161 \l 1033 </w:instrText>
          </w:r>
          <w:r w:rsidR="00E857AB">
            <w:fldChar w:fldCharType="separate"/>
          </w:r>
          <w:r w:rsidR="008B7448" w:rsidRPr="008B7448">
            <w:rPr>
              <w:noProof/>
              <w:lang w:val="en-US"/>
            </w:rPr>
            <w:t>[37]</w:t>
          </w:r>
          <w:r w:rsidR="00E857AB">
            <w:fldChar w:fldCharType="end"/>
          </w:r>
        </w:sdtContent>
      </w:sdt>
      <w:r>
        <w:t xml:space="preserve">. On this basis, it is reasonable to assume that </w:t>
      </w:r>
      <w:r w:rsidR="00083BB7">
        <w:t xml:space="preserve">a </w:t>
      </w:r>
      <w:r>
        <w:t>rigorous design is warranted in order to minimise the biases and confounding factors that are likely to hinder the detection of the expected effect of the program or service on the clinical outcomes for patients.</w:t>
      </w:r>
    </w:p>
    <w:p w14:paraId="7BE67E0E" w14:textId="77777777" w:rsidR="006A4A32" w:rsidRDefault="005F4563" w:rsidP="000230CC">
      <w:pPr>
        <w:pStyle w:val="BodyCopy"/>
      </w:pPr>
      <w:r>
        <w:t xml:space="preserve">Independent </w:t>
      </w:r>
      <w:r w:rsidR="00907CF9">
        <w:t xml:space="preserve">HTA advisory bodies such as MSAC </w:t>
      </w:r>
      <w:r w:rsidR="007B4254">
        <w:t>c</w:t>
      </w:r>
      <w:r w:rsidR="00907CF9">
        <w:t>onsider other study design</w:t>
      </w:r>
      <w:r w:rsidR="007B4254">
        <w:t xml:space="preserve"> type in addition to RCT. However, other study designs increase the risk of biases or confounding factors that may reduce the ability to determine the true effect of the initiative.</w:t>
      </w:r>
    </w:p>
    <w:p w14:paraId="582FAFD5" w14:textId="77777777" w:rsidR="006A4A32" w:rsidRDefault="005F4563" w:rsidP="000230CC">
      <w:pPr>
        <w:pStyle w:val="BodyCopy"/>
      </w:pPr>
      <w:r>
        <w:t xml:space="preserve">Independent </w:t>
      </w:r>
      <w:r w:rsidR="000230CC">
        <w:t xml:space="preserve">HTA evaluation such as those undertaken by MSAC </w:t>
      </w:r>
      <w:r w:rsidR="007B4254">
        <w:t xml:space="preserve">will consider any type of clinical outcome that is relevant to patients or consumers including </w:t>
      </w:r>
      <w:r w:rsidR="000230CC">
        <w:t>quality adjusted life years (QALYs)</w:t>
      </w:r>
      <w:r w:rsidR="007B4254">
        <w:t xml:space="preserve"> </w:t>
      </w:r>
      <w:r w:rsidR="000230CC">
        <w:t>to</w:t>
      </w:r>
      <w:r w:rsidR="00083BB7">
        <w:t xml:space="preserve"> support</w:t>
      </w:r>
      <w:r w:rsidR="000230CC">
        <w:t xml:space="preserve"> cost-utility analysis </w:t>
      </w:r>
      <w:sdt>
        <w:sdtPr>
          <w:id w:val="-1573649148"/>
          <w:citation/>
        </w:sdtPr>
        <w:sdtContent>
          <w:r w:rsidR="000230CC">
            <w:fldChar w:fldCharType="begin"/>
          </w:r>
          <w:r w:rsidR="00E96273">
            <w:rPr>
              <w:lang w:val="en-US"/>
            </w:rPr>
            <w:instrText xml:space="preserve">CITATION Med17 \l 1033 </w:instrText>
          </w:r>
          <w:r w:rsidR="000230CC">
            <w:fldChar w:fldCharType="separate"/>
          </w:r>
          <w:r w:rsidR="008B7448" w:rsidRPr="008B7448">
            <w:rPr>
              <w:noProof/>
              <w:lang w:val="en-US"/>
            </w:rPr>
            <w:t>[61]</w:t>
          </w:r>
          <w:r w:rsidR="000230CC">
            <w:fldChar w:fldCharType="end"/>
          </w:r>
        </w:sdtContent>
      </w:sdt>
      <w:r w:rsidR="000230CC">
        <w:t>.</w:t>
      </w:r>
    </w:p>
    <w:p w14:paraId="25818841" w14:textId="77777777" w:rsidR="006A4A32" w:rsidRDefault="00083BB7" w:rsidP="00560243">
      <w:pPr>
        <w:pStyle w:val="BodyCopy"/>
      </w:pPr>
      <w:r>
        <w:t>Based on the feedback provided by stakeholder groups consulted during the evaluation, we concluded that g</w:t>
      </w:r>
      <w:r w:rsidR="000230CC">
        <w:t xml:space="preserve">reater understanding of the MSAC evaluation process </w:t>
      </w:r>
      <w:r>
        <w:t xml:space="preserve">is needed, to reduce </w:t>
      </w:r>
      <w:r w:rsidR="000230CC">
        <w:t xml:space="preserve">stakeholder concerns regarding </w:t>
      </w:r>
      <w:r>
        <w:t xml:space="preserve">the </w:t>
      </w:r>
      <w:r w:rsidR="000230CC">
        <w:t>suitability</w:t>
      </w:r>
      <w:r>
        <w:t xml:space="preserve"> of RCTs</w:t>
      </w:r>
      <w:r w:rsidR="000230CC">
        <w:t>.</w:t>
      </w:r>
    </w:p>
    <w:p w14:paraId="60EF7D39" w14:textId="38796E19" w:rsidR="000230CC" w:rsidRDefault="000230CC" w:rsidP="000230CC">
      <w:pPr>
        <w:pStyle w:val="Heading4"/>
      </w:pPr>
      <w:bookmarkStart w:id="141" w:name="_Toc8217022"/>
      <w:r>
        <w:t>Pilot and feasibility studies</w:t>
      </w:r>
      <w:bookmarkEnd w:id="141"/>
    </w:p>
    <w:p w14:paraId="69C8B269" w14:textId="77777777" w:rsidR="006A4A32" w:rsidRDefault="000230CC" w:rsidP="000230CC">
      <w:pPr>
        <w:pStyle w:val="BodyCopy"/>
      </w:pPr>
      <w:r>
        <w:t xml:space="preserve">In the United Kingdom potential new programs are required to undergo a feasibility or piloting process, to determine whether it is possible to conduct the study as it has been designed </w:t>
      </w:r>
      <w:sdt>
        <w:sdtPr>
          <w:id w:val="729745470"/>
          <w:citation/>
        </w:sdtPr>
        <w:sdtContent>
          <w:r>
            <w:fldChar w:fldCharType="begin"/>
          </w:r>
          <w:r>
            <w:instrText xml:space="preserve"> CITATION Nat17 \l 3081 </w:instrText>
          </w:r>
          <w:r>
            <w:fldChar w:fldCharType="separate"/>
          </w:r>
          <w:r w:rsidR="008B7448" w:rsidRPr="008B7448">
            <w:rPr>
              <w:noProof/>
            </w:rPr>
            <w:t>[34]</w:t>
          </w:r>
          <w:r>
            <w:fldChar w:fldCharType="end"/>
          </w:r>
        </w:sdtContent>
      </w:sdt>
      <w:r>
        <w:t xml:space="preserve">. This occurs prior to investment in large scale RCT studies. Other Australian Government grant opportunities also use this model, such as the </w:t>
      </w:r>
      <w:r w:rsidRPr="006D056B">
        <w:t>Business Research and Innovation Initiative</w:t>
      </w:r>
      <w:r>
        <w:t xml:space="preserve">. This funds applicants to first complete a feasibility study before they can apply for a larger proof-of-concept grant </w:t>
      </w:r>
      <w:sdt>
        <w:sdtPr>
          <w:id w:val="2121876688"/>
          <w:citation/>
        </w:sdtPr>
        <w:sdtContent>
          <w:r>
            <w:fldChar w:fldCharType="begin"/>
          </w:r>
          <w:r>
            <w:rPr>
              <w:lang w:val="en-US"/>
            </w:rPr>
            <w:instrText xml:space="preserve"> CITATION Aus194 \l 1033 </w:instrText>
          </w:r>
          <w:r>
            <w:fldChar w:fldCharType="separate"/>
          </w:r>
          <w:r w:rsidR="008B7448" w:rsidRPr="008B7448">
            <w:rPr>
              <w:noProof/>
              <w:lang w:val="en-US"/>
            </w:rPr>
            <w:t>[62]</w:t>
          </w:r>
          <w:r>
            <w:fldChar w:fldCharType="end"/>
          </w:r>
        </w:sdtContent>
      </w:sdt>
      <w:r>
        <w:t>.</w:t>
      </w:r>
    </w:p>
    <w:p w14:paraId="166AFCC3" w14:textId="77777777" w:rsidR="006A4A32" w:rsidRDefault="000230CC" w:rsidP="000230CC">
      <w:pPr>
        <w:pStyle w:val="BodyCopy"/>
      </w:pPr>
      <w:r>
        <w:t>Feasibility studies are used to determine whether it is possible to conduct the study as it has been designed. In feasibility studies, outcomes are generally not assessed and participants do not require randomisation</w:t>
      </w:r>
      <w:r w:rsidRPr="00FC1A05">
        <w:t xml:space="preserve"> </w:t>
      </w:r>
      <w:sdt>
        <w:sdtPr>
          <w:id w:val="1228734505"/>
          <w:citation/>
        </w:sdtPr>
        <w:sdtContent>
          <w:r>
            <w:fldChar w:fldCharType="begin"/>
          </w:r>
          <w:r>
            <w:instrText xml:space="preserve"> CITATION Nat17 \l 3081 </w:instrText>
          </w:r>
          <w:r>
            <w:fldChar w:fldCharType="separate"/>
          </w:r>
          <w:r w:rsidR="008B7448" w:rsidRPr="008B7448">
            <w:rPr>
              <w:noProof/>
            </w:rPr>
            <w:t>[34]</w:t>
          </w:r>
          <w:r>
            <w:fldChar w:fldCharType="end"/>
          </w:r>
        </w:sdtContent>
      </w:sdt>
      <w:r>
        <w:t>.</w:t>
      </w:r>
    </w:p>
    <w:p w14:paraId="4B6D7859" w14:textId="77777777" w:rsidR="006A4A32" w:rsidRDefault="000230CC" w:rsidP="000230CC">
      <w:pPr>
        <w:pStyle w:val="BodyCopy"/>
      </w:pPr>
      <w:r>
        <w:t>Pilot studies are a small-scale version of a potential larger study. The same methodological protocols including reporting and assessment of outcomes should be used for both the pilot and the potential future study. The purpose of a pilot study is to ensure that the components of the study design can work together.</w:t>
      </w:r>
    </w:p>
    <w:p w14:paraId="6B2D9B8A" w14:textId="454C405B" w:rsidR="006A4A32" w:rsidRDefault="000230CC" w:rsidP="000230CC">
      <w:pPr>
        <w:pStyle w:val="BodyCopy"/>
      </w:pPr>
      <w:r>
        <w:fldChar w:fldCharType="begin"/>
      </w:r>
      <w:r>
        <w:instrText xml:space="preserve"> REF _Ref4400744 \h </w:instrText>
      </w:r>
      <w:r>
        <w:fldChar w:fldCharType="separate"/>
      </w:r>
      <w:r w:rsidR="006B6B4C">
        <w:t xml:space="preserve">Figure </w:t>
      </w:r>
      <w:r w:rsidR="006B6B4C">
        <w:rPr>
          <w:noProof/>
        </w:rPr>
        <w:t>6</w:t>
      </w:r>
      <w:r w:rsidR="006B6B4C">
        <w:t>.</w:t>
      </w:r>
      <w:r w:rsidR="006B6B4C">
        <w:rPr>
          <w:noProof/>
        </w:rPr>
        <w:t>1</w:t>
      </w:r>
      <w:r>
        <w:fldChar w:fldCharType="end"/>
      </w:r>
      <w:r>
        <w:t xml:space="preserve"> illustrates potential steps that could be used in the development of new public health service interventions.</w:t>
      </w:r>
    </w:p>
    <w:p w14:paraId="4BB0AF50" w14:textId="41AED4FC" w:rsidR="000230CC" w:rsidRDefault="000230CC" w:rsidP="00275CD3">
      <w:pPr>
        <w:pStyle w:val="Caption"/>
        <w:keepNext/>
      </w:pPr>
      <w:bookmarkStart w:id="142" w:name="_Ref4400744"/>
      <w:r>
        <w:lastRenderedPageBreak/>
        <w:t xml:space="preserve">Figure </w:t>
      </w:r>
      <w:r>
        <w:rPr>
          <w:noProof/>
        </w:rPr>
        <w:fldChar w:fldCharType="begin"/>
      </w:r>
      <w:r>
        <w:rPr>
          <w:noProof/>
        </w:rPr>
        <w:instrText xml:space="preserve"> STYLEREF 1 \s </w:instrText>
      </w:r>
      <w:r>
        <w:rPr>
          <w:noProof/>
        </w:rPr>
        <w:fldChar w:fldCharType="separate"/>
      </w:r>
      <w:r w:rsidR="008B7448">
        <w:rPr>
          <w:noProof/>
        </w:rPr>
        <w:t>6</w:t>
      </w:r>
      <w:r>
        <w:rPr>
          <w:noProof/>
        </w:rPr>
        <w:fldChar w:fldCharType="end"/>
      </w:r>
      <w:r>
        <w:t>.</w:t>
      </w:r>
      <w:r>
        <w:rPr>
          <w:noProof/>
        </w:rPr>
        <w:fldChar w:fldCharType="begin"/>
      </w:r>
      <w:r>
        <w:rPr>
          <w:noProof/>
        </w:rPr>
        <w:instrText xml:space="preserve"> SEQ Figure \* ARABIC \s 1 </w:instrText>
      </w:r>
      <w:r>
        <w:rPr>
          <w:noProof/>
        </w:rPr>
        <w:fldChar w:fldCharType="separate"/>
      </w:r>
      <w:r w:rsidR="008B7448">
        <w:rPr>
          <w:noProof/>
        </w:rPr>
        <w:t>1</w:t>
      </w:r>
      <w:r>
        <w:rPr>
          <w:noProof/>
        </w:rPr>
        <w:fldChar w:fldCharType="end"/>
      </w:r>
      <w:bookmarkEnd w:id="142"/>
      <w:r>
        <w:t xml:space="preserve"> </w:t>
      </w:r>
      <w:r>
        <w:rPr>
          <w:rStyle w:val="Captionnotbold"/>
        </w:rPr>
        <w:t>Potential p</w:t>
      </w:r>
      <w:r w:rsidRPr="00370C43">
        <w:rPr>
          <w:rStyle w:val="Captionnotbold"/>
        </w:rPr>
        <w:t>athway for researching public health service interventions</w:t>
      </w:r>
    </w:p>
    <w:p w14:paraId="54425DE9" w14:textId="77777777" w:rsidR="000230CC" w:rsidRDefault="000230CC" w:rsidP="00312D13">
      <w:pPr>
        <w:pStyle w:val="BodyCopy"/>
        <w:spacing w:after="240"/>
      </w:pPr>
      <w:r w:rsidRPr="00370C43">
        <w:rPr>
          <w:noProof/>
          <w:lang w:val="en-US"/>
        </w:rPr>
        <w:drawing>
          <wp:inline distT="0" distB="0" distL="0" distR="0" wp14:anchorId="7A88D9E2" wp14:editId="29A7B5A5">
            <wp:extent cx="4705350" cy="803938"/>
            <wp:effectExtent l="0" t="0" r="0" b="0"/>
            <wp:docPr id="7" name="Picture 7" descr="Figure 6.1 Diagram: potential pathway for researching public health service interven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b="4255"/>
                    <a:stretch/>
                  </pic:blipFill>
                  <pic:spPr bwMode="auto">
                    <a:xfrm>
                      <a:off x="0" y="0"/>
                      <a:ext cx="4740861" cy="810005"/>
                    </a:xfrm>
                    <a:prstGeom prst="rect">
                      <a:avLst/>
                    </a:prstGeom>
                    <a:noFill/>
                    <a:ln>
                      <a:noFill/>
                    </a:ln>
                    <a:extLst>
                      <a:ext uri="{53640926-AAD7-44D8-BBD7-CCE9431645EC}">
                        <a14:shadowObscured xmlns:a14="http://schemas.microsoft.com/office/drawing/2010/main"/>
                      </a:ext>
                    </a:extLst>
                  </pic:spPr>
                </pic:pic>
              </a:graphicData>
            </a:graphic>
          </wp:inline>
        </w:drawing>
      </w:r>
    </w:p>
    <w:p w14:paraId="1119A949" w14:textId="3A224A47" w:rsidR="000230CC" w:rsidRDefault="000230CC" w:rsidP="0077662C">
      <w:pPr>
        <w:pStyle w:val="KeyFinding"/>
      </w:pPr>
      <w:r>
        <w:t xml:space="preserve">Implementing RCT methodology can be challenging in the context of service delivery trials in the community. </w:t>
      </w:r>
      <w:r w:rsidR="00394236">
        <w:t>However, a rigorous design is warranted in order to minimise the biases and confounding factors that are likely to hinder the detection of the expected effect of the program or service on the clinical outcomes for patients.</w:t>
      </w:r>
    </w:p>
    <w:p w14:paraId="6BE8A4AB" w14:textId="77777777" w:rsidR="000230CC" w:rsidRDefault="000230CC" w:rsidP="000230CC">
      <w:pPr>
        <w:pStyle w:val="Heading4"/>
      </w:pPr>
      <w:r>
        <w:t>Other considerations in trial design</w:t>
      </w:r>
    </w:p>
    <w:p w14:paraId="57021A3F" w14:textId="77777777" w:rsidR="000230CC" w:rsidRDefault="000230CC" w:rsidP="000230CC">
      <w:pPr>
        <w:pStyle w:val="BodyCopy"/>
      </w:pPr>
      <w:r>
        <w:t>The Guild noted that logistical challenges were created by running several large trials simultaneously, given the limited pool of pharmacies willing or able to participate. The Guild was also concerned that trial burn-out among pharmacists / pharmacies could further contribute to reduced levels of engagement in a future PTP.</w:t>
      </w:r>
    </w:p>
    <w:p w14:paraId="6A470BEA" w14:textId="77777777" w:rsidR="006A4A32" w:rsidRDefault="000230CC" w:rsidP="000230CC">
      <w:pPr>
        <w:pStyle w:val="BodyCopy"/>
      </w:pPr>
      <w:r>
        <w:t>The PSA felt that commissioned research through open tender contracting processes may have been appropriate for some priority areas where there is existing evidence to support a specified approach.</w:t>
      </w:r>
    </w:p>
    <w:p w14:paraId="0868D6F7" w14:textId="40F3F692" w:rsidR="000230CC" w:rsidRDefault="000230CC" w:rsidP="0077662C">
      <w:pPr>
        <w:pStyle w:val="KeyFinding"/>
      </w:pPr>
      <w:r>
        <w:t>Investigator-initiated grants were useful to drive innovative approaches to service delivery models. Where a need or service gap is known, and there is sufficient existing evidence to support a model of care, directed commissioned research could also be appropriate.</w:t>
      </w:r>
    </w:p>
    <w:p w14:paraId="390B7C8D" w14:textId="37CF335B" w:rsidR="000230CC" w:rsidRDefault="000230CC" w:rsidP="000230CC">
      <w:pPr>
        <w:pStyle w:val="Heading2"/>
        <w:spacing w:before="369" w:after="170" w:line="384" w:lineRule="atLeast"/>
        <w:ind w:left="992" w:hanging="992"/>
      </w:pPr>
      <w:bookmarkStart w:id="143" w:name="_Toc10547219"/>
      <w:bookmarkStart w:id="144" w:name="_Toc19097785"/>
      <w:bookmarkStart w:id="145" w:name="_Toc26366391"/>
      <w:r>
        <w:t>Conclusion</w:t>
      </w:r>
      <w:bookmarkEnd w:id="143"/>
      <w:bookmarkEnd w:id="144"/>
      <w:bookmarkEnd w:id="145"/>
    </w:p>
    <w:p w14:paraId="1189C422" w14:textId="5CFA165B" w:rsidR="000230CC" w:rsidRPr="00EF3BE5" w:rsidRDefault="000230CC" w:rsidP="000230CC">
      <w:pPr>
        <w:pStyle w:val="BodyCopy"/>
      </w:pPr>
      <w:r>
        <w:t>There is a need for PTP trials to undergo an evaluation of clinical and economic merit before they can justify a submission for a broader rollout. Typically, these evaluations require rigorous evidence, such as that provided by RCTs. The PTP processes generally favoured an approach to trial development that emphasised use of RCTs.</w:t>
      </w:r>
    </w:p>
    <w:p w14:paraId="6D35FFE6" w14:textId="77777777" w:rsidR="000230CC" w:rsidRDefault="000230CC" w:rsidP="000230CC">
      <w:pPr>
        <w:pStyle w:val="DividerPageTitle"/>
        <w:framePr w:wrap="around"/>
      </w:pPr>
      <w:bookmarkStart w:id="146" w:name="_Toc26366392"/>
      <w:r>
        <w:lastRenderedPageBreak/>
        <w:t>Future directions</w:t>
      </w:r>
      <w:bookmarkEnd w:id="146"/>
    </w:p>
    <w:p w14:paraId="4BA7198F" w14:textId="77777777" w:rsidR="000230CC" w:rsidRDefault="000230CC" w:rsidP="000230CC">
      <w:pPr>
        <w:pStyle w:val="Heading1"/>
        <w:framePr w:wrap="around"/>
      </w:pPr>
      <w:bookmarkStart w:id="147" w:name="_Toc26366393"/>
      <w:r>
        <w:lastRenderedPageBreak/>
        <w:t>Approach to emerging themes: possible directions</w:t>
      </w:r>
      <w:bookmarkEnd w:id="147"/>
    </w:p>
    <w:p w14:paraId="29509A8E" w14:textId="77777777" w:rsidR="006A4A32" w:rsidRDefault="000230CC" w:rsidP="000230CC">
      <w:pPr>
        <w:pStyle w:val="BodyCopy"/>
      </w:pPr>
      <w:r>
        <w:t xml:space="preserve">Based on the assessment of the appropriateness, effectiveness and the efficiency of the implementation of the PTP (as discussed in Part B), HMA identified areas </w:t>
      </w:r>
      <w:r w:rsidRPr="001F611F">
        <w:t>where the program could be strengthened in the future. The RFQ for the review stated that it should:</w:t>
      </w:r>
    </w:p>
    <w:p w14:paraId="77240AD0" w14:textId="47E14CEA" w:rsidR="000230CC" w:rsidRPr="007D3322" w:rsidRDefault="000230CC" w:rsidP="000230CC">
      <w:pPr>
        <w:pStyle w:val="Quote"/>
      </w:pPr>
      <w:r w:rsidRPr="001F611F">
        <w:t xml:space="preserve">provide recommendations and/or options on possible enhancements or improvements to the design and implementation of the PTP </w:t>
      </w:r>
      <w:sdt>
        <w:sdtPr>
          <w:id w:val="-228469386"/>
          <w:citation/>
        </w:sdtPr>
        <w:sdtContent>
          <w:r w:rsidRPr="001F611F">
            <w:fldChar w:fldCharType="begin"/>
          </w:r>
          <w:r w:rsidR="00820D12">
            <w:rPr>
              <w:lang w:val="en-US"/>
            </w:rPr>
            <w:instrText xml:space="preserve">CITATION Dep184 \l 1033 </w:instrText>
          </w:r>
          <w:r w:rsidRPr="001F611F">
            <w:fldChar w:fldCharType="separate"/>
          </w:r>
          <w:r w:rsidR="008B7448" w:rsidRPr="008B7448">
            <w:rPr>
              <w:noProof/>
              <w:lang w:val="en-US"/>
            </w:rPr>
            <w:t>[63]</w:t>
          </w:r>
          <w:r w:rsidRPr="001F611F">
            <w:fldChar w:fldCharType="end"/>
          </w:r>
        </w:sdtContent>
      </w:sdt>
      <w:r w:rsidRPr="001F611F">
        <w:t>.</w:t>
      </w:r>
    </w:p>
    <w:p w14:paraId="0F4EEC10" w14:textId="77777777" w:rsidR="006A4A32" w:rsidRDefault="000230CC" w:rsidP="000230CC">
      <w:pPr>
        <w:pStyle w:val="BodyCopy"/>
      </w:pPr>
      <w:r>
        <w:t xml:space="preserve">The Department’s Internal Audit of the Management of the PTP conducted in 2018 </w:t>
      </w:r>
      <w:sdt>
        <w:sdtPr>
          <w:id w:val="988980545"/>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 xml:space="preserve"> highlighted several options for better practice around grant administration processes. This review has not sought to replicate these issues. Rather, we have identified five broader emerging themes that could contribute to an enhancement of the program’s operations. These are:</w:t>
      </w:r>
    </w:p>
    <w:p w14:paraId="22040F75" w14:textId="617CE44B" w:rsidR="000230CC" w:rsidRDefault="000230CC" w:rsidP="002C22EF">
      <w:pPr>
        <w:pStyle w:val="ListBullet"/>
      </w:pPr>
      <w:r w:rsidRPr="00E970D7">
        <w:rPr>
          <w:b/>
        </w:rPr>
        <w:t>Emerging theme 1:</w:t>
      </w:r>
      <w:r>
        <w:t xml:space="preserve"> broadening the PTP objectives</w:t>
      </w:r>
      <w:r w:rsidR="00406972">
        <w:t>;</w:t>
      </w:r>
    </w:p>
    <w:p w14:paraId="0B57BFBB" w14:textId="77777777" w:rsidR="006A4A32" w:rsidRDefault="000230CC" w:rsidP="002C22EF">
      <w:pPr>
        <w:pStyle w:val="ListBullet"/>
      </w:pPr>
      <w:r w:rsidRPr="00E970D7">
        <w:rPr>
          <w:b/>
        </w:rPr>
        <w:t xml:space="preserve">Emerging theme 2: </w:t>
      </w:r>
      <w:r>
        <w:t>greater consideration of consumer views</w:t>
      </w:r>
      <w:r w:rsidR="00406972">
        <w:t>;</w:t>
      </w:r>
      <w:r w:rsidR="00B21173">
        <w:t xml:space="preserve"> and</w:t>
      </w:r>
    </w:p>
    <w:p w14:paraId="34430575" w14:textId="77777777" w:rsidR="006A4A32" w:rsidRDefault="000230CC" w:rsidP="002C22EF">
      <w:pPr>
        <w:pStyle w:val="ListBullet"/>
      </w:pPr>
      <w:r w:rsidRPr="00E970D7">
        <w:rPr>
          <w:b/>
        </w:rPr>
        <w:t xml:space="preserve">Emerging theme </w:t>
      </w:r>
      <w:r w:rsidR="00B21173">
        <w:rPr>
          <w:b/>
        </w:rPr>
        <w:t>3</w:t>
      </w:r>
      <w:r w:rsidRPr="00E970D7">
        <w:rPr>
          <w:b/>
        </w:rPr>
        <w:t>:</w:t>
      </w:r>
      <w:r>
        <w:t xml:space="preserve"> changed program administration arrangements.</w:t>
      </w:r>
    </w:p>
    <w:p w14:paraId="34059F67" w14:textId="77777777" w:rsidR="006A4A32" w:rsidRDefault="000230CC" w:rsidP="00B21173">
      <w:pPr>
        <w:pStyle w:val="BodyCopy"/>
        <w:spacing w:before="120"/>
      </w:pPr>
      <w:r>
        <w:t>Redevelopment options underlying these themes are examined further in the remainder of this chapter.</w:t>
      </w:r>
    </w:p>
    <w:p w14:paraId="01BD7150" w14:textId="0A352629" w:rsidR="000230CC" w:rsidRPr="003F4318" w:rsidRDefault="000230CC" w:rsidP="003F4318">
      <w:pPr>
        <w:pStyle w:val="Heading2"/>
      </w:pPr>
      <w:bookmarkStart w:id="148" w:name="_Toc9341115"/>
      <w:bookmarkStart w:id="149" w:name="_Toc10547222"/>
      <w:bookmarkStart w:id="150" w:name="_Toc19097788"/>
      <w:bookmarkStart w:id="151" w:name="_Toc26366394"/>
      <w:r w:rsidRPr="003F4318">
        <w:t xml:space="preserve">emerging theme 1: broadening the </w:t>
      </w:r>
      <w:bookmarkEnd w:id="148"/>
      <w:r w:rsidRPr="003F4318">
        <w:t>PTP objectives</w:t>
      </w:r>
      <w:bookmarkEnd w:id="149"/>
      <w:bookmarkEnd w:id="150"/>
      <w:bookmarkEnd w:id="151"/>
    </w:p>
    <w:p w14:paraId="5BB0B4FF" w14:textId="0BBD375E" w:rsidR="000230CC" w:rsidRPr="003F4318" w:rsidRDefault="000230CC" w:rsidP="003F4318">
      <w:pPr>
        <w:pStyle w:val="Heading3"/>
      </w:pPr>
      <w:bookmarkStart w:id="152" w:name="_Toc10547223"/>
      <w:bookmarkStart w:id="153" w:name="_Toc19097789"/>
      <w:bookmarkStart w:id="154" w:name="_Toc26366395"/>
      <w:r w:rsidRPr="003F4318">
        <w:t>Issue</w:t>
      </w:r>
      <w:bookmarkEnd w:id="152"/>
      <w:bookmarkEnd w:id="153"/>
      <w:bookmarkEnd w:id="154"/>
    </w:p>
    <w:p w14:paraId="6FAA917D" w14:textId="77777777" w:rsidR="006A4A32" w:rsidRDefault="000230CC" w:rsidP="000230CC">
      <w:pPr>
        <w:pStyle w:val="BodyCopy"/>
      </w:pPr>
      <w:r>
        <w:t xml:space="preserve">As discussed in our analysis of appropriateness (Section </w:t>
      </w:r>
      <w:r>
        <w:fldChar w:fldCharType="begin"/>
      </w:r>
      <w:r>
        <w:instrText xml:space="preserve"> REF _Ref10315280 \r \h </w:instrText>
      </w:r>
      <w:r>
        <w:fldChar w:fldCharType="separate"/>
      </w:r>
      <w:r w:rsidR="008B7448">
        <w:t>4.2.1</w:t>
      </w:r>
      <w:r>
        <w:fldChar w:fldCharType="end"/>
      </w:r>
      <w:r>
        <w:t xml:space="preserve">), </w:t>
      </w:r>
      <w:r w:rsidR="00ED64D4">
        <w:t xml:space="preserve">some stakeholders such as </w:t>
      </w:r>
      <w:r w:rsidR="00411FDA">
        <w:t>t</w:t>
      </w:r>
      <w:r w:rsidR="00ED64D4">
        <w:t xml:space="preserve">he Guild, felt that the PTP should be limited to initiatives involving community pharmacy/community pharmacists. However, many other stakeholders felt that </w:t>
      </w:r>
      <w:r>
        <w:t xml:space="preserve">constraining the focus of PTP trials to community pharmacy/community pharmacists would restrict innovation in the primary health care sector </w:t>
      </w:r>
      <w:r w:rsidRPr="00BC3F19">
        <w:t>and</w:t>
      </w:r>
      <w:r w:rsidRPr="0069311D">
        <w:t xml:space="preserve"> other settings such as A</w:t>
      </w:r>
      <w:r>
        <w:t xml:space="preserve">CCHS </w:t>
      </w:r>
      <w:r w:rsidRPr="0069311D">
        <w:t xml:space="preserve">and </w:t>
      </w:r>
      <w:r>
        <w:t>RACFs</w:t>
      </w:r>
      <w:r w:rsidRPr="0069311D">
        <w:t>,</w:t>
      </w:r>
      <w:r>
        <w:t xml:space="preserve"> limit exploration of roles for consultant or non-dispensing pharmacists, reduce opportunities for collaboration with other health professionals, and limit the consumer-centred approach to new service deign.</w:t>
      </w:r>
    </w:p>
    <w:p w14:paraId="391E9FB9" w14:textId="77777777" w:rsidR="006A4A32" w:rsidRDefault="000230CC" w:rsidP="003F4318">
      <w:pPr>
        <w:pStyle w:val="Heading3"/>
      </w:pPr>
      <w:bookmarkStart w:id="155" w:name="_Toc10547224"/>
      <w:bookmarkStart w:id="156" w:name="_Toc19097790"/>
      <w:bookmarkStart w:id="157" w:name="_Toc26366396"/>
      <w:r w:rsidRPr="003F4318">
        <w:t>Rationale</w:t>
      </w:r>
      <w:bookmarkEnd w:id="155"/>
      <w:bookmarkEnd w:id="156"/>
      <w:bookmarkEnd w:id="157"/>
    </w:p>
    <w:p w14:paraId="70E98079" w14:textId="3883F36E" w:rsidR="000230CC" w:rsidRDefault="000230CC" w:rsidP="000230CC">
      <w:pPr>
        <w:pStyle w:val="BodyCopy"/>
      </w:pPr>
      <w:r>
        <w:t>The landscape for pharmacy in primary health care and other non-acute settings is changing; so too are consumer needs and expectations. The discussion in Section </w:t>
      </w:r>
      <w:r>
        <w:fldChar w:fldCharType="begin"/>
      </w:r>
      <w:r>
        <w:instrText xml:space="preserve"> REF _Ref10315458 \r \h </w:instrText>
      </w:r>
      <w:r>
        <w:fldChar w:fldCharType="separate"/>
      </w:r>
      <w:r w:rsidR="008B7448">
        <w:t>2.3</w:t>
      </w:r>
      <w:r>
        <w:fldChar w:fldCharType="end"/>
      </w:r>
      <w:r>
        <w:t xml:space="preserve"> highlights the need for inter-disciplinary approaches to primary health care and potential to use emerging models of non-dispensing pharmacists in locations other than a community pharmacy. Reviewing how the objectives of the PTP were interpreted indicated that there was general support for a broader interpretation of the program among stakeholders, other than the Guild. (See the discussion in Section </w:t>
      </w:r>
      <w:r>
        <w:fldChar w:fldCharType="begin"/>
      </w:r>
      <w:r>
        <w:instrText xml:space="preserve"> REF _Ref10315280 \r \h </w:instrText>
      </w:r>
      <w:r>
        <w:fldChar w:fldCharType="separate"/>
      </w:r>
      <w:r w:rsidR="008B7448">
        <w:t>4.2.1</w:t>
      </w:r>
      <w:r>
        <w:fldChar w:fldCharType="end"/>
      </w:r>
      <w:r>
        <w:t xml:space="preserve"> for more detail).</w:t>
      </w:r>
    </w:p>
    <w:p w14:paraId="134E2492" w14:textId="77777777" w:rsidR="006A4A32" w:rsidRDefault="000230CC" w:rsidP="000230CC">
      <w:pPr>
        <w:pStyle w:val="BodyCopy"/>
      </w:pPr>
      <w:r>
        <w:t xml:space="preserve">From the perspectives of professional peak bodies (such as the PSA, SHPA, AHPA and RACGP), innovative consumer-centric services in primary care cannot be driven through pharmacy alone. The PTP could be strengthened through greater engagement of the wider primary health sector, including </w:t>
      </w:r>
      <w:r w:rsidRPr="0069311D">
        <w:t xml:space="preserve">settings such as </w:t>
      </w:r>
      <w:r>
        <w:t xml:space="preserve">ACCHS </w:t>
      </w:r>
      <w:r w:rsidRPr="0069311D">
        <w:t xml:space="preserve">and </w:t>
      </w:r>
      <w:r>
        <w:t xml:space="preserve">RACFs, to promote co-design of services from a holistic, cross-service setting perspective. Pharmacist expertise in primary health care and other settings is required to ensure medicines are used appropriately to minimise harm. Enabling enhanced integration of medicines information into multidisciplinary primary care is a critical step to improving consumer outcomes and minimising medication misadventure. This is supported by the emerging models of care being trialled for non-dispensing pharmacists in GP clinics, ACCHS and RACFs (see Section </w:t>
      </w:r>
      <w:r>
        <w:fldChar w:fldCharType="begin"/>
      </w:r>
      <w:r>
        <w:instrText xml:space="preserve"> REF _Ref10380338 \r \h </w:instrText>
      </w:r>
      <w:r>
        <w:fldChar w:fldCharType="separate"/>
      </w:r>
      <w:r w:rsidR="008B7448">
        <w:t>2.3</w:t>
      </w:r>
      <w:r>
        <w:fldChar w:fldCharType="end"/>
      </w:r>
      <w:r>
        <w:t xml:space="preserve"> for background information).</w:t>
      </w:r>
    </w:p>
    <w:p w14:paraId="4E099C74" w14:textId="77777777" w:rsidR="006A4A32" w:rsidRDefault="000230CC" w:rsidP="000230CC">
      <w:pPr>
        <w:pStyle w:val="BodyCopy"/>
      </w:pPr>
      <w:r>
        <w:t xml:space="preserve">Professional and advocacy peak bodies expressed a desire for community pharmacy to be better integrated into the primary health sector (as discussed in Section </w:t>
      </w:r>
      <w:r>
        <w:fldChar w:fldCharType="begin"/>
      </w:r>
      <w:r>
        <w:instrText xml:space="preserve"> REF _Ref10380695 \r \h </w:instrText>
      </w:r>
      <w:r>
        <w:fldChar w:fldCharType="separate"/>
      </w:r>
      <w:r w:rsidR="008B7448">
        <w:t>4.2.3</w:t>
      </w:r>
      <w:r>
        <w:fldChar w:fldCharType="end"/>
      </w:r>
      <w:r>
        <w:t xml:space="preserve">). Broadening the interpretation of the PTP objectives to focus on the </w:t>
      </w:r>
      <w:r w:rsidRPr="005D5484">
        <w:rPr>
          <w:i/>
          <w:iCs/>
        </w:rPr>
        <w:t xml:space="preserve">quality use of </w:t>
      </w:r>
      <w:r w:rsidRPr="005D5484">
        <w:rPr>
          <w:i/>
          <w:iCs/>
        </w:rPr>
        <w:lastRenderedPageBreak/>
        <w:t>medicines in primary health care</w:t>
      </w:r>
      <w:r>
        <w:t xml:space="preserve"> may promote greater collaboration among health professionals to drive innovative service delivery models.</w:t>
      </w:r>
    </w:p>
    <w:p w14:paraId="31E12E4A" w14:textId="77777777" w:rsidR="006A4A32" w:rsidRDefault="000230CC" w:rsidP="000230CC">
      <w:pPr>
        <w:pStyle w:val="BodyCopy"/>
      </w:pPr>
      <w:r>
        <w:t>In developing new models of service delivery to be trialled, it is also important to acknowledge the existing pharmacy workforce and business arrangements. Community pharmacies must be able to generate a sustainable income and support their workforce. Consideration should be given to ensuing a degree of consistency with exiting payment arrangements and reporting requirements to minimise the burden on participating pharmacies. Design of future trials should maintain an approach that works with and enhances the existing system and does not compete against it.</w:t>
      </w:r>
    </w:p>
    <w:p w14:paraId="2E948AC5" w14:textId="61C3DC24" w:rsidR="000230CC" w:rsidRPr="003F4318" w:rsidRDefault="000230CC" w:rsidP="003F4318">
      <w:pPr>
        <w:pStyle w:val="Heading3"/>
      </w:pPr>
      <w:bookmarkStart w:id="158" w:name="_Toc10547225"/>
      <w:bookmarkStart w:id="159" w:name="_Toc19097791"/>
      <w:bookmarkStart w:id="160" w:name="_Toc26366397"/>
      <w:r w:rsidRPr="003F4318">
        <w:t>Options</w:t>
      </w:r>
      <w:bookmarkEnd w:id="158"/>
      <w:bookmarkEnd w:id="159"/>
      <w:bookmarkEnd w:id="160"/>
    </w:p>
    <w:p w14:paraId="139C82AF" w14:textId="77777777" w:rsidR="000230CC" w:rsidRDefault="000230CC" w:rsidP="000230CC">
      <w:pPr>
        <w:pStyle w:val="BodyCopy"/>
      </w:pPr>
      <w:r>
        <w:t>Potential future options include:</w:t>
      </w:r>
    </w:p>
    <w:p w14:paraId="764E2240" w14:textId="73707ADB" w:rsidR="000230CC" w:rsidRPr="00E57F4F" w:rsidRDefault="000230CC" w:rsidP="002C22EF">
      <w:pPr>
        <w:pStyle w:val="Numbers1"/>
        <w:numPr>
          <w:ilvl w:val="0"/>
          <w:numId w:val="46"/>
        </w:numPr>
      </w:pPr>
      <w:r w:rsidRPr="002C22EF">
        <w:rPr>
          <w:b/>
        </w:rPr>
        <w:t>Status quo:</w:t>
      </w:r>
      <w:r>
        <w:t xml:space="preserve"> </w:t>
      </w:r>
      <w:r w:rsidRPr="00E57F4F">
        <w:t xml:space="preserve">Maintain the current interpretation of the PTP objectives </w:t>
      </w:r>
      <w:r w:rsidR="00E57F4F" w:rsidRPr="00E57F4F">
        <w:t xml:space="preserve">of improving health outcomes for consumers by the delivery of new </w:t>
      </w:r>
      <w:r w:rsidRPr="00E57F4F">
        <w:t>and extend</w:t>
      </w:r>
      <w:r w:rsidR="005A5851">
        <w:t>ed</w:t>
      </w:r>
      <w:r w:rsidRPr="00E57F4F">
        <w:t xml:space="preserve"> existing</w:t>
      </w:r>
      <w:r w:rsidR="00E57F4F" w:rsidRPr="00E57F4F">
        <w:t xml:space="preserve">, cost-effective pharmacy </w:t>
      </w:r>
      <w:r w:rsidRPr="00E57F4F">
        <w:t>programs.</w:t>
      </w:r>
    </w:p>
    <w:p w14:paraId="2E84F7AC" w14:textId="77777777" w:rsidR="000230CC" w:rsidRDefault="000230CC" w:rsidP="002C22EF">
      <w:pPr>
        <w:pStyle w:val="Numbers1"/>
        <w:numPr>
          <w:ilvl w:val="0"/>
          <w:numId w:val="20"/>
        </w:numPr>
      </w:pPr>
      <w:r w:rsidRPr="002C22EF">
        <w:rPr>
          <w:b/>
        </w:rPr>
        <w:t xml:space="preserve">Minor adjustment: </w:t>
      </w:r>
      <w:r>
        <w:t>Expand the interpretation of PTP objectives to include a broader range of community settings including GP clinics, ACCHS and RACFs.</w:t>
      </w:r>
    </w:p>
    <w:p w14:paraId="3E1E563B" w14:textId="77777777" w:rsidR="000230CC" w:rsidRPr="005D5484" w:rsidRDefault="000230CC" w:rsidP="002C22EF">
      <w:pPr>
        <w:pStyle w:val="Numbers1"/>
        <w:numPr>
          <w:ilvl w:val="0"/>
          <w:numId w:val="20"/>
        </w:numPr>
      </w:pPr>
      <w:r w:rsidRPr="002C22EF">
        <w:rPr>
          <w:b/>
        </w:rPr>
        <w:t>Significant adjustment:</w:t>
      </w:r>
      <w:r>
        <w:t xml:space="preserve"> </w:t>
      </w:r>
      <w:r w:rsidRPr="005D5484">
        <w:t>Broaden the interpretation of the PTP objectives to focus on quality use of medicines in primary health care</w:t>
      </w:r>
      <w:r>
        <w:t xml:space="preserve"> and other settings such as ACCHS and RACFs</w:t>
      </w:r>
      <w:r w:rsidRPr="005D5484">
        <w:t>.</w:t>
      </w:r>
    </w:p>
    <w:p w14:paraId="2CDED99F" w14:textId="47E67E52" w:rsidR="000230CC" w:rsidRDefault="000230CC" w:rsidP="000230CC">
      <w:pPr>
        <w:pStyle w:val="BodyCopy"/>
      </w:pPr>
      <w:r w:rsidRPr="007660D9">
        <w:t>Benefits and challenges of these options are discussed below.</w:t>
      </w:r>
    </w:p>
    <w:p w14:paraId="7C4F6779" w14:textId="341793A0" w:rsidR="000230CC" w:rsidRDefault="000230CC" w:rsidP="000230CC">
      <w:pPr>
        <w:pStyle w:val="Heading4"/>
      </w:pPr>
      <w:r>
        <w:t xml:space="preserve">Option 1.1 status quo: </w:t>
      </w:r>
      <w:r w:rsidR="00E57F4F" w:rsidRPr="00E57F4F">
        <w:t>Maintain the current interpretation of the PTP objectives of improving health outcomes for consumers by the delivery of new and extend existing, cost-effective pharmacy programs.</w:t>
      </w:r>
    </w:p>
    <w:tbl>
      <w:tblPr>
        <w:tblStyle w:val="HMATableB"/>
        <w:tblW w:w="5000" w:type="pct"/>
        <w:tblLook w:val="0620" w:firstRow="1" w:lastRow="0" w:firstColumn="0" w:lastColumn="0" w:noHBand="1" w:noVBand="1"/>
        <w:tblCaption w:val="Table of benefits and challenges for Option 1.1: status quo"/>
        <w:tblDescription w:val="Option 1.1 status quo: Maintain the current interpretation of the PTP objectives of improving health outcomes for consumers by the delivery of new and extend existing, cost-effective pharmacy programs."/>
      </w:tblPr>
      <w:tblGrid>
        <w:gridCol w:w="4117"/>
        <w:gridCol w:w="2927"/>
      </w:tblGrid>
      <w:tr w:rsidR="000230CC" w14:paraId="14C7AF36"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922" w:type="pct"/>
            <w:shd w:val="clear" w:color="auto" w:fill="E4E4E4" w:themeFill="accent3" w:themeFillTint="33"/>
          </w:tcPr>
          <w:p w14:paraId="0D418E70" w14:textId="0F3E36B8" w:rsidR="000230CC" w:rsidRDefault="000230CC" w:rsidP="000230CC">
            <w:pPr>
              <w:pStyle w:val="TableColumnHeading"/>
            </w:pPr>
            <w:r>
              <w:t>Benefits</w:t>
            </w:r>
          </w:p>
        </w:tc>
        <w:tc>
          <w:tcPr>
            <w:tcW w:w="2078" w:type="pct"/>
            <w:shd w:val="clear" w:color="auto" w:fill="E4E4E4" w:themeFill="accent3" w:themeFillTint="33"/>
          </w:tcPr>
          <w:p w14:paraId="27020D5F" w14:textId="36EF70A3" w:rsidR="000230CC" w:rsidRDefault="000230CC" w:rsidP="000230CC">
            <w:pPr>
              <w:pStyle w:val="TableColumnHeading"/>
            </w:pPr>
            <w:r>
              <w:t>Challenges</w:t>
            </w:r>
          </w:p>
        </w:tc>
      </w:tr>
      <w:tr w:rsidR="000230CC" w14:paraId="6898E3E0" w14:textId="77777777" w:rsidTr="000619E2">
        <w:trPr>
          <w:trHeight w:val="1798"/>
        </w:trPr>
        <w:tc>
          <w:tcPr>
            <w:tcW w:w="2922" w:type="pct"/>
          </w:tcPr>
          <w:p w14:paraId="10B65452" w14:textId="77777777" w:rsidR="006A4A32" w:rsidRDefault="00E432A3" w:rsidP="000230CC">
            <w:pPr>
              <w:pStyle w:val="TableBullets1"/>
              <w:spacing w:line="240" w:lineRule="atLeast"/>
              <w:contextualSpacing w:val="0"/>
            </w:pPr>
            <w:r>
              <w:t>Increased options of service delivery for consumers</w:t>
            </w:r>
            <w:r w:rsidR="00112164">
              <w:t>.</w:t>
            </w:r>
          </w:p>
          <w:p w14:paraId="0E806F6A" w14:textId="77777777" w:rsidR="006A4A32" w:rsidRDefault="00E432A3" w:rsidP="000230CC">
            <w:pPr>
              <w:pStyle w:val="TableBullets1"/>
              <w:spacing w:line="240" w:lineRule="atLeast"/>
              <w:contextualSpacing w:val="0"/>
            </w:pPr>
            <w:r>
              <w:t>Increased access to services / referral through community pharmacy</w:t>
            </w:r>
            <w:r w:rsidR="00112164">
              <w:t>.</w:t>
            </w:r>
          </w:p>
          <w:p w14:paraId="4B9958D9" w14:textId="3DCD77F9" w:rsidR="000230CC" w:rsidRDefault="000230CC" w:rsidP="000230CC">
            <w:pPr>
              <w:pStyle w:val="TableBullets1"/>
              <w:spacing w:line="240" w:lineRule="atLeast"/>
              <w:contextualSpacing w:val="0"/>
            </w:pPr>
            <w:r>
              <w:t>Supports existing business models for community pharmacy.</w:t>
            </w:r>
          </w:p>
        </w:tc>
        <w:tc>
          <w:tcPr>
            <w:tcW w:w="2078" w:type="pct"/>
          </w:tcPr>
          <w:p w14:paraId="54F25971" w14:textId="77777777" w:rsidR="000230CC" w:rsidRDefault="000230CC" w:rsidP="000230CC">
            <w:pPr>
              <w:pStyle w:val="TableBullets1"/>
              <w:spacing w:line="240" w:lineRule="atLeast"/>
              <w:contextualSpacing w:val="0"/>
            </w:pPr>
            <w:r>
              <w:t>Limited collaboration with other health professionals.</w:t>
            </w:r>
          </w:p>
          <w:p w14:paraId="1019409C" w14:textId="77777777" w:rsidR="000230CC" w:rsidRDefault="000230CC" w:rsidP="000230CC">
            <w:pPr>
              <w:pStyle w:val="TableBullets1"/>
              <w:spacing w:line="240" w:lineRule="atLeast"/>
              <w:contextualSpacing w:val="0"/>
            </w:pPr>
            <w:r>
              <w:t>Can cause friction with other health professions if it appears pharmacists are attempting to move into the roles of other disciplines.</w:t>
            </w:r>
          </w:p>
          <w:p w14:paraId="705E315E" w14:textId="17FF3E1D" w:rsidR="00E432A3" w:rsidRDefault="00E432A3" w:rsidP="00DB7D48">
            <w:pPr>
              <w:pStyle w:val="TableBullets1"/>
              <w:spacing w:line="240" w:lineRule="atLeast"/>
              <w:contextualSpacing w:val="0"/>
            </w:pPr>
            <w:r>
              <w:t xml:space="preserve">Limited access for consumers in RACFs, ACCHOs, and other primary care settings outside of community pharmacy. </w:t>
            </w:r>
          </w:p>
        </w:tc>
      </w:tr>
    </w:tbl>
    <w:p w14:paraId="4C6AE49C" w14:textId="77777777" w:rsidR="000230CC" w:rsidRDefault="000230CC" w:rsidP="000230CC">
      <w:pPr>
        <w:pStyle w:val="Heading4"/>
      </w:pPr>
      <w:r>
        <w:t>Option 1.2 minor adjustment: Expand the interpretation of PTP objectives to include a broader range of community settings including GP clinics, ACCHS and RACFs</w:t>
      </w:r>
    </w:p>
    <w:tbl>
      <w:tblPr>
        <w:tblStyle w:val="HMATableB"/>
        <w:tblW w:w="5000" w:type="pct"/>
        <w:tblLook w:val="0620" w:firstRow="1" w:lastRow="0" w:firstColumn="0" w:lastColumn="0" w:noHBand="1" w:noVBand="1"/>
        <w:tblCaption w:val="Table of benefits and challenges for option 1.2: minor adjustment"/>
        <w:tblDescription w:val="Option 1.2 minor adjustment: Expand the interpretation of PTP objectives to include a broader range of community settings including GP clinics, ACCHS and RACFs"/>
      </w:tblPr>
      <w:tblGrid>
        <w:gridCol w:w="4117"/>
        <w:gridCol w:w="2927"/>
      </w:tblGrid>
      <w:tr w:rsidR="000230CC" w14:paraId="45DDA52A"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922" w:type="pct"/>
            <w:shd w:val="clear" w:color="auto" w:fill="E4E4E4" w:themeFill="accent3" w:themeFillTint="33"/>
          </w:tcPr>
          <w:p w14:paraId="3BD12584" w14:textId="6D842995" w:rsidR="000230CC" w:rsidRDefault="000230CC" w:rsidP="000230CC">
            <w:pPr>
              <w:pStyle w:val="TableColumnHeading"/>
            </w:pPr>
            <w:r>
              <w:t>Benefits</w:t>
            </w:r>
          </w:p>
        </w:tc>
        <w:tc>
          <w:tcPr>
            <w:tcW w:w="2078" w:type="pct"/>
            <w:shd w:val="clear" w:color="auto" w:fill="E4E4E4" w:themeFill="accent3" w:themeFillTint="33"/>
          </w:tcPr>
          <w:p w14:paraId="6199018F" w14:textId="5CD925CD" w:rsidR="000230CC" w:rsidRDefault="000230CC" w:rsidP="000230CC">
            <w:pPr>
              <w:pStyle w:val="TableColumnHeading"/>
            </w:pPr>
            <w:r>
              <w:t>Challenges</w:t>
            </w:r>
          </w:p>
        </w:tc>
      </w:tr>
      <w:tr w:rsidR="000230CC" w14:paraId="31476898" w14:textId="77777777" w:rsidTr="000619E2">
        <w:tc>
          <w:tcPr>
            <w:tcW w:w="2922" w:type="pct"/>
          </w:tcPr>
          <w:p w14:paraId="3A4308C9" w14:textId="77777777" w:rsidR="006A4A32" w:rsidRDefault="00DB7D48" w:rsidP="000230CC">
            <w:pPr>
              <w:pStyle w:val="TableBullets1"/>
              <w:spacing w:line="240" w:lineRule="atLeast"/>
              <w:contextualSpacing w:val="0"/>
            </w:pPr>
            <w:r>
              <w:t>Increased access to pharmacist expertise for consumers and health professionals in locations outside of community pharmacy</w:t>
            </w:r>
            <w:r w:rsidR="00112164">
              <w:t>.</w:t>
            </w:r>
          </w:p>
          <w:p w14:paraId="63160A68" w14:textId="703EF4D2" w:rsidR="000230CC" w:rsidRDefault="000230CC" w:rsidP="000230CC">
            <w:pPr>
              <w:pStyle w:val="TableBullets1"/>
              <w:spacing w:line="240" w:lineRule="atLeast"/>
              <w:contextualSpacing w:val="0"/>
            </w:pPr>
            <w:r>
              <w:t>Promotes new roles for pharmacists in alternative locations, e.g. RACFs, GP clinics, workplaces.</w:t>
            </w:r>
          </w:p>
          <w:p w14:paraId="0E3A2890" w14:textId="77777777" w:rsidR="006A4A32" w:rsidRDefault="000230CC" w:rsidP="000230CC">
            <w:pPr>
              <w:pStyle w:val="TableBullets1"/>
              <w:spacing w:line="240" w:lineRule="atLeast"/>
              <w:contextualSpacing w:val="0"/>
            </w:pPr>
            <w:r>
              <w:t>Promotes new workforce options for the pharmacy workforce.</w:t>
            </w:r>
          </w:p>
          <w:p w14:paraId="373AD48F" w14:textId="38B4E175" w:rsidR="000230CC" w:rsidRDefault="000230CC" w:rsidP="000230CC">
            <w:pPr>
              <w:pStyle w:val="TableBullets1"/>
              <w:spacing w:line="240" w:lineRule="atLeast"/>
              <w:contextualSpacing w:val="0"/>
            </w:pPr>
            <w:r>
              <w:t>Promotes a broader use of pharmacist expertise.</w:t>
            </w:r>
          </w:p>
        </w:tc>
        <w:tc>
          <w:tcPr>
            <w:tcW w:w="2078" w:type="pct"/>
          </w:tcPr>
          <w:p w14:paraId="66F95274" w14:textId="77777777" w:rsidR="000230CC" w:rsidRDefault="000230CC" w:rsidP="000230CC">
            <w:pPr>
              <w:pStyle w:val="TableBullets1"/>
              <w:spacing w:line="240" w:lineRule="atLeast"/>
              <w:contextualSpacing w:val="0"/>
            </w:pPr>
            <w:r>
              <w:t>Maintains a pharmacist-led approach, which may reduce collaboration or holistic design.</w:t>
            </w:r>
          </w:p>
          <w:p w14:paraId="05DD2A8C" w14:textId="77777777" w:rsidR="000230CC" w:rsidRDefault="000230CC" w:rsidP="000230CC">
            <w:pPr>
              <w:pStyle w:val="TableBullets1"/>
              <w:spacing w:line="240" w:lineRule="atLeast"/>
              <w:contextualSpacing w:val="0"/>
            </w:pPr>
            <w:r>
              <w:t>Impact on existing community pharmacy remuneration models could be challenging.</w:t>
            </w:r>
          </w:p>
          <w:p w14:paraId="10B600BF" w14:textId="1102C3A2" w:rsidR="00DB7D48" w:rsidRDefault="000230CC" w:rsidP="00DB7D48">
            <w:pPr>
              <w:pStyle w:val="TableBullets1"/>
              <w:spacing w:line="240" w:lineRule="atLeast"/>
              <w:contextualSpacing w:val="0"/>
            </w:pPr>
            <w:r>
              <w:t>Maintains alignment with CPA community pharmacy programme objectives.</w:t>
            </w:r>
            <w:r w:rsidR="00DB7D48">
              <w:t xml:space="preserve"> </w:t>
            </w:r>
          </w:p>
        </w:tc>
      </w:tr>
    </w:tbl>
    <w:p w14:paraId="1B845474" w14:textId="77777777" w:rsidR="000230CC" w:rsidRDefault="000230CC" w:rsidP="000230CC">
      <w:pPr>
        <w:pStyle w:val="Heading4"/>
      </w:pPr>
      <w:r>
        <w:lastRenderedPageBreak/>
        <w:t xml:space="preserve">Option 1.3 significant adjustment: </w:t>
      </w:r>
      <w:r w:rsidRPr="005D5484">
        <w:t>Broaden the interpretation of the PTP objectives to focus on quality use of medicines in primary health care</w:t>
      </w:r>
      <w:r>
        <w:t xml:space="preserve"> and other settings such as ACCHS and RACFs</w:t>
      </w:r>
    </w:p>
    <w:tbl>
      <w:tblPr>
        <w:tblStyle w:val="HMATableB"/>
        <w:tblW w:w="5000" w:type="pct"/>
        <w:tblLook w:val="0620" w:firstRow="1" w:lastRow="0" w:firstColumn="0" w:lastColumn="0" w:noHBand="1" w:noVBand="1"/>
        <w:tblCaption w:val="Table of benefits and challenges for option 1.3: significant adjustment"/>
        <w:tblDescription w:val="Option 1.3 significant adjustment: Broaden the interpretation of the PTP objectives to focus on quality use of medicines in primary health care and other settings such as ACCHS and RACFs"/>
      </w:tblPr>
      <w:tblGrid>
        <w:gridCol w:w="4117"/>
        <w:gridCol w:w="2927"/>
      </w:tblGrid>
      <w:tr w:rsidR="000230CC" w14:paraId="1239D923"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922" w:type="pct"/>
            <w:shd w:val="clear" w:color="auto" w:fill="E4E4E4" w:themeFill="accent3" w:themeFillTint="33"/>
          </w:tcPr>
          <w:p w14:paraId="3EA8B9B0" w14:textId="1FEB3756" w:rsidR="000230CC" w:rsidRDefault="000230CC" w:rsidP="000230CC">
            <w:pPr>
              <w:pStyle w:val="TableColumnHeading"/>
            </w:pPr>
            <w:r>
              <w:t>Benefits</w:t>
            </w:r>
          </w:p>
        </w:tc>
        <w:tc>
          <w:tcPr>
            <w:tcW w:w="2078" w:type="pct"/>
            <w:shd w:val="clear" w:color="auto" w:fill="E4E4E4" w:themeFill="accent3" w:themeFillTint="33"/>
          </w:tcPr>
          <w:p w14:paraId="69E85CB7" w14:textId="662FBB3D" w:rsidR="000230CC" w:rsidRDefault="000230CC" w:rsidP="000230CC">
            <w:pPr>
              <w:pStyle w:val="TableColumnHeading"/>
            </w:pPr>
            <w:r>
              <w:t>Challenges</w:t>
            </w:r>
          </w:p>
        </w:tc>
      </w:tr>
      <w:tr w:rsidR="000230CC" w14:paraId="4B441545" w14:textId="77777777" w:rsidTr="000619E2">
        <w:tc>
          <w:tcPr>
            <w:tcW w:w="2922" w:type="pct"/>
          </w:tcPr>
          <w:p w14:paraId="3AC0E779" w14:textId="0CBE5D6D" w:rsidR="00112164" w:rsidRPr="00112164" w:rsidRDefault="00112164" w:rsidP="00112164">
            <w:pPr>
              <w:pStyle w:val="TableBullets1"/>
              <w:spacing w:line="240" w:lineRule="atLeast"/>
              <w:contextualSpacing w:val="0"/>
            </w:pPr>
            <w:r>
              <w:t>Promotes increased access to pharmacist expertise for consumers and health professionals in locations outside of community pharmacy.</w:t>
            </w:r>
          </w:p>
          <w:p w14:paraId="504BC278" w14:textId="3C608129" w:rsidR="000230CC" w:rsidRPr="00112164" w:rsidRDefault="000230CC" w:rsidP="000230CC">
            <w:pPr>
              <w:pStyle w:val="TableBullets1"/>
              <w:spacing w:line="240" w:lineRule="atLeast"/>
              <w:contextualSpacing w:val="0"/>
            </w:pPr>
            <w:r>
              <w:t>Promotes full collaboration with primary health professions to provide a holistic consumer-centred approach.</w:t>
            </w:r>
          </w:p>
          <w:p w14:paraId="5D47DDD5" w14:textId="5EF42107" w:rsidR="00112164" w:rsidRDefault="00112164" w:rsidP="000230CC">
            <w:pPr>
              <w:pStyle w:val="TableBullets1"/>
              <w:spacing w:line="240" w:lineRule="atLeast"/>
              <w:contextualSpacing w:val="0"/>
            </w:pPr>
            <w:r>
              <w:t>Promotes innovative models of care to best address consumer healthcare needs.</w:t>
            </w:r>
          </w:p>
          <w:p w14:paraId="01180186" w14:textId="77777777" w:rsidR="006A4A32" w:rsidRDefault="000230CC" w:rsidP="000230CC">
            <w:pPr>
              <w:pStyle w:val="TableBullets1"/>
              <w:spacing w:line="240" w:lineRule="atLeast"/>
              <w:contextualSpacing w:val="0"/>
            </w:pPr>
            <w:r>
              <w:t>Promotes new workforce options for the pharmacy workforce.</w:t>
            </w:r>
          </w:p>
          <w:p w14:paraId="26ABC7EE" w14:textId="77777777" w:rsidR="006A4A32" w:rsidRDefault="000230CC" w:rsidP="000230CC">
            <w:pPr>
              <w:pStyle w:val="TableBullets1"/>
              <w:spacing w:line="240" w:lineRule="atLeast"/>
              <w:contextualSpacing w:val="0"/>
            </w:pPr>
            <w:r>
              <w:t>Promotes new roles for pharmacists in alternative locations.</w:t>
            </w:r>
          </w:p>
          <w:p w14:paraId="566126FC" w14:textId="77777777" w:rsidR="006A4A32" w:rsidRDefault="000230CC" w:rsidP="000230CC">
            <w:pPr>
              <w:pStyle w:val="TableBullets1"/>
              <w:spacing w:line="240" w:lineRule="atLeast"/>
              <w:contextualSpacing w:val="0"/>
            </w:pPr>
            <w:r>
              <w:t>Promotes use of pharmacist expertise.</w:t>
            </w:r>
          </w:p>
          <w:p w14:paraId="2061A475" w14:textId="2721CA78" w:rsidR="000230CC" w:rsidRDefault="000230CC" w:rsidP="000230CC">
            <w:pPr>
              <w:pStyle w:val="TableBullets1"/>
              <w:spacing w:line="240" w:lineRule="atLeast"/>
              <w:contextualSpacing w:val="0"/>
            </w:pPr>
            <w:r>
              <w:t xml:space="preserve">Enables the program to address a range of newly emerging issues that do not have translational research support, e.g. impact of community pharmacy on personalised medicine therapies, pharmacotherapy and genetic testing, implementation of digital health technologies into standard work practice. </w:t>
            </w:r>
          </w:p>
        </w:tc>
        <w:tc>
          <w:tcPr>
            <w:tcW w:w="2078" w:type="pct"/>
          </w:tcPr>
          <w:p w14:paraId="5CEEE243" w14:textId="77777777" w:rsidR="000230CC" w:rsidRDefault="000230CC" w:rsidP="000230CC">
            <w:pPr>
              <w:pStyle w:val="TableBullets1"/>
              <w:spacing w:line="240" w:lineRule="atLeast"/>
              <w:contextualSpacing w:val="0"/>
            </w:pPr>
            <w:r>
              <w:t>Impact on existing community pharmacy remuneration models could be challenging.</w:t>
            </w:r>
          </w:p>
          <w:p w14:paraId="536B024D" w14:textId="77777777" w:rsidR="000230CC" w:rsidRDefault="000230CC" w:rsidP="000230CC">
            <w:pPr>
              <w:pStyle w:val="TableBullets1"/>
              <w:spacing w:line="240" w:lineRule="atLeast"/>
              <w:contextualSpacing w:val="0"/>
            </w:pPr>
            <w:r>
              <w:t>Maintains alignment with CPA community pharmacy programme objectives.</w:t>
            </w:r>
          </w:p>
        </w:tc>
      </w:tr>
    </w:tbl>
    <w:p w14:paraId="0DF0D4FB" w14:textId="77777777" w:rsidR="000230CC" w:rsidRPr="003F4318" w:rsidRDefault="000230CC" w:rsidP="003F4318">
      <w:pPr>
        <w:pStyle w:val="Heading2"/>
      </w:pPr>
      <w:bookmarkStart w:id="161" w:name="_Toc9341116"/>
      <w:bookmarkStart w:id="162" w:name="_Toc10547227"/>
      <w:bookmarkStart w:id="163" w:name="_Toc19097792"/>
      <w:bookmarkStart w:id="164" w:name="_Toc26366398"/>
      <w:r w:rsidRPr="003F4318">
        <w:t xml:space="preserve">emerging theme 2: greater consideration </w:t>
      </w:r>
      <w:bookmarkEnd w:id="161"/>
      <w:r w:rsidRPr="003F4318">
        <w:t>of consumer views</w:t>
      </w:r>
      <w:bookmarkEnd w:id="162"/>
      <w:bookmarkEnd w:id="163"/>
      <w:bookmarkEnd w:id="164"/>
    </w:p>
    <w:p w14:paraId="6B275DA6" w14:textId="3B81F107" w:rsidR="000230CC" w:rsidRPr="003F4318" w:rsidRDefault="000230CC" w:rsidP="003F4318">
      <w:pPr>
        <w:pStyle w:val="Heading3"/>
      </w:pPr>
      <w:bookmarkStart w:id="165" w:name="_Toc10547228"/>
      <w:bookmarkStart w:id="166" w:name="_Toc19097793"/>
      <w:bookmarkStart w:id="167" w:name="_Toc26366399"/>
      <w:r w:rsidRPr="003F4318">
        <w:t>Issue</w:t>
      </w:r>
      <w:bookmarkEnd w:id="165"/>
      <w:bookmarkEnd w:id="166"/>
      <w:bookmarkEnd w:id="167"/>
    </w:p>
    <w:p w14:paraId="67873B10" w14:textId="77777777" w:rsidR="006A4A32" w:rsidRDefault="000230CC" w:rsidP="000230CC">
      <w:pPr>
        <w:pStyle w:val="BodyCopy"/>
      </w:pPr>
      <w:r>
        <w:t xml:space="preserve">As discussed in the assessment of PTP implementation effectiveness, the needs assessment for setting priority areas was driven largely by expert opinion (see Section </w:t>
      </w:r>
      <w:r>
        <w:fldChar w:fldCharType="begin"/>
      </w:r>
      <w:r>
        <w:instrText xml:space="preserve"> REF _Ref10316513 \r \h </w:instrText>
      </w:r>
      <w:r>
        <w:fldChar w:fldCharType="separate"/>
      </w:r>
      <w:r w:rsidR="008B7448">
        <w:t>5.2.1</w:t>
      </w:r>
      <w:r>
        <w:fldChar w:fldCharType="end"/>
      </w:r>
      <w:r>
        <w:t xml:space="preserve"> for more details). Barriers to service delivery uptake may be overlooked if perspectives from a variety of consumer groups are not considered. Co-design of service models with consumers and other health professionals</w:t>
      </w:r>
      <w:r w:rsidR="00983679">
        <w:t>,</w:t>
      </w:r>
      <w:r>
        <w:t xml:space="preserve"> leads to approaches</w:t>
      </w:r>
      <w:r w:rsidR="00425FF5">
        <w:t xml:space="preserve"> </w:t>
      </w:r>
      <w:r>
        <w:t>more likely to succeed in the long-term.</w:t>
      </w:r>
    </w:p>
    <w:p w14:paraId="361144CB" w14:textId="77777777" w:rsidR="006A4A32" w:rsidRDefault="000230CC" w:rsidP="003F4318">
      <w:pPr>
        <w:pStyle w:val="Heading3"/>
      </w:pPr>
      <w:bookmarkStart w:id="168" w:name="_Toc10547229"/>
      <w:bookmarkStart w:id="169" w:name="_Toc19097794"/>
      <w:bookmarkStart w:id="170" w:name="_Toc26366400"/>
      <w:r w:rsidRPr="003F4318">
        <w:t>Rationale</w:t>
      </w:r>
      <w:bookmarkEnd w:id="168"/>
      <w:bookmarkEnd w:id="169"/>
      <w:bookmarkEnd w:id="170"/>
    </w:p>
    <w:p w14:paraId="5590D904" w14:textId="77777777" w:rsidR="006A4A32" w:rsidRDefault="000230CC" w:rsidP="000230CC">
      <w:pPr>
        <w:pStyle w:val="BodyCopy"/>
      </w:pPr>
      <w:r>
        <w:t xml:space="preserve">The assessment of need and priority setting for the PTP sought views of experts and key opinion leaders in the field (Section </w:t>
      </w:r>
      <w:r>
        <w:fldChar w:fldCharType="begin"/>
      </w:r>
      <w:r>
        <w:instrText xml:space="preserve"> REF _Ref10316513 \r \h </w:instrText>
      </w:r>
      <w:r>
        <w:fldChar w:fldCharType="separate"/>
      </w:r>
      <w:r w:rsidR="008B7448">
        <w:t>5.2.1</w:t>
      </w:r>
      <w:r>
        <w:fldChar w:fldCharType="end"/>
      </w:r>
      <w:r>
        <w:t>). This is a necessary part of a needs assessment process, but it lacked perspectives of consumers and carers on current barriers or issues within the health system. Priority setting for the PTP made efforts to seek consumer input through engagement of representatives from the CHF at the stakeholder forum and their membership of the TAG. However, other consumer advocacy groups felt that the inclusion of just one consumer group was insufficient to reflect the diverse needs of the community. For example, the NMHCCF and PA commented that the specific needs of vulnerable groups may have been overlooked in trial design, e.g. the risk of medication interactions when people taking anti-psychotic medication are prescribed new medications for co-morbidities, or issues of over-prescribing or poly-pharmacy for chronic pain sufferers.</w:t>
      </w:r>
    </w:p>
    <w:p w14:paraId="7541084D" w14:textId="77777777" w:rsidR="006A4A32" w:rsidRDefault="000230CC" w:rsidP="000230CC">
      <w:pPr>
        <w:pStyle w:val="BodyCopy"/>
      </w:pPr>
      <w:r>
        <w:t>Ensuring greater consumer co-design in the development of trial protocols may contribute to improved consumer outcomes and program sustainability. It would provide a greater understanding of the current gaps / priorities in the system and could broaden the scope of health technology assessment.</w:t>
      </w:r>
    </w:p>
    <w:p w14:paraId="2193A421" w14:textId="77777777" w:rsidR="006A4A32" w:rsidRDefault="000230CC" w:rsidP="000230CC">
      <w:pPr>
        <w:pStyle w:val="BodyCopy"/>
      </w:pPr>
      <w:r>
        <w:t xml:space="preserve">Additionally, the needs assessment could be </w:t>
      </w:r>
      <w:r w:rsidRPr="00D856E4">
        <w:t>broadened to include system</w:t>
      </w:r>
      <w:r>
        <w:t>ic</w:t>
      </w:r>
      <w:r w:rsidRPr="00D856E4">
        <w:t xml:space="preserve"> development priorities</w:t>
      </w:r>
      <w:r>
        <w:t>.</w:t>
      </w:r>
      <w:r w:rsidRPr="00D856E4">
        <w:t xml:space="preserve"> </w:t>
      </w:r>
      <w:r>
        <w:t>T</w:t>
      </w:r>
      <w:r w:rsidRPr="00D856E4">
        <w:t xml:space="preserve">he current </w:t>
      </w:r>
      <w:r>
        <w:t xml:space="preserve">needs assessment for priority area setting has </w:t>
      </w:r>
      <w:r>
        <w:lastRenderedPageBreak/>
        <w:t>largely f</w:t>
      </w:r>
      <w:r w:rsidRPr="00D856E4">
        <w:t>ocus</w:t>
      </w:r>
      <w:r>
        <w:t>ed</w:t>
      </w:r>
      <w:r w:rsidRPr="00D856E4">
        <w:t xml:space="preserve"> </w:t>
      </w:r>
      <w:r>
        <w:t>on medication management and health needs of population sub-cohorts (for example, a Tranche 1 priority area was to ‘</w:t>
      </w:r>
      <w:r w:rsidRPr="00951C73">
        <w:t>improve continuity in the management of patients’ medications when they are discharged from hospital</w:t>
      </w:r>
      <w:r>
        <w:t>’, although a trial under this area is yet to be approved).</w:t>
      </w:r>
    </w:p>
    <w:p w14:paraId="4B9A52A6" w14:textId="77777777" w:rsidR="006A4A32" w:rsidRDefault="000230CC" w:rsidP="000230CC">
      <w:pPr>
        <w:pStyle w:val="BodyCopy"/>
      </w:pPr>
      <w:r>
        <w:t xml:space="preserve">Expanding the priority area focus to include existing and emerging technological advances in primary health and pharmacy presents further opportunities to investigate new ways to streamline integration of technology into day-to-day practice for pharmacists. For example, the introduction of My Health Record and enhancements to the included medicines list provide new opportunities and challenges for pharmacists and coordinated health care (see Section </w:t>
      </w:r>
      <w:r>
        <w:fldChar w:fldCharType="begin"/>
      </w:r>
      <w:r>
        <w:instrText xml:space="preserve"> REF _Ref10379844 \r \h </w:instrText>
      </w:r>
      <w:r>
        <w:fldChar w:fldCharType="separate"/>
      </w:r>
      <w:r w:rsidR="008B7448">
        <w:t>2.3</w:t>
      </w:r>
      <w:r>
        <w:fldChar w:fldCharType="end"/>
      </w:r>
      <w:r>
        <w:t xml:space="preserve"> and Section </w:t>
      </w:r>
      <w:r>
        <w:fldChar w:fldCharType="begin"/>
      </w:r>
      <w:r>
        <w:instrText xml:space="preserve"> REF _Ref10379898 \r \h </w:instrText>
      </w:r>
      <w:r>
        <w:fldChar w:fldCharType="separate"/>
      </w:r>
      <w:r w:rsidR="008B7448">
        <w:t>4.2.2</w:t>
      </w:r>
      <w:r>
        <w:fldChar w:fldCharType="end"/>
      </w:r>
      <w:r>
        <w:t xml:space="preserve"> for further discussion on this topic). Any efforts in this area would need to be done in consultation</w:t>
      </w:r>
      <w:r w:rsidR="00425FF5">
        <w:t xml:space="preserve"> </w:t>
      </w:r>
      <w:r>
        <w:t>with the Australian Digital Health Agency to ensure that trials are not duplicative.</w:t>
      </w:r>
    </w:p>
    <w:p w14:paraId="6CEFDADA" w14:textId="380C515E" w:rsidR="000230CC" w:rsidRPr="003F4318" w:rsidRDefault="000230CC" w:rsidP="003F4318">
      <w:pPr>
        <w:pStyle w:val="Heading3"/>
      </w:pPr>
      <w:bookmarkStart w:id="171" w:name="_Toc10547230"/>
      <w:bookmarkStart w:id="172" w:name="_Toc19097795"/>
      <w:bookmarkStart w:id="173" w:name="_Toc26366401"/>
      <w:r w:rsidRPr="003F4318">
        <w:t>Options</w:t>
      </w:r>
      <w:bookmarkEnd w:id="171"/>
      <w:bookmarkEnd w:id="172"/>
      <w:bookmarkEnd w:id="173"/>
    </w:p>
    <w:p w14:paraId="48ABD2E8" w14:textId="77777777" w:rsidR="000230CC" w:rsidRDefault="000230CC" w:rsidP="000230CC">
      <w:pPr>
        <w:pStyle w:val="BodyCopy"/>
      </w:pPr>
      <w:r>
        <w:t>Potential future options include:</w:t>
      </w:r>
    </w:p>
    <w:p w14:paraId="4D3BCA1B" w14:textId="77777777" w:rsidR="006A4A32" w:rsidRDefault="000230CC" w:rsidP="002C22EF">
      <w:pPr>
        <w:pStyle w:val="Numbers1"/>
        <w:numPr>
          <w:ilvl w:val="0"/>
          <w:numId w:val="47"/>
        </w:numPr>
      </w:pPr>
      <w:r w:rsidRPr="002C22EF">
        <w:rPr>
          <w:b/>
        </w:rPr>
        <w:t>Status quo:</w:t>
      </w:r>
      <w:r>
        <w:t xml:space="preserve"> Maintain existing priority areas derived from the workshop process and the ‘call for submissions.’</w:t>
      </w:r>
    </w:p>
    <w:p w14:paraId="25D4A724" w14:textId="00AB7889" w:rsidR="000230CC" w:rsidRDefault="000230CC" w:rsidP="002C22EF">
      <w:pPr>
        <w:pStyle w:val="Numbers1"/>
        <w:numPr>
          <w:ilvl w:val="0"/>
          <w:numId w:val="20"/>
        </w:numPr>
      </w:pPr>
      <w:r w:rsidRPr="002C22EF">
        <w:rPr>
          <w:b/>
        </w:rPr>
        <w:t>Minor adjustment:</w:t>
      </w:r>
      <w:r>
        <w:t xml:space="preserve"> Include an emphasis on consumer co-design in the development of trial protocols.</w:t>
      </w:r>
    </w:p>
    <w:p w14:paraId="6A1CCC19" w14:textId="77777777" w:rsidR="000230CC" w:rsidRDefault="000230CC" w:rsidP="002C22EF">
      <w:pPr>
        <w:pStyle w:val="Numbers1"/>
        <w:numPr>
          <w:ilvl w:val="0"/>
          <w:numId w:val="20"/>
        </w:numPr>
      </w:pPr>
      <w:r w:rsidRPr="002C22EF">
        <w:rPr>
          <w:b/>
        </w:rPr>
        <w:t>Moderate adjustment:</w:t>
      </w:r>
      <w:r>
        <w:t xml:space="preserve"> Conduct a comprehensive needs assessment and consumer experience study to identify the barriers and service gaps prior to setting new priority areas.</w:t>
      </w:r>
    </w:p>
    <w:p w14:paraId="6DCEB884" w14:textId="77777777" w:rsidR="000230CC" w:rsidRDefault="000230CC" w:rsidP="002C22EF">
      <w:pPr>
        <w:pStyle w:val="Numbers1"/>
        <w:numPr>
          <w:ilvl w:val="0"/>
          <w:numId w:val="20"/>
        </w:numPr>
      </w:pPr>
      <w:r w:rsidRPr="002C22EF">
        <w:rPr>
          <w:b/>
        </w:rPr>
        <w:t>Significant adjustment:</w:t>
      </w:r>
      <w:r>
        <w:t xml:space="preserve"> Apply a systemic development assessment process to address a broader range of priority areas.</w:t>
      </w:r>
    </w:p>
    <w:p w14:paraId="2E898D33" w14:textId="77777777" w:rsidR="000230CC" w:rsidRDefault="000230CC" w:rsidP="000230CC">
      <w:pPr>
        <w:pStyle w:val="BodyCopy"/>
      </w:pPr>
      <w:bookmarkStart w:id="174" w:name="_Ref8999763"/>
      <w:r w:rsidRPr="007660D9">
        <w:t>Benefits and challenges of these options are discussed below.</w:t>
      </w:r>
    </w:p>
    <w:p w14:paraId="6DFAB112" w14:textId="77777777" w:rsidR="000230CC" w:rsidRDefault="000230CC" w:rsidP="000230CC">
      <w:pPr>
        <w:pStyle w:val="Heading4"/>
      </w:pPr>
      <w:r w:rsidRPr="009868CA">
        <w:t>Option 2.1 status quo:</w:t>
      </w:r>
      <w:r>
        <w:t xml:space="preserve"> Maintain existing priority areas derived from the workshop process and the ‘call for submissions’</w:t>
      </w:r>
    </w:p>
    <w:tbl>
      <w:tblPr>
        <w:tblStyle w:val="HMATableB"/>
        <w:tblW w:w="5000" w:type="pct"/>
        <w:tblLook w:val="0620" w:firstRow="1" w:lastRow="0" w:firstColumn="0" w:lastColumn="0" w:noHBand="1" w:noVBand="1"/>
        <w:tblCaption w:val="Table of benefits and challenges for option 2.1: status quo"/>
        <w:tblDescription w:val="Option 2.1 status quo: Maintain existing priority areas derived from the workshop process and the ‘call for submissions’"/>
      </w:tblPr>
      <w:tblGrid>
        <w:gridCol w:w="3522"/>
        <w:gridCol w:w="3522"/>
      </w:tblGrid>
      <w:tr w:rsidR="000230CC" w14:paraId="50C9AF25"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500" w:type="pct"/>
            <w:shd w:val="clear" w:color="auto" w:fill="E4E4E4" w:themeFill="accent3" w:themeFillTint="33"/>
          </w:tcPr>
          <w:p w14:paraId="4567EDAF" w14:textId="4BAFC296" w:rsidR="000230CC" w:rsidRDefault="000230CC" w:rsidP="000230CC">
            <w:pPr>
              <w:pStyle w:val="TableColumnHeading"/>
            </w:pPr>
            <w:r>
              <w:t>Benefits</w:t>
            </w:r>
          </w:p>
        </w:tc>
        <w:tc>
          <w:tcPr>
            <w:tcW w:w="2500" w:type="pct"/>
            <w:shd w:val="clear" w:color="auto" w:fill="E4E4E4" w:themeFill="accent3" w:themeFillTint="33"/>
          </w:tcPr>
          <w:p w14:paraId="3F162D03" w14:textId="77777777" w:rsidR="000230CC" w:rsidRDefault="000230CC" w:rsidP="000230CC">
            <w:pPr>
              <w:pStyle w:val="TableColumnHeading"/>
            </w:pPr>
            <w:r>
              <w:t xml:space="preserve">Challenges </w:t>
            </w:r>
          </w:p>
        </w:tc>
      </w:tr>
      <w:tr w:rsidR="000230CC" w14:paraId="7493F230" w14:textId="77777777" w:rsidTr="000619E2">
        <w:tc>
          <w:tcPr>
            <w:tcW w:w="2500" w:type="pct"/>
          </w:tcPr>
          <w:p w14:paraId="6450FD39" w14:textId="77777777" w:rsidR="000230CC" w:rsidRDefault="000230CC" w:rsidP="000230CC">
            <w:pPr>
              <w:pStyle w:val="TableBullets1"/>
              <w:spacing w:line="240" w:lineRule="atLeast"/>
              <w:contextualSpacing w:val="0"/>
            </w:pPr>
            <w:r>
              <w:t>Maximises use of the work already undertaken to set Priority Areas</w:t>
            </w:r>
          </w:p>
        </w:tc>
        <w:tc>
          <w:tcPr>
            <w:tcW w:w="2500" w:type="pct"/>
          </w:tcPr>
          <w:p w14:paraId="120F6B4C" w14:textId="77777777" w:rsidR="000230CC" w:rsidRDefault="000230CC" w:rsidP="000230CC">
            <w:pPr>
              <w:pStyle w:val="TableBullets1"/>
              <w:spacing w:line="240" w:lineRule="atLeast"/>
              <w:contextualSpacing w:val="0"/>
            </w:pPr>
            <w:r>
              <w:t>Priority Areas may not be as comprehensive as they could be.</w:t>
            </w:r>
          </w:p>
        </w:tc>
      </w:tr>
    </w:tbl>
    <w:p w14:paraId="6ABF0263" w14:textId="77777777" w:rsidR="000230CC" w:rsidRDefault="000230CC" w:rsidP="000230CC">
      <w:pPr>
        <w:pStyle w:val="Heading4"/>
      </w:pPr>
      <w:r>
        <w:t>Option 2.2 minor adjustment: Include an emphasis on consumer co</w:t>
      </w:r>
      <w:r>
        <w:noBreakHyphen/>
        <w:t xml:space="preserve">design in the development of trial protocols </w:t>
      </w:r>
    </w:p>
    <w:tbl>
      <w:tblPr>
        <w:tblStyle w:val="HMATableB"/>
        <w:tblW w:w="5000" w:type="pct"/>
        <w:tblLook w:val="0620" w:firstRow="1" w:lastRow="0" w:firstColumn="0" w:lastColumn="0" w:noHBand="1" w:noVBand="1"/>
        <w:tblCaption w:val="Table of benefits and challenges for option 2.1: minor adjustment"/>
        <w:tblDescription w:val="Option 2.2 minor adjustment: Include an emphasis on consumer co design in the development of trial protocols "/>
      </w:tblPr>
      <w:tblGrid>
        <w:gridCol w:w="3522"/>
        <w:gridCol w:w="3522"/>
      </w:tblGrid>
      <w:tr w:rsidR="000230CC" w14:paraId="36C42541"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500" w:type="pct"/>
            <w:shd w:val="clear" w:color="auto" w:fill="E4E4E4" w:themeFill="accent3" w:themeFillTint="33"/>
          </w:tcPr>
          <w:p w14:paraId="3CCB7FFC" w14:textId="31AD5896" w:rsidR="000230CC" w:rsidRDefault="000230CC" w:rsidP="000230CC">
            <w:pPr>
              <w:pStyle w:val="TableColumnHeading"/>
            </w:pPr>
            <w:r>
              <w:t>Benefits</w:t>
            </w:r>
          </w:p>
        </w:tc>
        <w:tc>
          <w:tcPr>
            <w:tcW w:w="2500" w:type="pct"/>
            <w:shd w:val="clear" w:color="auto" w:fill="E4E4E4" w:themeFill="accent3" w:themeFillTint="33"/>
          </w:tcPr>
          <w:p w14:paraId="65F9AF3A" w14:textId="77777777" w:rsidR="000230CC" w:rsidRDefault="000230CC" w:rsidP="000230CC">
            <w:pPr>
              <w:pStyle w:val="TableColumnHeading"/>
            </w:pPr>
            <w:r>
              <w:t xml:space="preserve">Challenges </w:t>
            </w:r>
          </w:p>
        </w:tc>
      </w:tr>
      <w:tr w:rsidR="000230CC" w14:paraId="4B665E9E" w14:textId="77777777" w:rsidTr="000619E2">
        <w:tc>
          <w:tcPr>
            <w:tcW w:w="2500" w:type="pct"/>
          </w:tcPr>
          <w:p w14:paraId="1DD5F8A5" w14:textId="77777777" w:rsidR="000230CC" w:rsidRPr="009868CA" w:rsidRDefault="000230CC" w:rsidP="000230CC">
            <w:pPr>
              <w:pStyle w:val="TableBullets1"/>
              <w:spacing w:line="240" w:lineRule="atLeast"/>
              <w:contextualSpacing w:val="0"/>
            </w:pPr>
            <w:r>
              <w:t>Maximises use of the work already undertaken to set Priority Areas</w:t>
            </w:r>
          </w:p>
          <w:p w14:paraId="34B0971A" w14:textId="77777777" w:rsidR="000230CC" w:rsidRDefault="000230CC" w:rsidP="000230CC">
            <w:pPr>
              <w:pStyle w:val="TableBullets1"/>
              <w:spacing w:line="240" w:lineRule="atLeast"/>
              <w:contextualSpacing w:val="0"/>
            </w:pPr>
            <w:r>
              <w:t xml:space="preserve">Ensures a consumer perspective is applied to trial design </w:t>
            </w:r>
          </w:p>
        </w:tc>
        <w:tc>
          <w:tcPr>
            <w:tcW w:w="2500" w:type="pct"/>
          </w:tcPr>
          <w:p w14:paraId="75A18D05" w14:textId="77777777" w:rsidR="000230CC" w:rsidRDefault="000230CC" w:rsidP="000230CC">
            <w:pPr>
              <w:pStyle w:val="TableBullets1"/>
              <w:spacing w:line="240" w:lineRule="atLeast"/>
              <w:contextualSpacing w:val="0"/>
            </w:pPr>
            <w:r>
              <w:t>Priority Areas may not be as comprehensive as they could be.</w:t>
            </w:r>
          </w:p>
          <w:p w14:paraId="51ABEB15" w14:textId="77777777" w:rsidR="000230CC" w:rsidRDefault="000230CC" w:rsidP="000230CC">
            <w:pPr>
              <w:pStyle w:val="TableBullets1"/>
              <w:spacing w:line="240" w:lineRule="atLeast"/>
              <w:contextualSpacing w:val="0"/>
            </w:pPr>
            <w:r>
              <w:t>Area of researcher interest may not align with consumer perceived needs.</w:t>
            </w:r>
          </w:p>
        </w:tc>
      </w:tr>
    </w:tbl>
    <w:p w14:paraId="3148B302" w14:textId="77777777" w:rsidR="000230CC" w:rsidRDefault="000230CC" w:rsidP="000230CC">
      <w:pPr>
        <w:pStyle w:val="Heading4"/>
      </w:pPr>
      <w:r w:rsidRPr="009868CA">
        <w:t>Option 2.3 m</w:t>
      </w:r>
      <w:r>
        <w:t>oderate</w:t>
      </w:r>
      <w:r w:rsidRPr="009868CA">
        <w:t xml:space="preserve"> adjustment: </w:t>
      </w:r>
      <w:r>
        <w:t>Conduct a comprehensive needs assessment and consumer experience study to identify the barriers and service gaps prior to setting new priority areas.</w:t>
      </w:r>
    </w:p>
    <w:tbl>
      <w:tblPr>
        <w:tblStyle w:val="HMATableB"/>
        <w:tblW w:w="5000" w:type="pct"/>
        <w:tblLook w:val="0620" w:firstRow="1" w:lastRow="0" w:firstColumn="0" w:lastColumn="0" w:noHBand="1" w:noVBand="1"/>
        <w:tblCaption w:val="Table of benefits and challenges for option 2.3: moderate adjustment"/>
        <w:tblDescription w:val="Option 2.3 moderate adjustment: Conduct a comprehensive needs assessment and consumer experience study to identify the barriers and service gaps prior to setting new priority areas."/>
      </w:tblPr>
      <w:tblGrid>
        <w:gridCol w:w="3522"/>
        <w:gridCol w:w="3522"/>
      </w:tblGrid>
      <w:tr w:rsidR="000230CC" w14:paraId="372B6568"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500" w:type="pct"/>
            <w:shd w:val="clear" w:color="auto" w:fill="E4E4E4" w:themeFill="accent3" w:themeFillTint="33"/>
          </w:tcPr>
          <w:p w14:paraId="4D0824E0" w14:textId="47D9AC77" w:rsidR="000230CC" w:rsidRDefault="000230CC" w:rsidP="000230CC">
            <w:pPr>
              <w:pStyle w:val="TableColumnHeading"/>
            </w:pPr>
            <w:r>
              <w:t>Benefits</w:t>
            </w:r>
          </w:p>
        </w:tc>
        <w:tc>
          <w:tcPr>
            <w:tcW w:w="2500" w:type="pct"/>
            <w:shd w:val="clear" w:color="auto" w:fill="E4E4E4" w:themeFill="accent3" w:themeFillTint="33"/>
          </w:tcPr>
          <w:p w14:paraId="4C7B7459" w14:textId="77777777" w:rsidR="000230CC" w:rsidRDefault="000230CC" w:rsidP="000230CC">
            <w:pPr>
              <w:pStyle w:val="TableColumnHeading"/>
            </w:pPr>
            <w:r>
              <w:t xml:space="preserve">Challenges </w:t>
            </w:r>
          </w:p>
        </w:tc>
      </w:tr>
      <w:tr w:rsidR="000230CC" w14:paraId="30114E39" w14:textId="77777777" w:rsidTr="000619E2">
        <w:tc>
          <w:tcPr>
            <w:tcW w:w="2500" w:type="pct"/>
          </w:tcPr>
          <w:p w14:paraId="16DE0FEA" w14:textId="77777777" w:rsidR="000230CC" w:rsidRPr="00211823" w:rsidRDefault="000230CC" w:rsidP="000230CC">
            <w:pPr>
              <w:pStyle w:val="TableBullets1"/>
              <w:spacing w:line="240" w:lineRule="atLeast"/>
              <w:contextualSpacing w:val="0"/>
            </w:pPr>
            <w:r>
              <w:t>Robust evidence will be gathered to inform the development of trial priorities that address an identified need within the community and better align with consumers’ perceptions of need.</w:t>
            </w:r>
          </w:p>
          <w:p w14:paraId="60154246" w14:textId="77777777" w:rsidR="000230CC" w:rsidRDefault="000230CC" w:rsidP="000230CC">
            <w:pPr>
              <w:pStyle w:val="TableBullets1"/>
              <w:spacing w:line="240" w:lineRule="atLeast"/>
              <w:contextualSpacing w:val="0"/>
            </w:pPr>
            <w:r>
              <w:t xml:space="preserve">Information collected for the comprehensive needs assessment compiled by the PHNs could be used to inform the process. </w:t>
            </w:r>
          </w:p>
        </w:tc>
        <w:tc>
          <w:tcPr>
            <w:tcW w:w="2500" w:type="pct"/>
          </w:tcPr>
          <w:p w14:paraId="2A9C4F19" w14:textId="77777777" w:rsidR="000230CC" w:rsidRDefault="000230CC" w:rsidP="000230CC">
            <w:pPr>
              <w:pStyle w:val="TableBullets1"/>
              <w:spacing w:line="240" w:lineRule="atLeast"/>
              <w:contextualSpacing w:val="0"/>
            </w:pPr>
            <w:r>
              <w:t>May be a time consuming and costly process that will extend the development stages of the program.</w:t>
            </w:r>
          </w:p>
          <w:p w14:paraId="4993397D" w14:textId="77777777" w:rsidR="000230CC" w:rsidRDefault="000230CC" w:rsidP="000230CC">
            <w:pPr>
              <w:pStyle w:val="TableBullets1"/>
              <w:spacing w:line="240" w:lineRule="atLeast"/>
              <w:contextualSpacing w:val="0"/>
            </w:pPr>
            <w:r>
              <w:t xml:space="preserve">The detail of information on quality use of medicines, access to medicines and pharmacy services may vary between PHN needs assessments, which have a broader primary health care focus. </w:t>
            </w:r>
          </w:p>
        </w:tc>
      </w:tr>
    </w:tbl>
    <w:p w14:paraId="22F2A412" w14:textId="77777777" w:rsidR="000230CC" w:rsidRDefault="000230CC" w:rsidP="000230CC">
      <w:pPr>
        <w:pStyle w:val="Heading4"/>
      </w:pPr>
      <w:r>
        <w:lastRenderedPageBreak/>
        <w:t>Option 2.4 significant adjustment: Apply a systemic development assessment process to address a broader range of priority areas</w:t>
      </w:r>
    </w:p>
    <w:tbl>
      <w:tblPr>
        <w:tblStyle w:val="HMATableB"/>
        <w:tblW w:w="5000" w:type="pct"/>
        <w:tblLook w:val="0620" w:firstRow="1" w:lastRow="0" w:firstColumn="0" w:lastColumn="0" w:noHBand="1" w:noVBand="1"/>
        <w:tblCaption w:val="Table of benefits and challenges for Option 2.4: significant adjustment"/>
        <w:tblDescription w:val="Option 2.4 significant adjustment: Apply a systemic development assessment process to address a broader range of priority areas"/>
      </w:tblPr>
      <w:tblGrid>
        <w:gridCol w:w="3522"/>
        <w:gridCol w:w="3522"/>
      </w:tblGrid>
      <w:tr w:rsidR="000230CC" w14:paraId="1A9E4382"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500" w:type="pct"/>
            <w:shd w:val="clear" w:color="auto" w:fill="E4E4E4" w:themeFill="accent3" w:themeFillTint="33"/>
          </w:tcPr>
          <w:bookmarkEnd w:id="174"/>
          <w:p w14:paraId="518D0554" w14:textId="22FAC958" w:rsidR="000230CC" w:rsidRDefault="000230CC" w:rsidP="000230CC">
            <w:pPr>
              <w:pStyle w:val="TableColumnHeading"/>
            </w:pPr>
            <w:r>
              <w:t>Benefits</w:t>
            </w:r>
          </w:p>
        </w:tc>
        <w:tc>
          <w:tcPr>
            <w:tcW w:w="2500" w:type="pct"/>
            <w:shd w:val="clear" w:color="auto" w:fill="E4E4E4" w:themeFill="accent3" w:themeFillTint="33"/>
          </w:tcPr>
          <w:p w14:paraId="2A124999" w14:textId="77777777" w:rsidR="000230CC" w:rsidRDefault="000230CC" w:rsidP="000230CC">
            <w:pPr>
              <w:pStyle w:val="TableColumnHeading"/>
            </w:pPr>
            <w:r>
              <w:t xml:space="preserve">Challenges </w:t>
            </w:r>
          </w:p>
        </w:tc>
      </w:tr>
      <w:tr w:rsidR="000230CC" w14:paraId="77E9CAFD" w14:textId="77777777" w:rsidTr="000619E2">
        <w:tc>
          <w:tcPr>
            <w:tcW w:w="2500" w:type="pct"/>
          </w:tcPr>
          <w:p w14:paraId="44908C4C" w14:textId="77777777" w:rsidR="000230CC" w:rsidRDefault="000230CC" w:rsidP="000230CC">
            <w:pPr>
              <w:pStyle w:val="TableBullets1"/>
              <w:spacing w:line="240" w:lineRule="atLeast"/>
              <w:contextualSpacing w:val="0"/>
            </w:pPr>
            <w:r>
              <w:t>Ensure the service development needs of pharmacy (including community pharmacy) are considered in the changing landscape, such as the integration of digital health technology into standard work practices and personalised medicine</w:t>
            </w:r>
          </w:p>
          <w:p w14:paraId="786310AE" w14:textId="77777777" w:rsidR="000230CC" w:rsidRDefault="000230CC" w:rsidP="000230CC">
            <w:pPr>
              <w:pStyle w:val="TableBullets1"/>
              <w:spacing w:line="240" w:lineRule="atLeast"/>
              <w:contextualSpacing w:val="0"/>
            </w:pPr>
            <w:r>
              <w:t xml:space="preserve">Could be conducted quickly as information would come largely from expert opinion and service providers. </w:t>
            </w:r>
          </w:p>
        </w:tc>
        <w:tc>
          <w:tcPr>
            <w:tcW w:w="2500" w:type="pct"/>
          </w:tcPr>
          <w:p w14:paraId="6E358124" w14:textId="77777777" w:rsidR="006A4A32" w:rsidRDefault="000230CC" w:rsidP="000230CC">
            <w:pPr>
              <w:pStyle w:val="TableBullets1"/>
              <w:spacing w:line="240" w:lineRule="atLeast"/>
              <w:contextualSpacing w:val="0"/>
            </w:pPr>
            <w:r>
              <w:t>Will increase the complexity of determining the appropriate weighting for different priority areas.</w:t>
            </w:r>
          </w:p>
          <w:p w14:paraId="5B0C0A08" w14:textId="09C53957" w:rsidR="000230CC" w:rsidRDefault="000230CC" w:rsidP="000230CC">
            <w:pPr>
              <w:pStyle w:val="TableBullets1"/>
              <w:numPr>
                <w:ilvl w:val="0"/>
                <w:numId w:val="0"/>
              </w:numPr>
              <w:ind w:left="227"/>
            </w:pPr>
          </w:p>
        </w:tc>
      </w:tr>
    </w:tbl>
    <w:p w14:paraId="6EF8C475" w14:textId="77777777" w:rsidR="006A4A32" w:rsidRDefault="000230CC" w:rsidP="003F4318">
      <w:pPr>
        <w:pStyle w:val="Heading2"/>
      </w:pPr>
      <w:bookmarkStart w:id="175" w:name="_Toc10547242"/>
      <w:bookmarkStart w:id="176" w:name="_Toc19097804"/>
      <w:bookmarkStart w:id="177" w:name="_Toc9341119"/>
      <w:bookmarkStart w:id="178" w:name="_Toc26366402"/>
      <w:r w:rsidRPr="003F4318">
        <w:t xml:space="preserve">emerging theme </w:t>
      </w:r>
      <w:r w:rsidR="00B21173">
        <w:t>3</w:t>
      </w:r>
      <w:r w:rsidRPr="003F4318">
        <w:t>: changed program administration arrangements</w:t>
      </w:r>
      <w:bookmarkEnd w:id="175"/>
      <w:bookmarkEnd w:id="176"/>
      <w:bookmarkEnd w:id="177"/>
      <w:bookmarkEnd w:id="178"/>
    </w:p>
    <w:p w14:paraId="1602C0CE" w14:textId="15A8274F" w:rsidR="000230CC" w:rsidRPr="003F4318" w:rsidRDefault="000230CC" w:rsidP="003F4318">
      <w:pPr>
        <w:pStyle w:val="Heading3"/>
      </w:pPr>
      <w:bookmarkStart w:id="179" w:name="_Toc10547243"/>
      <w:bookmarkStart w:id="180" w:name="_Toc19097805"/>
      <w:bookmarkStart w:id="181" w:name="_Toc26366403"/>
      <w:r w:rsidRPr="003F4318">
        <w:t>Issue</w:t>
      </w:r>
      <w:bookmarkEnd w:id="179"/>
      <w:bookmarkEnd w:id="180"/>
      <w:bookmarkEnd w:id="181"/>
    </w:p>
    <w:p w14:paraId="02AB5F6E" w14:textId="0DF3C4E5" w:rsidR="000230CC" w:rsidRDefault="000230CC" w:rsidP="000230CC">
      <w:pPr>
        <w:pStyle w:val="BodyCopy"/>
      </w:pPr>
      <w:r>
        <w:t>T</w:t>
      </w:r>
      <w:r w:rsidRPr="00104089">
        <w:t xml:space="preserve">raditional grants administration structures </w:t>
      </w:r>
      <w:r>
        <w:t>are core</w:t>
      </w:r>
      <w:r w:rsidRPr="00104089">
        <w:t xml:space="preserve"> business of the Department</w:t>
      </w:r>
      <w:r>
        <w:rPr>
          <w:rStyle w:val="FootnoteReference"/>
        </w:rPr>
        <w:footnoteReference w:id="13"/>
      </w:r>
      <w:r>
        <w:t xml:space="preserve"> </w:t>
      </w:r>
      <w:sdt>
        <w:sdtPr>
          <w:id w:val="544646600"/>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 As noted in the Internal Audit of PTP management, the Department assumed administrative responsibility for the PTP without any additional resources</w:t>
      </w:r>
      <w:r>
        <w:rPr>
          <w:rStyle w:val="FootnoteReference"/>
        </w:rPr>
        <w:footnoteReference w:id="14"/>
      </w:r>
      <w:r>
        <w:t xml:space="preserve"> </w:t>
      </w:r>
      <w:sdt>
        <w:sdtPr>
          <w:id w:val="-163704425"/>
          <w:citation/>
        </w:sdtPr>
        <w:sdtContent>
          <w:r>
            <w:fldChar w:fldCharType="begin"/>
          </w:r>
          <w:r w:rsidR="00820D12">
            <w:rPr>
              <w:lang w:val="en-US"/>
            </w:rPr>
            <w:instrText xml:space="preserve">CITATION Com184 \l 1033 </w:instrText>
          </w:r>
          <w:r>
            <w:fldChar w:fldCharType="separate"/>
          </w:r>
          <w:r w:rsidR="008B7448" w:rsidRPr="008B7448">
            <w:rPr>
              <w:noProof/>
              <w:lang w:val="en-US"/>
            </w:rPr>
            <w:t>[4]</w:t>
          </w:r>
          <w:r>
            <w:fldChar w:fldCharType="end"/>
          </w:r>
        </w:sdtContent>
      </w:sdt>
      <w:r>
        <w:t>.</w:t>
      </w:r>
    </w:p>
    <w:p w14:paraId="2D81F713" w14:textId="77777777" w:rsidR="006A4A32" w:rsidRDefault="000230CC" w:rsidP="000230CC">
      <w:pPr>
        <w:pStyle w:val="BodyCopy"/>
      </w:pPr>
      <w:r>
        <w:t xml:space="preserve">Implementing changes to strengthen the PTP administration is likely to require additional resource investment from the Department (see Section </w:t>
      </w:r>
      <w:r>
        <w:fldChar w:fldCharType="begin"/>
      </w:r>
      <w:r>
        <w:instrText xml:space="preserve"> REF _Ref10383594 \r \h </w:instrText>
      </w:r>
      <w:r>
        <w:fldChar w:fldCharType="separate"/>
      </w:r>
      <w:r w:rsidR="008B7448">
        <w:t>5.2</w:t>
      </w:r>
      <w:r>
        <w:fldChar w:fldCharType="end"/>
      </w:r>
      <w:r>
        <w:t xml:space="preserve"> for a discussion on effectiveness of PTP implementation). It may be more efficient and cost-effective to use the resources and expertise of existing grant administration programs that specialise in health service development.</w:t>
      </w:r>
    </w:p>
    <w:p w14:paraId="315D8BF2" w14:textId="77777777" w:rsidR="006A4A32" w:rsidRDefault="000230CC" w:rsidP="003F4318">
      <w:pPr>
        <w:pStyle w:val="Heading3"/>
      </w:pPr>
      <w:bookmarkStart w:id="182" w:name="_Toc10547244"/>
      <w:bookmarkStart w:id="183" w:name="_Toc19097806"/>
      <w:bookmarkStart w:id="184" w:name="_Toc26366404"/>
      <w:r w:rsidRPr="003F4318">
        <w:t>Rationale</w:t>
      </w:r>
      <w:bookmarkEnd w:id="182"/>
      <w:bookmarkEnd w:id="183"/>
      <w:bookmarkEnd w:id="184"/>
    </w:p>
    <w:p w14:paraId="14EF41A5" w14:textId="5CA497B9" w:rsidR="000230CC" w:rsidRDefault="000230CC" w:rsidP="000230CC">
      <w:pPr>
        <w:pStyle w:val="BodyCopy"/>
      </w:pPr>
      <w:r>
        <w:t xml:space="preserve">The Internal Audit noted that the </w:t>
      </w:r>
      <w:r w:rsidRPr="00104089">
        <w:t>clinical research focus of the PTP</w:t>
      </w:r>
      <w:r>
        <w:t xml:space="preserve"> meant the </w:t>
      </w:r>
      <w:r w:rsidRPr="00104089">
        <w:t>structures and processes</w:t>
      </w:r>
      <w:r>
        <w:t xml:space="preserve"> required for administration </w:t>
      </w:r>
      <w:r w:rsidRPr="00104089">
        <w:t>ha</w:t>
      </w:r>
      <w:r>
        <w:t>ve</w:t>
      </w:r>
      <w:r w:rsidRPr="00104089">
        <w:t xml:space="preserve"> m</w:t>
      </w:r>
      <w:r>
        <w:t>uch</w:t>
      </w:r>
      <w:r w:rsidRPr="00104089">
        <w:t xml:space="preserve"> in common with those</w:t>
      </w:r>
      <w:r>
        <w:t xml:space="preserve"> processes</w:t>
      </w:r>
      <w:r w:rsidRPr="00104089">
        <w:t xml:space="preserve"> required by </w:t>
      </w:r>
      <w:r>
        <w:t>NHMRC.</w:t>
      </w:r>
    </w:p>
    <w:p w14:paraId="4921DAAC" w14:textId="77777777" w:rsidR="006A4A32" w:rsidRDefault="000230CC" w:rsidP="000230CC">
      <w:pPr>
        <w:pStyle w:val="BodyCopy"/>
      </w:pPr>
      <w:r>
        <w:t xml:space="preserve">There are concerns among stakeholders that if PTP funding were added to the existing pool of NHMRC funds, the focus on community pharmacy development would be reduced (see Section </w:t>
      </w:r>
      <w:r>
        <w:fldChar w:fldCharType="begin"/>
      </w:r>
      <w:r>
        <w:instrText xml:space="preserve"> REF _Ref10383931 \r \h </w:instrText>
      </w:r>
      <w:r>
        <w:fldChar w:fldCharType="separate"/>
      </w:r>
      <w:r w:rsidR="008B7448">
        <w:t>4.2.4</w:t>
      </w:r>
      <w:r>
        <w:fldChar w:fldCharType="end"/>
      </w:r>
      <w:r>
        <w:t xml:space="preserve"> for further discussion).</w:t>
      </w:r>
    </w:p>
    <w:p w14:paraId="1758C0F1" w14:textId="6CCE806E" w:rsidR="000230CC" w:rsidRDefault="000230CC" w:rsidP="000230CC">
      <w:pPr>
        <w:pStyle w:val="BodyCopy"/>
      </w:pPr>
      <w:r>
        <w:t xml:space="preserve">Another potential funding administrator is the MRFF. </w:t>
      </w:r>
      <w:r w:rsidRPr="001763DF">
        <w:t>The Australian Medical Research Advisory Board offers advice to government about MRFF research priorities and funding</w:t>
      </w:r>
      <w:sdt>
        <w:sdtPr>
          <w:id w:val="-63190616"/>
          <w:citation/>
        </w:sdtPr>
        <w:sdtContent>
          <w:r>
            <w:fldChar w:fldCharType="begin"/>
          </w:r>
          <w:r w:rsidR="008B7448">
            <w:rPr>
              <w:lang w:val="en-US"/>
            </w:rPr>
            <w:instrText xml:space="preserve">CITATION MRF193 \l 1033 </w:instrText>
          </w:r>
          <w:r>
            <w:fldChar w:fldCharType="separate"/>
          </w:r>
          <w:r w:rsidR="008B7448">
            <w:rPr>
              <w:noProof/>
              <w:lang w:val="en-US"/>
            </w:rPr>
            <w:t xml:space="preserve"> </w:t>
          </w:r>
          <w:r w:rsidR="008B7448" w:rsidRPr="008B7448">
            <w:rPr>
              <w:noProof/>
              <w:lang w:val="en-US"/>
            </w:rPr>
            <w:t>[64]</w:t>
          </w:r>
          <w:r>
            <w:fldChar w:fldCharType="end"/>
          </w:r>
        </w:sdtContent>
      </w:sdt>
      <w:r>
        <w:t>. I</w:t>
      </w:r>
      <w:r w:rsidRPr="007D4153">
        <w:t xml:space="preserve">mplementation of MRFF programs </w:t>
      </w:r>
      <w:r>
        <w:t>is</w:t>
      </w:r>
      <w:r w:rsidRPr="007D4153">
        <w:t xml:space="preserve"> overseen by the Health and Medical Research </w:t>
      </w:r>
      <w:r w:rsidR="003A485C">
        <w:t xml:space="preserve">Office </w:t>
      </w:r>
      <w:r w:rsidRPr="007D4153">
        <w:t>(HMR</w:t>
      </w:r>
      <w:r w:rsidR="003A485C">
        <w:t>O</w:t>
      </w:r>
      <w:r w:rsidRPr="007D4153">
        <w:t>) in the Department of Health. HMR</w:t>
      </w:r>
      <w:r w:rsidR="003A485C">
        <w:t>O</w:t>
      </w:r>
      <w:r w:rsidRPr="007D4153">
        <w:t xml:space="preserve"> uses the grants expertise of the </w:t>
      </w:r>
      <w:r>
        <w:t xml:space="preserve">NHMRC </w:t>
      </w:r>
      <w:r w:rsidRPr="007D4153">
        <w:t>and the government’s Business Grants Hub to assist with administration</w:t>
      </w:r>
      <w:r>
        <w:t xml:space="preserve"> </w:t>
      </w:r>
      <w:sdt>
        <w:sdtPr>
          <w:id w:val="732055522"/>
          <w:citation/>
        </w:sdtPr>
        <w:sdtContent>
          <w:r>
            <w:fldChar w:fldCharType="begin"/>
          </w:r>
          <w:r w:rsidR="00820D12">
            <w:rPr>
              <w:lang w:val="en-US"/>
            </w:rPr>
            <w:instrText xml:space="preserve">CITATION MRF192 \l 1033 </w:instrText>
          </w:r>
          <w:r>
            <w:fldChar w:fldCharType="separate"/>
          </w:r>
          <w:r w:rsidR="008B7448" w:rsidRPr="008B7448">
            <w:rPr>
              <w:noProof/>
              <w:lang w:val="en-US"/>
            </w:rPr>
            <w:t>[65]</w:t>
          </w:r>
          <w:r>
            <w:fldChar w:fldCharType="end"/>
          </w:r>
        </w:sdtContent>
      </w:sdt>
      <w:r>
        <w:t>.</w:t>
      </w:r>
    </w:p>
    <w:p w14:paraId="7D9D4360" w14:textId="77777777" w:rsidR="006A4A32" w:rsidRDefault="000230CC" w:rsidP="000230CC">
      <w:pPr>
        <w:pStyle w:val="BodyCopy"/>
      </w:pPr>
      <w:r>
        <w:t>Further consultation with NHMRC and MRFF is needed to determine if either of these organisational options are suitable for future administration of an ongoing PTP.</w:t>
      </w:r>
    </w:p>
    <w:p w14:paraId="58ED60CB" w14:textId="2AFE6CB6" w:rsidR="000230CC" w:rsidRPr="003F4318" w:rsidRDefault="000230CC" w:rsidP="003F4318">
      <w:pPr>
        <w:pStyle w:val="Heading3"/>
      </w:pPr>
      <w:bookmarkStart w:id="185" w:name="_Toc10547245"/>
      <w:bookmarkStart w:id="186" w:name="_Toc19097807"/>
      <w:bookmarkStart w:id="187" w:name="_Toc26366405"/>
      <w:r w:rsidRPr="003F4318">
        <w:t>Options</w:t>
      </w:r>
      <w:bookmarkEnd w:id="185"/>
      <w:bookmarkEnd w:id="186"/>
      <w:bookmarkEnd w:id="187"/>
    </w:p>
    <w:p w14:paraId="25A74282" w14:textId="77777777" w:rsidR="000230CC" w:rsidRDefault="000230CC" w:rsidP="000230CC">
      <w:pPr>
        <w:pStyle w:val="BodyCopy"/>
        <w:keepNext/>
      </w:pPr>
      <w:r>
        <w:t>Potential future options include:</w:t>
      </w:r>
    </w:p>
    <w:p w14:paraId="1CAF4B3F" w14:textId="77777777" w:rsidR="000230CC" w:rsidRDefault="000230CC" w:rsidP="002C22EF">
      <w:pPr>
        <w:pStyle w:val="Numbers1"/>
        <w:numPr>
          <w:ilvl w:val="0"/>
          <w:numId w:val="50"/>
        </w:numPr>
      </w:pPr>
      <w:r w:rsidRPr="002C22EF">
        <w:rPr>
          <w:b/>
          <w:bCs/>
        </w:rPr>
        <w:t>Status quo:</w:t>
      </w:r>
      <w:r>
        <w:t xml:space="preserve"> Maintain administration of the PTP by the Department within a CPA framework.</w:t>
      </w:r>
    </w:p>
    <w:p w14:paraId="0BE67772" w14:textId="77777777" w:rsidR="000230CC" w:rsidRDefault="000230CC" w:rsidP="002C22EF">
      <w:pPr>
        <w:pStyle w:val="Numbers1"/>
        <w:numPr>
          <w:ilvl w:val="0"/>
          <w:numId w:val="20"/>
        </w:numPr>
      </w:pPr>
      <w:r w:rsidRPr="002C22EF">
        <w:rPr>
          <w:b/>
          <w:bCs/>
        </w:rPr>
        <w:t>Moderate adjustment:</w:t>
      </w:r>
      <w:r>
        <w:t xml:space="preserve"> Transfer administration of the PTP to the NHMRC.</w:t>
      </w:r>
    </w:p>
    <w:p w14:paraId="00C97D12" w14:textId="77777777" w:rsidR="006A4A32" w:rsidRDefault="000230CC" w:rsidP="002C22EF">
      <w:pPr>
        <w:pStyle w:val="Numbers1"/>
        <w:numPr>
          <w:ilvl w:val="0"/>
          <w:numId w:val="20"/>
        </w:numPr>
      </w:pPr>
      <w:r w:rsidRPr="002C22EF">
        <w:rPr>
          <w:b/>
          <w:bCs/>
        </w:rPr>
        <w:t xml:space="preserve">Significant change: </w:t>
      </w:r>
      <w:r>
        <w:t>Establish a new MRFF Research Mission to administer the program.</w:t>
      </w:r>
    </w:p>
    <w:p w14:paraId="599C3144" w14:textId="77777777" w:rsidR="006A4A32" w:rsidRDefault="000230CC" w:rsidP="000230CC">
      <w:pPr>
        <w:pStyle w:val="BodyCopy"/>
      </w:pPr>
      <w:r>
        <w:t>Benefits and challenges of these options are discussed below.</w:t>
      </w:r>
    </w:p>
    <w:p w14:paraId="44D8CAC2" w14:textId="4CCFC3ED" w:rsidR="000230CC" w:rsidRDefault="000230CC" w:rsidP="000230CC">
      <w:pPr>
        <w:pStyle w:val="Heading4"/>
      </w:pPr>
      <w:r>
        <w:lastRenderedPageBreak/>
        <w:t xml:space="preserve">Option </w:t>
      </w:r>
      <w:r w:rsidR="00DB7D48">
        <w:t>3</w:t>
      </w:r>
      <w:r>
        <w:t>.1 status quo: Maintain administration of the PTP by the Department within a CPA framework</w:t>
      </w:r>
    </w:p>
    <w:tbl>
      <w:tblPr>
        <w:tblStyle w:val="HMATableB"/>
        <w:tblW w:w="5000" w:type="pct"/>
        <w:tblLook w:val="0620" w:firstRow="1" w:lastRow="0" w:firstColumn="0" w:lastColumn="0" w:noHBand="1" w:noVBand="1"/>
        <w:tblCaption w:val="Table of benefits and challenges for option 3.1: status quo"/>
        <w:tblDescription w:val="Option 3.1 status quo: Maintain administration of the PTP by the Department within a CPA framework"/>
      </w:tblPr>
      <w:tblGrid>
        <w:gridCol w:w="3460"/>
        <w:gridCol w:w="3584"/>
      </w:tblGrid>
      <w:tr w:rsidR="000230CC" w14:paraId="1B1875BA"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456" w:type="pct"/>
            <w:shd w:val="clear" w:color="auto" w:fill="E4E4E4" w:themeFill="accent3" w:themeFillTint="33"/>
          </w:tcPr>
          <w:p w14:paraId="4BE74F84" w14:textId="77777777" w:rsidR="000230CC" w:rsidRDefault="000230CC" w:rsidP="000230CC">
            <w:pPr>
              <w:pStyle w:val="TableColumnHeading"/>
            </w:pPr>
            <w:r>
              <w:t xml:space="preserve">Benefits </w:t>
            </w:r>
          </w:p>
        </w:tc>
        <w:tc>
          <w:tcPr>
            <w:tcW w:w="2544" w:type="pct"/>
            <w:shd w:val="clear" w:color="auto" w:fill="E4E4E4" w:themeFill="accent3" w:themeFillTint="33"/>
          </w:tcPr>
          <w:p w14:paraId="03E24908" w14:textId="77777777" w:rsidR="000230CC" w:rsidRDefault="000230CC" w:rsidP="000230CC">
            <w:pPr>
              <w:pStyle w:val="TableColumnHeading"/>
            </w:pPr>
            <w:r>
              <w:t xml:space="preserve">Challenges </w:t>
            </w:r>
          </w:p>
        </w:tc>
      </w:tr>
      <w:tr w:rsidR="000230CC" w14:paraId="758771D5" w14:textId="77777777" w:rsidTr="000619E2">
        <w:tc>
          <w:tcPr>
            <w:tcW w:w="2456" w:type="pct"/>
          </w:tcPr>
          <w:p w14:paraId="14690E6E" w14:textId="77777777" w:rsidR="000230CC" w:rsidRDefault="000230CC" w:rsidP="000230CC">
            <w:pPr>
              <w:pStyle w:val="TableBullets1"/>
              <w:keepNext/>
              <w:spacing w:line="240" w:lineRule="atLeast"/>
              <w:contextualSpacing w:val="0"/>
            </w:pPr>
            <w:r>
              <w:t>Maintains a connection to establishment of new Community Pharmacy Programmes through the CPA.</w:t>
            </w:r>
          </w:p>
        </w:tc>
        <w:tc>
          <w:tcPr>
            <w:tcW w:w="2544" w:type="pct"/>
          </w:tcPr>
          <w:p w14:paraId="1D5B4BBC" w14:textId="1E28DBE1" w:rsidR="000230CC" w:rsidRDefault="000230CC" w:rsidP="000230CC">
            <w:pPr>
              <w:pStyle w:val="TableBullets1"/>
              <w:keepNext/>
              <w:spacing w:line="240" w:lineRule="atLeast"/>
              <w:contextualSpacing w:val="0"/>
            </w:pPr>
            <w:r>
              <w:t xml:space="preserve">As trials have not yet gone through the full requirements of the trial program including the </w:t>
            </w:r>
            <w:r w:rsidR="00983679">
              <w:t xml:space="preserve">independent </w:t>
            </w:r>
            <w:r>
              <w:t>HTA process, the PTP has not fully demonstrated its capacity as an appropriate mechanism for exploring alternative models of care.</w:t>
            </w:r>
          </w:p>
          <w:p w14:paraId="5275207F" w14:textId="77777777" w:rsidR="000230CC" w:rsidRDefault="000230CC" w:rsidP="000230CC">
            <w:pPr>
              <w:pStyle w:val="TableBullets1"/>
              <w:keepNext/>
              <w:spacing w:line="240" w:lineRule="atLeast"/>
              <w:contextualSpacing w:val="0"/>
            </w:pPr>
            <w:r>
              <w:t>Could require additional resources from the Department because of growing administrative requirements.</w:t>
            </w:r>
          </w:p>
          <w:p w14:paraId="19DCD4E2" w14:textId="77777777" w:rsidR="006A4A32" w:rsidRDefault="000230CC" w:rsidP="000230CC">
            <w:pPr>
              <w:pStyle w:val="TableBullets1"/>
              <w:keepNext/>
              <w:spacing w:line="240" w:lineRule="atLeast"/>
              <w:contextualSpacing w:val="0"/>
            </w:pPr>
            <w:r>
              <w:t>Restrictions of the CPA may limit the scope and timeframes of research.</w:t>
            </w:r>
          </w:p>
          <w:p w14:paraId="638EBA21" w14:textId="581ADEA9" w:rsidR="000230CC" w:rsidRDefault="000230CC" w:rsidP="00E857AB">
            <w:pPr>
              <w:pStyle w:val="TableBullets1"/>
              <w:keepNext/>
              <w:spacing w:line="240" w:lineRule="atLeast"/>
              <w:contextualSpacing w:val="0"/>
            </w:pPr>
            <w:r>
              <w:t>Does not align with some stakeholder views.</w:t>
            </w:r>
          </w:p>
        </w:tc>
      </w:tr>
    </w:tbl>
    <w:p w14:paraId="6826DD28" w14:textId="717E7A98" w:rsidR="000230CC" w:rsidRDefault="000230CC" w:rsidP="000230CC">
      <w:pPr>
        <w:pStyle w:val="Heading4"/>
      </w:pPr>
      <w:r>
        <w:t xml:space="preserve">Option </w:t>
      </w:r>
      <w:r w:rsidR="00DB7D48">
        <w:t>3</w:t>
      </w:r>
      <w:r>
        <w:t>.2 moderate adjustment: Transfer administration of the PTP to the NHMRC</w:t>
      </w:r>
    </w:p>
    <w:tbl>
      <w:tblPr>
        <w:tblStyle w:val="HMATableB"/>
        <w:tblW w:w="5000" w:type="pct"/>
        <w:tblLook w:val="0620" w:firstRow="1" w:lastRow="0" w:firstColumn="0" w:lastColumn="0" w:noHBand="1" w:noVBand="1"/>
        <w:tblCaption w:val="Table of benefits and challenges for option 3.2: moderate adjustment"/>
        <w:tblDescription w:val="Option 3.2 moderate adjustment: Transfer administration of the PTP to the NHMRC"/>
      </w:tblPr>
      <w:tblGrid>
        <w:gridCol w:w="3460"/>
        <w:gridCol w:w="3584"/>
      </w:tblGrid>
      <w:tr w:rsidR="000230CC" w14:paraId="671F3E30" w14:textId="77777777" w:rsidTr="00401B60">
        <w:trPr>
          <w:cnfStyle w:val="100000000000" w:firstRow="1" w:lastRow="0" w:firstColumn="0" w:lastColumn="0" w:oddVBand="0" w:evenVBand="0" w:oddHBand="0" w:evenHBand="0" w:firstRowFirstColumn="0" w:firstRowLastColumn="0" w:lastRowFirstColumn="0" w:lastRowLastColumn="0"/>
          <w:tblHeader/>
        </w:trPr>
        <w:tc>
          <w:tcPr>
            <w:tcW w:w="2456" w:type="pct"/>
            <w:shd w:val="clear" w:color="auto" w:fill="E4E4E4" w:themeFill="accent3" w:themeFillTint="33"/>
          </w:tcPr>
          <w:p w14:paraId="35FF2D36" w14:textId="77777777" w:rsidR="000230CC" w:rsidRDefault="000230CC" w:rsidP="000230CC">
            <w:pPr>
              <w:pStyle w:val="TableColumnHeading"/>
            </w:pPr>
            <w:r>
              <w:t xml:space="preserve">Benefits </w:t>
            </w:r>
          </w:p>
        </w:tc>
        <w:tc>
          <w:tcPr>
            <w:tcW w:w="2544" w:type="pct"/>
            <w:shd w:val="clear" w:color="auto" w:fill="E4E4E4" w:themeFill="accent3" w:themeFillTint="33"/>
          </w:tcPr>
          <w:p w14:paraId="197636C1" w14:textId="77777777" w:rsidR="000230CC" w:rsidRDefault="000230CC" w:rsidP="000230CC">
            <w:pPr>
              <w:pStyle w:val="TableColumnHeading"/>
            </w:pPr>
            <w:r>
              <w:t xml:space="preserve">Challenges </w:t>
            </w:r>
          </w:p>
        </w:tc>
      </w:tr>
      <w:tr w:rsidR="000230CC" w14:paraId="1A0E16C6" w14:textId="77777777" w:rsidTr="00312D13">
        <w:tc>
          <w:tcPr>
            <w:tcW w:w="2456" w:type="pct"/>
          </w:tcPr>
          <w:p w14:paraId="34A19A7E" w14:textId="77777777" w:rsidR="000230CC" w:rsidRPr="00BE7095" w:rsidRDefault="000230CC" w:rsidP="000230CC">
            <w:pPr>
              <w:pStyle w:val="TableBullets1"/>
              <w:spacing w:line="240" w:lineRule="atLeast"/>
              <w:contextualSpacing w:val="0"/>
            </w:pPr>
            <w:r>
              <w:t>Established grant administration body with well recognised processes.</w:t>
            </w:r>
          </w:p>
          <w:p w14:paraId="6BFACC93" w14:textId="77777777" w:rsidR="006A4A32" w:rsidRDefault="000230CC" w:rsidP="000230CC">
            <w:pPr>
              <w:pStyle w:val="TableBullets1"/>
              <w:spacing w:line="240" w:lineRule="atLeast"/>
              <w:contextualSpacing w:val="0"/>
            </w:pPr>
            <w:r>
              <w:t>Ability to increase scope of trials to include innovation, digital technology implementation and collaboration among health professionals.</w:t>
            </w:r>
          </w:p>
          <w:p w14:paraId="33BEE92C" w14:textId="47DFB3A0" w:rsidR="000230CC" w:rsidRDefault="000230CC" w:rsidP="000230CC">
            <w:pPr>
              <w:pStyle w:val="TableBullets1"/>
              <w:spacing w:line="240" w:lineRule="atLeast"/>
              <w:contextualSpacing w:val="0"/>
            </w:pPr>
            <w:r>
              <w:t xml:space="preserve">Peer review system matches researcher expectations. </w:t>
            </w:r>
          </w:p>
        </w:tc>
        <w:tc>
          <w:tcPr>
            <w:tcW w:w="2544" w:type="pct"/>
          </w:tcPr>
          <w:p w14:paraId="3E0412ED" w14:textId="77777777" w:rsidR="000230CC" w:rsidRDefault="000230CC" w:rsidP="000230CC">
            <w:pPr>
              <w:pStyle w:val="TableBullets1"/>
              <w:spacing w:line="240" w:lineRule="atLeast"/>
              <w:contextualSpacing w:val="0"/>
            </w:pPr>
            <w:r>
              <w:t>Funding could become absorbed in the general NHMRC funding pool.</w:t>
            </w:r>
          </w:p>
          <w:p w14:paraId="4DEC68F3" w14:textId="77777777" w:rsidR="006A4A32" w:rsidRDefault="000230CC" w:rsidP="000230CC">
            <w:pPr>
              <w:pStyle w:val="TableBullets1"/>
              <w:spacing w:line="240" w:lineRule="atLeast"/>
              <w:contextualSpacing w:val="0"/>
            </w:pPr>
            <w:r>
              <w:t>Limits the accessibility of non-academic institutions as NHMRC recipients need to be affiliated with an approved institution (AI) (e.g. universities listed in the Higher Education Support Act 2003.)</w:t>
            </w:r>
          </w:p>
          <w:p w14:paraId="1C85C049" w14:textId="77777777" w:rsidR="006A4A32" w:rsidRDefault="000230CC" w:rsidP="000230CC">
            <w:pPr>
              <w:pStyle w:val="TableBullets2"/>
              <w:spacing w:line="240" w:lineRule="atLeast"/>
              <w:contextualSpacing w:val="0"/>
            </w:pPr>
            <w:r>
              <w:t>NHMRC is updating processes for non-university organisations to become AIs. The new process is expected for release in mid-2019.</w:t>
            </w:r>
          </w:p>
          <w:p w14:paraId="467F3B2D" w14:textId="0183133D" w:rsidR="000230CC" w:rsidRDefault="000230CC" w:rsidP="000230CC">
            <w:pPr>
              <w:pStyle w:val="TableBullets1"/>
              <w:spacing w:line="240" w:lineRule="atLeast"/>
              <w:contextualSpacing w:val="0"/>
            </w:pPr>
            <w:r>
              <w:t xml:space="preserve">Connection to </w:t>
            </w:r>
            <w:r w:rsidR="00983679">
              <w:t xml:space="preserve">the independent </w:t>
            </w:r>
            <w:r>
              <w:t>HTA assessment for ongoing Community Pharmacy Programmes may be decreased.</w:t>
            </w:r>
          </w:p>
        </w:tc>
      </w:tr>
    </w:tbl>
    <w:p w14:paraId="298C7336" w14:textId="1C31FE60" w:rsidR="000230CC" w:rsidRDefault="000230CC" w:rsidP="000230CC">
      <w:pPr>
        <w:pStyle w:val="Heading4"/>
      </w:pPr>
      <w:r>
        <w:t xml:space="preserve">Option </w:t>
      </w:r>
      <w:r w:rsidR="00DB7D48">
        <w:t>3</w:t>
      </w:r>
      <w:r>
        <w:t>.3 significant change: Establish a new MRFF Research Mission to administer the program</w:t>
      </w:r>
    </w:p>
    <w:tbl>
      <w:tblPr>
        <w:tblStyle w:val="HMATableB"/>
        <w:tblW w:w="5000" w:type="pct"/>
        <w:tblLook w:val="0620" w:firstRow="1" w:lastRow="0" w:firstColumn="0" w:lastColumn="0" w:noHBand="1" w:noVBand="1"/>
        <w:tblCaption w:val="Table of benefits and challenges for option 3.3: significant change"/>
        <w:tblDescription w:val="Option 3.3 significant change: Establish a new MRFF Research Mission to administer the program"/>
      </w:tblPr>
      <w:tblGrid>
        <w:gridCol w:w="3460"/>
        <w:gridCol w:w="3584"/>
      </w:tblGrid>
      <w:tr w:rsidR="000230CC" w14:paraId="6B5B79A2" w14:textId="77777777" w:rsidTr="000619E2">
        <w:trPr>
          <w:cnfStyle w:val="100000000000" w:firstRow="1" w:lastRow="0" w:firstColumn="0" w:lastColumn="0" w:oddVBand="0" w:evenVBand="0" w:oddHBand="0" w:evenHBand="0" w:firstRowFirstColumn="0" w:firstRowLastColumn="0" w:lastRowFirstColumn="0" w:lastRowLastColumn="0"/>
          <w:tblHeader/>
        </w:trPr>
        <w:tc>
          <w:tcPr>
            <w:tcW w:w="2456" w:type="pct"/>
            <w:shd w:val="clear" w:color="auto" w:fill="E4E4E4" w:themeFill="accent3" w:themeFillTint="33"/>
          </w:tcPr>
          <w:p w14:paraId="0C2CAAD3" w14:textId="77777777" w:rsidR="000230CC" w:rsidRDefault="000230CC" w:rsidP="000230CC">
            <w:pPr>
              <w:pStyle w:val="TableColumnHeading"/>
            </w:pPr>
            <w:r>
              <w:t xml:space="preserve">Benefits </w:t>
            </w:r>
          </w:p>
        </w:tc>
        <w:tc>
          <w:tcPr>
            <w:tcW w:w="2544" w:type="pct"/>
            <w:shd w:val="clear" w:color="auto" w:fill="E4E4E4" w:themeFill="accent3" w:themeFillTint="33"/>
          </w:tcPr>
          <w:p w14:paraId="28A209B7" w14:textId="77777777" w:rsidR="000230CC" w:rsidRDefault="000230CC" w:rsidP="000230CC">
            <w:pPr>
              <w:pStyle w:val="TableColumnHeading"/>
            </w:pPr>
            <w:r>
              <w:t xml:space="preserve">Challenges </w:t>
            </w:r>
          </w:p>
        </w:tc>
      </w:tr>
      <w:tr w:rsidR="000230CC" w14:paraId="0E323B05" w14:textId="77777777" w:rsidTr="000619E2">
        <w:tc>
          <w:tcPr>
            <w:tcW w:w="2456" w:type="pct"/>
          </w:tcPr>
          <w:p w14:paraId="2F5638FC" w14:textId="77777777" w:rsidR="000230CC" w:rsidRDefault="000230CC" w:rsidP="000230CC">
            <w:pPr>
              <w:pStyle w:val="TableBullets1"/>
              <w:spacing w:line="240" w:lineRule="atLeast"/>
              <w:contextualSpacing w:val="0"/>
            </w:pPr>
            <w:r>
              <w:t>Established health related grant administration body with well recognised processes.</w:t>
            </w:r>
          </w:p>
          <w:p w14:paraId="5D3FB6F3" w14:textId="77777777" w:rsidR="006A4A32" w:rsidRDefault="000230CC" w:rsidP="000230CC">
            <w:pPr>
              <w:pStyle w:val="TableBullets1"/>
              <w:spacing w:line="240" w:lineRule="atLeast"/>
              <w:contextualSpacing w:val="0"/>
            </w:pPr>
            <w:r>
              <w:t>Ability to increase scope of trials to include innovation, digital technology implementation and collaboration among health professionals.</w:t>
            </w:r>
          </w:p>
          <w:p w14:paraId="1610D418" w14:textId="522E820B" w:rsidR="000230CC" w:rsidRDefault="000230CC" w:rsidP="000230CC">
            <w:pPr>
              <w:pStyle w:val="TableBullets1"/>
              <w:spacing w:line="240" w:lineRule="atLeast"/>
              <w:contextualSpacing w:val="0"/>
            </w:pPr>
            <w:r>
              <w:t>Peer review system matches researcher expectations.</w:t>
            </w:r>
          </w:p>
          <w:p w14:paraId="1EA55358" w14:textId="77777777" w:rsidR="000230CC" w:rsidRDefault="000230CC" w:rsidP="000230CC">
            <w:pPr>
              <w:pStyle w:val="TableBullets1"/>
              <w:spacing w:line="240" w:lineRule="atLeast"/>
              <w:contextualSpacing w:val="0"/>
            </w:pPr>
            <w:r>
              <w:t>Potential to include greater consumer and carer perspectives (including vulnerable populations) in advisory groups.</w:t>
            </w:r>
          </w:p>
          <w:p w14:paraId="477B1A67" w14:textId="44B545DF" w:rsidR="000230CC" w:rsidRDefault="000230CC">
            <w:pPr>
              <w:pStyle w:val="TableBullets1"/>
              <w:spacing w:line="240" w:lineRule="atLeast"/>
              <w:contextualSpacing w:val="0"/>
            </w:pPr>
            <w:r>
              <w:t xml:space="preserve">As MRFF is managed within the Department there is a connection to the </w:t>
            </w:r>
            <w:r w:rsidR="00983679">
              <w:t>i</w:t>
            </w:r>
            <w:r w:rsidR="004D63E6">
              <w:t xml:space="preserve">ndependent </w:t>
            </w:r>
            <w:r>
              <w:t>HTA process.</w:t>
            </w:r>
          </w:p>
        </w:tc>
        <w:tc>
          <w:tcPr>
            <w:tcW w:w="2544" w:type="pct"/>
          </w:tcPr>
          <w:p w14:paraId="11CA0519" w14:textId="1BE87EB1" w:rsidR="000230CC" w:rsidRDefault="000230CC" w:rsidP="00E857AB">
            <w:pPr>
              <w:pStyle w:val="TableBullets1"/>
              <w:spacing w:line="240" w:lineRule="atLeast"/>
              <w:contextualSpacing w:val="0"/>
            </w:pPr>
            <w:r>
              <w:t xml:space="preserve">Requires support from the </w:t>
            </w:r>
            <w:r w:rsidRPr="001763DF">
              <w:t>Australian Medical Research Advisory Board</w:t>
            </w:r>
            <w:r>
              <w:t>.</w:t>
            </w:r>
          </w:p>
        </w:tc>
      </w:tr>
    </w:tbl>
    <w:p w14:paraId="2E82039E" w14:textId="77777777" w:rsidR="000230CC" w:rsidRDefault="000230CC" w:rsidP="000230CC">
      <w:pPr>
        <w:pStyle w:val="BodyCopy"/>
      </w:pPr>
    </w:p>
    <w:p w14:paraId="4CD18E47" w14:textId="77777777" w:rsidR="000230CC" w:rsidRDefault="000230CC" w:rsidP="000230CC">
      <w:pPr>
        <w:pStyle w:val="Heading1"/>
        <w:framePr w:wrap="around"/>
      </w:pPr>
      <w:bookmarkStart w:id="188" w:name="_Toc26366406"/>
      <w:r>
        <w:lastRenderedPageBreak/>
        <w:t>Appendices</w:t>
      </w:r>
      <w:bookmarkEnd w:id="188"/>
    </w:p>
    <w:p w14:paraId="1E4C1761" w14:textId="77777777" w:rsidR="000230CC" w:rsidRDefault="00002E1E" w:rsidP="00002E1E">
      <w:pPr>
        <w:pStyle w:val="HeadingAppendix2"/>
      </w:pPr>
      <w:bookmarkStart w:id="189" w:name="_Ref24541012"/>
      <w:r>
        <w:t>Description of research methodology types</w:t>
      </w:r>
      <w:bookmarkEnd w:id="189"/>
    </w:p>
    <w:p w14:paraId="5824F70A" w14:textId="77777777" w:rsidR="006A4A32" w:rsidRDefault="00002E1E" w:rsidP="00002E1E">
      <w:pPr>
        <w:pStyle w:val="Heading4"/>
      </w:pPr>
      <w:r>
        <w:t>Systematic review and critical appraisal</w:t>
      </w:r>
    </w:p>
    <w:p w14:paraId="5D58C4AC" w14:textId="77777777" w:rsidR="006A4A32" w:rsidRDefault="00002E1E" w:rsidP="00002E1E">
      <w:pPr>
        <w:pStyle w:val="BodyCopy"/>
      </w:pPr>
      <w:r>
        <w:t>Systematic reviews provide a comparison and analysis of primary studies within a specific study area. This results in an assessment of the comparative strengths and weaknesses of study design and implementation.</w:t>
      </w:r>
    </w:p>
    <w:p w14:paraId="471899DA" w14:textId="77777777" w:rsidR="006A4A32" w:rsidRDefault="00002E1E" w:rsidP="00002E1E">
      <w:pPr>
        <w:pStyle w:val="BodyCopy"/>
      </w:pPr>
      <w:r>
        <w:t>Critical appraisals provide systematic reviews of a single primary study and assessment of its strengths and weaknesses.</w:t>
      </w:r>
    </w:p>
    <w:p w14:paraId="6146BE29" w14:textId="77777777" w:rsidR="006A4A32" w:rsidRDefault="00002E1E" w:rsidP="00002E1E">
      <w:pPr>
        <w:pStyle w:val="BodyCopy"/>
      </w:pPr>
      <w:r>
        <w:t>However, systematic reviews and critical appraisals provide a meta-analysis and are not themselves a primary study.</w:t>
      </w:r>
    </w:p>
    <w:p w14:paraId="664A2B4D" w14:textId="15D32BDF" w:rsidR="00002E1E" w:rsidRDefault="00002E1E" w:rsidP="00002E1E">
      <w:pPr>
        <w:pStyle w:val="Heading4"/>
      </w:pPr>
      <w:r>
        <w:t>Randomised controlled trials</w:t>
      </w:r>
    </w:p>
    <w:p w14:paraId="466C1ACA" w14:textId="43495F02" w:rsidR="00002E1E" w:rsidRDefault="00002E1E" w:rsidP="00002E1E">
      <w:pPr>
        <w:pStyle w:val="BodyCopy"/>
        <w:keepNext/>
        <w:keepLines/>
      </w:pPr>
      <w:r>
        <w:t xml:space="preserve">Randomised controlled trials (RCTs) are considered the most rigorous study methodology for determining a cause-and-effect relationship between intervention and patient outcomes as the design seeks to eliminate confounding variables </w:t>
      </w:r>
      <w:sdt>
        <w:sdtPr>
          <w:id w:val="-707025553"/>
          <w:citation/>
        </w:sdtPr>
        <w:sdtContent>
          <w:r>
            <w:fldChar w:fldCharType="begin"/>
          </w:r>
          <w:r>
            <w:instrText xml:space="preserve"> CITATION Sib98 \l 3081 </w:instrText>
          </w:r>
          <w:r>
            <w:fldChar w:fldCharType="separate"/>
          </w:r>
          <w:r w:rsidR="008B7448" w:rsidRPr="008B7448">
            <w:rPr>
              <w:noProof/>
            </w:rPr>
            <w:t>[24]</w:t>
          </w:r>
          <w:r>
            <w:fldChar w:fldCharType="end"/>
          </w:r>
        </w:sdtContent>
      </w:sdt>
      <w:r>
        <w:t>. Regarding primary study methodologies, RCTs are considered the least susceptible to bias and, therefore, produce the strongest evidence of treatment effectiveness. In addition, evidence from RCTs with larger sample sizes is considered stronger than from those with small sample sizes. Key features of an RCT include:</w:t>
      </w:r>
    </w:p>
    <w:p w14:paraId="3C4C8DDA" w14:textId="720240AA" w:rsidR="00002E1E" w:rsidRDefault="00002E1E" w:rsidP="002C22EF">
      <w:pPr>
        <w:pStyle w:val="ListBullet"/>
      </w:pPr>
      <w:r>
        <w:t>random allocation of patients/consumers to an intervention group</w:t>
      </w:r>
      <w:r w:rsidR="00983679">
        <w:t>;</w:t>
      </w:r>
    </w:p>
    <w:p w14:paraId="631F9ECF" w14:textId="77777777" w:rsidR="006A4A32" w:rsidRDefault="00002E1E" w:rsidP="002C22EF">
      <w:pPr>
        <w:pStyle w:val="ListBullet"/>
      </w:pPr>
      <w:r>
        <w:t>‘blinding’ of participants and/or researchers to which group is receiving the intervention</w:t>
      </w:r>
      <w:r w:rsidR="00983679">
        <w:t xml:space="preserve">; </w:t>
      </w:r>
    </w:p>
    <w:p w14:paraId="49500A8C" w14:textId="284E6905" w:rsidR="00002E1E" w:rsidRDefault="00002E1E" w:rsidP="002C22EF">
      <w:pPr>
        <w:pStyle w:val="ListBullet"/>
      </w:pPr>
      <w:r>
        <w:t>both groups are treated identically, apart from the intervention protocol</w:t>
      </w:r>
    </w:p>
    <w:p w14:paraId="0DF57B40" w14:textId="77777777" w:rsidR="006A4A32" w:rsidRDefault="00002E1E" w:rsidP="002C22EF">
      <w:pPr>
        <w:pStyle w:val="ListBullet"/>
      </w:pPr>
      <w:r>
        <w:t>data is analysed based on the group to which the participant is allocated regardless of intervention non-compliance, withdrawal or protocol deviation, according to intention to treat principles</w:t>
      </w:r>
      <w:r w:rsidR="00983679">
        <w:t>;</w:t>
      </w:r>
      <w:r>
        <w:t xml:space="preserve"> and</w:t>
      </w:r>
    </w:p>
    <w:p w14:paraId="3AEF0208" w14:textId="77777777" w:rsidR="006A4A32" w:rsidRDefault="00002E1E" w:rsidP="002C22EF">
      <w:pPr>
        <w:pStyle w:val="ListBullet"/>
      </w:pPr>
      <w:r>
        <w:t>analysis is focused on estimating the size of the difference in predefined outcomes between intervention groups.</w:t>
      </w:r>
    </w:p>
    <w:p w14:paraId="3C0DEC01" w14:textId="77777777" w:rsidR="006A4A32" w:rsidRDefault="00002E1E" w:rsidP="00002E1E">
      <w:pPr>
        <w:pStyle w:val="BodyCopy"/>
      </w:pPr>
      <w:r>
        <w:t>Double blind RCTs (i.e. neither participants nor researchers know the intervention group) are preferred to minimise bias, including overestimation of trial effectiveness. However, in service delivery interventions, it is not possible to blind the researcher delivering the intervention. In these instances, the risk of bias can be overcome by blinding the evaluator</w:t>
      </w:r>
      <w:r w:rsidR="00983679">
        <w:t>.</w:t>
      </w:r>
      <w:r>
        <w:t xml:space="preserve"> </w:t>
      </w:r>
      <w:sdt>
        <w:sdtPr>
          <w:id w:val="123674700"/>
          <w:citation/>
        </w:sdtPr>
        <w:sdtContent>
          <w:r>
            <w:fldChar w:fldCharType="begin"/>
          </w:r>
          <w:r>
            <w:instrText xml:space="preserve"> CITATION Sib98 \l 3081 </w:instrText>
          </w:r>
          <w:r>
            <w:fldChar w:fldCharType="separate"/>
          </w:r>
          <w:r w:rsidR="008B7448" w:rsidRPr="008B7448">
            <w:rPr>
              <w:noProof/>
            </w:rPr>
            <w:t>[24]</w:t>
          </w:r>
          <w:r>
            <w:fldChar w:fldCharType="end"/>
          </w:r>
        </w:sdtContent>
      </w:sdt>
    </w:p>
    <w:p w14:paraId="5E233222" w14:textId="77777777" w:rsidR="006A4A32" w:rsidRDefault="00002E1E" w:rsidP="00002E1E">
      <w:pPr>
        <w:pStyle w:val="Heading4"/>
      </w:pPr>
      <w:r>
        <w:t>Cohort studies</w:t>
      </w:r>
    </w:p>
    <w:p w14:paraId="78C7488A" w14:textId="7D23B6A7" w:rsidR="00002E1E" w:rsidRDefault="00002E1E" w:rsidP="00002E1E">
      <w:pPr>
        <w:pStyle w:val="BodyCopy"/>
      </w:pPr>
      <w:r>
        <w:t>A cohort study is d</w:t>
      </w:r>
      <w:r w:rsidRPr="004F2588">
        <w:t xml:space="preserve">esigned to assess </w:t>
      </w:r>
      <w:r>
        <w:t>if a</w:t>
      </w:r>
      <w:r w:rsidRPr="004F2588">
        <w:t xml:space="preserve"> </w:t>
      </w:r>
      <w:r>
        <w:t xml:space="preserve">particular </w:t>
      </w:r>
      <w:r w:rsidRPr="004F2588">
        <w:t>characteristic is associated with the development of a disease or other clinical outcome</w:t>
      </w:r>
      <w:r>
        <w:t>. Features of a cohort study include:</w:t>
      </w:r>
    </w:p>
    <w:p w14:paraId="4DB5599C" w14:textId="77777777" w:rsidR="006A4A32" w:rsidRDefault="00002E1E" w:rsidP="002C22EF">
      <w:pPr>
        <w:pStyle w:val="ListBullet"/>
      </w:pPr>
      <w:r>
        <w:t>a longitudinal approach that follows groups of individuals with a common characteristic, e.g. demographic characteristics, exposure, disease risk factor, over a period of time</w:t>
      </w:r>
      <w:r w:rsidR="00983679">
        <w:t>;</w:t>
      </w:r>
    </w:p>
    <w:p w14:paraId="27700A12" w14:textId="77777777" w:rsidR="006A4A32" w:rsidRDefault="00002E1E" w:rsidP="002C22EF">
      <w:pPr>
        <w:pStyle w:val="ListBullet"/>
      </w:pPr>
      <w:r>
        <w:t>assessment of the association of characteristic to the development of a disease or other clinical outcome</w:t>
      </w:r>
      <w:r w:rsidR="00983679">
        <w:t>;</w:t>
      </w:r>
      <w:r>
        <w:t xml:space="preserve"> and</w:t>
      </w:r>
    </w:p>
    <w:p w14:paraId="5C6FFD05" w14:textId="413B9FD8" w:rsidR="00002E1E" w:rsidRDefault="00002E1E" w:rsidP="002C22EF">
      <w:pPr>
        <w:pStyle w:val="ListBullet"/>
      </w:pPr>
      <w:r>
        <w:t>can be conducted retrospectively or prospectively</w:t>
      </w:r>
      <w:r w:rsidR="00E728A9">
        <w:t>.</w:t>
      </w:r>
      <w:r>
        <w:t xml:space="preserve"> </w:t>
      </w:r>
      <w:sdt>
        <w:sdtPr>
          <w:id w:val="1181625146"/>
          <w:citation/>
        </w:sdtPr>
        <w:sdtContent>
          <w:r>
            <w:fldChar w:fldCharType="begin"/>
          </w:r>
          <w:r>
            <w:instrText xml:space="preserve">CITATION Son10 \l 3081 </w:instrText>
          </w:r>
          <w:r>
            <w:fldChar w:fldCharType="separate"/>
          </w:r>
          <w:r w:rsidR="008B7448" w:rsidRPr="008B7448">
            <w:rPr>
              <w:noProof/>
            </w:rPr>
            <w:t>[66]</w:t>
          </w:r>
          <w:r>
            <w:fldChar w:fldCharType="end"/>
          </w:r>
        </w:sdtContent>
      </w:sdt>
    </w:p>
    <w:p w14:paraId="4F4AA379" w14:textId="4D260724" w:rsidR="00002E1E" w:rsidRDefault="00002E1E" w:rsidP="00002E1E">
      <w:pPr>
        <w:pStyle w:val="BodyCopy"/>
      </w:pPr>
      <w:r>
        <w:t>A well-designed cohort study with large participant numbers can produce more reliable results than an RCT with low participation rates</w:t>
      </w:r>
      <w:r w:rsidR="00E728A9">
        <w:t>.</w:t>
      </w:r>
      <w:r>
        <w:t xml:space="preserve"> </w:t>
      </w:r>
      <w:sdt>
        <w:sdtPr>
          <w:id w:val="-1475906759"/>
          <w:citation/>
        </w:sdtPr>
        <w:sdtContent>
          <w:r>
            <w:fldChar w:fldCharType="begin"/>
          </w:r>
          <w:r>
            <w:instrText xml:space="preserve"> CITATION Gup11 \l 3081 </w:instrText>
          </w:r>
          <w:r>
            <w:fldChar w:fldCharType="separate"/>
          </w:r>
          <w:r w:rsidR="008B7448" w:rsidRPr="008B7448">
            <w:rPr>
              <w:noProof/>
            </w:rPr>
            <w:t>[67]</w:t>
          </w:r>
          <w:r>
            <w:fldChar w:fldCharType="end"/>
          </w:r>
        </w:sdtContent>
      </w:sdt>
    </w:p>
    <w:p w14:paraId="7D6E400E" w14:textId="77777777" w:rsidR="00002E1E" w:rsidRDefault="00002E1E" w:rsidP="00002E1E">
      <w:pPr>
        <w:pStyle w:val="Heading4"/>
      </w:pPr>
      <w:r>
        <w:t>Case-controlled studies</w:t>
      </w:r>
    </w:p>
    <w:p w14:paraId="099C56E5" w14:textId="77777777" w:rsidR="00002E1E" w:rsidRDefault="00002E1E" w:rsidP="00002E1E">
      <w:pPr>
        <w:pStyle w:val="BodyCopy"/>
      </w:pPr>
      <w:r>
        <w:t>Case-controlled studies are a form of observational study, i.e. no intervention is provided. Features include:</w:t>
      </w:r>
    </w:p>
    <w:p w14:paraId="3CF5A177" w14:textId="77777777" w:rsidR="006A4A32" w:rsidRDefault="00002E1E" w:rsidP="002C22EF">
      <w:pPr>
        <w:pStyle w:val="ListBullet"/>
      </w:pPr>
      <w:r>
        <w:t>observational only, no intervention</w:t>
      </w:r>
      <w:r w:rsidR="00983679">
        <w:t>;</w:t>
      </w:r>
    </w:p>
    <w:p w14:paraId="16EDED59" w14:textId="31F91DB6" w:rsidR="00002E1E" w:rsidRDefault="00002E1E" w:rsidP="002C22EF">
      <w:pPr>
        <w:pStyle w:val="ListBullet"/>
      </w:pPr>
      <w:r>
        <w:lastRenderedPageBreak/>
        <w:t>can be conducted retrospectively or prospectively</w:t>
      </w:r>
      <w:r w:rsidR="00983679">
        <w:t>;</w:t>
      </w:r>
    </w:p>
    <w:p w14:paraId="54BCB92B" w14:textId="77777777" w:rsidR="006A4A32" w:rsidRDefault="00002E1E" w:rsidP="002C22EF">
      <w:pPr>
        <w:pStyle w:val="ListBullet"/>
      </w:pPr>
      <w:r>
        <w:t>resulting evidence can be used to prove an association but is not able to establish cause and effect</w:t>
      </w:r>
      <w:r w:rsidR="00983679">
        <w:t>;</w:t>
      </w:r>
      <w:r>
        <w:t xml:space="preserve"> and</w:t>
      </w:r>
    </w:p>
    <w:p w14:paraId="3629B0D2" w14:textId="77777777" w:rsidR="006A4A32" w:rsidRDefault="00002E1E" w:rsidP="002C22EF">
      <w:pPr>
        <w:pStyle w:val="ListBullet"/>
      </w:pPr>
      <w:r>
        <w:t>uncontrolled observational studies are termed case-series studies.</w:t>
      </w:r>
    </w:p>
    <w:p w14:paraId="284588BA" w14:textId="77777777" w:rsidR="006A4A32" w:rsidRDefault="00002E1E" w:rsidP="00002E1E">
      <w:pPr>
        <w:pStyle w:val="Heading4"/>
      </w:pPr>
      <w:r>
        <w:t>Expert opinion</w:t>
      </w:r>
    </w:p>
    <w:p w14:paraId="6EFEDA97" w14:textId="77777777" w:rsidR="006A4A32" w:rsidRDefault="00002E1E" w:rsidP="00002E1E">
      <w:pPr>
        <w:pStyle w:val="BodyCopy"/>
      </w:pPr>
      <w:r>
        <w:t>Perspectives or predictions provided by individuals who are considered experts in the field of interest. The strength of expert opinion is reinforced through a consensus of multiple experts. However, it cannot be considered a form of primary study and is the least robust form of evidence collection, and subject to the most bias.</w:t>
      </w:r>
    </w:p>
    <w:p w14:paraId="7B707917" w14:textId="0E9B1845" w:rsidR="00002E1E" w:rsidRDefault="00002E1E" w:rsidP="00002E1E">
      <w:pPr>
        <w:pStyle w:val="HeadingAppendix2"/>
      </w:pPr>
      <w:bookmarkStart w:id="190" w:name="_Ref24541055"/>
      <w:r>
        <w:t>Stakeholder contacts</w:t>
      </w:r>
      <w:bookmarkEnd w:id="190"/>
    </w:p>
    <w:p w14:paraId="24E24F5C" w14:textId="77777777" w:rsidR="00002E1E" w:rsidRDefault="00002E1E" w:rsidP="00002E1E">
      <w:pPr>
        <w:pStyle w:val="Heading4"/>
      </w:pPr>
      <w:r w:rsidRPr="004D04DC">
        <w:rPr>
          <w:rStyle w:val="Captionnotbold"/>
        </w:rPr>
        <w:t>Individuals and organisations consulted</w:t>
      </w:r>
    </w:p>
    <w:tbl>
      <w:tblPr>
        <w:tblStyle w:val="HMATableB"/>
        <w:tblW w:w="0" w:type="auto"/>
        <w:tblLook w:val="0620" w:firstRow="1" w:lastRow="0" w:firstColumn="0" w:lastColumn="0" w:noHBand="1" w:noVBand="1"/>
        <w:tblCaption w:val="Individuals and organisations consulted"/>
        <w:tblDescription w:val="Table of stakeholder contacts"/>
      </w:tblPr>
      <w:tblGrid>
        <w:gridCol w:w="2830"/>
        <w:gridCol w:w="2835"/>
      </w:tblGrid>
      <w:tr w:rsidR="00002E1E" w14:paraId="5514C7E6" w14:textId="77777777" w:rsidTr="00401B60">
        <w:trPr>
          <w:cnfStyle w:val="100000000000" w:firstRow="1" w:lastRow="0" w:firstColumn="0" w:lastColumn="0" w:oddVBand="0" w:evenVBand="0" w:oddHBand="0" w:evenHBand="0" w:firstRowFirstColumn="0" w:firstRowLastColumn="0" w:lastRowFirstColumn="0" w:lastRowLastColumn="0"/>
          <w:tblHeader/>
        </w:trPr>
        <w:tc>
          <w:tcPr>
            <w:tcW w:w="2830" w:type="dxa"/>
            <w:shd w:val="clear" w:color="auto" w:fill="E4E4E4" w:themeFill="accent3" w:themeFillTint="33"/>
          </w:tcPr>
          <w:p w14:paraId="190B3465" w14:textId="77777777" w:rsidR="00002E1E" w:rsidRDefault="00002E1E" w:rsidP="00002E1E">
            <w:pPr>
              <w:pStyle w:val="TableColumnHeading"/>
            </w:pPr>
            <w:r>
              <w:t>Organisation</w:t>
            </w:r>
          </w:p>
        </w:tc>
        <w:tc>
          <w:tcPr>
            <w:tcW w:w="2835" w:type="dxa"/>
            <w:shd w:val="clear" w:color="auto" w:fill="E4E4E4" w:themeFill="accent3" w:themeFillTint="33"/>
          </w:tcPr>
          <w:p w14:paraId="5DE5D477" w14:textId="77777777" w:rsidR="00002E1E" w:rsidRDefault="00002E1E" w:rsidP="00002E1E">
            <w:pPr>
              <w:pStyle w:val="TableColumnHeading"/>
            </w:pPr>
            <w:r>
              <w:t>Contact(s) consulted</w:t>
            </w:r>
          </w:p>
        </w:tc>
      </w:tr>
      <w:tr w:rsidR="00002E1E" w14:paraId="302FE352" w14:textId="77777777" w:rsidTr="00312D13">
        <w:tc>
          <w:tcPr>
            <w:tcW w:w="2830" w:type="dxa"/>
          </w:tcPr>
          <w:p w14:paraId="1945A743" w14:textId="77777777" w:rsidR="00002E1E" w:rsidRPr="00DF2827" w:rsidRDefault="00002E1E" w:rsidP="00002E1E">
            <w:pPr>
              <w:pStyle w:val="TableCopy"/>
            </w:pPr>
            <w:r>
              <w:t>AACP</w:t>
            </w:r>
          </w:p>
        </w:tc>
        <w:tc>
          <w:tcPr>
            <w:tcW w:w="2835" w:type="dxa"/>
          </w:tcPr>
          <w:p w14:paraId="202E6D9D" w14:textId="21242E13" w:rsidR="00002E1E" w:rsidRPr="00E728A9" w:rsidRDefault="004D63E6" w:rsidP="00E728A9">
            <w:pPr>
              <w:pStyle w:val="TableBullets1"/>
            </w:pPr>
            <w:r w:rsidRPr="00E728A9">
              <w:t xml:space="preserve">Mr </w:t>
            </w:r>
            <w:r w:rsidR="00002E1E" w:rsidRPr="00E728A9">
              <w:t>Grant Martin</w:t>
            </w:r>
          </w:p>
        </w:tc>
      </w:tr>
      <w:tr w:rsidR="00002E1E" w14:paraId="5539CFF1" w14:textId="77777777" w:rsidTr="00312D13">
        <w:tc>
          <w:tcPr>
            <w:tcW w:w="2830" w:type="dxa"/>
          </w:tcPr>
          <w:p w14:paraId="38309EFA" w14:textId="77777777" w:rsidR="00002E1E" w:rsidRPr="00DF2827" w:rsidRDefault="00002E1E" w:rsidP="00002E1E">
            <w:pPr>
              <w:pStyle w:val="TableCopy"/>
            </w:pPr>
            <w:r>
              <w:t>ACRRM</w:t>
            </w:r>
          </w:p>
        </w:tc>
        <w:tc>
          <w:tcPr>
            <w:tcW w:w="2835" w:type="dxa"/>
          </w:tcPr>
          <w:p w14:paraId="3C4F9CA9" w14:textId="3D260C25" w:rsidR="00002E1E" w:rsidRPr="00E728A9" w:rsidRDefault="004D63E6" w:rsidP="00E728A9">
            <w:pPr>
              <w:pStyle w:val="TableBullets1"/>
            </w:pPr>
            <w:r w:rsidRPr="00E728A9">
              <w:t xml:space="preserve">Ms </w:t>
            </w:r>
            <w:r w:rsidR="00002E1E" w:rsidRPr="00E728A9">
              <w:t>Jenny Johnson</w:t>
            </w:r>
          </w:p>
        </w:tc>
      </w:tr>
      <w:tr w:rsidR="00002E1E" w14:paraId="10B1B93B" w14:textId="77777777" w:rsidTr="00312D13">
        <w:tc>
          <w:tcPr>
            <w:tcW w:w="2830" w:type="dxa"/>
          </w:tcPr>
          <w:p w14:paraId="25EB3482" w14:textId="77777777" w:rsidR="00002E1E" w:rsidRPr="00DF2827" w:rsidRDefault="00002E1E" w:rsidP="00002E1E">
            <w:pPr>
              <w:pStyle w:val="TableCopy"/>
            </w:pPr>
            <w:r>
              <w:t>ADHA</w:t>
            </w:r>
          </w:p>
        </w:tc>
        <w:tc>
          <w:tcPr>
            <w:tcW w:w="2835" w:type="dxa"/>
          </w:tcPr>
          <w:p w14:paraId="4B4A1E8A" w14:textId="505C3721" w:rsidR="00002E1E" w:rsidRPr="00E728A9" w:rsidRDefault="004D63E6" w:rsidP="00E728A9">
            <w:pPr>
              <w:pStyle w:val="TableBullets1"/>
            </w:pPr>
            <w:r w:rsidRPr="00E728A9">
              <w:t xml:space="preserve">Mr </w:t>
            </w:r>
            <w:r w:rsidR="00002E1E" w:rsidRPr="00E728A9">
              <w:t>Darnel Murgatroyd</w:t>
            </w:r>
          </w:p>
          <w:p w14:paraId="758280A0" w14:textId="00AE3C39" w:rsidR="00002E1E" w:rsidRPr="00E728A9" w:rsidRDefault="004D63E6" w:rsidP="00E728A9">
            <w:pPr>
              <w:pStyle w:val="TableBullets1"/>
            </w:pPr>
            <w:r w:rsidRPr="00E728A9">
              <w:t xml:space="preserve">Ms </w:t>
            </w:r>
            <w:r w:rsidR="00002E1E" w:rsidRPr="00E728A9">
              <w:t>Vandana Chandnani</w:t>
            </w:r>
          </w:p>
          <w:p w14:paraId="2A8D7AEE" w14:textId="6367BB2F" w:rsidR="00002E1E" w:rsidRPr="00E728A9" w:rsidRDefault="004D63E6" w:rsidP="00E728A9">
            <w:pPr>
              <w:pStyle w:val="TableBullets1"/>
            </w:pPr>
            <w:r w:rsidRPr="00E728A9">
              <w:t xml:space="preserve">Mr </w:t>
            </w:r>
            <w:r w:rsidR="00002E1E" w:rsidRPr="00E728A9">
              <w:t>Andrew Matthews</w:t>
            </w:r>
          </w:p>
        </w:tc>
      </w:tr>
      <w:tr w:rsidR="00002E1E" w14:paraId="56E0046E" w14:textId="77777777" w:rsidTr="00312D13">
        <w:tc>
          <w:tcPr>
            <w:tcW w:w="2830" w:type="dxa"/>
          </w:tcPr>
          <w:p w14:paraId="0D1BCBD4" w14:textId="77777777" w:rsidR="00002E1E" w:rsidRPr="00DF2827" w:rsidRDefault="00002E1E" w:rsidP="00002E1E">
            <w:pPr>
              <w:pStyle w:val="TableCopy"/>
            </w:pPr>
            <w:r>
              <w:t>AHPA</w:t>
            </w:r>
          </w:p>
        </w:tc>
        <w:tc>
          <w:tcPr>
            <w:tcW w:w="2835" w:type="dxa"/>
          </w:tcPr>
          <w:p w14:paraId="7E672AC0" w14:textId="714D43FB" w:rsidR="00002E1E" w:rsidRPr="00E728A9" w:rsidRDefault="004D63E6" w:rsidP="00E728A9">
            <w:pPr>
              <w:pStyle w:val="TableBullets1"/>
            </w:pPr>
            <w:r w:rsidRPr="00E728A9">
              <w:t xml:space="preserve">Ms </w:t>
            </w:r>
            <w:r w:rsidR="00002E1E" w:rsidRPr="00E728A9">
              <w:t>Claire Hewat</w:t>
            </w:r>
          </w:p>
        </w:tc>
      </w:tr>
      <w:tr w:rsidR="00002E1E" w14:paraId="71DD49FC" w14:textId="77777777" w:rsidTr="00312D13">
        <w:tc>
          <w:tcPr>
            <w:tcW w:w="2830" w:type="dxa"/>
          </w:tcPr>
          <w:p w14:paraId="6B16D363" w14:textId="77777777" w:rsidR="00002E1E" w:rsidRPr="00DF2827" w:rsidRDefault="00002E1E" w:rsidP="00002E1E">
            <w:pPr>
              <w:pStyle w:val="TableCopy"/>
            </w:pPr>
            <w:r>
              <w:t>Black Swan Health</w:t>
            </w:r>
          </w:p>
        </w:tc>
        <w:tc>
          <w:tcPr>
            <w:tcW w:w="2835" w:type="dxa"/>
          </w:tcPr>
          <w:p w14:paraId="65B87E97" w14:textId="73917BE7" w:rsidR="00002E1E" w:rsidRPr="00E728A9" w:rsidRDefault="004D63E6" w:rsidP="00E728A9">
            <w:pPr>
              <w:pStyle w:val="TableBullets1"/>
            </w:pPr>
            <w:r w:rsidRPr="00E728A9">
              <w:t xml:space="preserve">Ms </w:t>
            </w:r>
            <w:r w:rsidR="00002E1E" w:rsidRPr="00E728A9">
              <w:t>Sarah Tadier</w:t>
            </w:r>
          </w:p>
        </w:tc>
      </w:tr>
      <w:tr w:rsidR="00002E1E" w14:paraId="2DBD27F6" w14:textId="77777777" w:rsidTr="00312D13">
        <w:tc>
          <w:tcPr>
            <w:tcW w:w="2830" w:type="dxa"/>
          </w:tcPr>
          <w:p w14:paraId="516C2E4C" w14:textId="77777777" w:rsidR="00002E1E" w:rsidRPr="00DF2827" w:rsidRDefault="00002E1E" w:rsidP="00002E1E">
            <w:pPr>
              <w:pStyle w:val="TableCopy"/>
            </w:pPr>
            <w:r>
              <w:t>CHF</w:t>
            </w:r>
          </w:p>
        </w:tc>
        <w:tc>
          <w:tcPr>
            <w:tcW w:w="2835" w:type="dxa"/>
          </w:tcPr>
          <w:p w14:paraId="3E390D39" w14:textId="01E5CA74" w:rsidR="00002E1E" w:rsidRPr="00E728A9" w:rsidRDefault="004D63E6" w:rsidP="00E728A9">
            <w:pPr>
              <w:pStyle w:val="TableBullets1"/>
            </w:pPr>
            <w:r w:rsidRPr="00E728A9">
              <w:t xml:space="preserve">Ms </w:t>
            </w:r>
            <w:r w:rsidR="00002E1E" w:rsidRPr="00E728A9">
              <w:t>Jo Root</w:t>
            </w:r>
          </w:p>
        </w:tc>
      </w:tr>
      <w:tr w:rsidR="00002E1E" w14:paraId="2EC7BB85" w14:textId="77777777" w:rsidTr="00312D13">
        <w:tc>
          <w:tcPr>
            <w:tcW w:w="2830" w:type="dxa"/>
          </w:tcPr>
          <w:p w14:paraId="4CB2E38E" w14:textId="77777777" w:rsidR="00002E1E" w:rsidRDefault="00002E1E" w:rsidP="00002E1E">
            <w:pPr>
              <w:pStyle w:val="TableCopy"/>
            </w:pPr>
            <w:r w:rsidRPr="006746CF">
              <w:t>C</w:t>
            </w:r>
            <w:r>
              <w:t>entral Queensland, Wide Bay and Sunshine Coast</w:t>
            </w:r>
            <w:r w:rsidRPr="006746CF">
              <w:t xml:space="preserve"> PHN</w:t>
            </w:r>
          </w:p>
        </w:tc>
        <w:tc>
          <w:tcPr>
            <w:tcW w:w="2835" w:type="dxa"/>
          </w:tcPr>
          <w:p w14:paraId="05D09A9A" w14:textId="6CCBB8CE" w:rsidR="00002E1E" w:rsidRPr="00E728A9" w:rsidRDefault="004D63E6" w:rsidP="00E728A9">
            <w:pPr>
              <w:pStyle w:val="TableBullets1"/>
            </w:pPr>
            <w:r w:rsidRPr="00E728A9">
              <w:t xml:space="preserve">Ms </w:t>
            </w:r>
            <w:r w:rsidR="00002E1E" w:rsidRPr="00E728A9">
              <w:t>Jodie Sargent</w:t>
            </w:r>
          </w:p>
        </w:tc>
      </w:tr>
      <w:tr w:rsidR="00002E1E" w14:paraId="5F5CE81E" w14:textId="77777777" w:rsidTr="00312D13">
        <w:tc>
          <w:tcPr>
            <w:tcW w:w="2830" w:type="dxa"/>
          </w:tcPr>
          <w:p w14:paraId="3F71B249" w14:textId="77777777" w:rsidR="00002E1E" w:rsidRPr="00DF2827" w:rsidRDefault="00002E1E" w:rsidP="00002E1E">
            <w:pPr>
              <w:pStyle w:val="TableCopy"/>
            </w:pPr>
            <w:r>
              <w:t>Department</w:t>
            </w:r>
          </w:p>
        </w:tc>
        <w:tc>
          <w:tcPr>
            <w:tcW w:w="2835" w:type="dxa"/>
          </w:tcPr>
          <w:p w14:paraId="07D1739D" w14:textId="3581E1CB" w:rsidR="00002E1E" w:rsidRPr="00E728A9" w:rsidRDefault="004D63E6" w:rsidP="00E728A9">
            <w:pPr>
              <w:pStyle w:val="TableBullets1"/>
            </w:pPr>
            <w:r w:rsidRPr="00E728A9">
              <w:t xml:space="preserve">Mr </w:t>
            </w:r>
            <w:r w:rsidR="00002E1E" w:rsidRPr="00E728A9">
              <w:t>Ben Sladic</w:t>
            </w:r>
          </w:p>
          <w:p w14:paraId="5D4072F8" w14:textId="6395DC7C" w:rsidR="004D63E6" w:rsidRPr="00E728A9" w:rsidRDefault="004D63E6" w:rsidP="00E728A9">
            <w:pPr>
              <w:pStyle w:val="TableBullets1"/>
            </w:pPr>
            <w:r w:rsidRPr="00E728A9">
              <w:t>Ms Natasha Ploenges</w:t>
            </w:r>
          </w:p>
          <w:p w14:paraId="094D0064" w14:textId="13E12BC6" w:rsidR="00002E1E" w:rsidRPr="00E728A9" w:rsidRDefault="004D63E6" w:rsidP="00E728A9">
            <w:pPr>
              <w:pStyle w:val="TableBullets1"/>
            </w:pPr>
            <w:r w:rsidRPr="00E728A9">
              <w:t xml:space="preserve">Ms </w:t>
            </w:r>
            <w:r w:rsidR="00002E1E" w:rsidRPr="00E728A9">
              <w:t>Jane Ranson-Smith</w:t>
            </w:r>
          </w:p>
          <w:p w14:paraId="37053F5F" w14:textId="47BCE738" w:rsidR="00002E1E" w:rsidRPr="00E728A9" w:rsidRDefault="004D63E6" w:rsidP="00E728A9">
            <w:pPr>
              <w:pStyle w:val="TableBullets1"/>
            </w:pPr>
            <w:r w:rsidRPr="00E728A9">
              <w:t xml:space="preserve">Ms </w:t>
            </w:r>
            <w:r w:rsidR="00002E1E" w:rsidRPr="00E728A9">
              <w:t>Min Ma</w:t>
            </w:r>
          </w:p>
        </w:tc>
      </w:tr>
      <w:tr w:rsidR="00002E1E" w14:paraId="374D984E" w14:textId="77777777" w:rsidTr="00312D13">
        <w:tc>
          <w:tcPr>
            <w:tcW w:w="2830" w:type="dxa"/>
          </w:tcPr>
          <w:p w14:paraId="0A41A11E" w14:textId="77777777" w:rsidR="00002E1E" w:rsidRDefault="00002E1E" w:rsidP="00002E1E">
            <w:pPr>
              <w:pStyle w:val="TableCopy"/>
              <w:keepNext/>
            </w:pPr>
            <w:r>
              <w:t xml:space="preserve">Gippsland PHN </w:t>
            </w:r>
          </w:p>
        </w:tc>
        <w:tc>
          <w:tcPr>
            <w:tcW w:w="2835" w:type="dxa"/>
          </w:tcPr>
          <w:p w14:paraId="12CEA3B0" w14:textId="7CAB6692" w:rsidR="00002E1E" w:rsidRPr="00E728A9" w:rsidRDefault="004D63E6" w:rsidP="00E728A9">
            <w:pPr>
              <w:pStyle w:val="TableBullets1"/>
            </w:pPr>
            <w:r w:rsidRPr="00E728A9">
              <w:t xml:space="preserve">Ms </w:t>
            </w:r>
            <w:r w:rsidR="00002E1E" w:rsidRPr="00E728A9">
              <w:t>Stephanie Germano</w:t>
            </w:r>
          </w:p>
          <w:p w14:paraId="1C6A5BB9" w14:textId="339E2276" w:rsidR="00002E1E" w:rsidRPr="00E728A9" w:rsidRDefault="004D63E6" w:rsidP="00E728A9">
            <w:pPr>
              <w:pStyle w:val="TableBullets1"/>
            </w:pPr>
            <w:r w:rsidRPr="00E728A9">
              <w:t xml:space="preserve">Ms </w:t>
            </w:r>
            <w:r w:rsidR="00002E1E" w:rsidRPr="00E728A9">
              <w:t>Sarah Clarke</w:t>
            </w:r>
          </w:p>
        </w:tc>
      </w:tr>
      <w:tr w:rsidR="00002E1E" w14:paraId="046E0B7B" w14:textId="77777777" w:rsidTr="00312D13">
        <w:trPr>
          <w:trHeight w:val="491"/>
        </w:trPr>
        <w:tc>
          <w:tcPr>
            <w:tcW w:w="2830" w:type="dxa"/>
          </w:tcPr>
          <w:p w14:paraId="36D8C8D8" w14:textId="77777777" w:rsidR="00002E1E" w:rsidRDefault="00002E1E" w:rsidP="00002E1E">
            <w:pPr>
              <w:pStyle w:val="TableCopy"/>
            </w:pPr>
            <w:r>
              <w:t xml:space="preserve">Griffith University </w:t>
            </w:r>
          </w:p>
        </w:tc>
        <w:tc>
          <w:tcPr>
            <w:tcW w:w="2835" w:type="dxa"/>
          </w:tcPr>
          <w:p w14:paraId="359DDE83" w14:textId="6B3F1303" w:rsidR="00002E1E" w:rsidRPr="00E728A9" w:rsidRDefault="004D63E6" w:rsidP="00E728A9">
            <w:pPr>
              <w:pStyle w:val="TableBullets1"/>
            </w:pPr>
            <w:r w:rsidRPr="00E728A9">
              <w:t xml:space="preserve">Professor </w:t>
            </w:r>
            <w:r w:rsidR="00002E1E" w:rsidRPr="00E728A9">
              <w:t>Amanda Wheeler</w:t>
            </w:r>
          </w:p>
        </w:tc>
      </w:tr>
      <w:tr w:rsidR="00002E1E" w14:paraId="2B6A28A0" w14:textId="77777777" w:rsidTr="00312D13">
        <w:tc>
          <w:tcPr>
            <w:tcW w:w="2830" w:type="dxa"/>
          </w:tcPr>
          <w:p w14:paraId="0CBB1087" w14:textId="77777777" w:rsidR="00002E1E" w:rsidRPr="00DF2827" w:rsidRDefault="00002E1E" w:rsidP="00002E1E">
            <w:pPr>
              <w:pStyle w:val="TableCopy"/>
            </w:pPr>
            <w:r>
              <w:t>Guild</w:t>
            </w:r>
          </w:p>
        </w:tc>
        <w:tc>
          <w:tcPr>
            <w:tcW w:w="2835" w:type="dxa"/>
          </w:tcPr>
          <w:p w14:paraId="7F75D046" w14:textId="525677ED" w:rsidR="00002E1E" w:rsidRPr="00E728A9" w:rsidRDefault="004D63E6" w:rsidP="00E728A9">
            <w:pPr>
              <w:pStyle w:val="TableBullets1"/>
            </w:pPr>
            <w:r w:rsidRPr="00E728A9">
              <w:t xml:space="preserve">Ms </w:t>
            </w:r>
            <w:r w:rsidR="00002E1E" w:rsidRPr="00E728A9">
              <w:t>Fiona Mitchell</w:t>
            </w:r>
          </w:p>
          <w:p w14:paraId="17ECD85E" w14:textId="77777777" w:rsidR="006A4A32" w:rsidRDefault="004D63E6" w:rsidP="00E728A9">
            <w:pPr>
              <w:pStyle w:val="TableBullets1"/>
            </w:pPr>
            <w:r w:rsidRPr="00E728A9">
              <w:t xml:space="preserve">Ms </w:t>
            </w:r>
            <w:r w:rsidR="00002E1E" w:rsidRPr="00E728A9">
              <w:t>Erica Vowels</w:t>
            </w:r>
          </w:p>
          <w:p w14:paraId="3E5F180B" w14:textId="77777777" w:rsidR="006A4A32" w:rsidRDefault="004D63E6" w:rsidP="00E728A9">
            <w:pPr>
              <w:pStyle w:val="TableBullets1"/>
            </w:pPr>
            <w:r w:rsidRPr="00E728A9">
              <w:t xml:space="preserve">Ms </w:t>
            </w:r>
            <w:r w:rsidR="00002E1E" w:rsidRPr="00E728A9">
              <w:t>Michelle Quester</w:t>
            </w:r>
          </w:p>
          <w:p w14:paraId="2199FC20" w14:textId="74355DDF" w:rsidR="00002E1E" w:rsidRPr="00E728A9" w:rsidRDefault="004D63E6" w:rsidP="00E728A9">
            <w:pPr>
              <w:pStyle w:val="TableBullets1"/>
            </w:pPr>
            <w:r w:rsidRPr="00E728A9">
              <w:t xml:space="preserve">Ms </w:t>
            </w:r>
            <w:r w:rsidR="00002E1E" w:rsidRPr="00E728A9">
              <w:t>Marsha Gomez</w:t>
            </w:r>
          </w:p>
        </w:tc>
      </w:tr>
      <w:tr w:rsidR="00002E1E" w14:paraId="79CD32FF" w14:textId="77777777" w:rsidTr="00312D13">
        <w:tc>
          <w:tcPr>
            <w:tcW w:w="2830" w:type="dxa"/>
          </w:tcPr>
          <w:p w14:paraId="22A5432A" w14:textId="77777777" w:rsidR="00002E1E" w:rsidRDefault="00002E1E" w:rsidP="00002E1E">
            <w:pPr>
              <w:pStyle w:val="TableCopy"/>
            </w:pPr>
            <w:r>
              <w:t>James Cook University</w:t>
            </w:r>
          </w:p>
        </w:tc>
        <w:tc>
          <w:tcPr>
            <w:tcW w:w="2835" w:type="dxa"/>
          </w:tcPr>
          <w:p w14:paraId="390E6F36" w14:textId="01070475" w:rsidR="00002E1E" w:rsidRPr="00E728A9" w:rsidRDefault="004D63E6" w:rsidP="00E728A9">
            <w:pPr>
              <w:pStyle w:val="TableBullets1"/>
            </w:pPr>
            <w:r w:rsidRPr="00E728A9">
              <w:t xml:space="preserve">Associate Professor </w:t>
            </w:r>
            <w:r w:rsidR="00002E1E" w:rsidRPr="00E728A9">
              <w:t>Sophie Couzos</w:t>
            </w:r>
          </w:p>
        </w:tc>
      </w:tr>
      <w:tr w:rsidR="00002E1E" w14:paraId="4E76AA22" w14:textId="77777777" w:rsidTr="00312D13">
        <w:tc>
          <w:tcPr>
            <w:tcW w:w="2830" w:type="dxa"/>
          </w:tcPr>
          <w:p w14:paraId="502A4C4F" w14:textId="77777777" w:rsidR="00002E1E" w:rsidRPr="00DF2827" w:rsidRDefault="00002E1E" w:rsidP="00002E1E">
            <w:pPr>
              <w:pStyle w:val="TableCopy"/>
            </w:pPr>
            <w:r>
              <w:t>NACCHO</w:t>
            </w:r>
          </w:p>
        </w:tc>
        <w:tc>
          <w:tcPr>
            <w:tcW w:w="2835" w:type="dxa"/>
          </w:tcPr>
          <w:p w14:paraId="01BE4D4B" w14:textId="1B027950" w:rsidR="00002E1E" w:rsidRPr="00E728A9" w:rsidRDefault="004D63E6" w:rsidP="00E728A9">
            <w:pPr>
              <w:pStyle w:val="TableBullets1"/>
            </w:pPr>
            <w:r w:rsidRPr="00E728A9">
              <w:t xml:space="preserve">Mr </w:t>
            </w:r>
            <w:r w:rsidR="00002E1E" w:rsidRPr="00E728A9">
              <w:t>Mike Stephens</w:t>
            </w:r>
          </w:p>
          <w:p w14:paraId="7CA7DA82" w14:textId="247A9F52" w:rsidR="00002E1E" w:rsidRPr="00E728A9" w:rsidRDefault="004D63E6" w:rsidP="00E728A9">
            <w:pPr>
              <w:pStyle w:val="TableBullets1"/>
            </w:pPr>
            <w:r w:rsidRPr="00E728A9">
              <w:t xml:space="preserve">Dr </w:t>
            </w:r>
            <w:r w:rsidR="00002E1E" w:rsidRPr="00E728A9">
              <w:t>Dawn Casey</w:t>
            </w:r>
          </w:p>
        </w:tc>
      </w:tr>
      <w:tr w:rsidR="00002E1E" w14:paraId="5CF9C242" w14:textId="77777777" w:rsidTr="00312D13">
        <w:tc>
          <w:tcPr>
            <w:tcW w:w="2830" w:type="dxa"/>
          </w:tcPr>
          <w:p w14:paraId="3969C354" w14:textId="77777777" w:rsidR="00002E1E" w:rsidRDefault="00002E1E" w:rsidP="00002E1E">
            <w:pPr>
              <w:pStyle w:val="TableCopy"/>
            </w:pPr>
            <w:r>
              <w:t>NHMRC</w:t>
            </w:r>
          </w:p>
        </w:tc>
        <w:tc>
          <w:tcPr>
            <w:tcW w:w="2835" w:type="dxa"/>
          </w:tcPr>
          <w:p w14:paraId="2977335A" w14:textId="33FAD9EE" w:rsidR="00002E1E" w:rsidRPr="00E728A9" w:rsidRDefault="004D63E6" w:rsidP="00E728A9">
            <w:pPr>
              <w:pStyle w:val="TableBullets1"/>
            </w:pPr>
            <w:r w:rsidRPr="00E728A9">
              <w:t xml:space="preserve">Ms </w:t>
            </w:r>
            <w:r w:rsidR="00002E1E" w:rsidRPr="00E728A9">
              <w:t>Samantha Robertson</w:t>
            </w:r>
          </w:p>
        </w:tc>
      </w:tr>
      <w:tr w:rsidR="00002E1E" w14:paraId="485ED0A7" w14:textId="77777777" w:rsidTr="00312D13">
        <w:tc>
          <w:tcPr>
            <w:tcW w:w="2830" w:type="dxa"/>
          </w:tcPr>
          <w:p w14:paraId="749E5183" w14:textId="77777777" w:rsidR="00002E1E" w:rsidRPr="00DF2827" w:rsidRDefault="00002E1E" w:rsidP="00002E1E">
            <w:pPr>
              <w:pStyle w:val="TableCopy"/>
            </w:pPr>
            <w:r>
              <w:t>NMHCCF</w:t>
            </w:r>
          </w:p>
        </w:tc>
        <w:tc>
          <w:tcPr>
            <w:tcW w:w="2835" w:type="dxa"/>
          </w:tcPr>
          <w:p w14:paraId="78AA123C" w14:textId="728D8F9A" w:rsidR="00002E1E" w:rsidRPr="00E728A9" w:rsidRDefault="004D63E6" w:rsidP="00E728A9">
            <w:pPr>
              <w:pStyle w:val="TableBullets1"/>
            </w:pPr>
            <w:r w:rsidRPr="00E728A9">
              <w:t xml:space="preserve">Ms </w:t>
            </w:r>
            <w:r w:rsidR="00002E1E" w:rsidRPr="00E728A9">
              <w:t>Lorraine Powell</w:t>
            </w:r>
          </w:p>
          <w:p w14:paraId="2F8A8D8C" w14:textId="3DAAC835" w:rsidR="00002E1E" w:rsidRPr="00E728A9" w:rsidRDefault="004D63E6" w:rsidP="00E728A9">
            <w:pPr>
              <w:pStyle w:val="TableBullets1"/>
            </w:pPr>
            <w:r w:rsidRPr="00E728A9">
              <w:t xml:space="preserve">Ms </w:t>
            </w:r>
            <w:r w:rsidR="00002E1E" w:rsidRPr="00E728A9">
              <w:t>Eileen McDonald</w:t>
            </w:r>
          </w:p>
          <w:p w14:paraId="7164F02D" w14:textId="23D73E6D" w:rsidR="00002E1E" w:rsidRPr="00E728A9" w:rsidRDefault="004D63E6" w:rsidP="00E728A9">
            <w:pPr>
              <w:pStyle w:val="TableBullets1"/>
            </w:pPr>
            <w:r w:rsidRPr="00E728A9">
              <w:t xml:space="preserve">Ms </w:t>
            </w:r>
            <w:r w:rsidR="00002E1E" w:rsidRPr="00E728A9">
              <w:t>Lyn English</w:t>
            </w:r>
          </w:p>
        </w:tc>
      </w:tr>
      <w:tr w:rsidR="00002E1E" w14:paraId="00AC0B9B" w14:textId="77777777" w:rsidTr="00312D13">
        <w:tc>
          <w:tcPr>
            <w:tcW w:w="2830" w:type="dxa"/>
          </w:tcPr>
          <w:p w14:paraId="78777C7E" w14:textId="77777777" w:rsidR="00002E1E" w:rsidRPr="00DF2827" w:rsidRDefault="00002E1E" w:rsidP="00002E1E">
            <w:pPr>
              <w:pStyle w:val="TableCopy"/>
            </w:pPr>
            <w:r>
              <w:t>NRHA</w:t>
            </w:r>
          </w:p>
        </w:tc>
        <w:tc>
          <w:tcPr>
            <w:tcW w:w="2835" w:type="dxa"/>
          </w:tcPr>
          <w:p w14:paraId="1AEFE835" w14:textId="6628ADC5" w:rsidR="00002E1E" w:rsidRPr="00E728A9" w:rsidRDefault="004D63E6" w:rsidP="00E728A9">
            <w:pPr>
              <w:pStyle w:val="TableBullets1"/>
            </w:pPr>
            <w:r w:rsidRPr="00E728A9">
              <w:t xml:space="preserve">Mr </w:t>
            </w:r>
            <w:r w:rsidR="00002E1E" w:rsidRPr="00E728A9">
              <w:t>Mark Diamond</w:t>
            </w:r>
          </w:p>
        </w:tc>
      </w:tr>
      <w:tr w:rsidR="00002E1E" w14:paraId="5B6D1241" w14:textId="77777777" w:rsidTr="00312D13">
        <w:tc>
          <w:tcPr>
            <w:tcW w:w="2830" w:type="dxa"/>
          </w:tcPr>
          <w:p w14:paraId="6345DE52" w14:textId="77777777" w:rsidR="00002E1E" w:rsidRPr="00DF2827" w:rsidRDefault="00002E1E" w:rsidP="00002E1E">
            <w:pPr>
              <w:pStyle w:val="TableCopy"/>
            </w:pPr>
            <w:r>
              <w:t>PA</w:t>
            </w:r>
          </w:p>
        </w:tc>
        <w:tc>
          <w:tcPr>
            <w:tcW w:w="2835" w:type="dxa"/>
          </w:tcPr>
          <w:p w14:paraId="0A6EE5A8" w14:textId="319D0CF7" w:rsidR="00002E1E" w:rsidRPr="00E728A9" w:rsidRDefault="004D63E6" w:rsidP="00E728A9">
            <w:pPr>
              <w:pStyle w:val="TableBullets1"/>
            </w:pPr>
            <w:r w:rsidRPr="00E728A9">
              <w:t xml:space="preserve">Ms </w:t>
            </w:r>
            <w:r w:rsidR="00002E1E" w:rsidRPr="00E728A9">
              <w:t>Priyanka Rai</w:t>
            </w:r>
          </w:p>
        </w:tc>
      </w:tr>
      <w:tr w:rsidR="00002E1E" w14:paraId="7C1D452A" w14:textId="77777777" w:rsidTr="00312D13">
        <w:tc>
          <w:tcPr>
            <w:tcW w:w="2830" w:type="dxa"/>
          </w:tcPr>
          <w:p w14:paraId="0262389C" w14:textId="77777777" w:rsidR="00002E1E" w:rsidRPr="00DF2827" w:rsidRDefault="00002E1E" w:rsidP="00002E1E">
            <w:pPr>
              <w:pStyle w:val="TableCopy"/>
            </w:pPr>
            <w:r>
              <w:t>PSA</w:t>
            </w:r>
          </w:p>
        </w:tc>
        <w:tc>
          <w:tcPr>
            <w:tcW w:w="2835" w:type="dxa"/>
          </w:tcPr>
          <w:p w14:paraId="0D2268DB" w14:textId="35047020" w:rsidR="00002E1E" w:rsidRPr="00E728A9" w:rsidRDefault="004D63E6" w:rsidP="00E728A9">
            <w:pPr>
              <w:pStyle w:val="TableBullets1"/>
            </w:pPr>
            <w:r w:rsidRPr="00E728A9">
              <w:t xml:space="preserve">Dr </w:t>
            </w:r>
            <w:r w:rsidR="00002E1E" w:rsidRPr="00E728A9">
              <w:t xml:space="preserve">Shane Jackson </w:t>
            </w:r>
          </w:p>
        </w:tc>
      </w:tr>
      <w:tr w:rsidR="00002E1E" w14:paraId="5B338C99" w14:textId="77777777" w:rsidTr="00312D13">
        <w:tc>
          <w:tcPr>
            <w:tcW w:w="2830" w:type="dxa"/>
          </w:tcPr>
          <w:p w14:paraId="09F36885" w14:textId="77777777" w:rsidR="00002E1E" w:rsidRDefault="00002E1E" w:rsidP="00002E1E">
            <w:pPr>
              <w:pStyle w:val="TableCopy"/>
            </w:pPr>
            <w:r>
              <w:t>RACGP</w:t>
            </w:r>
          </w:p>
        </w:tc>
        <w:tc>
          <w:tcPr>
            <w:tcW w:w="2835" w:type="dxa"/>
          </w:tcPr>
          <w:p w14:paraId="59FD5BDB" w14:textId="6C7D748F" w:rsidR="00002E1E" w:rsidRPr="00E728A9" w:rsidRDefault="00E007C9" w:rsidP="00E728A9">
            <w:pPr>
              <w:pStyle w:val="TableBullets1"/>
            </w:pPr>
            <w:r w:rsidRPr="00E728A9">
              <w:t xml:space="preserve">Mr </w:t>
            </w:r>
            <w:r w:rsidR="00002E1E" w:rsidRPr="00E728A9">
              <w:t>Roald Versteeg</w:t>
            </w:r>
          </w:p>
          <w:p w14:paraId="67B9BA78" w14:textId="1A0FBC17" w:rsidR="00002E1E" w:rsidRPr="00E728A9" w:rsidRDefault="00E007C9" w:rsidP="00E728A9">
            <w:pPr>
              <w:pStyle w:val="TableBullets1"/>
            </w:pPr>
            <w:r w:rsidRPr="00E728A9">
              <w:t xml:space="preserve">Dr </w:t>
            </w:r>
            <w:r w:rsidR="00002E1E" w:rsidRPr="00E728A9">
              <w:t>Mark Morgan</w:t>
            </w:r>
          </w:p>
        </w:tc>
      </w:tr>
      <w:tr w:rsidR="00002E1E" w14:paraId="1F555D58" w14:textId="77777777" w:rsidTr="00312D13">
        <w:tc>
          <w:tcPr>
            <w:tcW w:w="2830" w:type="dxa"/>
          </w:tcPr>
          <w:p w14:paraId="63A59ED9" w14:textId="77777777" w:rsidR="00002E1E" w:rsidRPr="00DF2827" w:rsidRDefault="00002E1E" w:rsidP="00002E1E">
            <w:pPr>
              <w:pStyle w:val="TableCopy"/>
            </w:pPr>
            <w:r>
              <w:t>SHPA</w:t>
            </w:r>
          </w:p>
        </w:tc>
        <w:tc>
          <w:tcPr>
            <w:tcW w:w="2835" w:type="dxa"/>
          </w:tcPr>
          <w:p w14:paraId="63CBDFCB" w14:textId="27BDC7C0" w:rsidR="00002E1E" w:rsidRPr="00E728A9" w:rsidRDefault="00E007C9" w:rsidP="00E728A9">
            <w:pPr>
              <w:pStyle w:val="TableBullets1"/>
            </w:pPr>
            <w:r w:rsidRPr="00E728A9">
              <w:t xml:space="preserve">Ms </w:t>
            </w:r>
            <w:r w:rsidR="00002E1E" w:rsidRPr="00E728A9">
              <w:t xml:space="preserve">Kristin Michaels </w:t>
            </w:r>
          </w:p>
        </w:tc>
      </w:tr>
      <w:tr w:rsidR="00002E1E" w14:paraId="1EF1F45F" w14:textId="77777777" w:rsidTr="00312D13">
        <w:tc>
          <w:tcPr>
            <w:tcW w:w="2830" w:type="dxa"/>
          </w:tcPr>
          <w:p w14:paraId="28EAB058" w14:textId="77777777" w:rsidR="00002E1E" w:rsidRDefault="00002E1E" w:rsidP="00002E1E">
            <w:pPr>
              <w:pStyle w:val="TableCopy"/>
            </w:pPr>
            <w:r>
              <w:t>South West Sydney PHN</w:t>
            </w:r>
          </w:p>
        </w:tc>
        <w:tc>
          <w:tcPr>
            <w:tcW w:w="2835" w:type="dxa"/>
          </w:tcPr>
          <w:p w14:paraId="4E7BDC5C" w14:textId="22C1E157" w:rsidR="00002E1E" w:rsidRPr="00E728A9" w:rsidRDefault="00E007C9" w:rsidP="00E728A9">
            <w:pPr>
              <w:pStyle w:val="TableBullets1"/>
            </w:pPr>
            <w:r w:rsidRPr="00E728A9">
              <w:t xml:space="preserve">Ms </w:t>
            </w:r>
            <w:r w:rsidR="00002E1E" w:rsidRPr="00E728A9">
              <w:t>Dina Malak</w:t>
            </w:r>
          </w:p>
          <w:p w14:paraId="00C19EB3" w14:textId="3AA2D853" w:rsidR="00002E1E" w:rsidRPr="00E728A9" w:rsidRDefault="00E007C9" w:rsidP="00E728A9">
            <w:pPr>
              <w:pStyle w:val="TableBullets1"/>
            </w:pPr>
            <w:r w:rsidRPr="00E728A9">
              <w:t xml:space="preserve">Mr </w:t>
            </w:r>
            <w:r w:rsidR="00002E1E" w:rsidRPr="00E728A9">
              <w:t>Samuel Sio</w:t>
            </w:r>
          </w:p>
        </w:tc>
      </w:tr>
      <w:tr w:rsidR="00002E1E" w14:paraId="4804C385" w14:textId="77777777" w:rsidTr="00312D13">
        <w:tc>
          <w:tcPr>
            <w:tcW w:w="2830" w:type="dxa"/>
          </w:tcPr>
          <w:p w14:paraId="4338B4F5" w14:textId="77777777" w:rsidR="00002E1E" w:rsidRPr="00DF2827" w:rsidRDefault="00002E1E" w:rsidP="00002E1E">
            <w:pPr>
              <w:pStyle w:val="TableCopy"/>
            </w:pPr>
            <w:r>
              <w:t>TAG</w:t>
            </w:r>
          </w:p>
        </w:tc>
        <w:tc>
          <w:tcPr>
            <w:tcW w:w="2835" w:type="dxa"/>
          </w:tcPr>
          <w:p w14:paraId="7182F52D" w14:textId="19845CDB" w:rsidR="00002E1E" w:rsidRPr="00E728A9" w:rsidRDefault="00983679" w:rsidP="00E728A9">
            <w:pPr>
              <w:pStyle w:val="TableBullets1"/>
            </w:pPr>
            <w:r w:rsidRPr="00E728A9">
              <w:t>Emeritus Professor Lloyd Sansom</w:t>
            </w:r>
          </w:p>
        </w:tc>
      </w:tr>
      <w:tr w:rsidR="00002E1E" w14:paraId="1FEEBC41" w14:textId="77777777" w:rsidTr="00312D13">
        <w:tc>
          <w:tcPr>
            <w:tcW w:w="2830" w:type="dxa"/>
          </w:tcPr>
          <w:p w14:paraId="79CDAF09" w14:textId="77777777" w:rsidR="00002E1E" w:rsidRDefault="00002E1E" w:rsidP="00002E1E">
            <w:pPr>
              <w:pStyle w:val="TableCopy"/>
            </w:pPr>
            <w:r>
              <w:t xml:space="preserve">Top End Health </w:t>
            </w:r>
          </w:p>
        </w:tc>
        <w:tc>
          <w:tcPr>
            <w:tcW w:w="2835" w:type="dxa"/>
          </w:tcPr>
          <w:p w14:paraId="62C0F7C9" w14:textId="7D8DC740" w:rsidR="00002E1E" w:rsidRPr="00E728A9" w:rsidRDefault="00E007C9" w:rsidP="00E728A9">
            <w:pPr>
              <w:pStyle w:val="TableBullets1"/>
            </w:pPr>
            <w:r w:rsidRPr="00E728A9">
              <w:t xml:space="preserve">Dr </w:t>
            </w:r>
            <w:r w:rsidR="00002E1E" w:rsidRPr="00E728A9">
              <w:t>Bhavini Patel</w:t>
            </w:r>
          </w:p>
        </w:tc>
      </w:tr>
      <w:tr w:rsidR="00002E1E" w14:paraId="1127E3BD" w14:textId="77777777" w:rsidTr="00312D13">
        <w:tc>
          <w:tcPr>
            <w:tcW w:w="2830" w:type="dxa"/>
          </w:tcPr>
          <w:p w14:paraId="24B8C21C" w14:textId="77777777" w:rsidR="00002E1E" w:rsidRPr="00085D67" w:rsidRDefault="00002E1E" w:rsidP="00002E1E">
            <w:pPr>
              <w:pStyle w:val="TableCopy"/>
            </w:pPr>
            <w:r w:rsidRPr="00085D67">
              <w:t>University of South Australia</w:t>
            </w:r>
          </w:p>
        </w:tc>
        <w:tc>
          <w:tcPr>
            <w:tcW w:w="2835" w:type="dxa"/>
          </w:tcPr>
          <w:p w14:paraId="5EFB845C" w14:textId="0BF75452" w:rsidR="00002E1E" w:rsidRPr="00E728A9" w:rsidRDefault="00E007C9" w:rsidP="00E728A9">
            <w:pPr>
              <w:pStyle w:val="TableBullets1"/>
              <w:rPr>
                <w:color w:val="000000"/>
              </w:rPr>
            </w:pPr>
            <w:r w:rsidRPr="00E728A9">
              <w:t xml:space="preserve">Dr </w:t>
            </w:r>
            <w:r w:rsidR="00002E1E" w:rsidRPr="00E728A9">
              <w:t>Bruce Chadwick</w:t>
            </w:r>
          </w:p>
          <w:p w14:paraId="7211B59B" w14:textId="2F0AA0EC" w:rsidR="00002E1E" w:rsidRPr="00E728A9" w:rsidRDefault="00E007C9" w:rsidP="00E728A9">
            <w:pPr>
              <w:pStyle w:val="TableBullets1"/>
            </w:pPr>
            <w:r w:rsidRPr="00E728A9">
              <w:lastRenderedPageBreak/>
              <w:t xml:space="preserve">Dr </w:t>
            </w:r>
            <w:r w:rsidR="00002E1E" w:rsidRPr="00E728A9">
              <w:t>Rebecca Bilton</w:t>
            </w:r>
          </w:p>
          <w:p w14:paraId="2C70E2A3" w14:textId="293A2D2C" w:rsidR="00002E1E" w:rsidRPr="00E728A9" w:rsidRDefault="00E007C9" w:rsidP="00E728A9">
            <w:pPr>
              <w:pStyle w:val="TableBullets1"/>
            </w:pPr>
            <w:r w:rsidRPr="00E728A9">
              <w:t xml:space="preserve">Associate Professor </w:t>
            </w:r>
            <w:r w:rsidR="00002E1E" w:rsidRPr="00E728A9">
              <w:t>Nicole Pratt</w:t>
            </w:r>
          </w:p>
          <w:p w14:paraId="01B34D47" w14:textId="0BEE96B6" w:rsidR="00002E1E" w:rsidRPr="00E728A9" w:rsidRDefault="00E007C9" w:rsidP="00E728A9">
            <w:pPr>
              <w:pStyle w:val="TableBullets1"/>
            </w:pPr>
            <w:r w:rsidRPr="00E728A9">
              <w:t xml:space="preserve">Dr </w:t>
            </w:r>
            <w:r w:rsidR="00002E1E" w:rsidRPr="00E728A9">
              <w:t>Renly Lim</w:t>
            </w:r>
          </w:p>
          <w:p w14:paraId="56A849E6" w14:textId="765CE3E6" w:rsidR="00002E1E" w:rsidRPr="00E728A9" w:rsidRDefault="00E007C9" w:rsidP="00E728A9">
            <w:pPr>
              <w:pStyle w:val="TableBullets1"/>
            </w:pPr>
            <w:r w:rsidRPr="00E728A9">
              <w:t xml:space="preserve">Ms </w:t>
            </w:r>
            <w:r w:rsidR="00002E1E" w:rsidRPr="00E728A9">
              <w:t>Annette Pashke</w:t>
            </w:r>
          </w:p>
        </w:tc>
      </w:tr>
      <w:tr w:rsidR="00002E1E" w14:paraId="46331419" w14:textId="77777777" w:rsidTr="00312D13">
        <w:tc>
          <w:tcPr>
            <w:tcW w:w="2830" w:type="dxa"/>
          </w:tcPr>
          <w:p w14:paraId="42587259" w14:textId="77777777" w:rsidR="00002E1E" w:rsidRDefault="00002E1E" w:rsidP="00002E1E">
            <w:pPr>
              <w:pStyle w:val="TableCopy"/>
            </w:pPr>
            <w:r>
              <w:lastRenderedPageBreak/>
              <w:t>University of Tasmania</w:t>
            </w:r>
          </w:p>
        </w:tc>
        <w:tc>
          <w:tcPr>
            <w:tcW w:w="2835" w:type="dxa"/>
          </w:tcPr>
          <w:p w14:paraId="56278C02" w14:textId="130DE033" w:rsidR="00002E1E" w:rsidRPr="00E728A9" w:rsidRDefault="00E007C9" w:rsidP="00E728A9">
            <w:pPr>
              <w:pStyle w:val="TableBullets1"/>
            </w:pPr>
            <w:r w:rsidRPr="00E728A9">
              <w:t xml:space="preserve">Dr </w:t>
            </w:r>
            <w:r w:rsidR="00002E1E" w:rsidRPr="00E728A9">
              <w:t xml:space="preserve">Juanita Westbury </w:t>
            </w:r>
          </w:p>
        </w:tc>
      </w:tr>
      <w:tr w:rsidR="00002E1E" w14:paraId="37A69A6C" w14:textId="77777777" w:rsidTr="00312D13">
        <w:trPr>
          <w:trHeight w:val="491"/>
        </w:trPr>
        <w:tc>
          <w:tcPr>
            <w:tcW w:w="2830" w:type="dxa"/>
          </w:tcPr>
          <w:p w14:paraId="3096E816" w14:textId="77777777" w:rsidR="00002E1E" w:rsidRPr="00DF2827" w:rsidRDefault="00002E1E" w:rsidP="00002E1E">
            <w:pPr>
              <w:pStyle w:val="TableCopy"/>
            </w:pPr>
            <w:r>
              <w:t xml:space="preserve">Woolcock Institute </w:t>
            </w:r>
          </w:p>
        </w:tc>
        <w:tc>
          <w:tcPr>
            <w:tcW w:w="2835" w:type="dxa"/>
          </w:tcPr>
          <w:p w14:paraId="28526823" w14:textId="30BCFF0B" w:rsidR="00002E1E" w:rsidRDefault="00E007C9" w:rsidP="00002E1E">
            <w:pPr>
              <w:pStyle w:val="TableBullets1"/>
              <w:spacing w:line="240" w:lineRule="atLeast"/>
              <w:contextualSpacing w:val="0"/>
            </w:pPr>
            <w:r>
              <w:t xml:space="preserve">Professor </w:t>
            </w:r>
            <w:r w:rsidR="00002E1E">
              <w:t>Carol Armour</w:t>
            </w:r>
          </w:p>
          <w:p w14:paraId="7C71DFE0" w14:textId="0F5FE52C" w:rsidR="00002E1E" w:rsidRPr="00DF2827" w:rsidRDefault="003A7EC0" w:rsidP="00002E1E">
            <w:pPr>
              <w:pStyle w:val="TableBullets1"/>
              <w:spacing w:line="240" w:lineRule="atLeast"/>
              <w:contextualSpacing w:val="0"/>
            </w:pPr>
            <w:r>
              <w:t xml:space="preserve">Ms </w:t>
            </w:r>
            <w:r w:rsidR="00002E1E">
              <w:t>Sarah Serhal</w:t>
            </w:r>
          </w:p>
        </w:tc>
      </w:tr>
    </w:tbl>
    <w:p w14:paraId="0D7EF96E" w14:textId="77777777" w:rsidR="00002E1E" w:rsidRDefault="00002E1E" w:rsidP="00002E1E"/>
    <w:p w14:paraId="5B339C6B" w14:textId="77777777" w:rsidR="00002E1E" w:rsidRDefault="00002E1E" w:rsidP="00002E1E">
      <w:pPr>
        <w:sectPr w:rsidR="00002E1E" w:rsidSect="007D79F3">
          <w:pgSz w:w="16838" w:h="11906" w:orient="landscape" w:code="9"/>
          <w:pgMar w:top="737" w:right="1304" w:bottom="1134" w:left="737" w:header="567" w:footer="284" w:gutter="0"/>
          <w:cols w:num="2" w:space="708"/>
          <w:docGrid w:linePitch="360"/>
        </w:sectPr>
      </w:pPr>
    </w:p>
    <w:p w14:paraId="59E91682" w14:textId="77777777" w:rsidR="00002E1E" w:rsidRDefault="00002E1E" w:rsidP="00002E1E">
      <w:pPr>
        <w:pStyle w:val="HeadingAppendix2"/>
      </w:pPr>
      <w:bookmarkStart w:id="191" w:name="_Ref24541076"/>
      <w:r>
        <w:lastRenderedPageBreak/>
        <w:t>Survey tool</w:t>
      </w:r>
      <w:bookmarkEnd w:id="191"/>
    </w:p>
    <w:p w14:paraId="5E116C17" w14:textId="77777777" w:rsidR="00002E1E" w:rsidRDefault="00002E1E" w:rsidP="00002E1E">
      <w:pPr>
        <w:pStyle w:val="Heading4"/>
      </w:pPr>
      <w:r>
        <w:t>Survey tool for online survey of pharmacists</w:t>
      </w:r>
    </w:p>
    <w:tbl>
      <w:tblPr>
        <w:tblStyle w:val="HMATableB"/>
        <w:tblW w:w="9298" w:type="dxa"/>
        <w:tblLook w:val="0420" w:firstRow="1" w:lastRow="0" w:firstColumn="0" w:lastColumn="0" w:noHBand="0" w:noVBand="1"/>
        <w:tblCaption w:val="Survey tool for online survey of pharmacists"/>
        <w:tblDescription w:val="Table of survey questions, answer options, and survey logic"/>
      </w:tblPr>
      <w:tblGrid>
        <w:gridCol w:w="4195"/>
        <w:gridCol w:w="3118"/>
        <w:gridCol w:w="1985"/>
      </w:tblGrid>
      <w:tr w:rsidR="00002E1E" w14:paraId="0D5DF3D3" w14:textId="77777777" w:rsidTr="00401B60">
        <w:trPr>
          <w:cnfStyle w:val="100000000000" w:firstRow="1" w:lastRow="0" w:firstColumn="0" w:lastColumn="0" w:oddVBand="0" w:evenVBand="0" w:oddHBand="0" w:evenHBand="0" w:firstRowFirstColumn="0" w:firstRowLastColumn="0" w:lastRowFirstColumn="0" w:lastRowLastColumn="0"/>
          <w:trHeight w:val="283"/>
          <w:tblHeader/>
        </w:trPr>
        <w:tc>
          <w:tcPr>
            <w:tcW w:w="4195" w:type="dxa"/>
            <w:shd w:val="clear" w:color="auto" w:fill="E4E4E4" w:themeFill="accent3" w:themeFillTint="33"/>
          </w:tcPr>
          <w:p w14:paraId="5D6C99A7" w14:textId="77777777" w:rsidR="00002E1E" w:rsidRDefault="00002E1E" w:rsidP="00002E1E">
            <w:pPr>
              <w:pStyle w:val="TableColumnHeading"/>
            </w:pPr>
            <w:r>
              <w:t>Survey question</w:t>
            </w:r>
          </w:p>
        </w:tc>
        <w:tc>
          <w:tcPr>
            <w:tcW w:w="3118" w:type="dxa"/>
            <w:shd w:val="clear" w:color="auto" w:fill="E4E4E4" w:themeFill="accent3" w:themeFillTint="33"/>
          </w:tcPr>
          <w:p w14:paraId="2A4F79B4" w14:textId="77777777" w:rsidR="00002E1E" w:rsidRDefault="00002E1E" w:rsidP="00002E1E">
            <w:pPr>
              <w:pStyle w:val="TableColumnHeading"/>
            </w:pPr>
            <w:r>
              <w:t>Answer Options</w:t>
            </w:r>
          </w:p>
        </w:tc>
        <w:tc>
          <w:tcPr>
            <w:tcW w:w="1985" w:type="dxa"/>
            <w:shd w:val="clear" w:color="auto" w:fill="E4E4E4" w:themeFill="accent3" w:themeFillTint="33"/>
          </w:tcPr>
          <w:p w14:paraId="45FCC6A8" w14:textId="77777777" w:rsidR="00002E1E" w:rsidRDefault="00002E1E" w:rsidP="00002E1E">
            <w:pPr>
              <w:pStyle w:val="TableColumnHeading"/>
            </w:pPr>
            <w:r>
              <w:t>Survey logic</w:t>
            </w:r>
          </w:p>
        </w:tc>
      </w:tr>
      <w:tr w:rsidR="00002E1E" w14:paraId="6E232A97" w14:textId="77777777" w:rsidTr="00312D13">
        <w:tc>
          <w:tcPr>
            <w:tcW w:w="4195" w:type="dxa"/>
            <w:vMerge w:val="restart"/>
          </w:tcPr>
          <w:p w14:paraId="685FA27E" w14:textId="77777777" w:rsidR="00002E1E" w:rsidRDefault="00002E1E" w:rsidP="00AE14F0">
            <w:pPr>
              <w:pStyle w:val="TableNumbers1"/>
              <w:numPr>
                <w:ilvl w:val="0"/>
                <w:numId w:val="36"/>
              </w:numPr>
              <w:spacing w:before="60" w:after="60"/>
            </w:pPr>
            <w:r>
              <w:t>Please indicate the pharmacy setting in which you work the largest proportion of your regular hours.</w:t>
            </w:r>
          </w:p>
        </w:tc>
        <w:tc>
          <w:tcPr>
            <w:tcW w:w="3118" w:type="dxa"/>
          </w:tcPr>
          <w:p w14:paraId="37E9A87F" w14:textId="77777777" w:rsidR="00002E1E" w:rsidRDefault="00002E1E" w:rsidP="00AE14F0">
            <w:pPr>
              <w:pStyle w:val="TableNumbers2"/>
              <w:numPr>
                <w:ilvl w:val="1"/>
                <w:numId w:val="35"/>
              </w:numPr>
              <w:spacing w:before="60" w:after="60"/>
            </w:pPr>
            <w:r>
              <w:t>Community pharmacy – owner</w:t>
            </w:r>
          </w:p>
        </w:tc>
        <w:tc>
          <w:tcPr>
            <w:tcW w:w="1985" w:type="dxa"/>
          </w:tcPr>
          <w:p w14:paraId="19F1D91F" w14:textId="77777777" w:rsidR="00002E1E" w:rsidRDefault="00002E1E" w:rsidP="00002E1E">
            <w:pPr>
              <w:pStyle w:val="TableCopy"/>
            </w:pPr>
            <w:r>
              <w:t>Proceed to Question 2</w:t>
            </w:r>
          </w:p>
        </w:tc>
      </w:tr>
      <w:tr w:rsidR="00002E1E" w14:paraId="6A305B80" w14:textId="77777777" w:rsidTr="00312D13">
        <w:tc>
          <w:tcPr>
            <w:tcW w:w="4195" w:type="dxa"/>
            <w:vMerge/>
          </w:tcPr>
          <w:p w14:paraId="5625C2C3" w14:textId="77777777" w:rsidR="00002E1E" w:rsidRDefault="00002E1E" w:rsidP="00AE14F0">
            <w:pPr>
              <w:pStyle w:val="TableNumbers1"/>
              <w:numPr>
                <w:ilvl w:val="0"/>
                <w:numId w:val="35"/>
              </w:numPr>
              <w:spacing w:before="60" w:after="60"/>
            </w:pPr>
          </w:p>
        </w:tc>
        <w:tc>
          <w:tcPr>
            <w:tcW w:w="3118" w:type="dxa"/>
          </w:tcPr>
          <w:p w14:paraId="01AD9FDD" w14:textId="77777777" w:rsidR="00002E1E" w:rsidRDefault="00002E1E" w:rsidP="00AE14F0">
            <w:pPr>
              <w:pStyle w:val="TableNumbers2"/>
              <w:numPr>
                <w:ilvl w:val="1"/>
                <w:numId w:val="35"/>
              </w:numPr>
              <w:spacing w:before="60" w:after="60"/>
            </w:pPr>
            <w:r>
              <w:t xml:space="preserve">Community pharmacy – employee </w:t>
            </w:r>
          </w:p>
        </w:tc>
        <w:tc>
          <w:tcPr>
            <w:tcW w:w="1985" w:type="dxa"/>
            <w:vMerge w:val="restart"/>
          </w:tcPr>
          <w:p w14:paraId="7CDA9FC6" w14:textId="77777777" w:rsidR="00002E1E" w:rsidRDefault="00002E1E" w:rsidP="00002E1E">
            <w:pPr>
              <w:pStyle w:val="TableCopy"/>
            </w:pPr>
            <w:r>
              <w:t>Skip to Question 3</w:t>
            </w:r>
          </w:p>
        </w:tc>
      </w:tr>
      <w:tr w:rsidR="00002E1E" w14:paraId="1FBD7B08" w14:textId="77777777" w:rsidTr="00312D13">
        <w:tc>
          <w:tcPr>
            <w:tcW w:w="4195" w:type="dxa"/>
            <w:vMerge/>
          </w:tcPr>
          <w:p w14:paraId="5C3335E9" w14:textId="77777777" w:rsidR="00002E1E" w:rsidRDefault="00002E1E" w:rsidP="00AE14F0">
            <w:pPr>
              <w:pStyle w:val="TableNumbers1"/>
              <w:numPr>
                <w:ilvl w:val="0"/>
                <w:numId w:val="35"/>
              </w:numPr>
              <w:spacing w:before="60" w:after="60"/>
            </w:pPr>
          </w:p>
        </w:tc>
        <w:tc>
          <w:tcPr>
            <w:tcW w:w="3118" w:type="dxa"/>
          </w:tcPr>
          <w:p w14:paraId="33A80183" w14:textId="77777777" w:rsidR="00002E1E" w:rsidRDefault="00002E1E" w:rsidP="00AE14F0">
            <w:pPr>
              <w:pStyle w:val="TableNumbers2"/>
              <w:numPr>
                <w:ilvl w:val="1"/>
                <w:numId w:val="35"/>
              </w:numPr>
              <w:spacing w:before="60" w:after="60"/>
            </w:pPr>
            <w:r>
              <w:t>Consultant pharmacist</w:t>
            </w:r>
          </w:p>
        </w:tc>
        <w:tc>
          <w:tcPr>
            <w:tcW w:w="1985" w:type="dxa"/>
            <w:vMerge/>
          </w:tcPr>
          <w:p w14:paraId="4F4EDE93" w14:textId="77777777" w:rsidR="00002E1E" w:rsidRDefault="00002E1E" w:rsidP="00002E1E">
            <w:pPr>
              <w:pStyle w:val="TableCopy"/>
            </w:pPr>
          </w:p>
        </w:tc>
      </w:tr>
      <w:tr w:rsidR="00002E1E" w14:paraId="69D0892B" w14:textId="77777777" w:rsidTr="00312D13">
        <w:tc>
          <w:tcPr>
            <w:tcW w:w="4195" w:type="dxa"/>
            <w:vMerge/>
          </w:tcPr>
          <w:p w14:paraId="43259C47" w14:textId="77777777" w:rsidR="00002E1E" w:rsidRDefault="00002E1E" w:rsidP="00002E1E"/>
        </w:tc>
        <w:tc>
          <w:tcPr>
            <w:tcW w:w="3118" w:type="dxa"/>
          </w:tcPr>
          <w:p w14:paraId="14E91661" w14:textId="77777777" w:rsidR="00002E1E" w:rsidRDefault="00002E1E" w:rsidP="00AE14F0">
            <w:pPr>
              <w:pStyle w:val="TableNumbers2"/>
              <w:numPr>
                <w:ilvl w:val="1"/>
                <w:numId w:val="35"/>
              </w:numPr>
              <w:spacing w:before="60" w:after="60"/>
            </w:pPr>
            <w:r>
              <w:t>Hospital pharmacy</w:t>
            </w:r>
          </w:p>
        </w:tc>
        <w:tc>
          <w:tcPr>
            <w:tcW w:w="1985" w:type="dxa"/>
            <w:vMerge/>
          </w:tcPr>
          <w:p w14:paraId="4D0C3EC2" w14:textId="77777777" w:rsidR="00002E1E" w:rsidRDefault="00002E1E" w:rsidP="00002E1E">
            <w:pPr>
              <w:pStyle w:val="TableCopy"/>
            </w:pPr>
          </w:p>
        </w:tc>
      </w:tr>
      <w:tr w:rsidR="00002E1E" w14:paraId="51C0DFBD" w14:textId="77777777" w:rsidTr="00312D13">
        <w:tc>
          <w:tcPr>
            <w:tcW w:w="4195" w:type="dxa"/>
            <w:vMerge/>
          </w:tcPr>
          <w:p w14:paraId="002B17A8" w14:textId="77777777" w:rsidR="00002E1E" w:rsidRDefault="00002E1E" w:rsidP="00002E1E"/>
        </w:tc>
        <w:tc>
          <w:tcPr>
            <w:tcW w:w="3118" w:type="dxa"/>
          </w:tcPr>
          <w:p w14:paraId="10374421" w14:textId="77777777" w:rsidR="00002E1E" w:rsidRDefault="00002E1E" w:rsidP="00AE14F0">
            <w:pPr>
              <w:pStyle w:val="TableNumbers2"/>
              <w:numPr>
                <w:ilvl w:val="1"/>
                <w:numId w:val="35"/>
              </w:numPr>
              <w:spacing w:before="60" w:after="60"/>
            </w:pPr>
            <w:r>
              <w:t>Research or university</w:t>
            </w:r>
          </w:p>
        </w:tc>
        <w:tc>
          <w:tcPr>
            <w:tcW w:w="1985" w:type="dxa"/>
            <w:vMerge/>
          </w:tcPr>
          <w:p w14:paraId="333D4D07" w14:textId="77777777" w:rsidR="00002E1E" w:rsidRDefault="00002E1E" w:rsidP="00002E1E">
            <w:pPr>
              <w:pStyle w:val="TableCopy"/>
            </w:pPr>
          </w:p>
        </w:tc>
      </w:tr>
      <w:tr w:rsidR="00002E1E" w14:paraId="463D0EA1" w14:textId="77777777" w:rsidTr="00312D13">
        <w:tc>
          <w:tcPr>
            <w:tcW w:w="4195" w:type="dxa"/>
            <w:vMerge/>
          </w:tcPr>
          <w:p w14:paraId="6F542BAD" w14:textId="77777777" w:rsidR="00002E1E" w:rsidRDefault="00002E1E" w:rsidP="00002E1E"/>
        </w:tc>
        <w:tc>
          <w:tcPr>
            <w:tcW w:w="3118" w:type="dxa"/>
          </w:tcPr>
          <w:p w14:paraId="0B1C79C5" w14:textId="77777777" w:rsidR="00002E1E" w:rsidRDefault="00002E1E" w:rsidP="00AE14F0">
            <w:pPr>
              <w:pStyle w:val="TableNumbers2"/>
              <w:numPr>
                <w:ilvl w:val="1"/>
                <w:numId w:val="35"/>
              </w:numPr>
              <w:spacing w:before="60" w:after="60"/>
            </w:pPr>
            <w:r>
              <w:t xml:space="preserve">Other </w:t>
            </w:r>
            <w:r w:rsidRPr="007A250A">
              <w:rPr>
                <w:i/>
              </w:rPr>
              <w:t>(please specify)</w:t>
            </w:r>
          </w:p>
        </w:tc>
        <w:tc>
          <w:tcPr>
            <w:tcW w:w="1985" w:type="dxa"/>
            <w:vMerge/>
          </w:tcPr>
          <w:p w14:paraId="5E784006" w14:textId="77777777" w:rsidR="00002E1E" w:rsidRDefault="00002E1E" w:rsidP="00002E1E">
            <w:pPr>
              <w:pStyle w:val="TableCopy"/>
            </w:pPr>
          </w:p>
        </w:tc>
      </w:tr>
      <w:tr w:rsidR="00002E1E" w14:paraId="0AC762BD" w14:textId="77777777" w:rsidTr="00312D13">
        <w:trPr>
          <w:trHeight w:val="169"/>
        </w:trPr>
        <w:tc>
          <w:tcPr>
            <w:tcW w:w="4195" w:type="dxa"/>
            <w:vMerge w:val="restart"/>
          </w:tcPr>
          <w:p w14:paraId="2F671845" w14:textId="77777777" w:rsidR="00002E1E" w:rsidRDefault="00002E1E" w:rsidP="00AE14F0">
            <w:pPr>
              <w:pStyle w:val="TableNumbers1"/>
              <w:numPr>
                <w:ilvl w:val="0"/>
                <w:numId w:val="35"/>
              </w:numPr>
              <w:spacing w:before="60" w:after="60"/>
            </w:pPr>
            <w:r>
              <w:t xml:space="preserve">How long have you been practicing as a registered pharmacist? </w:t>
            </w:r>
          </w:p>
        </w:tc>
        <w:tc>
          <w:tcPr>
            <w:tcW w:w="3118" w:type="dxa"/>
          </w:tcPr>
          <w:p w14:paraId="211AEA7B" w14:textId="77777777" w:rsidR="00002E1E" w:rsidRPr="00EE540B" w:rsidRDefault="00002E1E" w:rsidP="00AE14F0">
            <w:pPr>
              <w:pStyle w:val="TableNumbers2"/>
              <w:numPr>
                <w:ilvl w:val="1"/>
                <w:numId w:val="35"/>
              </w:numPr>
              <w:spacing w:before="60" w:after="60"/>
            </w:pPr>
            <w:r w:rsidRPr="00EE540B">
              <w:t>Less than five years</w:t>
            </w:r>
          </w:p>
        </w:tc>
        <w:tc>
          <w:tcPr>
            <w:tcW w:w="1985" w:type="dxa"/>
            <w:vMerge w:val="restart"/>
          </w:tcPr>
          <w:p w14:paraId="20A23B3D" w14:textId="77777777" w:rsidR="00002E1E" w:rsidRDefault="00002E1E" w:rsidP="00002E1E">
            <w:pPr>
              <w:pStyle w:val="TableCopy"/>
            </w:pPr>
            <w:r>
              <w:t>Proceed to Question 3</w:t>
            </w:r>
          </w:p>
        </w:tc>
      </w:tr>
      <w:tr w:rsidR="00002E1E" w14:paraId="3DEC0A25" w14:textId="77777777" w:rsidTr="00312D13">
        <w:trPr>
          <w:trHeight w:val="167"/>
        </w:trPr>
        <w:tc>
          <w:tcPr>
            <w:tcW w:w="4195" w:type="dxa"/>
            <w:vMerge/>
          </w:tcPr>
          <w:p w14:paraId="1E239C64" w14:textId="77777777" w:rsidR="00002E1E" w:rsidDel="00153AC6" w:rsidRDefault="00002E1E" w:rsidP="00AE14F0">
            <w:pPr>
              <w:pStyle w:val="TableNumbers1"/>
              <w:numPr>
                <w:ilvl w:val="0"/>
                <w:numId w:val="35"/>
              </w:numPr>
              <w:spacing w:before="60" w:after="60"/>
            </w:pPr>
          </w:p>
        </w:tc>
        <w:tc>
          <w:tcPr>
            <w:tcW w:w="3118" w:type="dxa"/>
          </w:tcPr>
          <w:p w14:paraId="573376DA" w14:textId="77777777" w:rsidR="00002E1E" w:rsidRPr="00EE540B" w:rsidRDefault="00002E1E" w:rsidP="00AE14F0">
            <w:pPr>
              <w:pStyle w:val="TableNumbers2"/>
              <w:numPr>
                <w:ilvl w:val="1"/>
                <w:numId w:val="35"/>
              </w:numPr>
              <w:spacing w:before="60" w:after="60"/>
            </w:pPr>
            <w:r>
              <w:t>Between five and ten years</w:t>
            </w:r>
          </w:p>
        </w:tc>
        <w:tc>
          <w:tcPr>
            <w:tcW w:w="1985" w:type="dxa"/>
            <w:vMerge/>
          </w:tcPr>
          <w:p w14:paraId="6C6370D2" w14:textId="77777777" w:rsidR="00002E1E" w:rsidRDefault="00002E1E" w:rsidP="00002E1E">
            <w:pPr>
              <w:pStyle w:val="TableCopy"/>
            </w:pPr>
          </w:p>
        </w:tc>
      </w:tr>
      <w:tr w:rsidR="00002E1E" w14:paraId="5B4FF787" w14:textId="77777777" w:rsidTr="00312D13">
        <w:trPr>
          <w:trHeight w:val="167"/>
        </w:trPr>
        <w:tc>
          <w:tcPr>
            <w:tcW w:w="4195" w:type="dxa"/>
            <w:vMerge/>
          </w:tcPr>
          <w:p w14:paraId="234E0FF9" w14:textId="77777777" w:rsidR="00002E1E" w:rsidDel="00153AC6" w:rsidRDefault="00002E1E" w:rsidP="00AE14F0">
            <w:pPr>
              <w:pStyle w:val="TableNumbers1"/>
              <w:numPr>
                <w:ilvl w:val="0"/>
                <w:numId w:val="35"/>
              </w:numPr>
              <w:spacing w:before="60" w:after="60"/>
            </w:pPr>
          </w:p>
        </w:tc>
        <w:tc>
          <w:tcPr>
            <w:tcW w:w="3118" w:type="dxa"/>
          </w:tcPr>
          <w:p w14:paraId="04C797D5" w14:textId="77777777" w:rsidR="00002E1E" w:rsidRPr="00EE540B" w:rsidRDefault="00002E1E" w:rsidP="00AE14F0">
            <w:pPr>
              <w:pStyle w:val="TableNumbers2"/>
              <w:numPr>
                <w:ilvl w:val="1"/>
                <w:numId w:val="35"/>
              </w:numPr>
              <w:spacing w:before="60" w:after="60"/>
            </w:pPr>
            <w:r>
              <w:t>Between ten and fifteen years</w:t>
            </w:r>
          </w:p>
        </w:tc>
        <w:tc>
          <w:tcPr>
            <w:tcW w:w="1985" w:type="dxa"/>
            <w:vMerge/>
          </w:tcPr>
          <w:p w14:paraId="781867B8" w14:textId="77777777" w:rsidR="00002E1E" w:rsidRDefault="00002E1E" w:rsidP="00002E1E">
            <w:pPr>
              <w:pStyle w:val="TableCopy"/>
            </w:pPr>
          </w:p>
        </w:tc>
      </w:tr>
      <w:tr w:rsidR="00002E1E" w14:paraId="02B05965" w14:textId="77777777" w:rsidTr="00312D13">
        <w:trPr>
          <w:trHeight w:val="167"/>
        </w:trPr>
        <w:tc>
          <w:tcPr>
            <w:tcW w:w="4195" w:type="dxa"/>
            <w:vMerge/>
          </w:tcPr>
          <w:p w14:paraId="25D7CF49" w14:textId="77777777" w:rsidR="00002E1E" w:rsidDel="00153AC6" w:rsidRDefault="00002E1E" w:rsidP="00AE14F0">
            <w:pPr>
              <w:pStyle w:val="TableNumbers1"/>
              <w:numPr>
                <w:ilvl w:val="0"/>
                <w:numId w:val="35"/>
              </w:numPr>
              <w:spacing w:before="60" w:after="60"/>
            </w:pPr>
          </w:p>
        </w:tc>
        <w:tc>
          <w:tcPr>
            <w:tcW w:w="3118" w:type="dxa"/>
          </w:tcPr>
          <w:p w14:paraId="6337E3CE" w14:textId="77777777" w:rsidR="00002E1E" w:rsidRPr="00EE540B" w:rsidRDefault="00002E1E" w:rsidP="00AE14F0">
            <w:pPr>
              <w:pStyle w:val="TableNumbers2"/>
              <w:numPr>
                <w:ilvl w:val="1"/>
                <w:numId w:val="35"/>
              </w:numPr>
              <w:spacing w:before="60" w:after="60"/>
            </w:pPr>
            <w:r>
              <w:t>Over fifteen years</w:t>
            </w:r>
          </w:p>
        </w:tc>
        <w:tc>
          <w:tcPr>
            <w:tcW w:w="1985" w:type="dxa"/>
            <w:vMerge/>
          </w:tcPr>
          <w:p w14:paraId="722B5031" w14:textId="77777777" w:rsidR="00002E1E" w:rsidRDefault="00002E1E" w:rsidP="00002E1E">
            <w:pPr>
              <w:pStyle w:val="TableCopy"/>
            </w:pPr>
          </w:p>
        </w:tc>
      </w:tr>
      <w:tr w:rsidR="00002E1E" w14:paraId="7146FFAE" w14:textId="77777777" w:rsidTr="00312D13">
        <w:trPr>
          <w:trHeight w:val="340"/>
        </w:trPr>
        <w:tc>
          <w:tcPr>
            <w:tcW w:w="4195" w:type="dxa"/>
            <w:vMerge w:val="restart"/>
          </w:tcPr>
          <w:p w14:paraId="42623941" w14:textId="77777777" w:rsidR="00002E1E" w:rsidRDefault="00002E1E" w:rsidP="00AE14F0">
            <w:pPr>
              <w:pStyle w:val="TableNumbers1"/>
              <w:numPr>
                <w:ilvl w:val="0"/>
                <w:numId w:val="35"/>
              </w:numPr>
              <w:spacing w:before="60" w:after="60"/>
            </w:pPr>
            <w:r>
              <w:t>Please indicate the primary location in which you work?</w:t>
            </w:r>
          </w:p>
          <w:p w14:paraId="4D3B49FB" w14:textId="77777777" w:rsidR="00002E1E" w:rsidRDefault="00002E1E" w:rsidP="00002E1E">
            <w:pPr>
              <w:pStyle w:val="TableNumbers1"/>
              <w:numPr>
                <w:ilvl w:val="0"/>
                <w:numId w:val="0"/>
              </w:numPr>
              <w:ind w:left="397"/>
            </w:pPr>
          </w:p>
        </w:tc>
        <w:tc>
          <w:tcPr>
            <w:tcW w:w="3118" w:type="dxa"/>
          </w:tcPr>
          <w:p w14:paraId="76920B15" w14:textId="77777777" w:rsidR="00002E1E" w:rsidRDefault="00002E1E" w:rsidP="00AE14F0">
            <w:pPr>
              <w:pStyle w:val="TableNumbers2"/>
              <w:numPr>
                <w:ilvl w:val="1"/>
                <w:numId w:val="36"/>
              </w:numPr>
              <w:spacing w:before="60" w:after="60"/>
            </w:pPr>
            <w:r>
              <w:t>Major cities</w:t>
            </w:r>
          </w:p>
        </w:tc>
        <w:tc>
          <w:tcPr>
            <w:tcW w:w="1985" w:type="dxa"/>
            <w:vMerge w:val="restart"/>
          </w:tcPr>
          <w:p w14:paraId="5BC009DB" w14:textId="77777777" w:rsidR="00002E1E" w:rsidRDefault="00002E1E" w:rsidP="00002E1E">
            <w:pPr>
              <w:pStyle w:val="TableCopy"/>
            </w:pPr>
            <w:r>
              <w:t>Proceed to Question 4</w:t>
            </w:r>
          </w:p>
        </w:tc>
      </w:tr>
      <w:tr w:rsidR="00002E1E" w14:paraId="1A700F08" w14:textId="77777777" w:rsidTr="00312D13">
        <w:trPr>
          <w:trHeight w:val="397"/>
        </w:trPr>
        <w:tc>
          <w:tcPr>
            <w:tcW w:w="4195" w:type="dxa"/>
            <w:vMerge/>
          </w:tcPr>
          <w:p w14:paraId="4BCBB058" w14:textId="77777777" w:rsidR="00002E1E" w:rsidRDefault="00002E1E" w:rsidP="00002E1E">
            <w:pPr>
              <w:pStyle w:val="TableCopy"/>
            </w:pPr>
          </w:p>
        </w:tc>
        <w:tc>
          <w:tcPr>
            <w:tcW w:w="3118" w:type="dxa"/>
          </w:tcPr>
          <w:p w14:paraId="6038FCCE" w14:textId="77777777" w:rsidR="00002E1E" w:rsidRDefault="00002E1E" w:rsidP="00AE14F0">
            <w:pPr>
              <w:pStyle w:val="TableNumbers2"/>
              <w:numPr>
                <w:ilvl w:val="1"/>
                <w:numId w:val="35"/>
              </w:numPr>
              <w:spacing w:before="60" w:after="60"/>
            </w:pPr>
            <w:r>
              <w:t>Regional</w:t>
            </w:r>
          </w:p>
        </w:tc>
        <w:tc>
          <w:tcPr>
            <w:tcW w:w="1985" w:type="dxa"/>
            <w:vMerge/>
          </w:tcPr>
          <w:p w14:paraId="054746B4" w14:textId="77777777" w:rsidR="00002E1E" w:rsidRDefault="00002E1E" w:rsidP="00002E1E">
            <w:pPr>
              <w:pStyle w:val="TableCopy"/>
            </w:pPr>
          </w:p>
        </w:tc>
      </w:tr>
      <w:tr w:rsidR="00002E1E" w14:paraId="5424A3A3" w14:textId="77777777" w:rsidTr="00312D13">
        <w:trPr>
          <w:trHeight w:val="397"/>
        </w:trPr>
        <w:tc>
          <w:tcPr>
            <w:tcW w:w="4195" w:type="dxa"/>
            <w:vMerge/>
          </w:tcPr>
          <w:p w14:paraId="57FD5CC1" w14:textId="77777777" w:rsidR="00002E1E" w:rsidRDefault="00002E1E" w:rsidP="00002E1E">
            <w:pPr>
              <w:pStyle w:val="TableCopy"/>
            </w:pPr>
          </w:p>
        </w:tc>
        <w:tc>
          <w:tcPr>
            <w:tcW w:w="3118" w:type="dxa"/>
          </w:tcPr>
          <w:p w14:paraId="2DDC3075" w14:textId="77777777" w:rsidR="00002E1E" w:rsidRDefault="00002E1E" w:rsidP="00AE14F0">
            <w:pPr>
              <w:pStyle w:val="TableNumbers2"/>
              <w:numPr>
                <w:ilvl w:val="1"/>
                <w:numId w:val="35"/>
              </w:numPr>
              <w:spacing w:before="60" w:after="60"/>
            </w:pPr>
            <w:r>
              <w:t>Remote</w:t>
            </w:r>
          </w:p>
        </w:tc>
        <w:tc>
          <w:tcPr>
            <w:tcW w:w="1985" w:type="dxa"/>
            <w:vMerge/>
          </w:tcPr>
          <w:p w14:paraId="733BB1E5" w14:textId="77777777" w:rsidR="00002E1E" w:rsidRDefault="00002E1E" w:rsidP="00002E1E">
            <w:pPr>
              <w:pStyle w:val="TableCopy"/>
            </w:pPr>
          </w:p>
        </w:tc>
      </w:tr>
      <w:tr w:rsidR="00002E1E" w14:paraId="47D1E754" w14:textId="77777777" w:rsidTr="00312D13">
        <w:trPr>
          <w:trHeight w:val="1025"/>
        </w:trPr>
        <w:tc>
          <w:tcPr>
            <w:tcW w:w="4195" w:type="dxa"/>
            <w:vMerge w:val="restart"/>
          </w:tcPr>
          <w:p w14:paraId="28C1800A" w14:textId="77777777" w:rsidR="006A4A32" w:rsidRDefault="00002E1E" w:rsidP="00002E1E">
            <w:pPr>
              <w:pStyle w:val="TableNumbers1"/>
              <w:keepNext/>
              <w:numPr>
                <w:ilvl w:val="0"/>
                <w:numId w:val="0"/>
              </w:numPr>
              <w:ind w:left="57"/>
            </w:pPr>
            <w:r>
              <w:t>Under the 6CPA, pharmacists are funded to provide a range of health services including medication adherence (e.g. dose administration aids) and medical management (e.g. HMR / RMMRs, MedsChecks) programs.</w:t>
            </w:r>
          </w:p>
          <w:p w14:paraId="3D244F64" w14:textId="612A245A" w:rsidR="00002E1E" w:rsidRDefault="00002E1E" w:rsidP="00AE14F0">
            <w:pPr>
              <w:pStyle w:val="TableNumbers1"/>
              <w:keepNext/>
              <w:numPr>
                <w:ilvl w:val="0"/>
                <w:numId w:val="35"/>
              </w:numPr>
              <w:spacing w:before="60" w:after="60"/>
            </w:pPr>
            <w:r>
              <w:t xml:space="preserve">In your opinion, do community pharmacies currently have capacity to expand the range of these services for consumers, e.g. chronic disease monitoring, patient education? </w:t>
            </w:r>
          </w:p>
        </w:tc>
        <w:tc>
          <w:tcPr>
            <w:tcW w:w="3118" w:type="dxa"/>
          </w:tcPr>
          <w:p w14:paraId="350693A8" w14:textId="77777777" w:rsidR="00002E1E" w:rsidRDefault="00002E1E" w:rsidP="00AE14F0">
            <w:pPr>
              <w:pStyle w:val="TableNumbers2"/>
              <w:keepNext/>
              <w:numPr>
                <w:ilvl w:val="1"/>
                <w:numId w:val="35"/>
              </w:numPr>
              <w:spacing w:before="60" w:after="60"/>
            </w:pPr>
            <w:r>
              <w:t xml:space="preserve">Yes </w:t>
            </w:r>
            <w:r w:rsidRPr="007A250A">
              <w:rPr>
                <w:i/>
              </w:rPr>
              <w:t>(</w:t>
            </w:r>
            <w:r>
              <w:rPr>
                <w:i/>
              </w:rPr>
              <w:t>p</w:t>
            </w:r>
            <w:r w:rsidRPr="007A250A">
              <w:rPr>
                <w:i/>
              </w:rPr>
              <w:t>lease explain your answer)</w:t>
            </w:r>
          </w:p>
        </w:tc>
        <w:tc>
          <w:tcPr>
            <w:tcW w:w="1985" w:type="dxa"/>
            <w:vMerge w:val="restart"/>
          </w:tcPr>
          <w:p w14:paraId="585B7630" w14:textId="77777777" w:rsidR="00002E1E" w:rsidRDefault="00002E1E" w:rsidP="00002E1E">
            <w:pPr>
              <w:pStyle w:val="TableCopy"/>
              <w:keepNext/>
            </w:pPr>
            <w:r>
              <w:t>Proceed to Question 5</w:t>
            </w:r>
          </w:p>
        </w:tc>
      </w:tr>
      <w:tr w:rsidR="00002E1E" w14:paraId="7F997337" w14:textId="77777777" w:rsidTr="00312D13">
        <w:trPr>
          <w:trHeight w:val="500"/>
        </w:trPr>
        <w:tc>
          <w:tcPr>
            <w:tcW w:w="4195" w:type="dxa"/>
            <w:vMerge/>
          </w:tcPr>
          <w:p w14:paraId="5AA45DD3" w14:textId="77777777" w:rsidR="00002E1E" w:rsidRDefault="00002E1E" w:rsidP="00AE14F0">
            <w:pPr>
              <w:pStyle w:val="TableNumbers1"/>
              <w:keepNext/>
              <w:numPr>
                <w:ilvl w:val="0"/>
                <w:numId w:val="35"/>
              </w:numPr>
              <w:spacing w:before="60" w:after="60"/>
            </w:pPr>
          </w:p>
        </w:tc>
        <w:tc>
          <w:tcPr>
            <w:tcW w:w="3118" w:type="dxa"/>
          </w:tcPr>
          <w:p w14:paraId="6EB05F76" w14:textId="77777777" w:rsidR="00002E1E" w:rsidRDefault="00002E1E" w:rsidP="00AE14F0">
            <w:pPr>
              <w:pStyle w:val="TableNumbers2"/>
              <w:keepNext/>
              <w:numPr>
                <w:ilvl w:val="1"/>
                <w:numId w:val="35"/>
              </w:numPr>
              <w:spacing w:before="60" w:after="60"/>
            </w:pPr>
            <w:r>
              <w:t xml:space="preserve">No </w:t>
            </w:r>
            <w:r w:rsidRPr="007A250A">
              <w:rPr>
                <w:i/>
              </w:rPr>
              <w:t>(please explain your answer)</w:t>
            </w:r>
          </w:p>
        </w:tc>
        <w:tc>
          <w:tcPr>
            <w:tcW w:w="1985" w:type="dxa"/>
            <w:vMerge/>
          </w:tcPr>
          <w:p w14:paraId="7F4B1CB6" w14:textId="77777777" w:rsidR="00002E1E" w:rsidRDefault="00002E1E" w:rsidP="00002E1E">
            <w:pPr>
              <w:pStyle w:val="TableCopy"/>
              <w:keepNext/>
            </w:pPr>
          </w:p>
        </w:tc>
      </w:tr>
      <w:tr w:rsidR="00002E1E" w14:paraId="6DF67429" w14:textId="77777777" w:rsidTr="00312D13">
        <w:trPr>
          <w:trHeight w:val="500"/>
        </w:trPr>
        <w:tc>
          <w:tcPr>
            <w:tcW w:w="4195" w:type="dxa"/>
          </w:tcPr>
          <w:p w14:paraId="3CE603FC" w14:textId="77777777" w:rsidR="00002E1E" w:rsidRPr="002710F8" w:rsidRDefault="00002E1E" w:rsidP="00AE14F0">
            <w:pPr>
              <w:pStyle w:val="TableNumbers1"/>
              <w:numPr>
                <w:ilvl w:val="0"/>
                <w:numId w:val="35"/>
              </w:numPr>
              <w:spacing w:before="60" w:after="60"/>
            </w:pPr>
            <w:r w:rsidRPr="002710F8">
              <w:t xml:space="preserve">What are the potential </w:t>
            </w:r>
            <w:r>
              <w:t>barriers and enablers</w:t>
            </w:r>
            <w:r w:rsidRPr="002710F8">
              <w:t xml:space="preserve"> of expanding these type</w:t>
            </w:r>
            <w:r>
              <w:t>s</w:t>
            </w:r>
            <w:r w:rsidRPr="002710F8">
              <w:t xml:space="preserve"> of services in pharmacies?</w:t>
            </w:r>
            <w:r>
              <w:t xml:space="preserve"> </w:t>
            </w:r>
          </w:p>
        </w:tc>
        <w:tc>
          <w:tcPr>
            <w:tcW w:w="3118" w:type="dxa"/>
          </w:tcPr>
          <w:p w14:paraId="5F33AFE3" w14:textId="77777777" w:rsidR="00002E1E" w:rsidRPr="00A150BF" w:rsidRDefault="00002E1E" w:rsidP="00002E1E">
            <w:pPr>
              <w:pStyle w:val="TableNumbers2"/>
              <w:numPr>
                <w:ilvl w:val="0"/>
                <w:numId w:val="0"/>
              </w:numPr>
              <w:ind w:left="397"/>
              <w:rPr>
                <w:i/>
              </w:rPr>
            </w:pPr>
            <w:r w:rsidRPr="00A150BF">
              <w:rPr>
                <w:i/>
              </w:rPr>
              <w:t xml:space="preserve">Free text </w:t>
            </w:r>
          </w:p>
        </w:tc>
        <w:tc>
          <w:tcPr>
            <w:tcW w:w="1985" w:type="dxa"/>
          </w:tcPr>
          <w:p w14:paraId="5CEF9365" w14:textId="77777777" w:rsidR="00002E1E" w:rsidRDefault="00002E1E" w:rsidP="00002E1E">
            <w:pPr>
              <w:pStyle w:val="TableCopy"/>
            </w:pPr>
            <w:r>
              <w:t>Proceed to Question 6</w:t>
            </w:r>
          </w:p>
        </w:tc>
      </w:tr>
      <w:tr w:rsidR="00002E1E" w14:paraId="12ABFF25" w14:textId="77777777" w:rsidTr="00312D13">
        <w:trPr>
          <w:trHeight w:val="737"/>
        </w:trPr>
        <w:tc>
          <w:tcPr>
            <w:tcW w:w="4195" w:type="dxa"/>
            <w:vMerge w:val="restart"/>
          </w:tcPr>
          <w:p w14:paraId="22D34D5F" w14:textId="77777777" w:rsidR="00002E1E" w:rsidRDefault="00002E1E" w:rsidP="00002E1E">
            <w:pPr>
              <w:pStyle w:val="TableCopy"/>
            </w:pPr>
            <w:r w:rsidRPr="002710F8">
              <w:t xml:space="preserve">The aims of the PTP are to improve clinical outcomes for consumers and/or extend the role of pharmacists in the delivery of primary </w:t>
            </w:r>
            <w:r>
              <w:t>health care</w:t>
            </w:r>
            <w:r w:rsidRPr="002710F8">
              <w:t xml:space="preserve"> services through community pharmacy.</w:t>
            </w:r>
          </w:p>
          <w:p w14:paraId="1F4BEE62" w14:textId="77777777" w:rsidR="00002E1E" w:rsidRPr="002710F8" w:rsidRDefault="00002E1E" w:rsidP="00AE14F0">
            <w:pPr>
              <w:pStyle w:val="TableNumbers1"/>
              <w:numPr>
                <w:ilvl w:val="0"/>
                <w:numId w:val="35"/>
              </w:numPr>
              <w:spacing w:before="60" w:after="60"/>
            </w:pPr>
            <w:r>
              <w:t>Were you aware of the PTP prior to completing this survey?</w:t>
            </w:r>
          </w:p>
        </w:tc>
        <w:tc>
          <w:tcPr>
            <w:tcW w:w="3118" w:type="dxa"/>
          </w:tcPr>
          <w:p w14:paraId="3F04FA45" w14:textId="77777777" w:rsidR="00002E1E" w:rsidRDefault="00002E1E" w:rsidP="00AE14F0">
            <w:pPr>
              <w:pStyle w:val="TableNumbers2"/>
              <w:numPr>
                <w:ilvl w:val="1"/>
                <w:numId w:val="35"/>
              </w:numPr>
              <w:spacing w:before="60" w:after="60"/>
            </w:pPr>
            <w:r>
              <w:t>Yes</w:t>
            </w:r>
          </w:p>
        </w:tc>
        <w:tc>
          <w:tcPr>
            <w:tcW w:w="1985" w:type="dxa"/>
          </w:tcPr>
          <w:p w14:paraId="3D020CA6" w14:textId="77777777" w:rsidR="00002E1E" w:rsidRDefault="00002E1E" w:rsidP="00002E1E">
            <w:pPr>
              <w:pStyle w:val="TableCopy"/>
            </w:pPr>
            <w:r>
              <w:t>Proceed to Question 7</w:t>
            </w:r>
          </w:p>
        </w:tc>
      </w:tr>
      <w:tr w:rsidR="00002E1E" w14:paraId="77FEBF5D" w14:textId="77777777" w:rsidTr="00312D13">
        <w:trPr>
          <w:trHeight w:val="794"/>
        </w:trPr>
        <w:tc>
          <w:tcPr>
            <w:tcW w:w="4195" w:type="dxa"/>
            <w:vMerge/>
          </w:tcPr>
          <w:p w14:paraId="6B67E2D0" w14:textId="77777777" w:rsidR="00002E1E" w:rsidRPr="002710F8" w:rsidRDefault="00002E1E" w:rsidP="00002E1E">
            <w:pPr>
              <w:pStyle w:val="TableCopy"/>
            </w:pPr>
          </w:p>
        </w:tc>
        <w:tc>
          <w:tcPr>
            <w:tcW w:w="3118" w:type="dxa"/>
          </w:tcPr>
          <w:p w14:paraId="0B75447F" w14:textId="77777777" w:rsidR="00002E1E" w:rsidRDefault="00002E1E" w:rsidP="00AE14F0">
            <w:pPr>
              <w:pStyle w:val="TableNumbers2"/>
              <w:numPr>
                <w:ilvl w:val="1"/>
                <w:numId w:val="35"/>
              </w:numPr>
              <w:spacing w:before="60" w:after="60"/>
            </w:pPr>
            <w:r>
              <w:t>No</w:t>
            </w:r>
          </w:p>
        </w:tc>
        <w:tc>
          <w:tcPr>
            <w:tcW w:w="1985" w:type="dxa"/>
          </w:tcPr>
          <w:p w14:paraId="2CD1643A" w14:textId="77777777" w:rsidR="00002E1E" w:rsidRDefault="00002E1E" w:rsidP="00002E1E">
            <w:pPr>
              <w:pStyle w:val="TableCopy"/>
            </w:pPr>
            <w:r>
              <w:t>Skip to Question 9</w:t>
            </w:r>
          </w:p>
        </w:tc>
      </w:tr>
      <w:tr w:rsidR="00002E1E" w14:paraId="41F42F9A" w14:textId="77777777" w:rsidTr="00312D13">
        <w:trPr>
          <w:trHeight w:val="154"/>
        </w:trPr>
        <w:tc>
          <w:tcPr>
            <w:tcW w:w="4195" w:type="dxa"/>
            <w:vMerge w:val="restart"/>
          </w:tcPr>
          <w:p w14:paraId="030038C4" w14:textId="77777777" w:rsidR="00002E1E" w:rsidRDefault="00002E1E" w:rsidP="00AE14F0">
            <w:pPr>
              <w:pStyle w:val="TableNumbers1"/>
              <w:numPr>
                <w:ilvl w:val="0"/>
                <w:numId w:val="35"/>
              </w:numPr>
              <w:spacing w:before="60" w:after="60"/>
            </w:pPr>
            <w:r>
              <w:t>How did you become aware of the PTP?</w:t>
            </w:r>
          </w:p>
          <w:p w14:paraId="3A8E72EC" w14:textId="77777777" w:rsidR="00002E1E" w:rsidRDefault="00002E1E" w:rsidP="00002E1E">
            <w:pPr>
              <w:pStyle w:val="TableNumbers1"/>
              <w:numPr>
                <w:ilvl w:val="0"/>
                <w:numId w:val="0"/>
              </w:numPr>
              <w:ind w:left="57"/>
            </w:pPr>
            <w:r>
              <w:t xml:space="preserve"> Please select all that apply </w:t>
            </w:r>
          </w:p>
        </w:tc>
        <w:tc>
          <w:tcPr>
            <w:tcW w:w="3118" w:type="dxa"/>
          </w:tcPr>
          <w:p w14:paraId="05DB98AA" w14:textId="77777777" w:rsidR="00002E1E" w:rsidRDefault="00002E1E" w:rsidP="00AE14F0">
            <w:pPr>
              <w:pStyle w:val="TableNumbers2"/>
              <w:numPr>
                <w:ilvl w:val="1"/>
                <w:numId w:val="35"/>
              </w:numPr>
              <w:spacing w:before="60" w:after="60"/>
            </w:pPr>
            <w:r>
              <w:t xml:space="preserve">Department of health website, media release </w:t>
            </w:r>
          </w:p>
        </w:tc>
        <w:tc>
          <w:tcPr>
            <w:tcW w:w="1985" w:type="dxa"/>
            <w:vMerge w:val="restart"/>
          </w:tcPr>
          <w:p w14:paraId="547C5C77" w14:textId="77777777" w:rsidR="00002E1E" w:rsidRDefault="00002E1E" w:rsidP="00002E1E">
            <w:pPr>
              <w:pStyle w:val="TableCopy"/>
            </w:pPr>
            <w:r>
              <w:t>Proceed to Question 8</w:t>
            </w:r>
          </w:p>
        </w:tc>
      </w:tr>
      <w:tr w:rsidR="00002E1E" w14:paraId="62E9297F" w14:textId="77777777" w:rsidTr="00312D13">
        <w:trPr>
          <w:trHeight w:val="154"/>
        </w:trPr>
        <w:tc>
          <w:tcPr>
            <w:tcW w:w="4195" w:type="dxa"/>
            <w:vMerge/>
          </w:tcPr>
          <w:p w14:paraId="4FD2EFC6" w14:textId="77777777" w:rsidR="00002E1E" w:rsidRDefault="00002E1E" w:rsidP="00AE14F0">
            <w:pPr>
              <w:pStyle w:val="TableNumbers1"/>
              <w:numPr>
                <w:ilvl w:val="0"/>
                <w:numId w:val="35"/>
              </w:numPr>
              <w:spacing w:before="60" w:after="60"/>
            </w:pPr>
          </w:p>
        </w:tc>
        <w:tc>
          <w:tcPr>
            <w:tcW w:w="3118" w:type="dxa"/>
          </w:tcPr>
          <w:p w14:paraId="6A456E0C" w14:textId="77777777" w:rsidR="00002E1E" w:rsidRDefault="00002E1E" w:rsidP="00AE14F0">
            <w:pPr>
              <w:pStyle w:val="TableNumbers2"/>
              <w:numPr>
                <w:ilvl w:val="1"/>
                <w:numId w:val="35"/>
              </w:numPr>
              <w:spacing w:before="60" w:after="60"/>
            </w:pPr>
            <w:r>
              <w:t xml:space="preserve">The Pharmacy Guild of Australia website, newsletters, social media </w:t>
            </w:r>
          </w:p>
        </w:tc>
        <w:tc>
          <w:tcPr>
            <w:tcW w:w="1985" w:type="dxa"/>
            <w:vMerge/>
          </w:tcPr>
          <w:p w14:paraId="049BAA83" w14:textId="77777777" w:rsidR="00002E1E" w:rsidRDefault="00002E1E" w:rsidP="00002E1E">
            <w:pPr>
              <w:pStyle w:val="TableCopy"/>
            </w:pPr>
          </w:p>
        </w:tc>
      </w:tr>
      <w:tr w:rsidR="00002E1E" w14:paraId="0A16EF5A" w14:textId="77777777" w:rsidTr="00312D13">
        <w:trPr>
          <w:trHeight w:val="154"/>
        </w:trPr>
        <w:tc>
          <w:tcPr>
            <w:tcW w:w="4195" w:type="dxa"/>
            <w:vMerge/>
          </w:tcPr>
          <w:p w14:paraId="25E9D909" w14:textId="77777777" w:rsidR="00002E1E" w:rsidRDefault="00002E1E" w:rsidP="00AE14F0">
            <w:pPr>
              <w:pStyle w:val="TableNumbers1"/>
              <w:numPr>
                <w:ilvl w:val="0"/>
                <w:numId w:val="35"/>
              </w:numPr>
              <w:spacing w:before="60" w:after="60"/>
            </w:pPr>
          </w:p>
        </w:tc>
        <w:tc>
          <w:tcPr>
            <w:tcW w:w="3118" w:type="dxa"/>
          </w:tcPr>
          <w:p w14:paraId="1737F754" w14:textId="77777777" w:rsidR="00002E1E" w:rsidRDefault="00002E1E" w:rsidP="00AE14F0">
            <w:pPr>
              <w:pStyle w:val="TableNumbers2"/>
              <w:numPr>
                <w:ilvl w:val="1"/>
                <w:numId w:val="35"/>
              </w:numPr>
              <w:spacing w:before="60" w:after="60"/>
            </w:pPr>
            <w:r>
              <w:t xml:space="preserve">The Pharmaceutical Society of Australia website, newsletters, social media </w:t>
            </w:r>
          </w:p>
        </w:tc>
        <w:tc>
          <w:tcPr>
            <w:tcW w:w="1985" w:type="dxa"/>
            <w:vMerge/>
          </w:tcPr>
          <w:p w14:paraId="591808D0" w14:textId="77777777" w:rsidR="00002E1E" w:rsidRDefault="00002E1E" w:rsidP="00002E1E">
            <w:pPr>
              <w:pStyle w:val="TableCopy"/>
            </w:pPr>
          </w:p>
        </w:tc>
      </w:tr>
      <w:tr w:rsidR="00002E1E" w14:paraId="4B467062" w14:textId="77777777" w:rsidTr="00312D13">
        <w:trPr>
          <w:trHeight w:val="154"/>
        </w:trPr>
        <w:tc>
          <w:tcPr>
            <w:tcW w:w="4195" w:type="dxa"/>
            <w:vMerge/>
          </w:tcPr>
          <w:p w14:paraId="2CE916BB" w14:textId="77777777" w:rsidR="00002E1E" w:rsidRDefault="00002E1E" w:rsidP="00AE14F0">
            <w:pPr>
              <w:pStyle w:val="TableNumbers1"/>
              <w:numPr>
                <w:ilvl w:val="0"/>
                <w:numId w:val="35"/>
              </w:numPr>
              <w:spacing w:before="60" w:after="60"/>
            </w:pPr>
          </w:p>
        </w:tc>
        <w:tc>
          <w:tcPr>
            <w:tcW w:w="3118" w:type="dxa"/>
          </w:tcPr>
          <w:p w14:paraId="0519BEE8" w14:textId="77777777" w:rsidR="00002E1E" w:rsidRDefault="00002E1E" w:rsidP="00AE14F0">
            <w:pPr>
              <w:pStyle w:val="TableNumbers2"/>
              <w:numPr>
                <w:ilvl w:val="1"/>
                <w:numId w:val="35"/>
              </w:numPr>
              <w:spacing w:before="60" w:after="60"/>
            </w:pPr>
            <w:r>
              <w:t xml:space="preserve">6CPA website </w:t>
            </w:r>
          </w:p>
        </w:tc>
        <w:tc>
          <w:tcPr>
            <w:tcW w:w="1985" w:type="dxa"/>
            <w:vMerge/>
          </w:tcPr>
          <w:p w14:paraId="47BD7BE2" w14:textId="77777777" w:rsidR="00002E1E" w:rsidRDefault="00002E1E" w:rsidP="00002E1E">
            <w:pPr>
              <w:pStyle w:val="TableCopy"/>
            </w:pPr>
          </w:p>
        </w:tc>
      </w:tr>
      <w:tr w:rsidR="00002E1E" w14:paraId="1A0350F3" w14:textId="77777777" w:rsidTr="00312D13">
        <w:trPr>
          <w:trHeight w:val="154"/>
        </w:trPr>
        <w:tc>
          <w:tcPr>
            <w:tcW w:w="4195" w:type="dxa"/>
            <w:vMerge/>
          </w:tcPr>
          <w:p w14:paraId="68522CED" w14:textId="77777777" w:rsidR="00002E1E" w:rsidRDefault="00002E1E" w:rsidP="00AE14F0">
            <w:pPr>
              <w:pStyle w:val="TableNumbers1"/>
              <w:numPr>
                <w:ilvl w:val="0"/>
                <w:numId w:val="35"/>
              </w:numPr>
              <w:spacing w:before="60" w:after="60"/>
            </w:pPr>
          </w:p>
        </w:tc>
        <w:tc>
          <w:tcPr>
            <w:tcW w:w="3118" w:type="dxa"/>
          </w:tcPr>
          <w:p w14:paraId="33926B52" w14:textId="77777777" w:rsidR="00002E1E" w:rsidRDefault="00002E1E" w:rsidP="00AA420C">
            <w:pPr>
              <w:pStyle w:val="TableNumbers2"/>
              <w:keepNext/>
              <w:numPr>
                <w:ilvl w:val="1"/>
                <w:numId w:val="35"/>
              </w:numPr>
              <w:spacing w:before="60" w:after="60"/>
            </w:pPr>
            <w:r>
              <w:t xml:space="preserve">Other pharmacists </w:t>
            </w:r>
          </w:p>
        </w:tc>
        <w:tc>
          <w:tcPr>
            <w:tcW w:w="1985" w:type="dxa"/>
            <w:vMerge/>
          </w:tcPr>
          <w:p w14:paraId="132BFFDC" w14:textId="77777777" w:rsidR="00002E1E" w:rsidRDefault="00002E1E" w:rsidP="00002E1E">
            <w:pPr>
              <w:pStyle w:val="TableCopy"/>
            </w:pPr>
          </w:p>
        </w:tc>
      </w:tr>
      <w:tr w:rsidR="00002E1E" w14:paraId="22AEF485" w14:textId="77777777" w:rsidTr="00312D13">
        <w:trPr>
          <w:trHeight w:val="154"/>
        </w:trPr>
        <w:tc>
          <w:tcPr>
            <w:tcW w:w="4195" w:type="dxa"/>
            <w:vMerge/>
          </w:tcPr>
          <w:p w14:paraId="0C452C55" w14:textId="77777777" w:rsidR="00002E1E" w:rsidRDefault="00002E1E" w:rsidP="00AE14F0">
            <w:pPr>
              <w:pStyle w:val="TableNumbers1"/>
              <w:numPr>
                <w:ilvl w:val="0"/>
                <w:numId w:val="35"/>
              </w:numPr>
              <w:spacing w:before="60" w:after="60"/>
            </w:pPr>
          </w:p>
        </w:tc>
        <w:tc>
          <w:tcPr>
            <w:tcW w:w="3118" w:type="dxa"/>
          </w:tcPr>
          <w:p w14:paraId="54C2793E" w14:textId="77777777" w:rsidR="00002E1E" w:rsidRDefault="00002E1E" w:rsidP="00AE14F0">
            <w:pPr>
              <w:pStyle w:val="TableNumbers2"/>
              <w:numPr>
                <w:ilvl w:val="1"/>
                <w:numId w:val="35"/>
              </w:numPr>
              <w:spacing w:before="60" w:after="60"/>
            </w:pPr>
            <w:r>
              <w:t xml:space="preserve">Other researchers </w:t>
            </w:r>
          </w:p>
        </w:tc>
        <w:tc>
          <w:tcPr>
            <w:tcW w:w="1985" w:type="dxa"/>
            <w:vMerge/>
          </w:tcPr>
          <w:p w14:paraId="43B21A7D" w14:textId="77777777" w:rsidR="00002E1E" w:rsidRDefault="00002E1E" w:rsidP="00002E1E">
            <w:pPr>
              <w:pStyle w:val="TableCopy"/>
            </w:pPr>
          </w:p>
        </w:tc>
      </w:tr>
      <w:tr w:rsidR="00002E1E" w14:paraId="6C11A7B2" w14:textId="77777777" w:rsidTr="00312D13">
        <w:trPr>
          <w:trHeight w:val="154"/>
        </w:trPr>
        <w:tc>
          <w:tcPr>
            <w:tcW w:w="4195" w:type="dxa"/>
            <w:vMerge/>
          </w:tcPr>
          <w:p w14:paraId="2CE75441" w14:textId="77777777" w:rsidR="00002E1E" w:rsidRDefault="00002E1E" w:rsidP="00AE14F0">
            <w:pPr>
              <w:pStyle w:val="TableNumbers1"/>
              <w:numPr>
                <w:ilvl w:val="0"/>
                <w:numId w:val="35"/>
              </w:numPr>
              <w:spacing w:before="60" w:after="60"/>
            </w:pPr>
          </w:p>
        </w:tc>
        <w:tc>
          <w:tcPr>
            <w:tcW w:w="3118" w:type="dxa"/>
          </w:tcPr>
          <w:p w14:paraId="41981575" w14:textId="77777777" w:rsidR="00002E1E" w:rsidRDefault="00002E1E" w:rsidP="00AE14F0">
            <w:pPr>
              <w:pStyle w:val="TableNumbers2"/>
              <w:numPr>
                <w:ilvl w:val="1"/>
                <w:numId w:val="35"/>
              </w:numPr>
              <w:spacing w:before="60" w:after="60"/>
            </w:pPr>
            <w:r>
              <w:t xml:space="preserve">Other </w:t>
            </w:r>
            <w:r w:rsidRPr="00EE540B">
              <w:rPr>
                <w:i/>
              </w:rPr>
              <w:t>(free text)</w:t>
            </w:r>
          </w:p>
        </w:tc>
        <w:tc>
          <w:tcPr>
            <w:tcW w:w="1985" w:type="dxa"/>
            <w:vMerge/>
          </w:tcPr>
          <w:p w14:paraId="027C0D2A" w14:textId="77777777" w:rsidR="00002E1E" w:rsidRDefault="00002E1E" w:rsidP="00002E1E">
            <w:pPr>
              <w:pStyle w:val="TableCopy"/>
            </w:pPr>
          </w:p>
        </w:tc>
      </w:tr>
      <w:tr w:rsidR="00002E1E" w14:paraId="137E306A" w14:textId="77777777" w:rsidTr="00312D13">
        <w:trPr>
          <w:trHeight w:val="385"/>
        </w:trPr>
        <w:tc>
          <w:tcPr>
            <w:tcW w:w="4195" w:type="dxa"/>
            <w:vMerge w:val="restart"/>
          </w:tcPr>
          <w:p w14:paraId="7C5B54A5" w14:textId="77777777" w:rsidR="00002E1E" w:rsidRDefault="00002E1E" w:rsidP="00AE14F0">
            <w:pPr>
              <w:pStyle w:val="TableNumbers1"/>
              <w:numPr>
                <w:ilvl w:val="0"/>
                <w:numId w:val="35"/>
              </w:numPr>
              <w:spacing w:before="60" w:after="60"/>
            </w:pPr>
            <w:r>
              <w:t>Were you or your pharmacy involved in a funding application for a trial?</w:t>
            </w:r>
          </w:p>
        </w:tc>
        <w:tc>
          <w:tcPr>
            <w:tcW w:w="3118" w:type="dxa"/>
          </w:tcPr>
          <w:p w14:paraId="56CB2DF5" w14:textId="77777777" w:rsidR="00002E1E" w:rsidRDefault="00002E1E" w:rsidP="00AE14F0">
            <w:pPr>
              <w:pStyle w:val="TableNumbers2"/>
              <w:numPr>
                <w:ilvl w:val="1"/>
                <w:numId w:val="35"/>
              </w:numPr>
              <w:spacing w:before="60" w:after="60"/>
            </w:pPr>
            <w:r>
              <w:t>Yes</w:t>
            </w:r>
          </w:p>
        </w:tc>
        <w:tc>
          <w:tcPr>
            <w:tcW w:w="1985" w:type="dxa"/>
            <w:vMerge w:val="restart"/>
          </w:tcPr>
          <w:p w14:paraId="4BAEFF1F" w14:textId="77777777" w:rsidR="00002E1E" w:rsidRDefault="00002E1E" w:rsidP="00002E1E">
            <w:pPr>
              <w:pStyle w:val="TableCopy"/>
            </w:pPr>
            <w:r>
              <w:t>Proceed to Question 9</w:t>
            </w:r>
          </w:p>
        </w:tc>
      </w:tr>
      <w:tr w:rsidR="00002E1E" w14:paraId="7C474B79" w14:textId="77777777" w:rsidTr="00312D13">
        <w:trPr>
          <w:trHeight w:val="385"/>
        </w:trPr>
        <w:tc>
          <w:tcPr>
            <w:tcW w:w="4195" w:type="dxa"/>
            <w:vMerge/>
          </w:tcPr>
          <w:p w14:paraId="6B14186A" w14:textId="77777777" w:rsidR="00002E1E" w:rsidRDefault="00002E1E" w:rsidP="00AE14F0">
            <w:pPr>
              <w:pStyle w:val="TableNumbers1"/>
              <w:numPr>
                <w:ilvl w:val="0"/>
                <w:numId w:val="35"/>
              </w:numPr>
              <w:spacing w:before="60" w:after="60"/>
            </w:pPr>
          </w:p>
        </w:tc>
        <w:tc>
          <w:tcPr>
            <w:tcW w:w="3118" w:type="dxa"/>
          </w:tcPr>
          <w:p w14:paraId="7CF98667" w14:textId="77777777" w:rsidR="00002E1E" w:rsidRDefault="00002E1E" w:rsidP="00AE14F0">
            <w:pPr>
              <w:pStyle w:val="TableNumbers2"/>
              <w:numPr>
                <w:ilvl w:val="1"/>
                <w:numId w:val="35"/>
              </w:numPr>
              <w:spacing w:before="60" w:after="60"/>
            </w:pPr>
            <w:r>
              <w:t>No</w:t>
            </w:r>
          </w:p>
        </w:tc>
        <w:tc>
          <w:tcPr>
            <w:tcW w:w="1985" w:type="dxa"/>
            <w:vMerge/>
          </w:tcPr>
          <w:p w14:paraId="0BA60CD7" w14:textId="77777777" w:rsidR="00002E1E" w:rsidRDefault="00002E1E" w:rsidP="00002E1E">
            <w:pPr>
              <w:pStyle w:val="TableCopy"/>
            </w:pPr>
          </w:p>
        </w:tc>
      </w:tr>
      <w:tr w:rsidR="00002E1E" w14:paraId="2EAB4550" w14:textId="77777777" w:rsidTr="00312D13">
        <w:trPr>
          <w:trHeight w:val="469"/>
        </w:trPr>
        <w:tc>
          <w:tcPr>
            <w:tcW w:w="4195" w:type="dxa"/>
            <w:vMerge w:val="restart"/>
          </w:tcPr>
          <w:p w14:paraId="56276A13" w14:textId="77777777" w:rsidR="00002E1E" w:rsidRDefault="00002E1E" w:rsidP="00AE14F0">
            <w:pPr>
              <w:pStyle w:val="TableNumbers1"/>
              <w:numPr>
                <w:ilvl w:val="0"/>
                <w:numId w:val="35"/>
              </w:numPr>
              <w:spacing w:before="60" w:after="60"/>
            </w:pPr>
            <w:r>
              <w:t>Do you think the PTP aims are suitable and/or effective to advance pharmacy practice in Australia?</w:t>
            </w:r>
          </w:p>
        </w:tc>
        <w:tc>
          <w:tcPr>
            <w:tcW w:w="3118" w:type="dxa"/>
          </w:tcPr>
          <w:p w14:paraId="411D4454" w14:textId="77777777" w:rsidR="00002E1E" w:rsidRDefault="00002E1E" w:rsidP="00AE14F0">
            <w:pPr>
              <w:pStyle w:val="TableNumbers2"/>
              <w:numPr>
                <w:ilvl w:val="1"/>
                <w:numId w:val="35"/>
              </w:numPr>
              <w:spacing w:before="60" w:after="60"/>
            </w:pPr>
            <w:r>
              <w:t xml:space="preserve">Yes </w:t>
            </w:r>
            <w:r w:rsidRPr="007A250A">
              <w:rPr>
                <w:i/>
              </w:rPr>
              <w:t>(</w:t>
            </w:r>
            <w:r>
              <w:rPr>
                <w:i/>
              </w:rPr>
              <w:t>p</w:t>
            </w:r>
            <w:r w:rsidRPr="007A250A">
              <w:rPr>
                <w:i/>
              </w:rPr>
              <w:t>lease explain your answer)</w:t>
            </w:r>
          </w:p>
        </w:tc>
        <w:tc>
          <w:tcPr>
            <w:tcW w:w="1985" w:type="dxa"/>
            <w:vMerge w:val="restart"/>
          </w:tcPr>
          <w:p w14:paraId="1AD313CC" w14:textId="77777777" w:rsidR="00002E1E" w:rsidRDefault="00002E1E" w:rsidP="00002E1E">
            <w:pPr>
              <w:pStyle w:val="TableCopy"/>
            </w:pPr>
            <w:r>
              <w:t>Proceed to Question 10</w:t>
            </w:r>
          </w:p>
        </w:tc>
      </w:tr>
      <w:tr w:rsidR="00002E1E" w14:paraId="121C8ECD" w14:textId="77777777" w:rsidTr="00312D13">
        <w:trPr>
          <w:trHeight w:val="469"/>
        </w:trPr>
        <w:tc>
          <w:tcPr>
            <w:tcW w:w="4195" w:type="dxa"/>
            <w:vMerge/>
          </w:tcPr>
          <w:p w14:paraId="7B8EDD7C" w14:textId="77777777" w:rsidR="00002E1E" w:rsidRDefault="00002E1E" w:rsidP="00AE14F0">
            <w:pPr>
              <w:pStyle w:val="TableNumbers1"/>
              <w:numPr>
                <w:ilvl w:val="0"/>
                <w:numId w:val="35"/>
              </w:numPr>
              <w:spacing w:before="60" w:after="60"/>
            </w:pPr>
          </w:p>
        </w:tc>
        <w:tc>
          <w:tcPr>
            <w:tcW w:w="3118" w:type="dxa"/>
          </w:tcPr>
          <w:p w14:paraId="32D3CC91" w14:textId="77777777" w:rsidR="00002E1E" w:rsidRDefault="00002E1E" w:rsidP="00AE14F0">
            <w:pPr>
              <w:pStyle w:val="TableNumbers2"/>
              <w:numPr>
                <w:ilvl w:val="1"/>
                <w:numId w:val="35"/>
              </w:numPr>
              <w:spacing w:before="60" w:after="60"/>
            </w:pPr>
            <w:r>
              <w:t xml:space="preserve">No </w:t>
            </w:r>
            <w:r w:rsidRPr="007A250A">
              <w:rPr>
                <w:i/>
              </w:rPr>
              <w:t>(</w:t>
            </w:r>
            <w:r>
              <w:rPr>
                <w:i/>
              </w:rPr>
              <w:t>p</w:t>
            </w:r>
            <w:r w:rsidRPr="007A250A">
              <w:rPr>
                <w:i/>
              </w:rPr>
              <w:t xml:space="preserve">lease </w:t>
            </w:r>
            <w:r>
              <w:rPr>
                <w:i/>
              </w:rPr>
              <w:t>explain your answer)</w:t>
            </w:r>
          </w:p>
        </w:tc>
        <w:tc>
          <w:tcPr>
            <w:tcW w:w="1985" w:type="dxa"/>
            <w:vMerge/>
          </w:tcPr>
          <w:p w14:paraId="025BAD86" w14:textId="77777777" w:rsidR="00002E1E" w:rsidRDefault="00002E1E" w:rsidP="00002E1E">
            <w:pPr>
              <w:pStyle w:val="TableCopy"/>
            </w:pPr>
          </w:p>
        </w:tc>
      </w:tr>
      <w:tr w:rsidR="00002E1E" w14:paraId="4E10B741" w14:textId="77777777" w:rsidTr="00312D13">
        <w:trPr>
          <w:trHeight w:val="385"/>
        </w:trPr>
        <w:tc>
          <w:tcPr>
            <w:tcW w:w="4195" w:type="dxa"/>
            <w:vMerge w:val="restart"/>
          </w:tcPr>
          <w:p w14:paraId="6C9F0CE3" w14:textId="77777777" w:rsidR="00002E1E" w:rsidRPr="002710F8" w:rsidRDefault="00002E1E" w:rsidP="00AE14F0">
            <w:pPr>
              <w:pStyle w:val="TableNumbers1"/>
              <w:numPr>
                <w:ilvl w:val="0"/>
                <w:numId w:val="35"/>
              </w:numPr>
            </w:pPr>
            <w:r w:rsidRPr="002710F8">
              <w:t>In your opinion, is a research grant program a suitable mechanism to achieve the</w:t>
            </w:r>
            <w:r>
              <w:t xml:space="preserve"> </w:t>
            </w:r>
            <w:r w:rsidRPr="002710F8">
              <w:t>aims</w:t>
            </w:r>
            <w:r>
              <w:t xml:space="preserve"> of the PTP</w:t>
            </w:r>
            <w:r w:rsidRPr="002710F8">
              <w:t>?</w:t>
            </w:r>
          </w:p>
        </w:tc>
        <w:tc>
          <w:tcPr>
            <w:tcW w:w="3118" w:type="dxa"/>
          </w:tcPr>
          <w:p w14:paraId="2CBE5D12" w14:textId="77777777" w:rsidR="00002E1E" w:rsidRDefault="00002E1E" w:rsidP="00AE14F0">
            <w:pPr>
              <w:pStyle w:val="TableNumbers2"/>
              <w:numPr>
                <w:ilvl w:val="1"/>
                <w:numId w:val="35"/>
              </w:numPr>
              <w:spacing w:before="60" w:after="60"/>
            </w:pPr>
            <w:r>
              <w:t xml:space="preserve">Yes </w:t>
            </w:r>
            <w:r w:rsidRPr="007A250A">
              <w:rPr>
                <w:i/>
              </w:rPr>
              <w:t>(</w:t>
            </w:r>
            <w:r>
              <w:rPr>
                <w:i/>
              </w:rPr>
              <w:t>p</w:t>
            </w:r>
            <w:r w:rsidRPr="007A250A">
              <w:rPr>
                <w:i/>
              </w:rPr>
              <w:t xml:space="preserve">lease </w:t>
            </w:r>
            <w:r>
              <w:rPr>
                <w:i/>
              </w:rPr>
              <w:t>identify any enablers</w:t>
            </w:r>
            <w:r w:rsidRPr="007A250A">
              <w:rPr>
                <w:i/>
              </w:rPr>
              <w:t>)</w:t>
            </w:r>
          </w:p>
        </w:tc>
        <w:tc>
          <w:tcPr>
            <w:tcW w:w="1985" w:type="dxa"/>
            <w:vMerge w:val="restart"/>
          </w:tcPr>
          <w:p w14:paraId="1E055814" w14:textId="77777777" w:rsidR="00002E1E" w:rsidRDefault="00002E1E" w:rsidP="00002E1E">
            <w:pPr>
              <w:pStyle w:val="TableCopy"/>
            </w:pPr>
            <w:r>
              <w:t>Proceed to Question 11</w:t>
            </w:r>
          </w:p>
        </w:tc>
      </w:tr>
      <w:tr w:rsidR="00002E1E" w14:paraId="6A4EA483" w14:textId="77777777" w:rsidTr="00312D13">
        <w:trPr>
          <w:trHeight w:val="385"/>
        </w:trPr>
        <w:tc>
          <w:tcPr>
            <w:tcW w:w="4195" w:type="dxa"/>
            <w:vMerge/>
          </w:tcPr>
          <w:p w14:paraId="72531718" w14:textId="77777777" w:rsidR="00002E1E" w:rsidRPr="002710F8" w:rsidRDefault="00002E1E" w:rsidP="00AE14F0">
            <w:pPr>
              <w:pStyle w:val="TableNumbers1"/>
              <w:numPr>
                <w:ilvl w:val="0"/>
                <w:numId w:val="35"/>
              </w:numPr>
            </w:pPr>
          </w:p>
        </w:tc>
        <w:tc>
          <w:tcPr>
            <w:tcW w:w="3118" w:type="dxa"/>
          </w:tcPr>
          <w:p w14:paraId="78A9F5CB" w14:textId="77777777" w:rsidR="00002E1E" w:rsidRDefault="00002E1E" w:rsidP="00AE14F0">
            <w:pPr>
              <w:pStyle w:val="TableNumbers2"/>
              <w:numPr>
                <w:ilvl w:val="1"/>
                <w:numId w:val="35"/>
              </w:numPr>
              <w:spacing w:before="60" w:after="60"/>
            </w:pPr>
            <w:r>
              <w:t xml:space="preserve">No </w:t>
            </w:r>
            <w:r w:rsidRPr="007A250A">
              <w:rPr>
                <w:i/>
              </w:rPr>
              <w:t>(</w:t>
            </w:r>
            <w:r>
              <w:rPr>
                <w:i/>
              </w:rPr>
              <w:t>p</w:t>
            </w:r>
            <w:r w:rsidRPr="007A250A">
              <w:rPr>
                <w:i/>
              </w:rPr>
              <w:t xml:space="preserve">lease </w:t>
            </w:r>
            <w:r>
              <w:rPr>
                <w:i/>
              </w:rPr>
              <w:t>identify any barriers and possible solutions</w:t>
            </w:r>
            <w:r w:rsidRPr="007A250A">
              <w:rPr>
                <w:i/>
              </w:rPr>
              <w:t>)</w:t>
            </w:r>
          </w:p>
        </w:tc>
        <w:tc>
          <w:tcPr>
            <w:tcW w:w="1985" w:type="dxa"/>
            <w:vMerge/>
          </w:tcPr>
          <w:p w14:paraId="2B47532D" w14:textId="77777777" w:rsidR="00002E1E" w:rsidRDefault="00002E1E" w:rsidP="00002E1E">
            <w:pPr>
              <w:pStyle w:val="TableCopy"/>
            </w:pPr>
          </w:p>
        </w:tc>
      </w:tr>
      <w:tr w:rsidR="00002E1E" w14:paraId="5FDF3585" w14:textId="77777777" w:rsidTr="00312D13">
        <w:trPr>
          <w:trHeight w:val="402"/>
        </w:trPr>
        <w:tc>
          <w:tcPr>
            <w:tcW w:w="4195" w:type="dxa"/>
            <w:vMerge w:val="restart"/>
          </w:tcPr>
          <w:p w14:paraId="660A1426" w14:textId="77777777" w:rsidR="00002E1E" w:rsidRPr="002710F8" w:rsidRDefault="00002E1E" w:rsidP="00AE14F0">
            <w:pPr>
              <w:pStyle w:val="TableNumbers1"/>
              <w:numPr>
                <w:ilvl w:val="0"/>
                <w:numId w:val="35"/>
              </w:numPr>
            </w:pPr>
            <w:r>
              <w:t>Do you believe that funding of research grants provides equitable access to researchers or pharmacists?</w:t>
            </w:r>
          </w:p>
        </w:tc>
        <w:tc>
          <w:tcPr>
            <w:tcW w:w="3118" w:type="dxa"/>
          </w:tcPr>
          <w:p w14:paraId="2BB3D87D" w14:textId="77777777" w:rsidR="00002E1E" w:rsidRDefault="00002E1E" w:rsidP="00AE14F0">
            <w:pPr>
              <w:pStyle w:val="TableNumbers2"/>
              <w:numPr>
                <w:ilvl w:val="1"/>
                <w:numId w:val="35"/>
              </w:numPr>
            </w:pPr>
            <w:r>
              <w:t xml:space="preserve">Yes </w:t>
            </w:r>
            <w:r>
              <w:rPr>
                <w:i/>
              </w:rPr>
              <w:t>(Please explain your answer)</w:t>
            </w:r>
            <w:r>
              <w:t xml:space="preserve"> </w:t>
            </w:r>
          </w:p>
        </w:tc>
        <w:tc>
          <w:tcPr>
            <w:tcW w:w="1985" w:type="dxa"/>
            <w:vMerge w:val="restart"/>
          </w:tcPr>
          <w:p w14:paraId="2D84EF5B" w14:textId="77777777" w:rsidR="00002E1E" w:rsidDel="001448F3" w:rsidRDefault="00002E1E" w:rsidP="00002E1E">
            <w:pPr>
              <w:pStyle w:val="TableCopy"/>
            </w:pPr>
            <w:r>
              <w:t>Proceed to Question 12</w:t>
            </w:r>
          </w:p>
        </w:tc>
      </w:tr>
      <w:tr w:rsidR="00002E1E" w14:paraId="2161F196" w14:textId="77777777" w:rsidTr="00312D13">
        <w:trPr>
          <w:trHeight w:val="402"/>
        </w:trPr>
        <w:tc>
          <w:tcPr>
            <w:tcW w:w="4195" w:type="dxa"/>
            <w:vMerge/>
          </w:tcPr>
          <w:p w14:paraId="111529C1" w14:textId="77777777" w:rsidR="00002E1E" w:rsidRDefault="00002E1E" w:rsidP="00AE14F0">
            <w:pPr>
              <w:pStyle w:val="TableNumbers1"/>
              <w:numPr>
                <w:ilvl w:val="0"/>
                <w:numId w:val="35"/>
              </w:numPr>
            </w:pPr>
          </w:p>
        </w:tc>
        <w:tc>
          <w:tcPr>
            <w:tcW w:w="3118" w:type="dxa"/>
          </w:tcPr>
          <w:p w14:paraId="73EF7CF2" w14:textId="77777777" w:rsidR="00002E1E" w:rsidRDefault="00002E1E" w:rsidP="00AE14F0">
            <w:pPr>
              <w:pStyle w:val="TableNumbers2"/>
              <w:numPr>
                <w:ilvl w:val="1"/>
                <w:numId w:val="35"/>
              </w:numPr>
            </w:pPr>
            <w:r>
              <w:t xml:space="preserve">No </w:t>
            </w:r>
            <w:r>
              <w:rPr>
                <w:i/>
              </w:rPr>
              <w:t>(Please explain your answer)</w:t>
            </w:r>
          </w:p>
        </w:tc>
        <w:tc>
          <w:tcPr>
            <w:tcW w:w="1985" w:type="dxa"/>
            <w:vMerge/>
          </w:tcPr>
          <w:p w14:paraId="459933B8" w14:textId="77777777" w:rsidR="00002E1E" w:rsidDel="001448F3" w:rsidRDefault="00002E1E" w:rsidP="00002E1E">
            <w:pPr>
              <w:pStyle w:val="TableCopy"/>
            </w:pPr>
          </w:p>
        </w:tc>
      </w:tr>
      <w:tr w:rsidR="00002E1E" w14:paraId="46201B3D" w14:textId="77777777" w:rsidTr="00312D13">
        <w:trPr>
          <w:trHeight w:val="510"/>
        </w:trPr>
        <w:tc>
          <w:tcPr>
            <w:tcW w:w="4195" w:type="dxa"/>
            <w:vMerge w:val="restart"/>
          </w:tcPr>
          <w:p w14:paraId="457DD5DE" w14:textId="77777777" w:rsidR="00002E1E" w:rsidRPr="002710F8" w:rsidRDefault="00002E1E" w:rsidP="00AE14F0">
            <w:pPr>
              <w:pStyle w:val="TableNumbers1"/>
              <w:numPr>
                <w:ilvl w:val="0"/>
                <w:numId w:val="35"/>
              </w:numPr>
            </w:pPr>
            <w:r w:rsidRPr="002710F8">
              <w:t>Are you currently, or have you previously, participated in research for pharmacy-led health service delivery models?</w:t>
            </w:r>
          </w:p>
        </w:tc>
        <w:tc>
          <w:tcPr>
            <w:tcW w:w="3118" w:type="dxa"/>
          </w:tcPr>
          <w:p w14:paraId="07827F57" w14:textId="77777777" w:rsidR="00002E1E" w:rsidRPr="001B7C31" w:rsidDel="00104245" w:rsidRDefault="00002E1E" w:rsidP="00AE14F0">
            <w:pPr>
              <w:pStyle w:val="TableNumbers2"/>
              <w:numPr>
                <w:ilvl w:val="1"/>
                <w:numId w:val="35"/>
              </w:numPr>
            </w:pPr>
            <w:r>
              <w:t xml:space="preserve">I am/was involved in a PTP trial </w:t>
            </w:r>
          </w:p>
        </w:tc>
        <w:tc>
          <w:tcPr>
            <w:tcW w:w="1985" w:type="dxa"/>
            <w:vMerge w:val="restart"/>
          </w:tcPr>
          <w:p w14:paraId="345BF057" w14:textId="77777777" w:rsidR="00002E1E" w:rsidRDefault="00002E1E" w:rsidP="00002E1E">
            <w:pPr>
              <w:pStyle w:val="TableCopy"/>
            </w:pPr>
            <w:r>
              <w:t>Proceed to Question 13</w:t>
            </w:r>
          </w:p>
        </w:tc>
      </w:tr>
      <w:tr w:rsidR="00002E1E" w14:paraId="50EE8B25" w14:textId="77777777" w:rsidTr="00312D13">
        <w:trPr>
          <w:trHeight w:val="690"/>
        </w:trPr>
        <w:tc>
          <w:tcPr>
            <w:tcW w:w="4195" w:type="dxa"/>
            <w:vMerge/>
          </w:tcPr>
          <w:p w14:paraId="58C1C0A3" w14:textId="77777777" w:rsidR="00002E1E" w:rsidRPr="002710F8" w:rsidRDefault="00002E1E" w:rsidP="00AE14F0">
            <w:pPr>
              <w:pStyle w:val="TableNumbers1"/>
              <w:numPr>
                <w:ilvl w:val="0"/>
                <w:numId w:val="35"/>
              </w:numPr>
            </w:pPr>
          </w:p>
        </w:tc>
        <w:tc>
          <w:tcPr>
            <w:tcW w:w="3118" w:type="dxa"/>
          </w:tcPr>
          <w:p w14:paraId="1C080003" w14:textId="77777777" w:rsidR="00002E1E" w:rsidRPr="001B7C31" w:rsidRDefault="00002E1E" w:rsidP="00AE14F0">
            <w:pPr>
              <w:pStyle w:val="TableNumbers2"/>
              <w:numPr>
                <w:ilvl w:val="1"/>
                <w:numId w:val="35"/>
              </w:numPr>
            </w:pPr>
            <w:r>
              <w:t xml:space="preserve">Other – </w:t>
            </w:r>
            <w:r w:rsidRPr="001B7C31">
              <w:t>Randomised controlled tr</w:t>
            </w:r>
            <w:r>
              <w:t>ia</w:t>
            </w:r>
            <w:r w:rsidRPr="001B7C31">
              <w:t>l (RCT) – this includes cluster randomisation of participants</w:t>
            </w:r>
            <w:r>
              <w:t>,</w:t>
            </w:r>
            <w:r w:rsidRPr="001B7C31">
              <w:t xml:space="preserve"> e.g. by pharmacy or geographic location</w:t>
            </w:r>
          </w:p>
        </w:tc>
        <w:tc>
          <w:tcPr>
            <w:tcW w:w="1985" w:type="dxa"/>
            <w:vMerge/>
          </w:tcPr>
          <w:p w14:paraId="79F541E9" w14:textId="77777777" w:rsidR="00002E1E" w:rsidRDefault="00002E1E" w:rsidP="00002E1E">
            <w:pPr>
              <w:pStyle w:val="TableCopy"/>
            </w:pPr>
          </w:p>
        </w:tc>
      </w:tr>
      <w:tr w:rsidR="00002E1E" w14:paraId="124ADA4D" w14:textId="77777777" w:rsidTr="00312D13">
        <w:trPr>
          <w:trHeight w:val="586"/>
        </w:trPr>
        <w:tc>
          <w:tcPr>
            <w:tcW w:w="4195" w:type="dxa"/>
            <w:vMerge/>
          </w:tcPr>
          <w:p w14:paraId="6A5CDBE3" w14:textId="77777777" w:rsidR="00002E1E" w:rsidRPr="002710F8" w:rsidRDefault="00002E1E" w:rsidP="00AE14F0">
            <w:pPr>
              <w:pStyle w:val="TableNumbers1"/>
              <w:numPr>
                <w:ilvl w:val="0"/>
                <w:numId w:val="35"/>
              </w:numPr>
            </w:pPr>
          </w:p>
        </w:tc>
        <w:tc>
          <w:tcPr>
            <w:tcW w:w="3118" w:type="dxa"/>
          </w:tcPr>
          <w:p w14:paraId="076C7E51" w14:textId="77777777" w:rsidR="00002E1E" w:rsidRPr="001B7C31" w:rsidRDefault="00002E1E" w:rsidP="00AE14F0">
            <w:pPr>
              <w:pStyle w:val="TableNumbers2"/>
              <w:numPr>
                <w:ilvl w:val="1"/>
                <w:numId w:val="35"/>
              </w:numPr>
            </w:pPr>
            <w:r>
              <w:t>C</w:t>
            </w:r>
            <w:r w:rsidRPr="001B7C31">
              <w:t xml:space="preserve">ohort study with </w:t>
            </w:r>
            <w:r>
              <w:t xml:space="preserve">or without </w:t>
            </w:r>
            <w:r w:rsidRPr="001B7C31">
              <w:t xml:space="preserve">comparator group </w:t>
            </w:r>
          </w:p>
        </w:tc>
        <w:tc>
          <w:tcPr>
            <w:tcW w:w="1985" w:type="dxa"/>
            <w:vMerge/>
          </w:tcPr>
          <w:p w14:paraId="68369DA6" w14:textId="77777777" w:rsidR="00002E1E" w:rsidRDefault="00002E1E" w:rsidP="00002E1E">
            <w:pPr>
              <w:pStyle w:val="TableCopy"/>
            </w:pPr>
          </w:p>
        </w:tc>
      </w:tr>
      <w:tr w:rsidR="00002E1E" w14:paraId="132577ED" w14:textId="77777777" w:rsidTr="00312D13">
        <w:trPr>
          <w:trHeight w:val="340"/>
        </w:trPr>
        <w:tc>
          <w:tcPr>
            <w:tcW w:w="4195" w:type="dxa"/>
            <w:vMerge/>
          </w:tcPr>
          <w:p w14:paraId="5CA56C26" w14:textId="77777777" w:rsidR="00002E1E" w:rsidRPr="002710F8" w:rsidRDefault="00002E1E" w:rsidP="00AE14F0">
            <w:pPr>
              <w:pStyle w:val="TableNumbers1"/>
              <w:numPr>
                <w:ilvl w:val="0"/>
                <w:numId w:val="35"/>
              </w:numPr>
            </w:pPr>
          </w:p>
        </w:tc>
        <w:tc>
          <w:tcPr>
            <w:tcW w:w="3118" w:type="dxa"/>
          </w:tcPr>
          <w:p w14:paraId="5132E624" w14:textId="77777777" w:rsidR="00002E1E" w:rsidRPr="001B7C31" w:rsidRDefault="00002E1E" w:rsidP="00AE14F0">
            <w:pPr>
              <w:pStyle w:val="TableNumbers2"/>
              <w:numPr>
                <w:ilvl w:val="1"/>
                <w:numId w:val="35"/>
              </w:numPr>
            </w:pPr>
            <w:r w:rsidRPr="001B7C31">
              <w:t xml:space="preserve">Other </w:t>
            </w:r>
          </w:p>
        </w:tc>
        <w:tc>
          <w:tcPr>
            <w:tcW w:w="1985" w:type="dxa"/>
            <w:vMerge/>
          </w:tcPr>
          <w:p w14:paraId="28B3C1FB" w14:textId="77777777" w:rsidR="00002E1E" w:rsidRDefault="00002E1E" w:rsidP="00002E1E">
            <w:pPr>
              <w:pStyle w:val="TableCopy"/>
            </w:pPr>
          </w:p>
        </w:tc>
      </w:tr>
      <w:tr w:rsidR="00002E1E" w14:paraId="3EB51639" w14:textId="77777777" w:rsidTr="00312D13">
        <w:trPr>
          <w:trHeight w:val="340"/>
        </w:trPr>
        <w:tc>
          <w:tcPr>
            <w:tcW w:w="4195" w:type="dxa"/>
            <w:vMerge/>
          </w:tcPr>
          <w:p w14:paraId="1F768C5A" w14:textId="77777777" w:rsidR="00002E1E" w:rsidRPr="002710F8" w:rsidRDefault="00002E1E" w:rsidP="00AE14F0">
            <w:pPr>
              <w:pStyle w:val="TableNumbers1"/>
              <w:numPr>
                <w:ilvl w:val="0"/>
                <w:numId w:val="35"/>
              </w:numPr>
            </w:pPr>
          </w:p>
        </w:tc>
        <w:tc>
          <w:tcPr>
            <w:tcW w:w="3118" w:type="dxa"/>
          </w:tcPr>
          <w:p w14:paraId="21F31697" w14:textId="77777777" w:rsidR="00002E1E" w:rsidRPr="001B7C31" w:rsidRDefault="00002E1E" w:rsidP="00AE14F0">
            <w:pPr>
              <w:pStyle w:val="TableNumbers2"/>
              <w:numPr>
                <w:ilvl w:val="1"/>
                <w:numId w:val="35"/>
              </w:numPr>
            </w:pPr>
            <w:r>
              <w:t xml:space="preserve">Not sure </w:t>
            </w:r>
            <w:r>
              <w:rPr>
                <w:i/>
              </w:rPr>
              <w:t>(Please provide a brief description)</w:t>
            </w:r>
          </w:p>
        </w:tc>
        <w:tc>
          <w:tcPr>
            <w:tcW w:w="1985" w:type="dxa"/>
            <w:vMerge/>
          </w:tcPr>
          <w:p w14:paraId="05B653AF" w14:textId="77777777" w:rsidR="00002E1E" w:rsidRDefault="00002E1E" w:rsidP="00002E1E">
            <w:pPr>
              <w:pStyle w:val="TableCopy"/>
            </w:pPr>
          </w:p>
        </w:tc>
      </w:tr>
      <w:tr w:rsidR="00002E1E" w14:paraId="2D934E17" w14:textId="77777777" w:rsidTr="00312D13">
        <w:trPr>
          <w:trHeight w:val="283"/>
        </w:trPr>
        <w:tc>
          <w:tcPr>
            <w:tcW w:w="4195" w:type="dxa"/>
            <w:vMerge/>
          </w:tcPr>
          <w:p w14:paraId="442264A5" w14:textId="77777777" w:rsidR="00002E1E" w:rsidRPr="002710F8" w:rsidRDefault="00002E1E" w:rsidP="00AE14F0">
            <w:pPr>
              <w:pStyle w:val="TableNumbers1"/>
              <w:numPr>
                <w:ilvl w:val="0"/>
                <w:numId w:val="35"/>
              </w:numPr>
            </w:pPr>
          </w:p>
        </w:tc>
        <w:tc>
          <w:tcPr>
            <w:tcW w:w="3118" w:type="dxa"/>
          </w:tcPr>
          <w:p w14:paraId="767BE2E8" w14:textId="77777777" w:rsidR="00002E1E" w:rsidRPr="001B7C31" w:rsidRDefault="00002E1E" w:rsidP="00AE14F0">
            <w:pPr>
              <w:pStyle w:val="TableNumbers2"/>
              <w:numPr>
                <w:ilvl w:val="1"/>
                <w:numId w:val="35"/>
              </w:numPr>
              <w:spacing w:before="60" w:after="60"/>
            </w:pPr>
            <w:r w:rsidRPr="001B7C31">
              <w:t>None</w:t>
            </w:r>
          </w:p>
        </w:tc>
        <w:tc>
          <w:tcPr>
            <w:tcW w:w="1985" w:type="dxa"/>
          </w:tcPr>
          <w:p w14:paraId="09BCDDBD" w14:textId="77777777" w:rsidR="00002E1E" w:rsidRDefault="00002E1E" w:rsidP="00002E1E">
            <w:pPr>
              <w:pStyle w:val="TableCopy"/>
            </w:pPr>
            <w:r>
              <w:t>Skip to Question 14</w:t>
            </w:r>
          </w:p>
        </w:tc>
      </w:tr>
      <w:tr w:rsidR="00002E1E" w14:paraId="7B83381A" w14:textId="77777777" w:rsidTr="00312D13">
        <w:trPr>
          <w:trHeight w:val="399"/>
        </w:trPr>
        <w:tc>
          <w:tcPr>
            <w:tcW w:w="4195" w:type="dxa"/>
            <w:vMerge w:val="restart"/>
          </w:tcPr>
          <w:p w14:paraId="07278533" w14:textId="77777777" w:rsidR="00002E1E" w:rsidRPr="002710F8" w:rsidRDefault="00002E1E" w:rsidP="00AE14F0">
            <w:pPr>
              <w:pStyle w:val="TableNumbers1"/>
              <w:numPr>
                <w:ilvl w:val="0"/>
                <w:numId w:val="35"/>
              </w:numPr>
              <w:spacing w:before="60" w:after="60"/>
            </w:pPr>
            <w:r w:rsidRPr="002710F8">
              <w:t>If yes – what service delivery setting was your research focused in?</w:t>
            </w:r>
          </w:p>
        </w:tc>
        <w:tc>
          <w:tcPr>
            <w:tcW w:w="3118" w:type="dxa"/>
          </w:tcPr>
          <w:p w14:paraId="122DBBE3" w14:textId="77777777" w:rsidR="00002E1E" w:rsidRDefault="00002E1E" w:rsidP="00AE14F0">
            <w:pPr>
              <w:pStyle w:val="TableNumbers2"/>
              <w:numPr>
                <w:ilvl w:val="1"/>
                <w:numId w:val="35"/>
              </w:numPr>
              <w:spacing w:before="60" w:after="60"/>
            </w:pPr>
            <w:r>
              <w:t xml:space="preserve">Hospital </w:t>
            </w:r>
          </w:p>
        </w:tc>
        <w:tc>
          <w:tcPr>
            <w:tcW w:w="1985" w:type="dxa"/>
            <w:vMerge w:val="restart"/>
          </w:tcPr>
          <w:p w14:paraId="7F8DBC71" w14:textId="77777777" w:rsidR="00002E1E" w:rsidRDefault="00002E1E" w:rsidP="00002E1E">
            <w:pPr>
              <w:pStyle w:val="TableCopy"/>
            </w:pPr>
            <w:r>
              <w:t>Proceed to Question 14</w:t>
            </w:r>
          </w:p>
        </w:tc>
      </w:tr>
      <w:tr w:rsidR="00002E1E" w14:paraId="3F211A3B" w14:textId="77777777" w:rsidTr="00312D13">
        <w:trPr>
          <w:trHeight w:val="399"/>
        </w:trPr>
        <w:tc>
          <w:tcPr>
            <w:tcW w:w="4195" w:type="dxa"/>
            <w:vMerge/>
          </w:tcPr>
          <w:p w14:paraId="740C43CA" w14:textId="77777777" w:rsidR="00002E1E" w:rsidRPr="002710F8" w:rsidRDefault="00002E1E" w:rsidP="00AE14F0">
            <w:pPr>
              <w:pStyle w:val="TableNumbers1"/>
              <w:numPr>
                <w:ilvl w:val="0"/>
                <w:numId w:val="35"/>
              </w:numPr>
              <w:spacing w:before="60" w:after="60"/>
            </w:pPr>
          </w:p>
        </w:tc>
        <w:tc>
          <w:tcPr>
            <w:tcW w:w="3118" w:type="dxa"/>
          </w:tcPr>
          <w:p w14:paraId="15919073" w14:textId="77777777" w:rsidR="00002E1E" w:rsidRDefault="00002E1E" w:rsidP="00AE14F0">
            <w:pPr>
              <w:pStyle w:val="TableNumbers2"/>
              <w:numPr>
                <w:ilvl w:val="1"/>
                <w:numId w:val="35"/>
              </w:numPr>
              <w:spacing w:before="60" w:after="60"/>
            </w:pPr>
            <w:r>
              <w:t>Community</w:t>
            </w:r>
          </w:p>
        </w:tc>
        <w:tc>
          <w:tcPr>
            <w:tcW w:w="1985" w:type="dxa"/>
            <w:vMerge/>
          </w:tcPr>
          <w:p w14:paraId="0C5F4D31" w14:textId="77777777" w:rsidR="00002E1E" w:rsidRDefault="00002E1E" w:rsidP="00002E1E">
            <w:pPr>
              <w:pStyle w:val="TableCopy"/>
            </w:pPr>
          </w:p>
        </w:tc>
      </w:tr>
      <w:tr w:rsidR="00002E1E" w14:paraId="5D7D9C85" w14:textId="77777777" w:rsidTr="00312D13">
        <w:trPr>
          <w:trHeight w:val="399"/>
        </w:trPr>
        <w:tc>
          <w:tcPr>
            <w:tcW w:w="4195" w:type="dxa"/>
            <w:vMerge/>
          </w:tcPr>
          <w:p w14:paraId="73F82392" w14:textId="77777777" w:rsidR="00002E1E" w:rsidRPr="002710F8" w:rsidRDefault="00002E1E" w:rsidP="00AE14F0">
            <w:pPr>
              <w:pStyle w:val="TableNumbers1"/>
              <w:numPr>
                <w:ilvl w:val="0"/>
                <w:numId w:val="35"/>
              </w:numPr>
              <w:spacing w:before="60" w:after="60"/>
            </w:pPr>
          </w:p>
        </w:tc>
        <w:tc>
          <w:tcPr>
            <w:tcW w:w="3118" w:type="dxa"/>
          </w:tcPr>
          <w:p w14:paraId="11798596" w14:textId="77777777" w:rsidR="00002E1E" w:rsidRDefault="00002E1E" w:rsidP="00AE14F0">
            <w:pPr>
              <w:pStyle w:val="TableNumbers2"/>
              <w:numPr>
                <w:ilvl w:val="1"/>
                <w:numId w:val="35"/>
              </w:numPr>
              <w:spacing w:before="60" w:after="60"/>
            </w:pPr>
            <w:r>
              <w:t>Transitional care (e.g. between hospital and community)</w:t>
            </w:r>
          </w:p>
        </w:tc>
        <w:tc>
          <w:tcPr>
            <w:tcW w:w="1985" w:type="dxa"/>
            <w:vMerge/>
          </w:tcPr>
          <w:p w14:paraId="7E06948B" w14:textId="77777777" w:rsidR="00002E1E" w:rsidRDefault="00002E1E" w:rsidP="00002E1E">
            <w:pPr>
              <w:pStyle w:val="TableCopy"/>
            </w:pPr>
          </w:p>
        </w:tc>
      </w:tr>
      <w:tr w:rsidR="00002E1E" w14:paraId="0CD18610" w14:textId="77777777" w:rsidTr="00312D13">
        <w:trPr>
          <w:trHeight w:val="399"/>
        </w:trPr>
        <w:tc>
          <w:tcPr>
            <w:tcW w:w="4195" w:type="dxa"/>
            <w:vMerge/>
          </w:tcPr>
          <w:p w14:paraId="36EA7641" w14:textId="77777777" w:rsidR="00002E1E" w:rsidRPr="002710F8" w:rsidRDefault="00002E1E" w:rsidP="00AE14F0">
            <w:pPr>
              <w:pStyle w:val="TableNumbers1"/>
              <w:numPr>
                <w:ilvl w:val="0"/>
                <w:numId w:val="35"/>
              </w:numPr>
              <w:spacing w:before="60" w:after="60"/>
            </w:pPr>
          </w:p>
        </w:tc>
        <w:tc>
          <w:tcPr>
            <w:tcW w:w="3118" w:type="dxa"/>
          </w:tcPr>
          <w:p w14:paraId="5BC77095" w14:textId="77777777" w:rsidR="00002E1E" w:rsidRDefault="00002E1E" w:rsidP="00AE14F0">
            <w:pPr>
              <w:pStyle w:val="TableNumbers2"/>
              <w:numPr>
                <w:ilvl w:val="1"/>
                <w:numId w:val="35"/>
              </w:numPr>
              <w:spacing w:before="60" w:after="60"/>
            </w:pPr>
            <w:r>
              <w:t xml:space="preserve">Residential aged care facility </w:t>
            </w:r>
          </w:p>
        </w:tc>
        <w:tc>
          <w:tcPr>
            <w:tcW w:w="1985" w:type="dxa"/>
            <w:vMerge/>
          </w:tcPr>
          <w:p w14:paraId="0D36DD39" w14:textId="77777777" w:rsidR="00002E1E" w:rsidRDefault="00002E1E" w:rsidP="00002E1E">
            <w:pPr>
              <w:pStyle w:val="TableCopy"/>
            </w:pPr>
          </w:p>
        </w:tc>
      </w:tr>
      <w:tr w:rsidR="00002E1E" w14:paraId="66BAF688" w14:textId="77777777" w:rsidTr="00312D13">
        <w:trPr>
          <w:trHeight w:val="293"/>
        </w:trPr>
        <w:tc>
          <w:tcPr>
            <w:tcW w:w="4195" w:type="dxa"/>
            <w:vMerge/>
          </w:tcPr>
          <w:p w14:paraId="5D10C9AF" w14:textId="77777777" w:rsidR="00002E1E" w:rsidRPr="002710F8" w:rsidRDefault="00002E1E" w:rsidP="00AE14F0">
            <w:pPr>
              <w:pStyle w:val="TableNumbers1"/>
              <w:numPr>
                <w:ilvl w:val="0"/>
                <w:numId w:val="35"/>
              </w:numPr>
              <w:spacing w:before="60" w:after="60"/>
            </w:pPr>
          </w:p>
        </w:tc>
        <w:tc>
          <w:tcPr>
            <w:tcW w:w="3118" w:type="dxa"/>
          </w:tcPr>
          <w:p w14:paraId="68162F6A" w14:textId="77777777" w:rsidR="00002E1E" w:rsidRDefault="00002E1E" w:rsidP="00AE14F0">
            <w:pPr>
              <w:pStyle w:val="TableNumbers2"/>
              <w:numPr>
                <w:ilvl w:val="1"/>
                <w:numId w:val="35"/>
              </w:numPr>
              <w:spacing w:before="60" w:after="60"/>
            </w:pPr>
            <w:r>
              <w:t xml:space="preserve">Aboriginal Community Controlled Health Organisation / Aboriginal Medical Service </w:t>
            </w:r>
          </w:p>
        </w:tc>
        <w:tc>
          <w:tcPr>
            <w:tcW w:w="1985" w:type="dxa"/>
            <w:vMerge/>
          </w:tcPr>
          <w:p w14:paraId="3625E47A" w14:textId="77777777" w:rsidR="00002E1E" w:rsidRDefault="00002E1E" w:rsidP="00002E1E">
            <w:pPr>
              <w:pStyle w:val="TableCopy"/>
            </w:pPr>
          </w:p>
        </w:tc>
      </w:tr>
      <w:tr w:rsidR="00002E1E" w14:paraId="0AC5FA05" w14:textId="77777777" w:rsidTr="00312D13">
        <w:trPr>
          <w:trHeight w:val="292"/>
        </w:trPr>
        <w:tc>
          <w:tcPr>
            <w:tcW w:w="4195" w:type="dxa"/>
            <w:vMerge/>
          </w:tcPr>
          <w:p w14:paraId="2D90B3EC" w14:textId="77777777" w:rsidR="00002E1E" w:rsidRPr="002710F8" w:rsidRDefault="00002E1E" w:rsidP="00AE14F0">
            <w:pPr>
              <w:pStyle w:val="TableNumbers1"/>
              <w:numPr>
                <w:ilvl w:val="0"/>
                <w:numId w:val="35"/>
              </w:numPr>
              <w:spacing w:before="60" w:after="60"/>
            </w:pPr>
          </w:p>
        </w:tc>
        <w:tc>
          <w:tcPr>
            <w:tcW w:w="3118" w:type="dxa"/>
          </w:tcPr>
          <w:p w14:paraId="23532985" w14:textId="77777777" w:rsidR="00002E1E" w:rsidRDefault="00002E1E" w:rsidP="00AE14F0">
            <w:pPr>
              <w:pStyle w:val="TableNumbers2"/>
              <w:numPr>
                <w:ilvl w:val="1"/>
                <w:numId w:val="35"/>
              </w:numPr>
              <w:spacing w:before="60" w:after="60"/>
            </w:pPr>
            <w:r>
              <w:t xml:space="preserve">Other </w:t>
            </w:r>
            <w:r w:rsidRPr="00467652">
              <w:rPr>
                <w:i/>
              </w:rPr>
              <w:t>(please specify)</w:t>
            </w:r>
          </w:p>
        </w:tc>
        <w:tc>
          <w:tcPr>
            <w:tcW w:w="1985" w:type="dxa"/>
            <w:vMerge/>
          </w:tcPr>
          <w:p w14:paraId="486CA36A" w14:textId="77777777" w:rsidR="00002E1E" w:rsidRDefault="00002E1E" w:rsidP="00002E1E">
            <w:pPr>
              <w:pStyle w:val="TableCopy"/>
            </w:pPr>
          </w:p>
        </w:tc>
      </w:tr>
      <w:tr w:rsidR="00002E1E" w14:paraId="605EDD12" w14:textId="77777777" w:rsidTr="00312D13">
        <w:trPr>
          <w:trHeight w:val="385"/>
        </w:trPr>
        <w:tc>
          <w:tcPr>
            <w:tcW w:w="4195" w:type="dxa"/>
            <w:vMerge w:val="restart"/>
          </w:tcPr>
          <w:p w14:paraId="6815437E" w14:textId="77777777" w:rsidR="00002E1E" w:rsidRDefault="00002E1E" w:rsidP="00AE14F0">
            <w:pPr>
              <w:pStyle w:val="TableNumbers1"/>
              <w:numPr>
                <w:ilvl w:val="0"/>
                <w:numId w:val="35"/>
              </w:numPr>
              <w:spacing w:before="60" w:after="60"/>
            </w:pPr>
            <w:r>
              <w:t>What type of research protocol(s) should a research grant program such as the PTP have a focus on?</w:t>
            </w:r>
          </w:p>
          <w:p w14:paraId="12CB2306" w14:textId="77777777" w:rsidR="00002E1E" w:rsidRPr="002710F8" w:rsidRDefault="00002E1E" w:rsidP="00002E1E">
            <w:pPr>
              <w:pStyle w:val="TableNumbers1"/>
              <w:numPr>
                <w:ilvl w:val="0"/>
                <w:numId w:val="0"/>
              </w:numPr>
              <w:ind w:left="397"/>
            </w:pPr>
            <w:r>
              <w:t xml:space="preserve">Select all that apply </w:t>
            </w:r>
          </w:p>
        </w:tc>
        <w:tc>
          <w:tcPr>
            <w:tcW w:w="3118" w:type="dxa"/>
          </w:tcPr>
          <w:p w14:paraId="160B6663" w14:textId="77777777" w:rsidR="00002E1E" w:rsidRPr="00B43384" w:rsidDel="00104245" w:rsidRDefault="00002E1E" w:rsidP="00AE14F0">
            <w:pPr>
              <w:pStyle w:val="TableNumbers2"/>
              <w:numPr>
                <w:ilvl w:val="1"/>
                <w:numId w:val="35"/>
              </w:numPr>
              <w:spacing w:before="60" w:after="60"/>
            </w:pPr>
            <w:r w:rsidRPr="00B43384">
              <w:t>RCTs</w:t>
            </w:r>
          </w:p>
        </w:tc>
        <w:tc>
          <w:tcPr>
            <w:tcW w:w="1985" w:type="dxa"/>
            <w:vMerge w:val="restart"/>
          </w:tcPr>
          <w:p w14:paraId="4E63A933" w14:textId="77777777" w:rsidR="00002E1E" w:rsidRDefault="00002E1E" w:rsidP="00002E1E">
            <w:pPr>
              <w:pStyle w:val="TableCopy"/>
            </w:pPr>
            <w:r>
              <w:t>Proceed to Question 15</w:t>
            </w:r>
          </w:p>
        </w:tc>
      </w:tr>
      <w:tr w:rsidR="00002E1E" w14:paraId="39401572" w14:textId="77777777" w:rsidTr="00312D13">
        <w:trPr>
          <w:trHeight w:val="381"/>
        </w:trPr>
        <w:tc>
          <w:tcPr>
            <w:tcW w:w="4195" w:type="dxa"/>
            <w:vMerge/>
          </w:tcPr>
          <w:p w14:paraId="3253E9AF" w14:textId="77777777" w:rsidR="00002E1E" w:rsidRDefault="00002E1E" w:rsidP="00AE14F0">
            <w:pPr>
              <w:pStyle w:val="TableNumbers1"/>
              <w:numPr>
                <w:ilvl w:val="0"/>
                <w:numId w:val="35"/>
              </w:numPr>
              <w:spacing w:before="60" w:after="60"/>
            </w:pPr>
          </w:p>
        </w:tc>
        <w:tc>
          <w:tcPr>
            <w:tcW w:w="3118" w:type="dxa"/>
          </w:tcPr>
          <w:p w14:paraId="5838B8DD" w14:textId="77777777" w:rsidR="00002E1E" w:rsidRPr="00B43384" w:rsidRDefault="00002E1E" w:rsidP="00AE14F0">
            <w:pPr>
              <w:pStyle w:val="TableNumbers2"/>
              <w:numPr>
                <w:ilvl w:val="1"/>
                <w:numId w:val="35"/>
              </w:numPr>
              <w:spacing w:before="60" w:after="60"/>
            </w:pPr>
            <w:r w:rsidRPr="00B43384">
              <w:t xml:space="preserve">Small scale pilot studies </w:t>
            </w:r>
          </w:p>
        </w:tc>
        <w:tc>
          <w:tcPr>
            <w:tcW w:w="1985" w:type="dxa"/>
            <w:vMerge/>
          </w:tcPr>
          <w:p w14:paraId="1318CB68" w14:textId="77777777" w:rsidR="00002E1E" w:rsidRDefault="00002E1E" w:rsidP="00002E1E">
            <w:pPr>
              <w:pStyle w:val="TableCopy"/>
            </w:pPr>
          </w:p>
        </w:tc>
      </w:tr>
      <w:tr w:rsidR="00002E1E" w14:paraId="08C1AB87" w14:textId="77777777" w:rsidTr="00312D13">
        <w:trPr>
          <w:trHeight w:val="381"/>
        </w:trPr>
        <w:tc>
          <w:tcPr>
            <w:tcW w:w="4195" w:type="dxa"/>
            <w:vMerge/>
          </w:tcPr>
          <w:p w14:paraId="6A8386E3" w14:textId="77777777" w:rsidR="00002E1E" w:rsidRDefault="00002E1E" w:rsidP="00AE14F0">
            <w:pPr>
              <w:pStyle w:val="TableNumbers1"/>
              <w:numPr>
                <w:ilvl w:val="0"/>
                <w:numId w:val="35"/>
              </w:numPr>
              <w:spacing w:before="60" w:after="60"/>
            </w:pPr>
          </w:p>
        </w:tc>
        <w:tc>
          <w:tcPr>
            <w:tcW w:w="3118" w:type="dxa"/>
          </w:tcPr>
          <w:p w14:paraId="52DA8F73" w14:textId="77777777" w:rsidR="00002E1E" w:rsidRPr="00B43384" w:rsidRDefault="00002E1E" w:rsidP="00AE14F0">
            <w:pPr>
              <w:pStyle w:val="TableNumbers2"/>
              <w:numPr>
                <w:ilvl w:val="1"/>
                <w:numId w:val="35"/>
              </w:numPr>
              <w:spacing w:before="60" w:after="60"/>
            </w:pPr>
            <w:r w:rsidRPr="00B43384">
              <w:t>Proof of concept / feasibility studies</w:t>
            </w:r>
          </w:p>
        </w:tc>
        <w:tc>
          <w:tcPr>
            <w:tcW w:w="1985" w:type="dxa"/>
            <w:vMerge/>
          </w:tcPr>
          <w:p w14:paraId="25BE1894" w14:textId="77777777" w:rsidR="00002E1E" w:rsidRDefault="00002E1E" w:rsidP="00002E1E">
            <w:pPr>
              <w:pStyle w:val="TableCopy"/>
            </w:pPr>
          </w:p>
        </w:tc>
      </w:tr>
      <w:tr w:rsidR="00002E1E" w14:paraId="1317A25A" w14:textId="77777777" w:rsidTr="00312D13">
        <w:trPr>
          <w:trHeight w:val="381"/>
        </w:trPr>
        <w:tc>
          <w:tcPr>
            <w:tcW w:w="4195" w:type="dxa"/>
            <w:vMerge/>
          </w:tcPr>
          <w:p w14:paraId="08DE11A5" w14:textId="77777777" w:rsidR="00002E1E" w:rsidRDefault="00002E1E" w:rsidP="00AE14F0">
            <w:pPr>
              <w:pStyle w:val="TableNumbers1"/>
              <w:numPr>
                <w:ilvl w:val="0"/>
                <w:numId w:val="35"/>
              </w:numPr>
              <w:spacing w:before="60" w:after="60"/>
            </w:pPr>
          </w:p>
        </w:tc>
        <w:tc>
          <w:tcPr>
            <w:tcW w:w="3118" w:type="dxa"/>
          </w:tcPr>
          <w:p w14:paraId="7A959163" w14:textId="77777777" w:rsidR="00002E1E" w:rsidRDefault="00002E1E" w:rsidP="00AE14F0">
            <w:pPr>
              <w:pStyle w:val="TableNumbers2"/>
              <w:numPr>
                <w:ilvl w:val="1"/>
                <w:numId w:val="35"/>
              </w:numPr>
              <w:spacing w:before="60" w:after="60"/>
            </w:pPr>
            <w:r>
              <w:t>Grass roots research (i.e. small-scale test of novel concepts)</w:t>
            </w:r>
          </w:p>
          <w:p w14:paraId="4A5791E0" w14:textId="1A6D9FBB" w:rsidR="00AA420C" w:rsidRPr="00B43384" w:rsidRDefault="00AA420C" w:rsidP="00AA420C">
            <w:pPr>
              <w:pStyle w:val="TableNumbers2"/>
              <w:numPr>
                <w:ilvl w:val="0"/>
                <w:numId w:val="0"/>
              </w:numPr>
              <w:spacing w:before="60" w:after="60"/>
              <w:ind w:left="397"/>
            </w:pPr>
          </w:p>
        </w:tc>
        <w:tc>
          <w:tcPr>
            <w:tcW w:w="1985" w:type="dxa"/>
            <w:vMerge/>
          </w:tcPr>
          <w:p w14:paraId="1C841B4A" w14:textId="77777777" w:rsidR="00002E1E" w:rsidRDefault="00002E1E" w:rsidP="00002E1E">
            <w:pPr>
              <w:pStyle w:val="TableCopy"/>
            </w:pPr>
          </w:p>
        </w:tc>
      </w:tr>
      <w:tr w:rsidR="00002E1E" w14:paraId="4A317B16" w14:textId="77777777" w:rsidTr="00312D13">
        <w:trPr>
          <w:trHeight w:val="381"/>
        </w:trPr>
        <w:tc>
          <w:tcPr>
            <w:tcW w:w="4195" w:type="dxa"/>
            <w:vMerge/>
          </w:tcPr>
          <w:p w14:paraId="0CBC2094" w14:textId="77777777" w:rsidR="00002E1E" w:rsidRDefault="00002E1E" w:rsidP="00AE14F0">
            <w:pPr>
              <w:pStyle w:val="TableNumbers1"/>
              <w:numPr>
                <w:ilvl w:val="0"/>
                <w:numId w:val="35"/>
              </w:numPr>
              <w:spacing w:before="60" w:after="60"/>
            </w:pPr>
          </w:p>
        </w:tc>
        <w:tc>
          <w:tcPr>
            <w:tcW w:w="3118" w:type="dxa"/>
          </w:tcPr>
          <w:p w14:paraId="283A84FD" w14:textId="77777777" w:rsidR="00002E1E" w:rsidRPr="00B43384" w:rsidRDefault="00002E1E" w:rsidP="00AE14F0">
            <w:pPr>
              <w:pStyle w:val="TableNumbers2"/>
              <w:numPr>
                <w:ilvl w:val="1"/>
                <w:numId w:val="35"/>
              </w:numPr>
              <w:spacing w:before="60" w:after="60"/>
            </w:pPr>
            <w:r w:rsidRPr="00B43384">
              <w:t xml:space="preserve">Other </w:t>
            </w:r>
            <w:r w:rsidRPr="00002E1E">
              <w:t>(please provide a brief description)</w:t>
            </w:r>
          </w:p>
        </w:tc>
        <w:tc>
          <w:tcPr>
            <w:tcW w:w="1985" w:type="dxa"/>
            <w:vMerge/>
          </w:tcPr>
          <w:p w14:paraId="680CB2BA" w14:textId="77777777" w:rsidR="00002E1E" w:rsidRDefault="00002E1E" w:rsidP="00002E1E">
            <w:pPr>
              <w:pStyle w:val="TableCopy"/>
            </w:pPr>
          </w:p>
        </w:tc>
      </w:tr>
      <w:tr w:rsidR="00002E1E" w14:paraId="39CF8F06" w14:textId="77777777" w:rsidTr="00312D13">
        <w:trPr>
          <w:trHeight w:val="854"/>
        </w:trPr>
        <w:tc>
          <w:tcPr>
            <w:tcW w:w="4195" w:type="dxa"/>
          </w:tcPr>
          <w:p w14:paraId="674BDBF3" w14:textId="77777777" w:rsidR="00002E1E" w:rsidRPr="002710F8" w:rsidRDefault="00002E1E" w:rsidP="00AE14F0">
            <w:pPr>
              <w:pStyle w:val="TableNumbers1"/>
              <w:numPr>
                <w:ilvl w:val="0"/>
                <w:numId w:val="35"/>
              </w:numPr>
              <w:spacing w:before="60" w:after="60"/>
            </w:pPr>
            <w:r>
              <w:t xml:space="preserve">Please describe some new </w:t>
            </w:r>
            <w:r w:rsidRPr="002710F8">
              <w:t xml:space="preserve">ways </w:t>
            </w:r>
            <w:r>
              <w:t>in which pharmacists can</w:t>
            </w:r>
            <w:r w:rsidRPr="002710F8">
              <w:t xml:space="preserve"> </w:t>
            </w:r>
            <w:r>
              <w:t xml:space="preserve">develop and deliver </w:t>
            </w:r>
            <w:r w:rsidRPr="002710F8">
              <w:t>consumer-centric models of care in the community setting?</w:t>
            </w:r>
          </w:p>
        </w:tc>
        <w:tc>
          <w:tcPr>
            <w:tcW w:w="3118" w:type="dxa"/>
          </w:tcPr>
          <w:p w14:paraId="6441D4C3" w14:textId="77777777" w:rsidR="00002E1E" w:rsidRPr="009305D8" w:rsidRDefault="00002E1E" w:rsidP="00002E1E">
            <w:pPr>
              <w:pStyle w:val="TableNumbers2"/>
              <w:numPr>
                <w:ilvl w:val="0"/>
                <w:numId w:val="0"/>
              </w:numPr>
              <w:rPr>
                <w:i/>
              </w:rPr>
            </w:pPr>
            <w:r>
              <w:rPr>
                <w:i/>
              </w:rPr>
              <w:t>Free text</w:t>
            </w:r>
          </w:p>
        </w:tc>
        <w:tc>
          <w:tcPr>
            <w:tcW w:w="1985" w:type="dxa"/>
          </w:tcPr>
          <w:p w14:paraId="4C8C34BA" w14:textId="77777777" w:rsidR="00002E1E" w:rsidRDefault="00002E1E" w:rsidP="00002E1E">
            <w:pPr>
              <w:pStyle w:val="TableCopy"/>
            </w:pPr>
            <w:r>
              <w:t>Proceed to Question 16</w:t>
            </w:r>
          </w:p>
        </w:tc>
      </w:tr>
      <w:tr w:rsidR="00002E1E" w14:paraId="1C278993" w14:textId="77777777" w:rsidTr="00312D13">
        <w:trPr>
          <w:trHeight w:val="683"/>
        </w:trPr>
        <w:tc>
          <w:tcPr>
            <w:tcW w:w="4195" w:type="dxa"/>
          </w:tcPr>
          <w:p w14:paraId="6AAEAFA5" w14:textId="77777777" w:rsidR="00002E1E" w:rsidRPr="002710F8" w:rsidRDefault="00002E1E" w:rsidP="00AE14F0">
            <w:pPr>
              <w:pStyle w:val="TableNumbers1"/>
              <w:numPr>
                <w:ilvl w:val="0"/>
                <w:numId w:val="35"/>
              </w:numPr>
              <w:spacing w:before="60" w:after="60"/>
            </w:pPr>
            <w:r>
              <w:t xml:space="preserve">How can collaboration between pharmacists/pharmacy and other primary health care professionals be enhanced? </w:t>
            </w:r>
          </w:p>
        </w:tc>
        <w:tc>
          <w:tcPr>
            <w:tcW w:w="3118" w:type="dxa"/>
          </w:tcPr>
          <w:p w14:paraId="4A953E4F" w14:textId="77777777" w:rsidR="00002E1E" w:rsidRPr="009305D8" w:rsidRDefault="00002E1E" w:rsidP="00002E1E">
            <w:pPr>
              <w:pStyle w:val="TableNumbers2"/>
              <w:numPr>
                <w:ilvl w:val="0"/>
                <w:numId w:val="0"/>
              </w:numPr>
              <w:rPr>
                <w:i/>
              </w:rPr>
            </w:pPr>
            <w:r>
              <w:rPr>
                <w:i/>
              </w:rPr>
              <w:t>Free text</w:t>
            </w:r>
          </w:p>
        </w:tc>
        <w:tc>
          <w:tcPr>
            <w:tcW w:w="1985" w:type="dxa"/>
          </w:tcPr>
          <w:p w14:paraId="5A842FB8" w14:textId="77777777" w:rsidR="00002E1E" w:rsidRDefault="00002E1E" w:rsidP="00002E1E">
            <w:pPr>
              <w:pStyle w:val="TableCopy"/>
            </w:pPr>
            <w:r>
              <w:t xml:space="preserve">End of survey – participants directed to acknowledgement page and invited to leave final comments </w:t>
            </w:r>
          </w:p>
        </w:tc>
      </w:tr>
    </w:tbl>
    <w:p w14:paraId="6349CCC8" w14:textId="77777777" w:rsidR="00002E1E" w:rsidRDefault="00002E1E" w:rsidP="00002E1E"/>
    <w:p w14:paraId="21420247" w14:textId="77777777" w:rsidR="00002E1E" w:rsidRDefault="00002E1E" w:rsidP="00002E1E">
      <w:pPr>
        <w:sectPr w:rsidR="00002E1E" w:rsidSect="007D79F3">
          <w:pgSz w:w="11906" w:h="16838" w:code="9"/>
          <w:pgMar w:top="1304" w:right="1134" w:bottom="737" w:left="737" w:header="567" w:footer="284" w:gutter="0"/>
          <w:cols w:space="708"/>
          <w:docGrid w:linePitch="360"/>
        </w:sectPr>
      </w:pPr>
    </w:p>
    <w:p w14:paraId="7C5E2DAA" w14:textId="77777777" w:rsidR="00002E1E" w:rsidRDefault="00002E1E" w:rsidP="00002E1E">
      <w:pPr>
        <w:pStyle w:val="Heading1"/>
        <w:framePr w:wrap="around"/>
      </w:pPr>
      <w:bookmarkStart w:id="192" w:name="_Toc26366407"/>
      <w:r>
        <w:lastRenderedPageBreak/>
        <w:t>References</w:t>
      </w:r>
      <w:bookmarkEnd w:id="192"/>
    </w:p>
    <w:p w14:paraId="3EF34860" w14:textId="77777777" w:rsidR="008B7448" w:rsidRDefault="00F53FA1" w:rsidP="00AA420C">
      <w:pPr>
        <w:rPr>
          <w:noProof/>
          <w:spacing w:val="0"/>
        </w:rPr>
      </w:pPr>
      <w:r>
        <w:fldChar w:fldCharType="begin"/>
      </w:r>
      <w:r>
        <w:instrText xml:space="preserve"> BIBLIOGRAPHY  \l 3081 </w:instrText>
      </w:r>
      <w:r>
        <w:fldChar w:fldCharType="separate"/>
      </w:r>
    </w:p>
    <w:tbl>
      <w:tblPr>
        <w:tblW w:w="5000" w:type="pct"/>
        <w:tblCellSpacing w:w="15" w:type="dxa"/>
        <w:tblCellMar>
          <w:top w:w="15" w:type="dxa"/>
          <w:left w:w="15" w:type="dxa"/>
          <w:bottom w:w="15" w:type="dxa"/>
          <w:right w:w="15" w:type="dxa"/>
        </w:tblCellMar>
        <w:tblLook w:val="04A0" w:firstRow="1" w:lastRow="0" w:firstColumn="1" w:lastColumn="0" w:noHBand="0" w:noVBand="1"/>
        <w:tblCaption w:val="Table of references"/>
        <w:tblDescription w:val="Table of references"/>
      </w:tblPr>
      <w:tblGrid>
        <w:gridCol w:w="393"/>
        <w:gridCol w:w="14404"/>
      </w:tblGrid>
      <w:tr w:rsidR="008B7448" w14:paraId="1AB35FD4" w14:textId="77777777">
        <w:trPr>
          <w:divId w:val="1548030301"/>
          <w:tblCellSpacing w:w="15" w:type="dxa"/>
        </w:trPr>
        <w:tc>
          <w:tcPr>
            <w:tcW w:w="50" w:type="pct"/>
            <w:hideMark/>
          </w:tcPr>
          <w:p w14:paraId="25CCB782" w14:textId="0778C391" w:rsidR="008B7448" w:rsidRDefault="008B7448">
            <w:pPr>
              <w:pStyle w:val="Bibliography"/>
              <w:rPr>
                <w:noProof/>
                <w:sz w:val="24"/>
                <w:szCs w:val="24"/>
              </w:rPr>
            </w:pPr>
            <w:r>
              <w:rPr>
                <w:noProof/>
              </w:rPr>
              <w:t xml:space="preserve">[1] </w:t>
            </w:r>
          </w:p>
        </w:tc>
        <w:tc>
          <w:tcPr>
            <w:tcW w:w="0" w:type="auto"/>
            <w:hideMark/>
          </w:tcPr>
          <w:p w14:paraId="39A8C5A7" w14:textId="77777777" w:rsidR="008B7448" w:rsidRDefault="008B7448">
            <w:pPr>
              <w:pStyle w:val="Bibliography"/>
              <w:rPr>
                <w:noProof/>
              </w:rPr>
            </w:pPr>
            <w:r>
              <w:rPr>
                <w:noProof/>
              </w:rPr>
              <w:t>Australian Government Department of Health, “Amended and Restated Sixth Community Pharmacy Agreement,” Australian Government, Canberra, 2017.</w:t>
            </w:r>
          </w:p>
        </w:tc>
      </w:tr>
      <w:tr w:rsidR="008B7448" w14:paraId="2828135D" w14:textId="77777777">
        <w:trPr>
          <w:divId w:val="1548030301"/>
          <w:tblCellSpacing w:w="15" w:type="dxa"/>
        </w:trPr>
        <w:tc>
          <w:tcPr>
            <w:tcW w:w="50" w:type="pct"/>
            <w:hideMark/>
          </w:tcPr>
          <w:p w14:paraId="6E6FF86B" w14:textId="77777777" w:rsidR="008B7448" w:rsidRDefault="008B7448">
            <w:pPr>
              <w:pStyle w:val="Bibliography"/>
              <w:rPr>
                <w:noProof/>
              </w:rPr>
            </w:pPr>
            <w:r>
              <w:rPr>
                <w:noProof/>
              </w:rPr>
              <w:t xml:space="preserve">[2] </w:t>
            </w:r>
          </w:p>
        </w:tc>
        <w:tc>
          <w:tcPr>
            <w:tcW w:w="0" w:type="auto"/>
            <w:hideMark/>
          </w:tcPr>
          <w:p w14:paraId="589A07BF" w14:textId="77777777" w:rsidR="008B7448" w:rsidRDefault="008B7448">
            <w:pPr>
              <w:pStyle w:val="Bibliography"/>
              <w:rPr>
                <w:noProof/>
              </w:rPr>
            </w:pPr>
            <w:r>
              <w:rPr>
                <w:noProof/>
              </w:rPr>
              <w:t>Australian Government Department of Health, “Pharmacy Trial Programme: Summary report of the stakeholder consultation forum held on 26 October 2015,” Canberra, 2015.</w:t>
            </w:r>
          </w:p>
        </w:tc>
      </w:tr>
      <w:tr w:rsidR="008B7448" w14:paraId="3047E9B1" w14:textId="77777777">
        <w:trPr>
          <w:divId w:val="1548030301"/>
          <w:tblCellSpacing w:w="15" w:type="dxa"/>
        </w:trPr>
        <w:tc>
          <w:tcPr>
            <w:tcW w:w="50" w:type="pct"/>
            <w:hideMark/>
          </w:tcPr>
          <w:p w14:paraId="247B9C9F" w14:textId="77777777" w:rsidR="008B7448" w:rsidRDefault="008B7448">
            <w:pPr>
              <w:pStyle w:val="Bibliography"/>
              <w:rPr>
                <w:noProof/>
              </w:rPr>
            </w:pPr>
            <w:r>
              <w:rPr>
                <w:noProof/>
              </w:rPr>
              <w:t xml:space="preserve">[3] </w:t>
            </w:r>
          </w:p>
        </w:tc>
        <w:tc>
          <w:tcPr>
            <w:tcW w:w="0" w:type="auto"/>
            <w:hideMark/>
          </w:tcPr>
          <w:p w14:paraId="35343E54" w14:textId="77777777" w:rsidR="008B7448" w:rsidRDefault="008B7448">
            <w:pPr>
              <w:pStyle w:val="Bibliography"/>
              <w:rPr>
                <w:noProof/>
              </w:rPr>
            </w:pPr>
            <w:r>
              <w:rPr>
                <w:noProof/>
              </w:rPr>
              <w:t>Australian Government Department of Health, “Pharmacy Trial Program,” 27 September 2018. [Online]. Available: http://www.health.gov.au/internet/main/publishing.nsf/Content/pharmacy-trial-programme#Stakeholder. [Accessed 2019].</w:t>
            </w:r>
          </w:p>
        </w:tc>
      </w:tr>
      <w:tr w:rsidR="008B7448" w14:paraId="23AC311D" w14:textId="77777777">
        <w:trPr>
          <w:divId w:val="1548030301"/>
          <w:tblCellSpacing w:w="15" w:type="dxa"/>
        </w:trPr>
        <w:tc>
          <w:tcPr>
            <w:tcW w:w="50" w:type="pct"/>
            <w:hideMark/>
          </w:tcPr>
          <w:p w14:paraId="51DD0896" w14:textId="77777777" w:rsidR="008B7448" w:rsidRDefault="008B7448">
            <w:pPr>
              <w:pStyle w:val="Bibliography"/>
              <w:rPr>
                <w:noProof/>
              </w:rPr>
            </w:pPr>
            <w:r>
              <w:rPr>
                <w:noProof/>
              </w:rPr>
              <w:t xml:space="preserve">[4] </w:t>
            </w:r>
          </w:p>
        </w:tc>
        <w:tc>
          <w:tcPr>
            <w:tcW w:w="0" w:type="auto"/>
            <w:hideMark/>
          </w:tcPr>
          <w:p w14:paraId="279F41CE" w14:textId="77777777" w:rsidR="008B7448" w:rsidRDefault="008B7448">
            <w:pPr>
              <w:pStyle w:val="Bibliography"/>
              <w:rPr>
                <w:noProof/>
              </w:rPr>
            </w:pPr>
            <w:r>
              <w:rPr>
                <w:noProof/>
              </w:rPr>
              <w:t>Australian Government Department of Health, “Audit of the Management of the Pharmacy Trial Program under the Sixth Community Pharmacy Agreement,” Department of Health, Canberra, 2018.</w:t>
            </w:r>
          </w:p>
        </w:tc>
      </w:tr>
      <w:tr w:rsidR="008B7448" w14:paraId="1B982D08" w14:textId="77777777">
        <w:trPr>
          <w:divId w:val="1548030301"/>
          <w:tblCellSpacing w:w="15" w:type="dxa"/>
        </w:trPr>
        <w:tc>
          <w:tcPr>
            <w:tcW w:w="50" w:type="pct"/>
            <w:hideMark/>
          </w:tcPr>
          <w:p w14:paraId="1FE4DEA2" w14:textId="77777777" w:rsidR="008B7448" w:rsidRDefault="008B7448">
            <w:pPr>
              <w:pStyle w:val="Bibliography"/>
              <w:rPr>
                <w:noProof/>
              </w:rPr>
            </w:pPr>
            <w:r>
              <w:rPr>
                <w:noProof/>
              </w:rPr>
              <w:t xml:space="preserve">[5] </w:t>
            </w:r>
          </w:p>
        </w:tc>
        <w:tc>
          <w:tcPr>
            <w:tcW w:w="0" w:type="auto"/>
            <w:hideMark/>
          </w:tcPr>
          <w:p w14:paraId="2A3DB010" w14:textId="77777777" w:rsidR="008B7448" w:rsidRDefault="008B7448">
            <w:pPr>
              <w:pStyle w:val="Bibliography"/>
              <w:rPr>
                <w:noProof/>
              </w:rPr>
            </w:pPr>
            <w:r>
              <w:rPr>
                <w:noProof/>
              </w:rPr>
              <w:t>Australian Government Department of Health and Ageing, “National Medicines Policy,” Australian Government, Canberra, 2000.</w:t>
            </w:r>
          </w:p>
        </w:tc>
      </w:tr>
      <w:tr w:rsidR="008B7448" w14:paraId="6C96AAC3" w14:textId="77777777">
        <w:trPr>
          <w:divId w:val="1548030301"/>
          <w:tblCellSpacing w:w="15" w:type="dxa"/>
        </w:trPr>
        <w:tc>
          <w:tcPr>
            <w:tcW w:w="50" w:type="pct"/>
            <w:hideMark/>
          </w:tcPr>
          <w:p w14:paraId="38044FDE" w14:textId="77777777" w:rsidR="008B7448" w:rsidRDefault="008B7448">
            <w:pPr>
              <w:pStyle w:val="Bibliography"/>
              <w:rPr>
                <w:noProof/>
              </w:rPr>
            </w:pPr>
            <w:r>
              <w:rPr>
                <w:noProof/>
              </w:rPr>
              <w:t xml:space="preserve">[6] </w:t>
            </w:r>
          </w:p>
        </w:tc>
        <w:tc>
          <w:tcPr>
            <w:tcW w:w="0" w:type="auto"/>
            <w:hideMark/>
          </w:tcPr>
          <w:p w14:paraId="1878C7D3" w14:textId="77777777" w:rsidR="008B7448" w:rsidRDefault="008B7448">
            <w:pPr>
              <w:pStyle w:val="Bibliography"/>
              <w:rPr>
                <w:noProof/>
              </w:rPr>
            </w:pPr>
            <w:r>
              <w:rPr>
                <w:noProof/>
              </w:rPr>
              <w:t>Commonwealth of Australia, “The National Strategy for Quality Use of Medicines,” Commonwealth of Australia, Canberra, 2002.</w:t>
            </w:r>
          </w:p>
        </w:tc>
      </w:tr>
      <w:tr w:rsidR="008B7448" w14:paraId="06541A3A" w14:textId="77777777">
        <w:trPr>
          <w:divId w:val="1548030301"/>
          <w:tblCellSpacing w:w="15" w:type="dxa"/>
        </w:trPr>
        <w:tc>
          <w:tcPr>
            <w:tcW w:w="50" w:type="pct"/>
            <w:hideMark/>
          </w:tcPr>
          <w:p w14:paraId="6B21F51F" w14:textId="77777777" w:rsidR="008B7448" w:rsidRDefault="008B7448">
            <w:pPr>
              <w:pStyle w:val="Bibliography"/>
              <w:rPr>
                <w:noProof/>
              </w:rPr>
            </w:pPr>
            <w:r>
              <w:rPr>
                <w:noProof/>
              </w:rPr>
              <w:t xml:space="preserve">[7] </w:t>
            </w:r>
          </w:p>
        </w:tc>
        <w:tc>
          <w:tcPr>
            <w:tcW w:w="0" w:type="auto"/>
            <w:hideMark/>
          </w:tcPr>
          <w:p w14:paraId="10C590E3" w14:textId="77777777" w:rsidR="008B7448" w:rsidRDefault="008B7448">
            <w:pPr>
              <w:pStyle w:val="Bibliography"/>
              <w:rPr>
                <w:noProof/>
              </w:rPr>
            </w:pPr>
            <w:r>
              <w:rPr>
                <w:noProof/>
              </w:rPr>
              <w:t>Australian Institute of Health and Welfare, “Australia's Health 2018: in brief – How Healthy Are We?,” AIHW, Canberra, 2018.</w:t>
            </w:r>
          </w:p>
        </w:tc>
      </w:tr>
      <w:tr w:rsidR="008B7448" w14:paraId="18651CC9" w14:textId="77777777">
        <w:trPr>
          <w:divId w:val="1548030301"/>
          <w:tblCellSpacing w:w="15" w:type="dxa"/>
        </w:trPr>
        <w:tc>
          <w:tcPr>
            <w:tcW w:w="50" w:type="pct"/>
            <w:hideMark/>
          </w:tcPr>
          <w:p w14:paraId="637EDAAA" w14:textId="77777777" w:rsidR="008B7448" w:rsidRDefault="008B7448">
            <w:pPr>
              <w:pStyle w:val="Bibliography"/>
              <w:rPr>
                <w:noProof/>
              </w:rPr>
            </w:pPr>
            <w:r>
              <w:rPr>
                <w:noProof/>
              </w:rPr>
              <w:t xml:space="preserve">[8] </w:t>
            </w:r>
          </w:p>
        </w:tc>
        <w:tc>
          <w:tcPr>
            <w:tcW w:w="0" w:type="auto"/>
            <w:hideMark/>
          </w:tcPr>
          <w:p w14:paraId="1497A36C" w14:textId="77777777" w:rsidR="008B7448" w:rsidRDefault="008B7448">
            <w:pPr>
              <w:pStyle w:val="Bibliography"/>
              <w:rPr>
                <w:noProof/>
              </w:rPr>
            </w:pPr>
            <w:r>
              <w:rPr>
                <w:noProof/>
              </w:rPr>
              <w:t>Australian Government Department of Health, “Primary care,” 14 July 2015. [Online]. Available: http://www.health.gov.au/internet/main/publishing.nsf/Content/primarycare. [Accessed 2019].</w:t>
            </w:r>
          </w:p>
        </w:tc>
      </w:tr>
      <w:tr w:rsidR="008B7448" w14:paraId="0C77C49F" w14:textId="77777777">
        <w:trPr>
          <w:divId w:val="1548030301"/>
          <w:tblCellSpacing w:w="15" w:type="dxa"/>
        </w:trPr>
        <w:tc>
          <w:tcPr>
            <w:tcW w:w="50" w:type="pct"/>
            <w:hideMark/>
          </w:tcPr>
          <w:p w14:paraId="7A0E077C" w14:textId="77777777" w:rsidR="008B7448" w:rsidRDefault="008B7448">
            <w:pPr>
              <w:pStyle w:val="Bibliography"/>
              <w:rPr>
                <w:noProof/>
              </w:rPr>
            </w:pPr>
            <w:r>
              <w:rPr>
                <w:noProof/>
              </w:rPr>
              <w:t xml:space="preserve">[9] </w:t>
            </w:r>
          </w:p>
        </w:tc>
        <w:tc>
          <w:tcPr>
            <w:tcW w:w="0" w:type="auto"/>
            <w:hideMark/>
          </w:tcPr>
          <w:p w14:paraId="0742104B" w14:textId="77777777" w:rsidR="008B7448" w:rsidRDefault="008B7448">
            <w:pPr>
              <w:pStyle w:val="Bibliography"/>
              <w:rPr>
                <w:noProof/>
              </w:rPr>
            </w:pPr>
            <w:r>
              <w:rPr>
                <w:noProof/>
              </w:rPr>
              <w:t>Australian Institute of Health and Welfare, “Australia's Health 2018: in brief - On an average day in our health system,” AIHW, Canberra, 2018.</w:t>
            </w:r>
          </w:p>
        </w:tc>
      </w:tr>
      <w:tr w:rsidR="008B7448" w14:paraId="530FD1C2" w14:textId="77777777">
        <w:trPr>
          <w:divId w:val="1548030301"/>
          <w:tblCellSpacing w:w="15" w:type="dxa"/>
        </w:trPr>
        <w:tc>
          <w:tcPr>
            <w:tcW w:w="50" w:type="pct"/>
            <w:hideMark/>
          </w:tcPr>
          <w:p w14:paraId="69BEC427" w14:textId="77777777" w:rsidR="008B7448" w:rsidRDefault="008B7448">
            <w:pPr>
              <w:pStyle w:val="Bibliography"/>
              <w:rPr>
                <w:noProof/>
              </w:rPr>
            </w:pPr>
            <w:r>
              <w:rPr>
                <w:noProof/>
              </w:rPr>
              <w:t xml:space="preserve">[10] </w:t>
            </w:r>
          </w:p>
        </w:tc>
        <w:tc>
          <w:tcPr>
            <w:tcW w:w="0" w:type="auto"/>
            <w:hideMark/>
          </w:tcPr>
          <w:p w14:paraId="5677F571" w14:textId="77777777" w:rsidR="008B7448" w:rsidRDefault="008B7448">
            <w:pPr>
              <w:pStyle w:val="Bibliography"/>
              <w:rPr>
                <w:noProof/>
              </w:rPr>
            </w:pPr>
            <w:r>
              <w:rPr>
                <w:noProof/>
              </w:rPr>
              <w:t>Pharmaceutical Society of Australia, “Medicine Safety: Take Care,” PSA, Canberra, 2019.</w:t>
            </w:r>
          </w:p>
        </w:tc>
      </w:tr>
      <w:tr w:rsidR="008B7448" w14:paraId="3C6F3258" w14:textId="77777777">
        <w:trPr>
          <w:divId w:val="1548030301"/>
          <w:tblCellSpacing w:w="15" w:type="dxa"/>
        </w:trPr>
        <w:tc>
          <w:tcPr>
            <w:tcW w:w="50" w:type="pct"/>
            <w:hideMark/>
          </w:tcPr>
          <w:p w14:paraId="20EED3EC" w14:textId="77777777" w:rsidR="008B7448" w:rsidRDefault="008B7448">
            <w:pPr>
              <w:pStyle w:val="Bibliography"/>
              <w:rPr>
                <w:noProof/>
              </w:rPr>
            </w:pPr>
            <w:r>
              <w:rPr>
                <w:noProof/>
              </w:rPr>
              <w:t xml:space="preserve">[11] </w:t>
            </w:r>
          </w:p>
        </w:tc>
        <w:tc>
          <w:tcPr>
            <w:tcW w:w="0" w:type="auto"/>
            <w:hideMark/>
          </w:tcPr>
          <w:p w14:paraId="0544D36A" w14:textId="77777777" w:rsidR="008B7448" w:rsidRDefault="008B7448">
            <w:pPr>
              <w:pStyle w:val="Bibliography"/>
              <w:rPr>
                <w:noProof/>
              </w:rPr>
            </w:pPr>
            <w:r>
              <w:rPr>
                <w:noProof/>
              </w:rPr>
              <w:t>Australian Government Department of Health, “Supporting pharmacist delivery of primary health care services through the Pharmacy Trial Program,” Australian Department of Health, Canberra, 2016.</w:t>
            </w:r>
          </w:p>
        </w:tc>
      </w:tr>
      <w:tr w:rsidR="008B7448" w14:paraId="2B5DCFBB" w14:textId="77777777">
        <w:trPr>
          <w:divId w:val="1548030301"/>
          <w:tblCellSpacing w:w="15" w:type="dxa"/>
        </w:trPr>
        <w:tc>
          <w:tcPr>
            <w:tcW w:w="50" w:type="pct"/>
            <w:hideMark/>
          </w:tcPr>
          <w:p w14:paraId="10EB3396" w14:textId="77777777" w:rsidR="008B7448" w:rsidRDefault="008B7448">
            <w:pPr>
              <w:pStyle w:val="Bibliography"/>
              <w:rPr>
                <w:noProof/>
              </w:rPr>
            </w:pPr>
            <w:r>
              <w:rPr>
                <w:noProof/>
              </w:rPr>
              <w:t xml:space="preserve">[12] </w:t>
            </w:r>
          </w:p>
        </w:tc>
        <w:tc>
          <w:tcPr>
            <w:tcW w:w="0" w:type="auto"/>
            <w:hideMark/>
          </w:tcPr>
          <w:p w14:paraId="2A26BE43" w14:textId="77777777" w:rsidR="008B7448" w:rsidRDefault="008B7448">
            <w:pPr>
              <w:pStyle w:val="Bibliography"/>
              <w:rPr>
                <w:noProof/>
              </w:rPr>
            </w:pPr>
            <w:r>
              <w:rPr>
                <w:noProof/>
              </w:rPr>
              <w:t>Sixth Community Pharmacy Agreement, “Community Pharmacy in Health Care Homes Trial Program,” [Online]. Available: http://6cpa.com.au/medication-management-programs/community-pharmacy-in-health-care-homes-trial-program-interim/. [Accessed 2019].</w:t>
            </w:r>
          </w:p>
        </w:tc>
      </w:tr>
      <w:tr w:rsidR="008B7448" w14:paraId="2DA626EC" w14:textId="77777777">
        <w:trPr>
          <w:divId w:val="1548030301"/>
          <w:tblCellSpacing w:w="15" w:type="dxa"/>
        </w:trPr>
        <w:tc>
          <w:tcPr>
            <w:tcW w:w="50" w:type="pct"/>
            <w:hideMark/>
          </w:tcPr>
          <w:p w14:paraId="48F70609" w14:textId="77777777" w:rsidR="008B7448" w:rsidRDefault="008B7448">
            <w:pPr>
              <w:pStyle w:val="Bibliography"/>
              <w:rPr>
                <w:noProof/>
              </w:rPr>
            </w:pPr>
            <w:r>
              <w:rPr>
                <w:noProof/>
              </w:rPr>
              <w:t xml:space="preserve">[13] </w:t>
            </w:r>
          </w:p>
        </w:tc>
        <w:tc>
          <w:tcPr>
            <w:tcW w:w="0" w:type="auto"/>
            <w:hideMark/>
          </w:tcPr>
          <w:p w14:paraId="47AF5D96" w14:textId="77777777" w:rsidR="008B7448" w:rsidRDefault="008B7448">
            <w:pPr>
              <w:pStyle w:val="Bibliography"/>
              <w:rPr>
                <w:noProof/>
              </w:rPr>
            </w:pPr>
            <w:r>
              <w:rPr>
                <w:noProof/>
              </w:rPr>
              <w:t>Australian Government Department of Health, “Health Care Homes,” [Online]. Available: http://www.health.gov.au/internet/main/publishing.nsf/Content/health-care-homes. [Accessed 2019].</w:t>
            </w:r>
          </w:p>
        </w:tc>
      </w:tr>
      <w:tr w:rsidR="008B7448" w14:paraId="508D5037" w14:textId="77777777">
        <w:trPr>
          <w:divId w:val="1548030301"/>
          <w:tblCellSpacing w:w="15" w:type="dxa"/>
        </w:trPr>
        <w:tc>
          <w:tcPr>
            <w:tcW w:w="50" w:type="pct"/>
            <w:hideMark/>
          </w:tcPr>
          <w:p w14:paraId="5A3006FF" w14:textId="77777777" w:rsidR="008B7448" w:rsidRDefault="008B7448">
            <w:pPr>
              <w:pStyle w:val="Bibliography"/>
              <w:rPr>
                <w:noProof/>
              </w:rPr>
            </w:pPr>
            <w:r>
              <w:rPr>
                <w:noProof/>
              </w:rPr>
              <w:t xml:space="preserve">[14] </w:t>
            </w:r>
          </w:p>
        </w:tc>
        <w:tc>
          <w:tcPr>
            <w:tcW w:w="0" w:type="auto"/>
            <w:hideMark/>
          </w:tcPr>
          <w:p w14:paraId="7F89479D" w14:textId="77777777" w:rsidR="008B7448" w:rsidRDefault="008B7448">
            <w:pPr>
              <w:pStyle w:val="Bibliography"/>
              <w:rPr>
                <w:noProof/>
              </w:rPr>
            </w:pPr>
            <w:r>
              <w:rPr>
                <w:noProof/>
              </w:rPr>
              <w:t>Australian Medical Association, “Bringing Pharmacists into the Fold,” [Online]. Available: https://ama.com.au/ausmed/bringing-pharmacists-fold. [Accessed 2019].</w:t>
            </w:r>
          </w:p>
        </w:tc>
      </w:tr>
      <w:tr w:rsidR="008B7448" w14:paraId="1C6A0952" w14:textId="77777777">
        <w:trPr>
          <w:divId w:val="1548030301"/>
          <w:tblCellSpacing w:w="15" w:type="dxa"/>
        </w:trPr>
        <w:tc>
          <w:tcPr>
            <w:tcW w:w="50" w:type="pct"/>
            <w:hideMark/>
          </w:tcPr>
          <w:p w14:paraId="584B2353" w14:textId="77777777" w:rsidR="008B7448" w:rsidRDefault="008B7448">
            <w:pPr>
              <w:pStyle w:val="Bibliography"/>
              <w:rPr>
                <w:noProof/>
              </w:rPr>
            </w:pPr>
            <w:r>
              <w:rPr>
                <w:noProof/>
              </w:rPr>
              <w:t xml:space="preserve">[15] </w:t>
            </w:r>
          </w:p>
        </w:tc>
        <w:tc>
          <w:tcPr>
            <w:tcW w:w="0" w:type="auto"/>
            <w:hideMark/>
          </w:tcPr>
          <w:p w14:paraId="5596FCB8" w14:textId="77777777" w:rsidR="008B7448" w:rsidRDefault="008B7448">
            <w:pPr>
              <w:pStyle w:val="Bibliography"/>
              <w:rPr>
                <w:noProof/>
              </w:rPr>
            </w:pPr>
            <w:r>
              <w:rPr>
                <w:noProof/>
              </w:rPr>
              <w:t>Australian Journal of Pharmacy, “Four GP Clinics Get Integrated Pharmacists,” [Online]. Available: https://ajp.com.au/news/four-gp-clinics-get-integrated-pharmacists/. [Accessed 2019].</w:t>
            </w:r>
          </w:p>
        </w:tc>
      </w:tr>
      <w:tr w:rsidR="008B7448" w14:paraId="36F25C08" w14:textId="77777777">
        <w:trPr>
          <w:divId w:val="1548030301"/>
          <w:tblCellSpacing w:w="15" w:type="dxa"/>
        </w:trPr>
        <w:tc>
          <w:tcPr>
            <w:tcW w:w="50" w:type="pct"/>
            <w:hideMark/>
          </w:tcPr>
          <w:p w14:paraId="2AF4468A" w14:textId="77777777" w:rsidR="008B7448" w:rsidRDefault="008B7448">
            <w:pPr>
              <w:pStyle w:val="Bibliography"/>
              <w:rPr>
                <w:noProof/>
              </w:rPr>
            </w:pPr>
            <w:r>
              <w:rPr>
                <w:noProof/>
              </w:rPr>
              <w:t xml:space="preserve">[16] </w:t>
            </w:r>
          </w:p>
        </w:tc>
        <w:tc>
          <w:tcPr>
            <w:tcW w:w="0" w:type="auto"/>
            <w:hideMark/>
          </w:tcPr>
          <w:p w14:paraId="7842D500" w14:textId="77777777" w:rsidR="008B7448" w:rsidRDefault="008B7448">
            <w:pPr>
              <w:pStyle w:val="Bibliography"/>
              <w:rPr>
                <w:noProof/>
              </w:rPr>
            </w:pPr>
            <w:r>
              <w:rPr>
                <w:noProof/>
              </w:rPr>
              <w:t>Health Direct , “My Health Record,” February 2019. [Online]. Available: https://www.healthdirect.gov.au/my-health-record. [Accessed 2019].</w:t>
            </w:r>
          </w:p>
        </w:tc>
      </w:tr>
      <w:tr w:rsidR="008B7448" w14:paraId="4BB0F768" w14:textId="77777777">
        <w:trPr>
          <w:divId w:val="1548030301"/>
          <w:tblCellSpacing w:w="15" w:type="dxa"/>
        </w:trPr>
        <w:tc>
          <w:tcPr>
            <w:tcW w:w="50" w:type="pct"/>
            <w:hideMark/>
          </w:tcPr>
          <w:p w14:paraId="0AC182A4" w14:textId="77777777" w:rsidR="008B7448" w:rsidRDefault="008B7448">
            <w:pPr>
              <w:pStyle w:val="Bibliography"/>
              <w:rPr>
                <w:noProof/>
              </w:rPr>
            </w:pPr>
            <w:r>
              <w:rPr>
                <w:noProof/>
              </w:rPr>
              <w:lastRenderedPageBreak/>
              <w:t xml:space="preserve">[17] </w:t>
            </w:r>
          </w:p>
        </w:tc>
        <w:tc>
          <w:tcPr>
            <w:tcW w:w="0" w:type="auto"/>
            <w:hideMark/>
          </w:tcPr>
          <w:p w14:paraId="3CBD77FD" w14:textId="77777777" w:rsidR="008B7448" w:rsidRDefault="008B7448">
            <w:pPr>
              <w:pStyle w:val="Bibliography"/>
              <w:rPr>
                <w:noProof/>
              </w:rPr>
            </w:pPr>
            <w:r>
              <w:rPr>
                <w:noProof/>
              </w:rPr>
              <w:t>Australian Digital Health Agency, “My Health Record Statistics: Dashboard Statistics,” February 2019. [Online]. Available: https://www.myhealthrecord.gov.au/statistics. [Accessed 2019].</w:t>
            </w:r>
          </w:p>
        </w:tc>
      </w:tr>
      <w:tr w:rsidR="008B7448" w14:paraId="4CB1817B" w14:textId="77777777">
        <w:trPr>
          <w:divId w:val="1548030301"/>
          <w:tblCellSpacing w:w="15" w:type="dxa"/>
        </w:trPr>
        <w:tc>
          <w:tcPr>
            <w:tcW w:w="50" w:type="pct"/>
            <w:hideMark/>
          </w:tcPr>
          <w:p w14:paraId="5F102A18" w14:textId="77777777" w:rsidR="008B7448" w:rsidRDefault="008B7448">
            <w:pPr>
              <w:pStyle w:val="Bibliography"/>
              <w:rPr>
                <w:noProof/>
              </w:rPr>
            </w:pPr>
            <w:r>
              <w:rPr>
                <w:noProof/>
              </w:rPr>
              <w:t xml:space="preserve">[18] </w:t>
            </w:r>
          </w:p>
        </w:tc>
        <w:tc>
          <w:tcPr>
            <w:tcW w:w="0" w:type="auto"/>
            <w:hideMark/>
          </w:tcPr>
          <w:p w14:paraId="0A2BC858" w14:textId="77777777" w:rsidR="008B7448" w:rsidRDefault="008B7448">
            <w:pPr>
              <w:pStyle w:val="Bibliography"/>
              <w:rPr>
                <w:noProof/>
              </w:rPr>
            </w:pPr>
            <w:r>
              <w:rPr>
                <w:noProof/>
              </w:rPr>
              <w:t>Australian Digital Health Agency, “My Health Record Information Fact Sheet for Pharmacists,” Department of Health.</w:t>
            </w:r>
          </w:p>
        </w:tc>
      </w:tr>
      <w:tr w:rsidR="008B7448" w14:paraId="1AE659DD" w14:textId="77777777">
        <w:trPr>
          <w:divId w:val="1548030301"/>
          <w:tblCellSpacing w:w="15" w:type="dxa"/>
        </w:trPr>
        <w:tc>
          <w:tcPr>
            <w:tcW w:w="50" w:type="pct"/>
            <w:hideMark/>
          </w:tcPr>
          <w:p w14:paraId="50C11749" w14:textId="77777777" w:rsidR="008B7448" w:rsidRDefault="008B7448">
            <w:pPr>
              <w:pStyle w:val="Bibliography"/>
              <w:rPr>
                <w:noProof/>
              </w:rPr>
            </w:pPr>
            <w:r>
              <w:rPr>
                <w:noProof/>
              </w:rPr>
              <w:t xml:space="preserve">[19] </w:t>
            </w:r>
          </w:p>
        </w:tc>
        <w:tc>
          <w:tcPr>
            <w:tcW w:w="0" w:type="auto"/>
            <w:hideMark/>
          </w:tcPr>
          <w:p w14:paraId="1AA72FED" w14:textId="77777777" w:rsidR="008B7448" w:rsidRDefault="008B7448">
            <w:pPr>
              <w:pStyle w:val="Bibliography"/>
              <w:rPr>
                <w:noProof/>
              </w:rPr>
            </w:pPr>
            <w:r>
              <w:rPr>
                <w:noProof/>
              </w:rPr>
              <w:t>Australian Government Department of Health, “Primary Health Networks,” 15 May 2019. [Online]. Available: https://www.health.gov.au/internet/main/publishing.nsf/Content/PHN-Home. [Accessed 2019].</w:t>
            </w:r>
          </w:p>
        </w:tc>
      </w:tr>
      <w:tr w:rsidR="008B7448" w14:paraId="42E871D6" w14:textId="77777777">
        <w:trPr>
          <w:divId w:val="1548030301"/>
          <w:tblCellSpacing w:w="15" w:type="dxa"/>
        </w:trPr>
        <w:tc>
          <w:tcPr>
            <w:tcW w:w="50" w:type="pct"/>
            <w:hideMark/>
          </w:tcPr>
          <w:p w14:paraId="121220B2" w14:textId="77777777" w:rsidR="008B7448" w:rsidRDefault="008B7448">
            <w:pPr>
              <w:pStyle w:val="Bibliography"/>
              <w:rPr>
                <w:noProof/>
              </w:rPr>
            </w:pPr>
            <w:r>
              <w:rPr>
                <w:noProof/>
              </w:rPr>
              <w:t xml:space="preserve">[20] </w:t>
            </w:r>
          </w:p>
        </w:tc>
        <w:tc>
          <w:tcPr>
            <w:tcW w:w="0" w:type="auto"/>
            <w:hideMark/>
          </w:tcPr>
          <w:p w14:paraId="5C7D02FC" w14:textId="77777777" w:rsidR="008B7448" w:rsidRDefault="008B7448">
            <w:pPr>
              <w:pStyle w:val="Bibliography"/>
              <w:rPr>
                <w:noProof/>
              </w:rPr>
            </w:pPr>
            <w:r>
              <w:rPr>
                <w:noProof/>
              </w:rPr>
              <w:t>Pharmacy Guild of Australia, “Community Pharmacy 2021: Framework for Change,” Canberra, 2018.</w:t>
            </w:r>
          </w:p>
        </w:tc>
      </w:tr>
      <w:tr w:rsidR="008B7448" w14:paraId="5FCFE01C" w14:textId="77777777">
        <w:trPr>
          <w:divId w:val="1548030301"/>
          <w:tblCellSpacing w:w="15" w:type="dxa"/>
        </w:trPr>
        <w:tc>
          <w:tcPr>
            <w:tcW w:w="50" w:type="pct"/>
            <w:hideMark/>
          </w:tcPr>
          <w:p w14:paraId="6A63F4FB" w14:textId="77777777" w:rsidR="008B7448" w:rsidRDefault="008B7448">
            <w:pPr>
              <w:pStyle w:val="Bibliography"/>
              <w:rPr>
                <w:noProof/>
              </w:rPr>
            </w:pPr>
            <w:r>
              <w:rPr>
                <w:noProof/>
              </w:rPr>
              <w:t xml:space="preserve">[21] </w:t>
            </w:r>
          </w:p>
        </w:tc>
        <w:tc>
          <w:tcPr>
            <w:tcW w:w="0" w:type="auto"/>
            <w:hideMark/>
          </w:tcPr>
          <w:p w14:paraId="17BA4403" w14:textId="77777777" w:rsidR="008B7448" w:rsidRDefault="008B7448">
            <w:pPr>
              <w:pStyle w:val="Bibliography"/>
              <w:rPr>
                <w:noProof/>
              </w:rPr>
            </w:pPr>
            <w:r>
              <w:rPr>
                <w:noProof/>
              </w:rPr>
              <w:t>Australian Government Department of Health, “Health Technology Assessment,” 27 February 2017. [Online]. Available: http://www.health.gov.au/internet/hta/publishing.nsf/Content/about-1. [Accessed 2019].</w:t>
            </w:r>
          </w:p>
        </w:tc>
      </w:tr>
      <w:tr w:rsidR="008B7448" w14:paraId="7D8FF76F" w14:textId="77777777">
        <w:trPr>
          <w:divId w:val="1548030301"/>
          <w:tblCellSpacing w:w="15" w:type="dxa"/>
        </w:trPr>
        <w:tc>
          <w:tcPr>
            <w:tcW w:w="50" w:type="pct"/>
            <w:hideMark/>
          </w:tcPr>
          <w:p w14:paraId="44D574C7" w14:textId="77777777" w:rsidR="008B7448" w:rsidRDefault="008B7448">
            <w:pPr>
              <w:pStyle w:val="Bibliography"/>
              <w:rPr>
                <w:noProof/>
              </w:rPr>
            </w:pPr>
            <w:r>
              <w:rPr>
                <w:noProof/>
              </w:rPr>
              <w:t xml:space="preserve">[22] </w:t>
            </w:r>
          </w:p>
        </w:tc>
        <w:tc>
          <w:tcPr>
            <w:tcW w:w="0" w:type="auto"/>
            <w:hideMark/>
          </w:tcPr>
          <w:p w14:paraId="4BEDD1A1" w14:textId="77777777" w:rsidR="008B7448" w:rsidRDefault="008B7448">
            <w:pPr>
              <w:pStyle w:val="Bibliography"/>
              <w:rPr>
                <w:noProof/>
              </w:rPr>
            </w:pPr>
            <w:r>
              <w:rPr>
                <w:noProof/>
              </w:rPr>
              <w:t>Australian Government Department of Health, “MSAC and its Sub-committees,” Australian Government of Australia, 21 July 2017. [Online]. Available: http://www.msac.gov.au/internet/msac/publishing.nsf/content/factsheet-05. [Accessed 2019].</w:t>
            </w:r>
          </w:p>
        </w:tc>
      </w:tr>
      <w:tr w:rsidR="008B7448" w14:paraId="160C9BB6" w14:textId="77777777">
        <w:trPr>
          <w:divId w:val="1548030301"/>
          <w:tblCellSpacing w:w="15" w:type="dxa"/>
        </w:trPr>
        <w:tc>
          <w:tcPr>
            <w:tcW w:w="50" w:type="pct"/>
            <w:hideMark/>
          </w:tcPr>
          <w:p w14:paraId="17145763" w14:textId="77777777" w:rsidR="008B7448" w:rsidRDefault="008B7448">
            <w:pPr>
              <w:pStyle w:val="Bibliography"/>
              <w:rPr>
                <w:noProof/>
              </w:rPr>
            </w:pPr>
            <w:r>
              <w:rPr>
                <w:noProof/>
              </w:rPr>
              <w:t xml:space="preserve">[23] </w:t>
            </w:r>
          </w:p>
        </w:tc>
        <w:tc>
          <w:tcPr>
            <w:tcW w:w="0" w:type="auto"/>
            <w:hideMark/>
          </w:tcPr>
          <w:p w14:paraId="02692066" w14:textId="77777777" w:rsidR="008B7448" w:rsidRDefault="008B7448">
            <w:pPr>
              <w:pStyle w:val="Bibliography"/>
              <w:rPr>
                <w:noProof/>
              </w:rPr>
            </w:pPr>
            <w:r>
              <w:rPr>
                <w:noProof/>
              </w:rPr>
              <w:t>Australian Government Department of Health, “Pharmacy Trial Program Tranche 2 Grant Guidelines,” Australian Government Department of Health, Canberra, 2016.</w:t>
            </w:r>
          </w:p>
        </w:tc>
      </w:tr>
      <w:tr w:rsidR="008B7448" w14:paraId="61F99065" w14:textId="77777777">
        <w:trPr>
          <w:divId w:val="1548030301"/>
          <w:tblCellSpacing w:w="15" w:type="dxa"/>
        </w:trPr>
        <w:tc>
          <w:tcPr>
            <w:tcW w:w="50" w:type="pct"/>
            <w:hideMark/>
          </w:tcPr>
          <w:p w14:paraId="7CBE4080" w14:textId="77777777" w:rsidR="008B7448" w:rsidRDefault="008B7448">
            <w:pPr>
              <w:pStyle w:val="Bibliography"/>
              <w:rPr>
                <w:noProof/>
              </w:rPr>
            </w:pPr>
            <w:r>
              <w:rPr>
                <w:noProof/>
              </w:rPr>
              <w:t xml:space="preserve">[24] </w:t>
            </w:r>
          </w:p>
        </w:tc>
        <w:tc>
          <w:tcPr>
            <w:tcW w:w="0" w:type="auto"/>
            <w:hideMark/>
          </w:tcPr>
          <w:p w14:paraId="29BD65DD" w14:textId="77777777" w:rsidR="008B7448" w:rsidRDefault="008B7448">
            <w:pPr>
              <w:pStyle w:val="Bibliography"/>
              <w:rPr>
                <w:noProof/>
              </w:rPr>
            </w:pPr>
            <w:r>
              <w:rPr>
                <w:noProof/>
              </w:rPr>
              <w:t xml:space="preserve">B. Sibbald and M. Roland, “Understanding controlled trials: Why are randomised controlled trials important?,” </w:t>
            </w:r>
            <w:r>
              <w:rPr>
                <w:i/>
                <w:iCs/>
                <w:noProof/>
              </w:rPr>
              <w:t xml:space="preserve">British Medical Journal, </w:t>
            </w:r>
            <w:r>
              <w:rPr>
                <w:noProof/>
              </w:rPr>
              <w:t xml:space="preserve">vol. 316, no. 201, 1998. </w:t>
            </w:r>
          </w:p>
        </w:tc>
      </w:tr>
      <w:tr w:rsidR="008B7448" w14:paraId="712F264F" w14:textId="77777777">
        <w:trPr>
          <w:divId w:val="1548030301"/>
          <w:tblCellSpacing w:w="15" w:type="dxa"/>
        </w:trPr>
        <w:tc>
          <w:tcPr>
            <w:tcW w:w="50" w:type="pct"/>
            <w:hideMark/>
          </w:tcPr>
          <w:p w14:paraId="3E256CFA" w14:textId="77777777" w:rsidR="008B7448" w:rsidRDefault="008B7448">
            <w:pPr>
              <w:pStyle w:val="Bibliography"/>
              <w:rPr>
                <w:noProof/>
              </w:rPr>
            </w:pPr>
            <w:r>
              <w:rPr>
                <w:noProof/>
              </w:rPr>
              <w:t xml:space="preserve">[25] </w:t>
            </w:r>
          </w:p>
        </w:tc>
        <w:tc>
          <w:tcPr>
            <w:tcW w:w="0" w:type="auto"/>
            <w:hideMark/>
          </w:tcPr>
          <w:p w14:paraId="3CD27715" w14:textId="77777777" w:rsidR="008B7448" w:rsidRDefault="008B7448">
            <w:pPr>
              <w:pStyle w:val="Bibliography"/>
              <w:rPr>
                <w:noProof/>
              </w:rPr>
            </w:pPr>
            <w:r>
              <w:rPr>
                <w:noProof/>
              </w:rPr>
              <w:t>Canadian Pharmacists Association, “A Review of Pharmacy Services in Canada and the Health and Economic Evidence,” Canadian Pharmacists Association, 2016.</w:t>
            </w:r>
          </w:p>
        </w:tc>
      </w:tr>
      <w:tr w:rsidR="008B7448" w14:paraId="4B81B945" w14:textId="77777777">
        <w:trPr>
          <w:divId w:val="1548030301"/>
          <w:tblCellSpacing w:w="15" w:type="dxa"/>
        </w:trPr>
        <w:tc>
          <w:tcPr>
            <w:tcW w:w="50" w:type="pct"/>
            <w:hideMark/>
          </w:tcPr>
          <w:p w14:paraId="38DDA20E" w14:textId="77777777" w:rsidR="008B7448" w:rsidRDefault="008B7448">
            <w:pPr>
              <w:pStyle w:val="Bibliography"/>
              <w:rPr>
                <w:noProof/>
              </w:rPr>
            </w:pPr>
            <w:r>
              <w:rPr>
                <w:noProof/>
              </w:rPr>
              <w:t xml:space="preserve">[26] </w:t>
            </w:r>
          </w:p>
        </w:tc>
        <w:tc>
          <w:tcPr>
            <w:tcW w:w="0" w:type="auto"/>
            <w:hideMark/>
          </w:tcPr>
          <w:p w14:paraId="299EC895" w14:textId="77777777" w:rsidR="008B7448" w:rsidRDefault="008B7448">
            <w:pPr>
              <w:pStyle w:val="Bibliography"/>
              <w:rPr>
                <w:noProof/>
              </w:rPr>
            </w:pPr>
            <w:r>
              <w:rPr>
                <w:noProof/>
              </w:rPr>
              <w:t xml:space="preserve">T. J. Brown, A. Todd, C. O. O'Malley, H. J. Moore, A. K. Husband, C. Bambra, A. Kasim, F. F. Sniehotta, L. Steed, S. Smith, L. Nield and C. D. Summerbell, “Community pharmacy-delivered interventions for public health priorities: a systematic review of interventions for alcohol reduction, smoking cessation and weight management, including meta-analysis for smoking cessation,” </w:t>
            </w:r>
            <w:r>
              <w:rPr>
                <w:i/>
                <w:iCs/>
                <w:noProof/>
              </w:rPr>
              <w:t xml:space="preserve">British Medical Journal, </w:t>
            </w:r>
            <w:r>
              <w:rPr>
                <w:noProof/>
              </w:rPr>
              <w:t xml:space="preserve">vol. 6, 2016. </w:t>
            </w:r>
          </w:p>
        </w:tc>
      </w:tr>
      <w:tr w:rsidR="008B7448" w14:paraId="4B1C2BC9" w14:textId="77777777">
        <w:trPr>
          <w:divId w:val="1548030301"/>
          <w:tblCellSpacing w:w="15" w:type="dxa"/>
        </w:trPr>
        <w:tc>
          <w:tcPr>
            <w:tcW w:w="50" w:type="pct"/>
            <w:hideMark/>
          </w:tcPr>
          <w:p w14:paraId="4AAD6E4C" w14:textId="77777777" w:rsidR="008B7448" w:rsidRDefault="008B7448">
            <w:pPr>
              <w:pStyle w:val="Bibliography"/>
              <w:rPr>
                <w:noProof/>
              </w:rPr>
            </w:pPr>
            <w:r>
              <w:rPr>
                <w:noProof/>
              </w:rPr>
              <w:t xml:space="preserve">[27] </w:t>
            </w:r>
          </w:p>
        </w:tc>
        <w:tc>
          <w:tcPr>
            <w:tcW w:w="0" w:type="auto"/>
            <w:hideMark/>
          </w:tcPr>
          <w:p w14:paraId="7A6D3877" w14:textId="77777777" w:rsidR="008B7448" w:rsidRDefault="008B7448">
            <w:pPr>
              <w:pStyle w:val="Bibliography"/>
              <w:rPr>
                <w:noProof/>
              </w:rPr>
            </w:pPr>
            <w:r>
              <w:rPr>
                <w:noProof/>
              </w:rPr>
              <w:t xml:space="preserve">J. L. Chapman, A. Zechel, C. Y. H and S. Abbott, “Systematic review of recent innovations in service provision to improve access to primary care,” </w:t>
            </w:r>
            <w:r>
              <w:rPr>
                <w:i/>
                <w:iCs/>
                <w:noProof/>
              </w:rPr>
              <w:t xml:space="preserve">British Journal of General Practice, </w:t>
            </w:r>
            <w:r>
              <w:rPr>
                <w:noProof/>
              </w:rPr>
              <w:t xml:space="preserve">vol. 502, p. 54, 2004. </w:t>
            </w:r>
          </w:p>
        </w:tc>
      </w:tr>
      <w:tr w:rsidR="008B7448" w14:paraId="1D6D5C33" w14:textId="77777777">
        <w:trPr>
          <w:divId w:val="1548030301"/>
          <w:tblCellSpacing w:w="15" w:type="dxa"/>
        </w:trPr>
        <w:tc>
          <w:tcPr>
            <w:tcW w:w="50" w:type="pct"/>
            <w:hideMark/>
          </w:tcPr>
          <w:p w14:paraId="12C88FEB" w14:textId="77777777" w:rsidR="008B7448" w:rsidRDefault="008B7448">
            <w:pPr>
              <w:pStyle w:val="Bibliography"/>
              <w:rPr>
                <w:noProof/>
              </w:rPr>
            </w:pPr>
            <w:r>
              <w:rPr>
                <w:noProof/>
              </w:rPr>
              <w:t xml:space="preserve">[28] </w:t>
            </w:r>
          </w:p>
        </w:tc>
        <w:tc>
          <w:tcPr>
            <w:tcW w:w="0" w:type="auto"/>
            <w:hideMark/>
          </w:tcPr>
          <w:p w14:paraId="3345F24E" w14:textId="77777777" w:rsidR="008B7448" w:rsidRDefault="008B7448">
            <w:pPr>
              <w:pStyle w:val="Bibliography"/>
              <w:rPr>
                <w:noProof/>
              </w:rPr>
            </w:pPr>
            <w:r>
              <w:rPr>
                <w:noProof/>
              </w:rPr>
              <w:t xml:space="preserve">J. Gordon, M. Watson and A. Avenell, “Lightening the load? A systematic review of community pharmacy-based weight management interventions,” </w:t>
            </w:r>
            <w:r>
              <w:rPr>
                <w:i/>
                <w:iCs/>
                <w:noProof/>
              </w:rPr>
              <w:t xml:space="preserve">Obesity Reviews, </w:t>
            </w:r>
            <w:r>
              <w:rPr>
                <w:noProof/>
              </w:rPr>
              <w:t xml:space="preserve">vol. 12, pp. 897-911, 2011. </w:t>
            </w:r>
          </w:p>
        </w:tc>
      </w:tr>
      <w:tr w:rsidR="008B7448" w14:paraId="29C66798" w14:textId="77777777">
        <w:trPr>
          <w:divId w:val="1548030301"/>
          <w:tblCellSpacing w:w="15" w:type="dxa"/>
        </w:trPr>
        <w:tc>
          <w:tcPr>
            <w:tcW w:w="50" w:type="pct"/>
            <w:hideMark/>
          </w:tcPr>
          <w:p w14:paraId="0776DD68" w14:textId="77777777" w:rsidR="008B7448" w:rsidRDefault="008B7448">
            <w:pPr>
              <w:pStyle w:val="Bibliography"/>
              <w:rPr>
                <w:noProof/>
              </w:rPr>
            </w:pPr>
            <w:r>
              <w:rPr>
                <w:noProof/>
              </w:rPr>
              <w:t xml:space="preserve">[29] </w:t>
            </w:r>
          </w:p>
        </w:tc>
        <w:tc>
          <w:tcPr>
            <w:tcW w:w="0" w:type="auto"/>
            <w:hideMark/>
          </w:tcPr>
          <w:p w14:paraId="7618A031" w14:textId="77777777" w:rsidR="008B7448" w:rsidRDefault="008B7448">
            <w:pPr>
              <w:pStyle w:val="Bibliography"/>
              <w:rPr>
                <w:noProof/>
              </w:rPr>
            </w:pPr>
            <w:r>
              <w:rPr>
                <w:noProof/>
              </w:rPr>
              <w:t xml:space="preserve">D. Brown, J. Portlock and P. Rutter, “Review of services provided by pharmacies that promote healthy living,” </w:t>
            </w:r>
            <w:r>
              <w:rPr>
                <w:i/>
                <w:iCs/>
                <w:noProof/>
              </w:rPr>
              <w:t xml:space="preserve">International Journal of Clinical Pharmacy, </w:t>
            </w:r>
            <w:r>
              <w:rPr>
                <w:noProof/>
              </w:rPr>
              <w:t xml:space="preserve">vol. 34, no. 3, pp. 399-409, 2012. </w:t>
            </w:r>
          </w:p>
        </w:tc>
      </w:tr>
      <w:tr w:rsidR="008B7448" w14:paraId="5758BF36" w14:textId="77777777">
        <w:trPr>
          <w:divId w:val="1548030301"/>
          <w:tblCellSpacing w:w="15" w:type="dxa"/>
        </w:trPr>
        <w:tc>
          <w:tcPr>
            <w:tcW w:w="50" w:type="pct"/>
            <w:hideMark/>
          </w:tcPr>
          <w:p w14:paraId="3B810C5C" w14:textId="77777777" w:rsidR="008B7448" w:rsidRDefault="008B7448">
            <w:pPr>
              <w:pStyle w:val="Bibliography"/>
              <w:rPr>
                <w:noProof/>
              </w:rPr>
            </w:pPr>
            <w:r>
              <w:rPr>
                <w:noProof/>
              </w:rPr>
              <w:t xml:space="preserve">[30] </w:t>
            </w:r>
          </w:p>
        </w:tc>
        <w:tc>
          <w:tcPr>
            <w:tcW w:w="0" w:type="auto"/>
            <w:hideMark/>
          </w:tcPr>
          <w:p w14:paraId="60C3EC9A" w14:textId="77777777" w:rsidR="008B7448" w:rsidRDefault="008B7448">
            <w:pPr>
              <w:pStyle w:val="Bibliography"/>
              <w:rPr>
                <w:noProof/>
              </w:rPr>
            </w:pPr>
            <w:r>
              <w:rPr>
                <w:noProof/>
              </w:rPr>
              <w:t xml:space="preserve">J. D. Robinson, L. L. M. Segal R and D. R. E, “Impact of a Pharmaceutical Care Intervention on Blood Pressure Control in a Chain Pharmacy Practice,” </w:t>
            </w:r>
            <w:r>
              <w:rPr>
                <w:i/>
                <w:iCs/>
                <w:noProof/>
              </w:rPr>
              <w:t xml:space="preserve">Annals of Pharmacotherapy, </w:t>
            </w:r>
            <w:r>
              <w:rPr>
                <w:noProof/>
              </w:rPr>
              <w:t xml:space="preserve">vol. 44, pp. 88-96, 2010. </w:t>
            </w:r>
          </w:p>
        </w:tc>
      </w:tr>
      <w:tr w:rsidR="008B7448" w14:paraId="5B7A2E85" w14:textId="77777777">
        <w:trPr>
          <w:divId w:val="1548030301"/>
          <w:tblCellSpacing w:w="15" w:type="dxa"/>
        </w:trPr>
        <w:tc>
          <w:tcPr>
            <w:tcW w:w="50" w:type="pct"/>
            <w:hideMark/>
          </w:tcPr>
          <w:p w14:paraId="02AC70B5" w14:textId="77777777" w:rsidR="008B7448" w:rsidRDefault="008B7448">
            <w:pPr>
              <w:pStyle w:val="Bibliography"/>
              <w:rPr>
                <w:noProof/>
              </w:rPr>
            </w:pPr>
            <w:r>
              <w:rPr>
                <w:noProof/>
              </w:rPr>
              <w:t xml:space="preserve">[31] </w:t>
            </w:r>
          </w:p>
        </w:tc>
        <w:tc>
          <w:tcPr>
            <w:tcW w:w="0" w:type="auto"/>
            <w:hideMark/>
          </w:tcPr>
          <w:p w14:paraId="2C6C8D6C" w14:textId="77777777" w:rsidR="008B7448" w:rsidRDefault="008B7448">
            <w:pPr>
              <w:pStyle w:val="Bibliography"/>
              <w:rPr>
                <w:noProof/>
              </w:rPr>
            </w:pPr>
            <w:r>
              <w:rPr>
                <w:noProof/>
              </w:rPr>
              <w:t xml:space="preserve">M. D. Murray, J. Young, S. Hoke, W. Tu, M. Weiner, D. Morrow, K. T. Stroupe, J. Wu, D. Clark, F. Smith, I. Gradus-Pizlo, M. Weinberger and C. Brater, “Pharmacist Intervention to Improve Medication Adherence in Heart Failure,” </w:t>
            </w:r>
            <w:r>
              <w:rPr>
                <w:i/>
                <w:iCs/>
                <w:noProof/>
              </w:rPr>
              <w:t xml:space="preserve">Annals of Internal Medicine , </w:t>
            </w:r>
            <w:r>
              <w:rPr>
                <w:noProof/>
              </w:rPr>
              <w:t xml:space="preserve">vol. 146, pp. 714-725, 2007. </w:t>
            </w:r>
          </w:p>
        </w:tc>
      </w:tr>
      <w:tr w:rsidR="008B7448" w14:paraId="5E7B958E" w14:textId="77777777">
        <w:trPr>
          <w:divId w:val="1548030301"/>
          <w:tblCellSpacing w:w="15" w:type="dxa"/>
        </w:trPr>
        <w:tc>
          <w:tcPr>
            <w:tcW w:w="50" w:type="pct"/>
            <w:hideMark/>
          </w:tcPr>
          <w:p w14:paraId="79577D54" w14:textId="77777777" w:rsidR="008B7448" w:rsidRDefault="008B7448">
            <w:pPr>
              <w:pStyle w:val="Bibliography"/>
              <w:rPr>
                <w:noProof/>
              </w:rPr>
            </w:pPr>
            <w:r>
              <w:rPr>
                <w:noProof/>
              </w:rPr>
              <w:t xml:space="preserve">[32] </w:t>
            </w:r>
          </w:p>
        </w:tc>
        <w:tc>
          <w:tcPr>
            <w:tcW w:w="0" w:type="auto"/>
            <w:hideMark/>
          </w:tcPr>
          <w:p w14:paraId="2C6FF7A1" w14:textId="77777777" w:rsidR="008B7448" w:rsidRDefault="008B7448">
            <w:pPr>
              <w:pStyle w:val="Bibliography"/>
              <w:rPr>
                <w:noProof/>
              </w:rPr>
            </w:pPr>
            <w:r>
              <w:rPr>
                <w:noProof/>
              </w:rPr>
              <w:t xml:space="preserve">S. P. Ferrari, A. J. Greco, N. M. Michaels, S. K. O'Connor, R. W. Chater, A. J. Viera, H. Faruki, H. L. McLeod and Roederer, “Implementation of a pharmacogenomics serivce in a community pharmacy,” </w:t>
            </w:r>
            <w:r>
              <w:rPr>
                <w:i/>
                <w:iCs/>
                <w:noProof/>
              </w:rPr>
              <w:t xml:space="preserve">Journal of the American Pharmacy Association, </w:t>
            </w:r>
            <w:r>
              <w:rPr>
                <w:noProof/>
              </w:rPr>
              <w:t xml:space="preserve">vol. 54, pp. 172-180, 2014. </w:t>
            </w:r>
          </w:p>
        </w:tc>
      </w:tr>
      <w:tr w:rsidR="008B7448" w14:paraId="42189045" w14:textId="77777777">
        <w:trPr>
          <w:divId w:val="1548030301"/>
          <w:tblCellSpacing w:w="15" w:type="dxa"/>
        </w:trPr>
        <w:tc>
          <w:tcPr>
            <w:tcW w:w="50" w:type="pct"/>
            <w:hideMark/>
          </w:tcPr>
          <w:p w14:paraId="46256006" w14:textId="77777777" w:rsidR="008B7448" w:rsidRDefault="008B7448">
            <w:pPr>
              <w:pStyle w:val="Bibliography"/>
              <w:rPr>
                <w:noProof/>
              </w:rPr>
            </w:pPr>
            <w:r>
              <w:rPr>
                <w:noProof/>
              </w:rPr>
              <w:lastRenderedPageBreak/>
              <w:t xml:space="preserve">[33] </w:t>
            </w:r>
          </w:p>
        </w:tc>
        <w:tc>
          <w:tcPr>
            <w:tcW w:w="0" w:type="auto"/>
            <w:hideMark/>
          </w:tcPr>
          <w:p w14:paraId="22E18E30" w14:textId="77777777" w:rsidR="008B7448" w:rsidRDefault="008B7448">
            <w:pPr>
              <w:pStyle w:val="Bibliography"/>
              <w:rPr>
                <w:noProof/>
              </w:rPr>
            </w:pPr>
            <w:r>
              <w:rPr>
                <w:noProof/>
              </w:rPr>
              <w:t xml:space="preserve">J. E. Bailey, S. Surbhi, P. C. Bell, A. M. Jones, S. Rashed and M. O. Ugwueke, “SafeMed: Using pharmacy technicains in a novel role as community health workers to improve transitions of care,” </w:t>
            </w:r>
            <w:r>
              <w:rPr>
                <w:i/>
                <w:iCs/>
                <w:noProof/>
              </w:rPr>
              <w:t xml:space="preserve">Journal of the American Pharmacists Association, </w:t>
            </w:r>
            <w:r>
              <w:rPr>
                <w:noProof/>
              </w:rPr>
              <w:t xml:space="preserve">vol. 56, no. 1, pp. 73-81, 2016. </w:t>
            </w:r>
          </w:p>
        </w:tc>
      </w:tr>
      <w:tr w:rsidR="008B7448" w14:paraId="3381BBF6" w14:textId="77777777">
        <w:trPr>
          <w:divId w:val="1548030301"/>
          <w:tblCellSpacing w:w="15" w:type="dxa"/>
        </w:trPr>
        <w:tc>
          <w:tcPr>
            <w:tcW w:w="50" w:type="pct"/>
            <w:hideMark/>
          </w:tcPr>
          <w:p w14:paraId="43636FD2" w14:textId="77777777" w:rsidR="008B7448" w:rsidRDefault="008B7448">
            <w:pPr>
              <w:pStyle w:val="Bibliography"/>
              <w:rPr>
                <w:noProof/>
              </w:rPr>
            </w:pPr>
            <w:r>
              <w:rPr>
                <w:noProof/>
              </w:rPr>
              <w:t xml:space="preserve">[34] </w:t>
            </w:r>
          </w:p>
        </w:tc>
        <w:tc>
          <w:tcPr>
            <w:tcW w:w="0" w:type="auto"/>
            <w:hideMark/>
          </w:tcPr>
          <w:p w14:paraId="58C5B370" w14:textId="77777777" w:rsidR="008B7448" w:rsidRDefault="008B7448">
            <w:pPr>
              <w:pStyle w:val="Bibliography"/>
              <w:rPr>
                <w:noProof/>
              </w:rPr>
            </w:pPr>
            <w:r>
              <w:rPr>
                <w:noProof/>
              </w:rPr>
              <w:t>National Institute for Health Research, “Feasibility and Pilot Studies,” National Health Service, London, 2017.</w:t>
            </w:r>
          </w:p>
        </w:tc>
      </w:tr>
      <w:tr w:rsidR="008B7448" w14:paraId="5DC1151E" w14:textId="77777777">
        <w:trPr>
          <w:divId w:val="1548030301"/>
          <w:tblCellSpacing w:w="15" w:type="dxa"/>
        </w:trPr>
        <w:tc>
          <w:tcPr>
            <w:tcW w:w="50" w:type="pct"/>
            <w:hideMark/>
          </w:tcPr>
          <w:p w14:paraId="131491E7" w14:textId="77777777" w:rsidR="008B7448" w:rsidRDefault="008B7448">
            <w:pPr>
              <w:pStyle w:val="Bibliography"/>
              <w:rPr>
                <w:noProof/>
              </w:rPr>
            </w:pPr>
            <w:r>
              <w:rPr>
                <w:noProof/>
              </w:rPr>
              <w:t xml:space="preserve">[35] </w:t>
            </w:r>
          </w:p>
        </w:tc>
        <w:tc>
          <w:tcPr>
            <w:tcW w:w="0" w:type="auto"/>
            <w:hideMark/>
          </w:tcPr>
          <w:p w14:paraId="172E13FA" w14:textId="77777777" w:rsidR="008B7448" w:rsidRDefault="008B7448">
            <w:pPr>
              <w:pStyle w:val="Bibliography"/>
              <w:rPr>
                <w:noProof/>
              </w:rPr>
            </w:pPr>
            <w:r>
              <w:rPr>
                <w:noProof/>
              </w:rPr>
              <w:t xml:space="preserve">P. Criag, P. Dieppe, S. Macintyre, S. Michie, I. Nazareth and M. Petticrew, “Developing and evaluating complex interventions: the new Medical Research Council guidance,” </w:t>
            </w:r>
            <w:r>
              <w:rPr>
                <w:i/>
                <w:iCs/>
                <w:noProof/>
              </w:rPr>
              <w:t xml:space="preserve">British Medical Journal, </w:t>
            </w:r>
            <w:r>
              <w:rPr>
                <w:noProof/>
              </w:rPr>
              <w:t xml:space="preserve">vol. 337, 2008. </w:t>
            </w:r>
          </w:p>
        </w:tc>
      </w:tr>
      <w:tr w:rsidR="008B7448" w14:paraId="7A4DEC6C" w14:textId="77777777">
        <w:trPr>
          <w:divId w:val="1548030301"/>
          <w:tblCellSpacing w:w="15" w:type="dxa"/>
        </w:trPr>
        <w:tc>
          <w:tcPr>
            <w:tcW w:w="50" w:type="pct"/>
            <w:hideMark/>
          </w:tcPr>
          <w:p w14:paraId="5353FBAF" w14:textId="77777777" w:rsidR="008B7448" w:rsidRDefault="008B7448">
            <w:pPr>
              <w:pStyle w:val="Bibliography"/>
              <w:rPr>
                <w:noProof/>
              </w:rPr>
            </w:pPr>
            <w:r>
              <w:rPr>
                <w:noProof/>
              </w:rPr>
              <w:t xml:space="preserve">[36] </w:t>
            </w:r>
          </w:p>
        </w:tc>
        <w:tc>
          <w:tcPr>
            <w:tcW w:w="0" w:type="auto"/>
            <w:hideMark/>
          </w:tcPr>
          <w:p w14:paraId="57EB55F8" w14:textId="77777777" w:rsidR="008B7448" w:rsidRDefault="008B7448">
            <w:pPr>
              <w:pStyle w:val="Bibliography"/>
              <w:rPr>
                <w:noProof/>
              </w:rPr>
            </w:pPr>
            <w:r>
              <w:rPr>
                <w:noProof/>
              </w:rPr>
              <w:t>The Pharmaceutical Benefits Scheme , “2017 Community Pharmacy Stakeholder Forum: Topic 2: Outcomes of the Pharmacy Programs Cost Effectiveness Review,” 2017. [Online]. Available: http://www.pbs.gov.au/info/general/sixth-cpa-pages/community-pharmacy-stakeholder-forum#forum2017 . [Accessed 2019].</w:t>
            </w:r>
          </w:p>
        </w:tc>
      </w:tr>
      <w:tr w:rsidR="008B7448" w14:paraId="435F8049" w14:textId="77777777">
        <w:trPr>
          <w:divId w:val="1548030301"/>
          <w:tblCellSpacing w:w="15" w:type="dxa"/>
        </w:trPr>
        <w:tc>
          <w:tcPr>
            <w:tcW w:w="50" w:type="pct"/>
            <w:hideMark/>
          </w:tcPr>
          <w:p w14:paraId="1A73E991" w14:textId="77777777" w:rsidR="008B7448" w:rsidRDefault="008B7448">
            <w:pPr>
              <w:pStyle w:val="Bibliography"/>
              <w:rPr>
                <w:noProof/>
              </w:rPr>
            </w:pPr>
            <w:r>
              <w:rPr>
                <w:noProof/>
              </w:rPr>
              <w:t xml:space="preserve">[37] </w:t>
            </w:r>
          </w:p>
        </w:tc>
        <w:tc>
          <w:tcPr>
            <w:tcW w:w="0" w:type="auto"/>
            <w:hideMark/>
          </w:tcPr>
          <w:p w14:paraId="6BD41CBD" w14:textId="77777777" w:rsidR="008B7448" w:rsidRDefault="008B7448">
            <w:pPr>
              <w:pStyle w:val="Bibliography"/>
              <w:rPr>
                <w:noProof/>
              </w:rPr>
            </w:pPr>
            <w:r>
              <w:rPr>
                <w:noProof/>
              </w:rPr>
              <w:t>Medical Services Advisory Committee, “MEDICAL SERVICES ADVISORY COMMITTEE (MSAC) MINUTES - November 2016,” Medical Services Advisory Committee , Canberra, 2016.</w:t>
            </w:r>
          </w:p>
        </w:tc>
      </w:tr>
      <w:tr w:rsidR="008B7448" w14:paraId="4985258D" w14:textId="77777777">
        <w:trPr>
          <w:divId w:val="1548030301"/>
          <w:tblCellSpacing w:w="15" w:type="dxa"/>
        </w:trPr>
        <w:tc>
          <w:tcPr>
            <w:tcW w:w="50" w:type="pct"/>
            <w:hideMark/>
          </w:tcPr>
          <w:p w14:paraId="41C953A6" w14:textId="77777777" w:rsidR="008B7448" w:rsidRDefault="008B7448">
            <w:pPr>
              <w:pStyle w:val="Bibliography"/>
              <w:rPr>
                <w:noProof/>
              </w:rPr>
            </w:pPr>
            <w:r>
              <w:rPr>
                <w:noProof/>
              </w:rPr>
              <w:t xml:space="preserve">[38] </w:t>
            </w:r>
          </w:p>
        </w:tc>
        <w:tc>
          <w:tcPr>
            <w:tcW w:w="0" w:type="auto"/>
            <w:hideMark/>
          </w:tcPr>
          <w:p w14:paraId="639AED0E" w14:textId="77777777" w:rsidR="008B7448" w:rsidRDefault="008B7448">
            <w:pPr>
              <w:pStyle w:val="Bibliography"/>
              <w:rPr>
                <w:noProof/>
              </w:rPr>
            </w:pPr>
            <w:r>
              <w:rPr>
                <w:noProof/>
              </w:rPr>
              <w:t>Australian Government Department of Health, “Supporting pharmacist delivery of primary health care serivces through the Pharmacy Trial Program: Discussion Paper, page10,” Canberra, 2016.</w:t>
            </w:r>
          </w:p>
        </w:tc>
      </w:tr>
      <w:tr w:rsidR="008B7448" w14:paraId="0F61C494" w14:textId="77777777">
        <w:trPr>
          <w:divId w:val="1548030301"/>
          <w:tblCellSpacing w:w="15" w:type="dxa"/>
        </w:trPr>
        <w:tc>
          <w:tcPr>
            <w:tcW w:w="50" w:type="pct"/>
            <w:hideMark/>
          </w:tcPr>
          <w:p w14:paraId="13FE688B" w14:textId="77777777" w:rsidR="008B7448" w:rsidRDefault="008B7448">
            <w:pPr>
              <w:pStyle w:val="Bibliography"/>
              <w:rPr>
                <w:noProof/>
              </w:rPr>
            </w:pPr>
            <w:r>
              <w:rPr>
                <w:noProof/>
              </w:rPr>
              <w:t xml:space="preserve">[39] </w:t>
            </w:r>
          </w:p>
        </w:tc>
        <w:tc>
          <w:tcPr>
            <w:tcW w:w="0" w:type="auto"/>
            <w:hideMark/>
          </w:tcPr>
          <w:p w14:paraId="21FD5991" w14:textId="77777777" w:rsidR="008B7448" w:rsidRDefault="008B7448">
            <w:pPr>
              <w:pStyle w:val="Bibliography"/>
              <w:rPr>
                <w:noProof/>
              </w:rPr>
            </w:pPr>
            <w:r>
              <w:rPr>
                <w:noProof/>
              </w:rPr>
              <w:t>Australian Government Department of Health, “Pharmacy Trial Program: Principles,” 2016. [Online]. Available: https://www.health.gov.au/internet/main/publishing.nsf/Content/pharmacy-trial-programme. [Accessed 2019].</w:t>
            </w:r>
          </w:p>
        </w:tc>
      </w:tr>
      <w:tr w:rsidR="008B7448" w14:paraId="6F5B7736" w14:textId="77777777">
        <w:trPr>
          <w:divId w:val="1548030301"/>
          <w:tblCellSpacing w:w="15" w:type="dxa"/>
        </w:trPr>
        <w:tc>
          <w:tcPr>
            <w:tcW w:w="50" w:type="pct"/>
            <w:hideMark/>
          </w:tcPr>
          <w:p w14:paraId="34BF1E62" w14:textId="77777777" w:rsidR="008B7448" w:rsidRDefault="008B7448">
            <w:pPr>
              <w:pStyle w:val="Bibliography"/>
              <w:rPr>
                <w:noProof/>
              </w:rPr>
            </w:pPr>
            <w:r>
              <w:rPr>
                <w:noProof/>
              </w:rPr>
              <w:t xml:space="preserve">[40] </w:t>
            </w:r>
          </w:p>
        </w:tc>
        <w:tc>
          <w:tcPr>
            <w:tcW w:w="0" w:type="auto"/>
            <w:hideMark/>
          </w:tcPr>
          <w:p w14:paraId="22FD6D6B" w14:textId="77777777" w:rsidR="008B7448" w:rsidRDefault="008B7448">
            <w:pPr>
              <w:pStyle w:val="Bibliography"/>
              <w:rPr>
                <w:noProof/>
              </w:rPr>
            </w:pPr>
            <w:r>
              <w:rPr>
                <w:noProof/>
              </w:rPr>
              <w:t>Australian Government Department of Health, “Pharmacy Trial Program Trials Advisory Group: Terms of Reference,” Canberra, 2016.</w:t>
            </w:r>
          </w:p>
        </w:tc>
      </w:tr>
      <w:tr w:rsidR="008B7448" w14:paraId="34C1C9BB" w14:textId="77777777">
        <w:trPr>
          <w:divId w:val="1548030301"/>
          <w:tblCellSpacing w:w="15" w:type="dxa"/>
        </w:trPr>
        <w:tc>
          <w:tcPr>
            <w:tcW w:w="50" w:type="pct"/>
            <w:hideMark/>
          </w:tcPr>
          <w:p w14:paraId="22F94E8D" w14:textId="77777777" w:rsidR="008B7448" w:rsidRDefault="008B7448">
            <w:pPr>
              <w:pStyle w:val="Bibliography"/>
              <w:rPr>
                <w:noProof/>
              </w:rPr>
            </w:pPr>
            <w:r>
              <w:rPr>
                <w:noProof/>
              </w:rPr>
              <w:t xml:space="preserve">[41] </w:t>
            </w:r>
          </w:p>
        </w:tc>
        <w:tc>
          <w:tcPr>
            <w:tcW w:w="0" w:type="auto"/>
            <w:hideMark/>
          </w:tcPr>
          <w:p w14:paraId="51473B7B" w14:textId="77777777" w:rsidR="008B7448" w:rsidRDefault="008B7448">
            <w:pPr>
              <w:pStyle w:val="Bibliography"/>
              <w:rPr>
                <w:noProof/>
              </w:rPr>
            </w:pPr>
            <w:r>
              <w:rPr>
                <w:noProof/>
              </w:rPr>
              <w:t>Australian Government Department of Health, “Pharmacy Trial Program Tranche 1 Grant Guidelines,” Australian Government Department of Health, Canberra, 2016.</w:t>
            </w:r>
          </w:p>
        </w:tc>
      </w:tr>
      <w:tr w:rsidR="008B7448" w14:paraId="6238A27D" w14:textId="77777777">
        <w:trPr>
          <w:divId w:val="1548030301"/>
          <w:tblCellSpacing w:w="15" w:type="dxa"/>
        </w:trPr>
        <w:tc>
          <w:tcPr>
            <w:tcW w:w="50" w:type="pct"/>
            <w:hideMark/>
          </w:tcPr>
          <w:p w14:paraId="0964E1EE" w14:textId="77777777" w:rsidR="008B7448" w:rsidRDefault="008B7448">
            <w:pPr>
              <w:pStyle w:val="Bibliography"/>
              <w:rPr>
                <w:noProof/>
              </w:rPr>
            </w:pPr>
            <w:r>
              <w:rPr>
                <w:noProof/>
              </w:rPr>
              <w:t xml:space="preserve">[42] </w:t>
            </w:r>
          </w:p>
        </w:tc>
        <w:tc>
          <w:tcPr>
            <w:tcW w:w="0" w:type="auto"/>
            <w:hideMark/>
          </w:tcPr>
          <w:p w14:paraId="7E3C1683" w14:textId="77777777" w:rsidR="008B7448" w:rsidRDefault="008B7448">
            <w:pPr>
              <w:pStyle w:val="Bibliography"/>
              <w:rPr>
                <w:noProof/>
              </w:rPr>
            </w:pPr>
            <w:r>
              <w:rPr>
                <w:noProof/>
              </w:rPr>
              <w:t>Australian Government Department of Health, “Pharmacy Trial Program Tranche 3 Grant Guidelines - Chronic Pain MedsCheck,” Australian Government Department of Health, Canberra, 2018.</w:t>
            </w:r>
          </w:p>
        </w:tc>
      </w:tr>
      <w:tr w:rsidR="008B7448" w14:paraId="1B71A3C2" w14:textId="77777777">
        <w:trPr>
          <w:divId w:val="1548030301"/>
          <w:tblCellSpacing w:w="15" w:type="dxa"/>
        </w:trPr>
        <w:tc>
          <w:tcPr>
            <w:tcW w:w="50" w:type="pct"/>
            <w:hideMark/>
          </w:tcPr>
          <w:p w14:paraId="31BE7BD7" w14:textId="77777777" w:rsidR="008B7448" w:rsidRDefault="008B7448">
            <w:pPr>
              <w:pStyle w:val="Bibliography"/>
              <w:rPr>
                <w:noProof/>
              </w:rPr>
            </w:pPr>
            <w:r>
              <w:rPr>
                <w:noProof/>
              </w:rPr>
              <w:t xml:space="preserve">[43] </w:t>
            </w:r>
          </w:p>
        </w:tc>
        <w:tc>
          <w:tcPr>
            <w:tcW w:w="0" w:type="auto"/>
            <w:hideMark/>
          </w:tcPr>
          <w:p w14:paraId="73A1A631" w14:textId="77777777" w:rsidR="008B7448" w:rsidRDefault="008B7448">
            <w:pPr>
              <w:pStyle w:val="Bibliography"/>
              <w:rPr>
                <w:noProof/>
              </w:rPr>
            </w:pPr>
            <w:r>
              <w:rPr>
                <w:noProof/>
              </w:rPr>
              <w:t>Australian Government Department of Health, “Pharmacy Trial Program Tranche 3 Grant Guidelines - Mental Health Support in Community Pharmacy,” Australian Government Department of Health, Canberra, 2018.</w:t>
            </w:r>
          </w:p>
        </w:tc>
      </w:tr>
      <w:tr w:rsidR="008B7448" w14:paraId="133E456E" w14:textId="77777777">
        <w:trPr>
          <w:divId w:val="1548030301"/>
          <w:tblCellSpacing w:w="15" w:type="dxa"/>
        </w:trPr>
        <w:tc>
          <w:tcPr>
            <w:tcW w:w="50" w:type="pct"/>
            <w:hideMark/>
          </w:tcPr>
          <w:p w14:paraId="71A409FD" w14:textId="77777777" w:rsidR="008B7448" w:rsidRDefault="008B7448">
            <w:pPr>
              <w:pStyle w:val="Bibliography"/>
              <w:rPr>
                <w:noProof/>
              </w:rPr>
            </w:pPr>
            <w:r>
              <w:rPr>
                <w:noProof/>
              </w:rPr>
              <w:t xml:space="preserve">[44] </w:t>
            </w:r>
          </w:p>
        </w:tc>
        <w:tc>
          <w:tcPr>
            <w:tcW w:w="0" w:type="auto"/>
            <w:hideMark/>
          </w:tcPr>
          <w:p w14:paraId="3D2017CF" w14:textId="77777777" w:rsidR="008B7448" w:rsidRDefault="008B7448">
            <w:pPr>
              <w:pStyle w:val="Bibliography"/>
              <w:rPr>
                <w:noProof/>
              </w:rPr>
            </w:pPr>
            <w:r>
              <w:rPr>
                <w:noProof/>
              </w:rPr>
              <w:t xml:space="preserve">PTP Tranche 2 Assessment Team, </w:t>
            </w:r>
            <w:r>
              <w:rPr>
                <w:i/>
                <w:iCs/>
                <w:noProof/>
              </w:rPr>
              <w:t xml:space="preserve">PTP Tranche 2 assessment documentation, Master List, provided by the Department of Health, </w:t>
            </w:r>
            <w:r>
              <w:rPr>
                <w:noProof/>
              </w:rPr>
              <w:t xml:space="preserve">2017. </w:t>
            </w:r>
          </w:p>
        </w:tc>
      </w:tr>
      <w:tr w:rsidR="008B7448" w14:paraId="1749CC9E" w14:textId="77777777">
        <w:trPr>
          <w:divId w:val="1548030301"/>
          <w:tblCellSpacing w:w="15" w:type="dxa"/>
        </w:trPr>
        <w:tc>
          <w:tcPr>
            <w:tcW w:w="50" w:type="pct"/>
            <w:hideMark/>
          </w:tcPr>
          <w:p w14:paraId="56FA4FA5" w14:textId="77777777" w:rsidR="008B7448" w:rsidRDefault="008B7448">
            <w:pPr>
              <w:pStyle w:val="Bibliography"/>
              <w:rPr>
                <w:noProof/>
              </w:rPr>
            </w:pPr>
            <w:r>
              <w:rPr>
                <w:noProof/>
              </w:rPr>
              <w:t xml:space="preserve">[45] </w:t>
            </w:r>
          </w:p>
        </w:tc>
        <w:tc>
          <w:tcPr>
            <w:tcW w:w="0" w:type="auto"/>
            <w:hideMark/>
          </w:tcPr>
          <w:p w14:paraId="5BCE601B" w14:textId="77777777" w:rsidR="008B7448" w:rsidRDefault="008B7448">
            <w:pPr>
              <w:pStyle w:val="Bibliography"/>
              <w:rPr>
                <w:noProof/>
              </w:rPr>
            </w:pPr>
            <w:r>
              <w:rPr>
                <w:noProof/>
              </w:rPr>
              <w:t>The Auditor-General, “ANAO Report: No.25 Administration of the Fifth Community Pharmacy Agreement,” Australian National Audit Office, Canberra, 2014-15.</w:t>
            </w:r>
          </w:p>
        </w:tc>
      </w:tr>
      <w:tr w:rsidR="008B7448" w14:paraId="4F92EAB3" w14:textId="77777777">
        <w:trPr>
          <w:divId w:val="1548030301"/>
          <w:tblCellSpacing w:w="15" w:type="dxa"/>
        </w:trPr>
        <w:tc>
          <w:tcPr>
            <w:tcW w:w="50" w:type="pct"/>
            <w:hideMark/>
          </w:tcPr>
          <w:p w14:paraId="053B96F4" w14:textId="77777777" w:rsidR="008B7448" w:rsidRDefault="008B7448">
            <w:pPr>
              <w:pStyle w:val="Bibliography"/>
              <w:rPr>
                <w:noProof/>
              </w:rPr>
            </w:pPr>
            <w:r>
              <w:rPr>
                <w:noProof/>
              </w:rPr>
              <w:t xml:space="preserve">[46] </w:t>
            </w:r>
          </w:p>
        </w:tc>
        <w:tc>
          <w:tcPr>
            <w:tcW w:w="0" w:type="auto"/>
            <w:hideMark/>
          </w:tcPr>
          <w:p w14:paraId="5A1AC20A" w14:textId="77777777" w:rsidR="008B7448" w:rsidRDefault="008B7448">
            <w:pPr>
              <w:pStyle w:val="Bibliography"/>
              <w:rPr>
                <w:noProof/>
              </w:rPr>
            </w:pPr>
            <w:r>
              <w:rPr>
                <w:noProof/>
              </w:rPr>
              <w:t>Australian Government Department of Finance, “Commonwealth Grant Rules and Guidelines,” Australian Government, Canberra, 2017.</w:t>
            </w:r>
          </w:p>
        </w:tc>
      </w:tr>
      <w:tr w:rsidR="008B7448" w14:paraId="106603D3" w14:textId="77777777">
        <w:trPr>
          <w:divId w:val="1548030301"/>
          <w:tblCellSpacing w:w="15" w:type="dxa"/>
        </w:trPr>
        <w:tc>
          <w:tcPr>
            <w:tcW w:w="50" w:type="pct"/>
            <w:hideMark/>
          </w:tcPr>
          <w:p w14:paraId="5242B289" w14:textId="77777777" w:rsidR="008B7448" w:rsidRDefault="008B7448">
            <w:pPr>
              <w:pStyle w:val="Bibliography"/>
              <w:rPr>
                <w:noProof/>
              </w:rPr>
            </w:pPr>
            <w:r>
              <w:rPr>
                <w:noProof/>
              </w:rPr>
              <w:t xml:space="preserve">[47] </w:t>
            </w:r>
          </w:p>
        </w:tc>
        <w:tc>
          <w:tcPr>
            <w:tcW w:w="0" w:type="auto"/>
            <w:hideMark/>
          </w:tcPr>
          <w:p w14:paraId="63C825FB" w14:textId="77777777" w:rsidR="008B7448" w:rsidRDefault="008B7448">
            <w:pPr>
              <w:pStyle w:val="Bibliography"/>
              <w:rPr>
                <w:noProof/>
              </w:rPr>
            </w:pPr>
            <w:r>
              <w:rPr>
                <w:noProof/>
              </w:rPr>
              <w:t>Australian Government Department of Finance, “Commonwealth Procurement Rules,” Commonwealth Government, Canberra, 2014.</w:t>
            </w:r>
          </w:p>
        </w:tc>
      </w:tr>
      <w:tr w:rsidR="008B7448" w14:paraId="11F9AEF2" w14:textId="77777777">
        <w:trPr>
          <w:divId w:val="1548030301"/>
          <w:tblCellSpacing w:w="15" w:type="dxa"/>
        </w:trPr>
        <w:tc>
          <w:tcPr>
            <w:tcW w:w="50" w:type="pct"/>
            <w:hideMark/>
          </w:tcPr>
          <w:p w14:paraId="34AD6FDF" w14:textId="77777777" w:rsidR="008B7448" w:rsidRDefault="008B7448">
            <w:pPr>
              <w:pStyle w:val="Bibliography"/>
              <w:rPr>
                <w:noProof/>
              </w:rPr>
            </w:pPr>
            <w:r>
              <w:rPr>
                <w:noProof/>
              </w:rPr>
              <w:t xml:space="preserve">[48] </w:t>
            </w:r>
          </w:p>
        </w:tc>
        <w:tc>
          <w:tcPr>
            <w:tcW w:w="0" w:type="auto"/>
            <w:hideMark/>
          </w:tcPr>
          <w:p w14:paraId="7CA99D04" w14:textId="77777777" w:rsidR="008B7448" w:rsidRDefault="008B7448">
            <w:pPr>
              <w:pStyle w:val="Bibliography"/>
              <w:rPr>
                <w:noProof/>
              </w:rPr>
            </w:pPr>
            <w:r>
              <w:rPr>
                <w:noProof/>
              </w:rPr>
              <w:t>National Health and Medical Reserach Council , “Levels of Evidence and Grades for Recommendations for Developers of Clinical Practice Guidelines,” 2009.</w:t>
            </w:r>
          </w:p>
        </w:tc>
      </w:tr>
      <w:tr w:rsidR="008B7448" w14:paraId="32C27407" w14:textId="77777777">
        <w:trPr>
          <w:divId w:val="1548030301"/>
          <w:tblCellSpacing w:w="15" w:type="dxa"/>
        </w:trPr>
        <w:tc>
          <w:tcPr>
            <w:tcW w:w="50" w:type="pct"/>
            <w:hideMark/>
          </w:tcPr>
          <w:p w14:paraId="32B94392" w14:textId="77777777" w:rsidR="008B7448" w:rsidRDefault="008B7448">
            <w:pPr>
              <w:pStyle w:val="Bibliography"/>
              <w:rPr>
                <w:noProof/>
              </w:rPr>
            </w:pPr>
            <w:r>
              <w:rPr>
                <w:noProof/>
              </w:rPr>
              <w:t xml:space="preserve">[49] </w:t>
            </w:r>
          </w:p>
        </w:tc>
        <w:tc>
          <w:tcPr>
            <w:tcW w:w="0" w:type="auto"/>
            <w:hideMark/>
          </w:tcPr>
          <w:p w14:paraId="086200B9" w14:textId="77777777" w:rsidR="008B7448" w:rsidRDefault="008B7448">
            <w:pPr>
              <w:pStyle w:val="Bibliography"/>
              <w:rPr>
                <w:noProof/>
              </w:rPr>
            </w:pPr>
            <w:r>
              <w:rPr>
                <w:noProof/>
              </w:rPr>
              <w:t>Australian Digital Health Agency, “My Health Record: ePIP,” [Online]. Available: https://www.myhealthrecord.gov.au/for-healthcare-professionals/practice-incentives-program. [Accessed 2019].</w:t>
            </w:r>
          </w:p>
        </w:tc>
      </w:tr>
      <w:tr w:rsidR="008B7448" w14:paraId="4455C6E4" w14:textId="77777777">
        <w:trPr>
          <w:divId w:val="1548030301"/>
          <w:tblCellSpacing w:w="15" w:type="dxa"/>
        </w:trPr>
        <w:tc>
          <w:tcPr>
            <w:tcW w:w="50" w:type="pct"/>
            <w:hideMark/>
          </w:tcPr>
          <w:p w14:paraId="68E9FA92" w14:textId="77777777" w:rsidR="008B7448" w:rsidRDefault="008B7448">
            <w:pPr>
              <w:pStyle w:val="Bibliography"/>
              <w:rPr>
                <w:noProof/>
              </w:rPr>
            </w:pPr>
            <w:r>
              <w:rPr>
                <w:noProof/>
              </w:rPr>
              <w:t xml:space="preserve">[50] </w:t>
            </w:r>
          </w:p>
        </w:tc>
        <w:tc>
          <w:tcPr>
            <w:tcW w:w="0" w:type="auto"/>
            <w:hideMark/>
          </w:tcPr>
          <w:p w14:paraId="733E9E8F" w14:textId="77777777" w:rsidR="008B7448" w:rsidRDefault="008B7448">
            <w:pPr>
              <w:pStyle w:val="Bibliography"/>
              <w:rPr>
                <w:noProof/>
              </w:rPr>
            </w:pPr>
            <w:r>
              <w:rPr>
                <w:noProof/>
              </w:rPr>
              <w:t>National Health and Medical Research Council, “NHMRC Grants Funding 2000 - 2016 Summary Tables,” NHMRC, Canberra, 2017.</w:t>
            </w:r>
          </w:p>
        </w:tc>
      </w:tr>
      <w:tr w:rsidR="008B7448" w14:paraId="7E873840" w14:textId="77777777">
        <w:trPr>
          <w:divId w:val="1548030301"/>
          <w:tblCellSpacing w:w="15" w:type="dxa"/>
        </w:trPr>
        <w:tc>
          <w:tcPr>
            <w:tcW w:w="50" w:type="pct"/>
            <w:hideMark/>
          </w:tcPr>
          <w:p w14:paraId="29BBE4E2" w14:textId="77777777" w:rsidR="008B7448" w:rsidRDefault="008B7448">
            <w:pPr>
              <w:pStyle w:val="Bibliography"/>
              <w:rPr>
                <w:noProof/>
              </w:rPr>
            </w:pPr>
            <w:r>
              <w:rPr>
                <w:noProof/>
              </w:rPr>
              <w:t xml:space="preserve">[51] </w:t>
            </w:r>
          </w:p>
        </w:tc>
        <w:tc>
          <w:tcPr>
            <w:tcW w:w="0" w:type="auto"/>
            <w:hideMark/>
          </w:tcPr>
          <w:p w14:paraId="28487397" w14:textId="77777777" w:rsidR="008B7448" w:rsidRDefault="008B7448">
            <w:pPr>
              <w:pStyle w:val="Bibliography"/>
              <w:rPr>
                <w:noProof/>
              </w:rPr>
            </w:pPr>
            <w:r>
              <w:rPr>
                <w:noProof/>
              </w:rPr>
              <w:t>National Health and Medical Research Council, “Funding rules involving Aboriginal and Torres Strait Islander People,” [Online]. Available: https://www.nhmrc.gov.au/funding-rules-involving-aboriginal-and-torres-strait-islander-people. [Accessed 2019].</w:t>
            </w:r>
          </w:p>
        </w:tc>
      </w:tr>
      <w:tr w:rsidR="008B7448" w14:paraId="584B1A87" w14:textId="77777777">
        <w:trPr>
          <w:divId w:val="1548030301"/>
          <w:tblCellSpacing w:w="15" w:type="dxa"/>
        </w:trPr>
        <w:tc>
          <w:tcPr>
            <w:tcW w:w="50" w:type="pct"/>
            <w:hideMark/>
          </w:tcPr>
          <w:p w14:paraId="2485EBA2" w14:textId="77777777" w:rsidR="008B7448" w:rsidRDefault="008B7448">
            <w:pPr>
              <w:pStyle w:val="Bibliography"/>
              <w:rPr>
                <w:noProof/>
              </w:rPr>
            </w:pPr>
            <w:r>
              <w:rPr>
                <w:noProof/>
              </w:rPr>
              <w:lastRenderedPageBreak/>
              <w:t xml:space="preserve">[52] </w:t>
            </w:r>
          </w:p>
        </w:tc>
        <w:tc>
          <w:tcPr>
            <w:tcW w:w="0" w:type="auto"/>
            <w:hideMark/>
          </w:tcPr>
          <w:p w14:paraId="40AD6D69" w14:textId="77777777" w:rsidR="008B7448" w:rsidRDefault="008B7448">
            <w:pPr>
              <w:pStyle w:val="Bibliography"/>
              <w:rPr>
                <w:noProof/>
              </w:rPr>
            </w:pPr>
            <w:r>
              <w:rPr>
                <w:noProof/>
              </w:rPr>
              <w:t>Australian Government Medical Research Future Fund, “Research Mission,” [Online]. Available: https://beta.health.gov.au/initiatives-and-programs/medical-research-future-fund/about-the-mrff/research-missions. [Accessed 2019].</w:t>
            </w:r>
          </w:p>
        </w:tc>
      </w:tr>
      <w:tr w:rsidR="008B7448" w14:paraId="51AC7F2B" w14:textId="77777777">
        <w:trPr>
          <w:divId w:val="1548030301"/>
          <w:tblCellSpacing w:w="15" w:type="dxa"/>
        </w:trPr>
        <w:tc>
          <w:tcPr>
            <w:tcW w:w="50" w:type="pct"/>
            <w:hideMark/>
          </w:tcPr>
          <w:p w14:paraId="54458E86" w14:textId="77777777" w:rsidR="008B7448" w:rsidRDefault="008B7448">
            <w:pPr>
              <w:pStyle w:val="Bibliography"/>
              <w:rPr>
                <w:noProof/>
              </w:rPr>
            </w:pPr>
            <w:r>
              <w:rPr>
                <w:noProof/>
              </w:rPr>
              <w:t xml:space="preserve">[53] </w:t>
            </w:r>
          </w:p>
        </w:tc>
        <w:tc>
          <w:tcPr>
            <w:tcW w:w="0" w:type="auto"/>
            <w:hideMark/>
          </w:tcPr>
          <w:p w14:paraId="0B799096" w14:textId="77777777" w:rsidR="008B7448" w:rsidRDefault="008B7448">
            <w:pPr>
              <w:pStyle w:val="Bibliography"/>
              <w:rPr>
                <w:noProof/>
              </w:rPr>
            </w:pPr>
            <w:r>
              <w:rPr>
                <w:noProof/>
              </w:rPr>
              <w:t>Australian Government Department of Health, “Pharmacy Trial Programme: Summary report of the stakeholder consultation forum held on 26 October 2015,” Department of Health, Canberra, 2015.</w:t>
            </w:r>
          </w:p>
        </w:tc>
      </w:tr>
      <w:tr w:rsidR="008B7448" w14:paraId="592274B0" w14:textId="77777777">
        <w:trPr>
          <w:divId w:val="1548030301"/>
          <w:tblCellSpacing w:w="15" w:type="dxa"/>
        </w:trPr>
        <w:tc>
          <w:tcPr>
            <w:tcW w:w="50" w:type="pct"/>
            <w:hideMark/>
          </w:tcPr>
          <w:p w14:paraId="619762B2" w14:textId="77777777" w:rsidR="008B7448" w:rsidRDefault="008B7448">
            <w:pPr>
              <w:pStyle w:val="Bibliography"/>
              <w:rPr>
                <w:noProof/>
              </w:rPr>
            </w:pPr>
            <w:r>
              <w:rPr>
                <w:noProof/>
              </w:rPr>
              <w:t xml:space="preserve">[54] </w:t>
            </w:r>
          </w:p>
        </w:tc>
        <w:tc>
          <w:tcPr>
            <w:tcW w:w="0" w:type="auto"/>
            <w:hideMark/>
          </w:tcPr>
          <w:p w14:paraId="07B22AD9" w14:textId="77777777" w:rsidR="008B7448" w:rsidRDefault="008B7448">
            <w:pPr>
              <w:pStyle w:val="Bibliography"/>
              <w:rPr>
                <w:noProof/>
              </w:rPr>
            </w:pPr>
            <w:r>
              <w:rPr>
                <w:noProof/>
              </w:rPr>
              <w:t>Australian Government Department of Health, “Pharmacy Trial Program,” 27 September 2018. [Online]. Available: http://www.health.gov.au/internet/main/publishing.nsf/Content/pharmacy-trial-programme#AdvisoryGroup. [Accessed 22 March 2019].</w:t>
            </w:r>
          </w:p>
        </w:tc>
      </w:tr>
      <w:tr w:rsidR="008B7448" w14:paraId="0F28D7F0" w14:textId="77777777">
        <w:trPr>
          <w:divId w:val="1548030301"/>
          <w:tblCellSpacing w:w="15" w:type="dxa"/>
        </w:trPr>
        <w:tc>
          <w:tcPr>
            <w:tcW w:w="50" w:type="pct"/>
            <w:hideMark/>
          </w:tcPr>
          <w:p w14:paraId="19E36413" w14:textId="77777777" w:rsidR="008B7448" w:rsidRDefault="008B7448">
            <w:pPr>
              <w:pStyle w:val="Bibliography"/>
              <w:rPr>
                <w:noProof/>
              </w:rPr>
            </w:pPr>
            <w:r>
              <w:rPr>
                <w:noProof/>
              </w:rPr>
              <w:t xml:space="preserve">[55] </w:t>
            </w:r>
          </w:p>
        </w:tc>
        <w:tc>
          <w:tcPr>
            <w:tcW w:w="0" w:type="auto"/>
            <w:hideMark/>
          </w:tcPr>
          <w:p w14:paraId="4382E21A" w14:textId="77777777" w:rsidR="008B7448" w:rsidRDefault="008B7448">
            <w:pPr>
              <w:pStyle w:val="Bibliography"/>
              <w:rPr>
                <w:noProof/>
              </w:rPr>
            </w:pPr>
            <w:r>
              <w:rPr>
                <w:noProof/>
              </w:rPr>
              <w:t>Australian Government Department of Health Pharmacy Trial Program, “Trial Advisory Group,” [Online]. Available: https://www.health.gov.au/internet/main/publishing.nsf/Content/pharmacy-trial-programme-tag. [Accessed 2019].</w:t>
            </w:r>
          </w:p>
        </w:tc>
      </w:tr>
      <w:tr w:rsidR="008B7448" w14:paraId="5387DE60" w14:textId="77777777">
        <w:trPr>
          <w:divId w:val="1548030301"/>
          <w:tblCellSpacing w:w="15" w:type="dxa"/>
        </w:trPr>
        <w:tc>
          <w:tcPr>
            <w:tcW w:w="50" w:type="pct"/>
            <w:hideMark/>
          </w:tcPr>
          <w:p w14:paraId="2CF0D985" w14:textId="77777777" w:rsidR="008B7448" w:rsidRDefault="008B7448">
            <w:pPr>
              <w:pStyle w:val="Bibliography"/>
              <w:rPr>
                <w:noProof/>
              </w:rPr>
            </w:pPr>
            <w:r>
              <w:rPr>
                <w:noProof/>
              </w:rPr>
              <w:t xml:space="preserve">[56] </w:t>
            </w:r>
          </w:p>
        </w:tc>
        <w:tc>
          <w:tcPr>
            <w:tcW w:w="0" w:type="auto"/>
            <w:hideMark/>
          </w:tcPr>
          <w:p w14:paraId="2ED59A29" w14:textId="77777777" w:rsidR="008B7448" w:rsidRDefault="008B7448">
            <w:pPr>
              <w:pStyle w:val="Bibliography"/>
              <w:rPr>
                <w:noProof/>
              </w:rPr>
            </w:pPr>
            <w:r>
              <w:rPr>
                <w:noProof/>
              </w:rPr>
              <w:t>National Health and Medical Research Council, “Development Grant Scheme 2019 Guidelines,” NHMRC, Canberra, 2018.</w:t>
            </w:r>
          </w:p>
        </w:tc>
      </w:tr>
      <w:tr w:rsidR="008B7448" w14:paraId="3ED30D98" w14:textId="77777777">
        <w:trPr>
          <w:divId w:val="1548030301"/>
          <w:tblCellSpacing w:w="15" w:type="dxa"/>
        </w:trPr>
        <w:tc>
          <w:tcPr>
            <w:tcW w:w="50" w:type="pct"/>
            <w:hideMark/>
          </w:tcPr>
          <w:p w14:paraId="1E6AEDA8" w14:textId="77777777" w:rsidR="008B7448" w:rsidRDefault="008B7448">
            <w:pPr>
              <w:pStyle w:val="Bibliography"/>
              <w:rPr>
                <w:noProof/>
              </w:rPr>
            </w:pPr>
            <w:r>
              <w:rPr>
                <w:noProof/>
              </w:rPr>
              <w:t xml:space="preserve">[57] </w:t>
            </w:r>
          </w:p>
        </w:tc>
        <w:tc>
          <w:tcPr>
            <w:tcW w:w="0" w:type="auto"/>
            <w:hideMark/>
          </w:tcPr>
          <w:p w14:paraId="072C0546" w14:textId="77777777" w:rsidR="008B7448" w:rsidRDefault="008B7448">
            <w:pPr>
              <w:pStyle w:val="Bibliography"/>
              <w:rPr>
                <w:noProof/>
              </w:rPr>
            </w:pPr>
            <w:r>
              <w:rPr>
                <w:noProof/>
              </w:rPr>
              <w:t>Australian Government Department of Finance, “Commonwealth Grants Rules and Guidelines 2017 Information Sheet,” Commonwealth Government of Australia, Canberra, 2017.</w:t>
            </w:r>
          </w:p>
        </w:tc>
      </w:tr>
      <w:tr w:rsidR="008B7448" w14:paraId="5E8264C3" w14:textId="77777777">
        <w:trPr>
          <w:divId w:val="1548030301"/>
          <w:tblCellSpacing w:w="15" w:type="dxa"/>
        </w:trPr>
        <w:tc>
          <w:tcPr>
            <w:tcW w:w="50" w:type="pct"/>
            <w:hideMark/>
          </w:tcPr>
          <w:p w14:paraId="41BD5EC7" w14:textId="77777777" w:rsidR="008B7448" w:rsidRDefault="008B7448">
            <w:pPr>
              <w:pStyle w:val="Bibliography"/>
              <w:rPr>
                <w:noProof/>
              </w:rPr>
            </w:pPr>
            <w:r>
              <w:rPr>
                <w:noProof/>
              </w:rPr>
              <w:t xml:space="preserve">[58] </w:t>
            </w:r>
          </w:p>
        </w:tc>
        <w:tc>
          <w:tcPr>
            <w:tcW w:w="0" w:type="auto"/>
            <w:hideMark/>
          </w:tcPr>
          <w:p w14:paraId="18E9DAFA" w14:textId="77777777" w:rsidR="008B7448" w:rsidRDefault="008B7448">
            <w:pPr>
              <w:pStyle w:val="Bibliography"/>
              <w:rPr>
                <w:noProof/>
              </w:rPr>
            </w:pPr>
            <w:r>
              <w:rPr>
                <w:noProof/>
              </w:rPr>
              <w:t>National Health and Medical Research Council, “NHMRC funding averages from 2000 to 2016,” [Online]. Available: https://www.nhmrc.gov.au/funding/data-research/research-funding-data. [Accessed 2019].</w:t>
            </w:r>
          </w:p>
        </w:tc>
      </w:tr>
      <w:tr w:rsidR="008B7448" w14:paraId="1E27D000" w14:textId="77777777">
        <w:trPr>
          <w:divId w:val="1548030301"/>
          <w:tblCellSpacing w:w="15" w:type="dxa"/>
        </w:trPr>
        <w:tc>
          <w:tcPr>
            <w:tcW w:w="50" w:type="pct"/>
            <w:hideMark/>
          </w:tcPr>
          <w:p w14:paraId="4B6072AB" w14:textId="77777777" w:rsidR="008B7448" w:rsidRDefault="008B7448">
            <w:pPr>
              <w:pStyle w:val="Bibliography"/>
              <w:rPr>
                <w:noProof/>
              </w:rPr>
            </w:pPr>
            <w:r>
              <w:rPr>
                <w:noProof/>
              </w:rPr>
              <w:t xml:space="preserve">[59] </w:t>
            </w:r>
          </w:p>
        </w:tc>
        <w:tc>
          <w:tcPr>
            <w:tcW w:w="0" w:type="auto"/>
            <w:hideMark/>
          </w:tcPr>
          <w:p w14:paraId="4E1BDE31" w14:textId="77777777" w:rsidR="008B7448" w:rsidRDefault="008B7448">
            <w:pPr>
              <w:pStyle w:val="Bibliography"/>
              <w:rPr>
                <w:noProof/>
              </w:rPr>
            </w:pPr>
            <w:r>
              <w:rPr>
                <w:noProof/>
              </w:rPr>
              <w:t>Australian Government Department of Health, “Commonwealth Standard Grant Agreement, clause 15.1 confidentiality,” Department of Health, Canberra.</w:t>
            </w:r>
          </w:p>
        </w:tc>
      </w:tr>
      <w:tr w:rsidR="008B7448" w14:paraId="29309D33" w14:textId="77777777">
        <w:trPr>
          <w:divId w:val="1548030301"/>
          <w:tblCellSpacing w:w="15" w:type="dxa"/>
        </w:trPr>
        <w:tc>
          <w:tcPr>
            <w:tcW w:w="50" w:type="pct"/>
            <w:hideMark/>
          </w:tcPr>
          <w:p w14:paraId="78634D70" w14:textId="77777777" w:rsidR="008B7448" w:rsidRDefault="008B7448">
            <w:pPr>
              <w:pStyle w:val="Bibliography"/>
              <w:rPr>
                <w:noProof/>
              </w:rPr>
            </w:pPr>
            <w:r>
              <w:rPr>
                <w:noProof/>
              </w:rPr>
              <w:t xml:space="preserve">[60] </w:t>
            </w:r>
          </w:p>
        </w:tc>
        <w:tc>
          <w:tcPr>
            <w:tcW w:w="0" w:type="auto"/>
            <w:hideMark/>
          </w:tcPr>
          <w:p w14:paraId="149EBFCB" w14:textId="77777777" w:rsidR="008B7448" w:rsidRDefault="008B7448">
            <w:pPr>
              <w:pStyle w:val="Bibliography"/>
              <w:rPr>
                <w:noProof/>
              </w:rPr>
            </w:pPr>
            <w:r>
              <w:rPr>
                <w:noProof/>
              </w:rPr>
              <w:t>Medical Services Advisory Committee, “About MSAC / Frequently Asked Questions,” 20 July 2016. [Online]. Available: http://www.msac.gov.au/internet/msac/publishing.nsf/Content/Factsheet-08. [Accessed 2019].</w:t>
            </w:r>
          </w:p>
        </w:tc>
      </w:tr>
      <w:tr w:rsidR="008B7448" w14:paraId="2E2817B6" w14:textId="77777777">
        <w:trPr>
          <w:divId w:val="1548030301"/>
          <w:tblCellSpacing w:w="15" w:type="dxa"/>
        </w:trPr>
        <w:tc>
          <w:tcPr>
            <w:tcW w:w="50" w:type="pct"/>
            <w:hideMark/>
          </w:tcPr>
          <w:p w14:paraId="490B67D2" w14:textId="77777777" w:rsidR="008B7448" w:rsidRDefault="008B7448">
            <w:pPr>
              <w:pStyle w:val="Bibliography"/>
              <w:rPr>
                <w:noProof/>
              </w:rPr>
            </w:pPr>
            <w:r>
              <w:rPr>
                <w:noProof/>
              </w:rPr>
              <w:t xml:space="preserve">[61] </w:t>
            </w:r>
          </w:p>
        </w:tc>
        <w:tc>
          <w:tcPr>
            <w:tcW w:w="0" w:type="auto"/>
            <w:hideMark/>
          </w:tcPr>
          <w:p w14:paraId="559AC944" w14:textId="77777777" w:rsidR="008B7448" w:rsidRDefault="008B7448">
            <w:pPr>
              <w:pStyle w:val="Bibliography"/>
              <w:rPr>
                <w:noProof/>
              </w:rPr>
            </w:pPr>
            <w:r>
              <w:rPr>
                <w:noProof/>
              </w:rPr>
              <w:t>Medical Services Advisory Committee, “Technical Guidelines for preparing assessment reports for the Medical Services Advisory Committee – Service Type: Therapeutic Version 2,” Australian Government Department of Health, Canberra, 2016.</w:t>
            </w:r>
          </w:p>
        </w:tc>
      </w:tr>
      <w:tr w:rsidR="008B7448" w14:paraId="4429476B" w14:textId="77777777">
        <w:trPr>
          <w:divId w:val="1548030301"/>
          <w:tblCellSpacing w:w="15" w:type="dxa"/>
        </w:trPr>
        <w:tc>
          <w:tcPr>
            <w:tcW w:w="50" w:type="pct"/>
            <w:hideMark/>
          </w:tcPr>
          <w:p w14:paraId="53226B12" w14:textId="77777777" w:rsidR="008B7448" w:rsidRDefault="008B7448">
            <w:pPr>
              <w:pStyle w:val="Bibliography"/>
              <w:rPr>
                <w:noProof/>
              </w:rPr>
            </w:pPr>
            <w:r>
              <w:rPr>
                <w:noProof/>
              </w:rPr>
              <w:t xml:space="preserve">[62] </w:t>
            </w:r>
          </w:p>
        </w:tc>
        <w:tc>
          <w:tcPr>
            <w:tcW w:w="0" w:type="auto"/>
            <w:hideMark/>
          </w:tcPr>
          <w:p w14:paraId="6A727617" w14:textId="77777777" w:rsidR="008B7448" w:rsidRDefault="008B7448">
            <w:pPr>
              <w:pStyle w:val="Bibliography"/>
              <w:rPr>
                <w:noProof/>
              </w:rPr>
            </w:pPr>
            <w:r>
              <w:rPr>
                <w:noProof/>
              </w:rPr>
              <w:t>Australian Government: Business , “Business grants and assistance programs,” [Online]. Available: https://www.business.gov.au/assistance/business-research-and-innovation-initiative. [Accessed 2019].</w:t>
            </w:r>
          </w:p>
        </w:tc>
      </w:tr>
      <w:tr w:rsidR="008B7448" w14:paraId="796A4DBA" w14:textId="77777777">
        <w:trPr>
          <w:divId w:val="1548030301"/>
          <w:tblCellSpacing w:w="15" w:type="dxa"/>
        </w:trPr>
        <w:tc>
          <w:tcPr>
            <w:tcW w:w="50" w:type="pct"/>
            <w:hideMark/>
          </w:tcPr>
          <w:p w14:paraId="7EA59F65" w14:textId="77777777" w:rsidR="008B7448" w:rsidRDefault="008B7448">
            <w:pPr>
              <w:pStyle w:val="Bibliography"/>
              <w:rPr>
                <w:noProof/>
              </w:rPr>
            </w:pPr>
            <w:r>
              <w:rPr>
                <w:noProof/>
              </w:rPr>
              <w:t xml:space="preserve">[63] </w:t>
            </w:r>
          </w:p>
        </w:tc>
        <w:tc>
          <w:tcPr>
            <w:tcW w:w="0" w:type="auto"/>
            <w:hideMark/>
          </w:tcPr>
          <w:p w14:paraId="32E0E97E" w14:textId="77777777" w:rsidR="008B7448" w:rsidRDefault="008B7448">
            <w:pPr>
              <w:pStyle w:val="Bibliography"/>
              <w:rPr>
                <w:noProof/>
              </w:rPr>
            </w:pPr>
            <w:r>
              <w:rPr>
                <w:noProof/>
              </w:rPr>
              <w:t>Australian Government Department of Health, “Request for quotation for Implementation Review of Pharmacy Trial Program (PTP) under the Sixth Community Pharmacy Agreement (6CPA) (the Review), page 2,” Department of Health, Canberra, 2018.</w:t>
            </w:r>
          </w:p>
        </w:tc>
      </w:tr>
      <w:tr w:rsidR="008B7448" w14:paraId="0F099364" w14:textId="77777777">
        <w:trPr>
          <w:divId w:val="1548030301"/>
          <w:tblCellSpacing w:w="15" w:type="dxa"/>
        </w:trPr>
        <w:tc>
          <w:tcPr>
            <w:tcW w:w="50" w:type="pct"/>
            <w:hideMark/>
          </w:tcPr>
          <w:p w14:paraId="7E34D94B" w14:textId="77777777" w:rsidR="008B7448" w:rsidRDefault="008B7448">
            <w:pPr>
              <w:pStyle w:val="Bibliography"/>
              <w:rPr>
                <w:noProof/>
              </w:rPr>
            </w:pPr>
            <w:r>
              <w:rPr>
                <w:noProof/>
              </w:rPr>
              <w:t xml:space="preserve">[64] </w:t>
            </w:r>
          </w:p>
        </w:tc>
        <w:tc>
          <w:tcPr>
            <w:tcW w:w="0" w:type="auto"/>
            <w:hideMark/>
          </w:tcPr>
          <w:p w14:paraId="4C8114D8" w14:textId="77777777" w:rsidR="008B7448" w:rsidRDefault="008B7448">
            <w:pPr>
              <w:pStyle w:val="Bibliography"/>
              <w:rPr>
                <w:noProof/>
              </w:rPr>
            </w:pPr>
            <w:r>
              <w:rPr>
                <w:noProof/>
              </w:rPr>
              <w:t>Australian Government Medical Research Future Fund, “How is the MRFF governed?,” [Online]. Available: https://beta.health.gov.au/initiatives-and-programs/medical-research-future-fund/about-the-mrff/how-is-the-mrff-governed. [Accessed 2019].</w:t>
            </w:r>
          </w:p>
        </w:tc>
      </w:tr>
      <w:tr w:rsidR="008B7448" w14:paraId="2B67DFAC" w14:textId="77777777">
        <w:trPr>
          <w:divId w:val="1548030301"/>
          <w:tblCellSpacing w:w="15" w:type="dxa"/>
        </w:trPr>
        <w:tc>
          <w:tcPr>
            <w:tcW w:w="50" w:type="pct"/>
            <w:hideMark/>
          </w:tcPr>
          <w:p w14:paraId="7D680C89" w14:textId="77777777" w:rsidR="008B7448" w:rsidRDefault="008B7448">
            <w:pPr>
              <w:pStyle w:val="Bibliography"/>
              <w:rPr>
                <w:noProof/>
              </w:rPr>
            </w:pPr>
            <w:r>
              <w:rPr>
                <w:noProof/>
              </w:rPr>
              <w:t xml:space="preserve">[65] </w:t>
            </w:r>
          </w:p>
        </w:tc>
        <w:tc>
          <w:tcPr>
            <w:tcW w:w="0" w:type="auto"/>
            <w:hideMark/>
          </w:tcPr>
          <w:p w14:paraId="1BB5E03A" w14:textId="77777777" w:rsidR="008B7448" w:rsidRDefault="008B7448">
            <w:pPr>
              <w:pStyle w:val="Bibliography"/>
              <w:rPr>
                <w:noProof/>
              </w:rPr>
            </w:pPr>
            <w:r>
              <w:rPr>
                <w:noProof/>
              </w:rPr>
              <w:t>Australian Government Medical Reserach Futures Fund, “About MRFF - how does funding work?,” [Online]. Available: https://beta.health.gov.au/initiatives-and-programs/medical-research-future-fund/about-the-mrff/how-does-mrff-funding-work. [Accessed 2019].</w:t>
            </w:r>
          </w:p>
        </w:tc>
      </w:tr>
      <w:tr w:rsidR="008B7448" w14:paraId="7A0EDBBC" w14:textId="77777777">
        <w:trPr>
          <w:divId w:val="1548030301"/>
          <w:tblCellSpacing w:w="15" w:type="dxa"/>
        </w:trPr>
        <w:tc>
          <w:tcPr>
            <w:tcW w:w="50" w:type="pct"/>
            <w:hideMark/>
          </w:tcPr>
          <w:p w14:paraId="4AFC91B7" w14:textId="77777777" w:rsidR="008B7448" w:rsidRDefault="008B7448">
            <w:pPr>
              <w:pStyle w:val="Bibliography"/>
              <w:rPr>
                <w:noProof/>
              </w:rPr>
            </w:pPr>
            <w:r>
              <w:rPr>
                <w:noProof/>
              </w:rPr>
              <w:t xml:space="preserve">[66] </w:t>
            </w:r>
          </w:p>
        </w:tc>
        <w:tc>
          <w:tcPr>
            <w:tcW w:w="0" w:type="auto"/>
            <w:hideMark/>
          </w:tcPr>
          <w:p w14:paraId="566EF737" w14:textId="77777777" w:rsidR="008B7448" w:rsidRDefault="008B7448">
            <w:pPr>
              <w:pStyle w:val="Bibliography"/>
              <w:rPr>
                <w:noProof/>
              </w:rPr>
            </w:pPr>
            <w:r>
              <w:rPr>
                <w:noProof/>
              </w:rPr>
              <w:t xml:space="preserve">J. W. Song and C. K. C, “Observational Studies: Cohort and Case-Control Studies,” </w:t>
            </w:r>
            <w:r>
              <w:rPr>
                <w:i/>
                <w:iCs/>
                <w:noProof/>
              </w:rPr>
              <w:t xml:space="preserve">Plastic Reconstructive Surgery, </w:t>
            </w:r>
            <w:r>
              <w:rPr>
                <w:noProof/>
              </w:rPr>
              <w:t xml:space="preserve">vol. 126, no. 6, p. 2234–2242, 2010. </w:t>
            </w:r>
          </w:p>
        </w:tc>
      </w:tr>
      <w:tr w:rsidR="008B7448" w14:paraId="70BD91B3" w14:textId="77777777">
        <w:trPr>
          <w:divId w:val="1548030301"/>
          <w:tblCellSpacing w:w="15" w:type="dxa"/>
        </w:trPr>
        <w:tc>
          <w:tcPr>
            <w:tcW w:w="50" w:type="pct"/>
            <w:hideMark/>
          </w:tcPr>
          <w:p w14:paraId="2710A493" w14:textId="77777777" w:rsidR="008B7448" w:rsidRDefault="008B7448">
            <w:pPr>
              <w:pStyle w:val="Bibliography"/>
              <w:rPr>
                <w:noProof/>
              </w:rPr>
            </w:pPr>
            <w:r>
              <w:rPr>
                <w:noProof/>
              </w:rPr>
              <w:t xml:space="preserve">[67] </w:t>
            </w:r>
          </w:p>
        </w:tc>
        <w:tc>
          <w:tcPr>
            <w:tcW w:w="0" w:type="auto"/>
            <w:hideMark/>
          </w:tcPr>
          <w:p w14:paraId="448656D2" w14:textId="77777777" w:rsidR="008B7448" w:rsidRDefault="008B7448">
            <w:pPr>
              <w:pStyle w:val="Bibliography"/>
              <w:rPr>
                <w:noProof/>
              </w:rPr>
            </w:pPr>
            <w:r>
              <w:rPr>
                <w:noProof/>
              </w:rPr>
              <w:t xml:space="preserve">S. K. Gupta, “Intention-to-treat concept: A review,” </w:t>
            </w:r>
            <w:r>
              <w:rPr>
                <w:i/>
                <w:iCs/>
                <w:noProof/>
              </w:rPr>
              <w:t xml:space="preserve">Perspectives in Clinical Research, </w:t>
            </w:r>
            <w:r>
              <w:rPr>
                <w:noProof/>
              </w:rPr>
              <w:t xml:space="preserve">vol. 2, no. 3, pp. 109-112, 2011. </w:t>
            </w:r>
          </w:p>
        </w:tc>
      </w:tr>
    </w:tbl>
    <w:p w14:paraId="09B7FBA2" w14:textId="64934997" w:rsidR="00002E1E" w:rsidRPr="00002E1E" w:rsidRDefault="00F53FA1" w:rsidP="00AA420C">
      <w:r>
        <w:fldChar w:fldCharType="end"/>
      </w:r>
    </w:p>
    <w:sectPr w:rsidR="00002E1E" w:rsidRPr="00002E1E" w:rsidSect="00275CD3">
      <w:type w:val="continuous"/>
      <w:pgSz w:w="16838" w:h="11906" w:orient="landscape" w:code="9"/>
      <w:pgMar w:top="737" w:right="1304" w:bottom="1134" w:left="737"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B18006" w14:textId="77777777" w:rsidR="000619E2" w:rsidRDefault="000619E2" w:rsidP="00C37A29">
      <w:pPr>
        <w:spacing w:after="0"/>
      </w:pPr>
      <w:r>
        <w:separator/>
      </w:r>
    </w:p>
    <w:p w14:paraId="708955E5" w14:textId="77777777" w:rsidR="000619E2" w:rsidRDefault="000619E2"/>
  </w:endnote>
  <w:endnote w:type="continuationSeparator" w:id="0">
    <w:p w14:paraId="2AEA29D2" w14:textId="77777777" w:rsidR="000619E2" w:rsidRDefault="000619E2" w:rsidP="00C37A29">
      <w:pPr>
        <w:spacing w:after="0"/>
      </w:pPr>
      <w:r>
        <w:continuationSeparator/>
      </w:r>
    </w:p>
    <w:p w14:paraId="745328AA" w14:textId="77777777" w:rsidR="000619E2" w:rsidRDefault="000619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Franklin Gothic Heavy">
    <w:panose1 w:val="020B0903020102020204"/>
    <w:charset w:val="00"/>
    <w:family w:val="swiss"/>
    <w:pitch w:val="variable"/>
    <w:sig w:usb0="00000287" w:usb1="000000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Ind w:w="-170" w:type="dxa"/>
      <w:tblLayout w:type="fixed"/>
      <w:tblCellMar>
        <w:top w:w="170" w:type="dxa"/>
      </w:tblCellMar>
      <w:tblLook w:val="04A0" w:firstRow="1" w:lastRow="0" w:firstColumn="1" w:lastColumn="0" w:noHBand="0" w:noVBand="1"/>
      <w:tblDescription w:val="&lt;alt text&gt;"/>
    </w:tblPr>
    <w:tblGrid>
      <w:gridCol w:w="7456"/>
      <w:gridCol w:w="236"/>
      <w:gridCol w:w="7456"/>
    </w:tblGrid>
    <w:tr w:rsidR="000619E2" w14:paraId="1DDBC6F0" w14:textId="77777777" w:rsidTr="000619E2">
      <w:trPr>
        <w:tblHeader/>
      </w:trPr>
      <w:tc>
        <w:tcPr>
          <w:tcW w:w="7456" w:type="dxa"/>
          <w:tcBorders>
            <w:top w:val="single" w:sz="8" w:space="0" w:color="000000" w:themeColor="text1"/>
          </w:tcBorders>
        </w:tcPr>
        <w:p w14:paraId="0F16A351" w14:textId="77777777" w:rsidR="000619E2" w:rsidRDefault="000619E2" w:rsidP="0021246E">
          <w:pPr>
            <w:pStyle w:val="Footer"/>
          </w:pPr>
        </w:p>
      </w:tc>
      <w:tc>
        <w:tcPr>
          <w:tcW w:w="236" w:type="dxa"/>
        </w:tcPr>
        <w:p w14:paraId="728419D0" w14:textId="77777777" w:rsidR="000619E2" w:rsidRDefault="000619E2" w:rsidP="0021246E">
          <w:pPr>
            <w:pStyle w:val="Footer"/>
          </w:pPr>
        </w:p>
      </w:tc>
      <w:tc>
        <w:tcPr>
          <w:tcW w:w="7456" w:type="dxa"/>
          <w:tcBorders>
            <w:top w:val="single" w:sz="8" w:space="0" w:color="000000" w:themeColor="text1"/>
          </w:tcBorders>
          <w:vAlign w:val="center"/>
        </w:tcPr>
        <w:p w14:paraId="50DF3407" w14:textId="77777777" w:rsidR="000619E2" w:rsidRDefault="000619E2" w:rsidP="0021246E">
          <w:pPr>
            <w:pStyle w:val="Footer"/>
            <w:jc w:val="right"/>
          </w:pPr>
        </w:p>
      </w:tc>
    </w:tr>
  </w:tbl>
  <w:p w14:paraId="136BA93A" w14:textId="77777777" w:rsidR="000619E2" w:rsidRDefault="000619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074280" w14:textId="77777777" w:rsidR="000619E2" w:rsidRDefault="000619E2" w:rsidP="006756D6">
    <w:pPr>
      <w:pStyle w:val="Footer"/>
      <w:rPr>
        <w:noProof/>
        <w:lang w:eastAsia="en-AU"/>
      </w:rPr>
    </w:pPr>
    <w:r>
      <w:rPr>
        <w:noProof/>
        <w:lang w:val="en-US"/>
      </w:rPr>
      <mc:AlternateContent>
        <mc:Choice Requires="wps">
          <w:drawing>
            <wp:anchor distT="0" distB="0" distL="114300" distR="114300" simplePos="0" relativeHeight="251667456" behindDoc="0" locked="1" layoutInCell="1" allowOverlap="1" wp14:anchorId="37F4B110" wp14:editId="019C0BF3">
              <wp:simplePos x="0" y="0"/>
              <wp:positionH relativeFrom="margin">
                <wp:align>right</wp:align>
              </wp:positionH>
              <wp:positionV relativeFrom="page">
                <wp:align>bottom</wp:align>
              </wp:positionV>
              <wp:extent cx="3517200" cy="576000"/>
              <wp:effectExtent l="0" t="0" r="7620" b="0"/>
              <wp:wrapNone/>
              <wp:docPr id="72" name="Text Box 72">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Shape">
                  <wps:wsp>
                    <wps:cNvSpPr txBox="1"/>
                    <wps:spPr>
                      <a:xfrm>
                        <a:off x="0" y="0"/>
                        <a:ext cx="3517200" cy="576000"/>
                      </a:xfrm>
                      <a:prstGeom prst="rect">
                        <a:avLst/>
                      </a:prstGeom>
                      <a:noFill/>
                      <a:ln w="6350">
                        <a:noFill/>
                      </a:ln>
                    </wps:spPr>
                    <wps:txbx>
                      <w:txbxContent>
                        <w:p w14:paraId="21EBEA84" w14:textId="36172242" w:rsidR="000619E2" w:rsidRDefault="000619E2" w:rsidP="008D1623">
                          <w:pPr>
                            <w:pStyle w:val="DocumentInfo"/>
                          </w:pPr>
                          <w:r>
                            <w:rPr>
                              <w:rStyle w:val="DocumentInfoChar"/>
                              <w:caps/>
                            </w:rPr>
                            <w:t>Final Report</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F4B110" id="_x0000_t202" coordsize="21600,21600" o:spt="202" path="m,l,21600r21600,l21600,xe">
              <v:stroke joinstyle="miter"/>
              <v:path gradientshapeok="t" o:connecttype="rect"/>
            </v:shapetype>
            <v:shape id="Text Box 72" o:spid="_x0000_s1027" type="#_x0000_t202" style="position:absolute;margin-left:225.75pt;margin-top:0;width:276.95pt;height:45.35pt;z-index:251667456;visibility:visible;mso-wrap-style:square;mso-width-percent:0;mso-height-percent:0;mso-wrap-distance-left:9pt;mso-wrap-distance-top:0;mso-wrap-distance-right:9pt;mso-wrap-distance-bottom:0;mso-position-horizontal:right;mso-position-horizontal-relative:margin;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" filled="f" stroked="f" strokeweight=".5pt">
              <v:textbox inset="0,,0">
                <w:txbxContent>
                  <w:p w14:paraId="21EBEA84" w14:textId="36172242" w:rsidR="000619E2" w:rsidRDefault="000619E2" w:rsidP="008D1623">
                    <w:pPr>
                      <w:pStyle w:val="DocumentInfo"/>
                    </w:pPr>
                    <w:r>
                      <w:rPr>
                        <w:rStyle w:val="DocumentInfoChar"/>
                        <w:caps/>
                      </w:rPr>
                      <w:t>Final Report</w:t>
                    </w:r>
                  </w:p>
                </w:txbxContent>
              </v:textbox>
              <w10:wrap anchorx="margin" anchory="page"/>
              <w10:anchorlock/>
            </v:shape>
          </w:pict>
        </mc:Fallback>
      </mc:AlternateContent>
    </w:r>
    <w:r>
      <w:rPr>
        <w:rStyle w:val="FooterProjectTitleChar"/>
      </w:rPr>
      <w:t>Australian Government Department of Health •</w:t>
    </w:r>
    <w:r w:rsidRPr="00840813">
      <w:rPr>
        <w:rStyle w:val="FooterProjectTitleChar"/>
      </w:rPr>
      <w:t xml:space="preserve"> </w:t>
    </w:r>
    <w:r>
      <w:rPr>
        <w:rStyle w:val="FooterProjectTitleChar"/>
      </w:rPr>
      <w:t>Implementation Review of the Pharmacy Trial Program</w:t>
    </w:r>
  </w:p>
  <w:p w14:paraId="4F436313" w14:textId="4D61E126" w:rsidR="000619E2" w:rsidRPr="006756D6" w:rsidRDefault="000619E2" w:rsidP="006756D6">
    <w:pPr>
      <w:pStyle w:val="Footer"/>
    </w:pPr>
    <w:r>
      <w:rPr>
        <w:noProof/>
        <w:lang w:val="en-US"/>
      </w:rPr>
      <mc:AlternateContent>
        <mc:Choice Requires="wpg">
          <w:drawing>
            <wp:anchor distT="0" distB="0" distL="114300" distR="114300" simplePos="0" relativeHeight="251665408" behindDoc="0" locked="1" layoutInCell="1" allowOverlap="1" wp14:anchorId="25C4D4D4" wp14:editId="32BC0610">
              <wp:simplePos x="0" y="0"/>
              <wp:positionH relativeFrom="page">
                <wp:align>left</wp:align>
              </wp:positionH>
              <wp:positionV relativeFrom="page">
                <wp:align>bottom</wp:align>
              </wp:positionV>
              <wp:extent cx="11268000" cy="604800"/>
              <wp:effectExtent l="0" t="0" r="29210" b="5080"/>
              <wp:wrapNone/>
              <wp:docPr id="65" name="Group 65" descr="&lt;alt text&gt;">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 xmlns:a="http://schemas.openxmlformats.org/drawingml/2006/main">
                <a:graphicData uri="http://schemas.microsoft.com/office/word/2010/wordprocessingGroup">
                  <wpg:wgp>
                    <wpg:cNvGrpSpPr/>
                    <wpg:grpSpPr>
                      <a:xfrm>
                        <a:off x="0" y="0"/>
                        <a:ext cx="11268000" cy="604800"/>
                        <a:chOff x="0" y="0"/>
                        <a:chExt cx="11267934" cy="603444"/>
                      </a:xfrm>
                    </wpg:grpSpPr>
                    <wps:wsp>
                      <wps:cNvPr id="51" name="Rectangle 51"/>
                      <wps:cNvSpPr/>
                      <wps:spPr>
                        <a:xfrm>
                          <a:off x="0" y="488244"/>
                          <a:ext cx="324000" cy="115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Straight Connector 47">
                        <a:extLst>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s:cNvPr>
                      <wps:cNvCnPr/>
                      <wps:spPr>
                        <a:xfrm>
                          <a:off x="468489" y="0"/>
                          <a:ext cx="10799445" cy="0"/>
                        </a:xfrm>
                        <a:prstGeom prst="line">
                          <a:avLst/>
                        </a:prstGeom>
                        <a:ln w="12700">
                          <a:solidFill>
                            <a:schemeClr val="bg2"/>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9C80C3F" id="Group 65" o:spid="_x0000_s1026" alt="&lt;alt text&gt;" style="position:absolute;margin-left:0;margin-top:0;width:887.25pt;height:47.6pt;z-index:251665408;mso-position-horizontal:left;mso-position-horizontal-relative:page;mso-position-vertical:bottom;mso-position-vertical-relative:page;mso-width-relative:margin;mso-height-relative:margin" coordsize="112679,6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">
              <v:rect id="Rectangle 51" o:spid="_x0000_s1027" style="position:absolute;top:4882;width:3240;height:115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" fillcolor="white [3212]" stroked="f" strokeweight="1pt"/>
              <v:line id="Straight Connector 47" o:spid="_x0000_s1028" style="position:absolute;visibility:visible;mso-wrap-style:square" from="4684,0" to="11267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" strokecolor="#fff200 [3214]" strokeweight="1pt">
                <v:stroke joinstyle="miter"/>
              </v:line>
              <w10:wrap anchorx="page" anchory="page"/>
              <w10:anchorlock/>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BFCC3E" w14:textId="77777777" w:rsidR="000619E2" w:rsidRDefault="000619E2" w:rsidP="00C37A29">
      <w:pPr>
        <w:spacing w:after="0"/>
      </w:pPr>
      <w:r>
        <w:separator/>
      </w:r>
    </w:p>
    <w:p w14:paraId="3F0B3AD1" w14:textId="77777777" w:rsidR="000619E2" w:rsidRDefault="000619E2"/>
  </w:footnote>
  <w:footnote w:type="continuationSeparator" w:id="0">
    <w:p w14:paraId="1A3722FD" w14:textId="77777777" w:rsidR="000619E2" w:rsidRDefault="000619E2" w:rsidP="00C37A29">
      <w:pPr>
        <w:spacing w:after="0"/>
      </w:pPr>
      <w:r>
        <w:continuationSeparator/>
      </w:r>
    </w:p>
    <w:p w14:paraId="5045F669" w14:textId="77777777" w:rsidR="000619E2" w:rsidRDefault="000619E2"/>
  </w:footnote>
  <w:footnote w:id="1">
    <w:p w14:paraId="03391468" w14:textId="77777777" w:rsidR="000619E2" w:rsidRPr="00433185" w:rsidRDefault="000619E2" w:rsidP="000230CC">
      <w:pPr>
        <w:pStyle w:val="FootnoteText"/>
        <w:rPr>
          <w:lang w:val="en-US"/>
        </w:rPr>
      </w:pPr>
      <w:r>
        <w:rPr>
          <w:rStyle w:val="FootnoteReference"/>
        </w:rPr>
        <w:footnoteRef/>
      </w:r>
      <w:r>
        <w:t xml:space="preserve"> </w:t>
      </w:r>
      <w:r>
        <w:rPr>
          <w:lang w:val="en-US"/>
        </w:rPr>
        <w:t>6CPA, pages 7–10</w:t>
      </w:r>
    </w:p>
  </w:footnote>
  <w:footnote w:id="2">
    <w:p w14:paraId="3FD08B62" w14:textId="77777777" w:rsidR="000619E2" w:rsidRPr="00DE3372" w:rsidRDefault="000619E2" w:rsidP="000230CC">
      <w:pPr>
        <w:pStyle w:val="FootnoteText"/>
        <w:rPr>
          <w:lang w:val="en-US"/>
        </w:rPr>
      </w:pPr>
      <w:r>
        <w:rPr>
          <w:rStyle w:val="FootnoteReference"/>
        </w:rPr>
        <w:footnoteRef/>
      </w:r>
      <w:r>
        <w:t xml:space="preserve"> </w:t>
      </w:r>
      <w:r>
        <w:rPr>
          <w:lang w:val="en-US"/>
        </w:rPr>
        <w:t>6CPA, page 3</w:t>
      </w:r>
    </w:p>
  </w:footnote>
  <w:footnote w:id="3">
    <w:p w14:paraId="7F6E13DA" w14:textId="77777777" w:rsidR="000619E2" w:rsidRDefault="000619E2" w:rsidP="000230CC">
      <w:pPr>
        <w:pStyle w:val="FootnoteText"/>
      </w:pPr>
      <w:r>
        <w:rPr>
          <w:rStyle w:val="FootnoteReference"/>
        </w:rPr>
        <w:footnoteRef/>
      </w:r>
      <w:r>
        <w:t xml:space="preserve"> </w:t>
      </w:r>
      <w:r>
        <w:rPr>
          <w:lang w:val="en-US"/>
        </w:rPr>
        <w:t>PICO: Population, Intervention, Comparator, Outcome</w:t>
      </w:r>
    </w:p>
    <w:p w14:paraId="3E8011E2" w14:textId="77777777" w:rsidR="000619E2" w:rsidRPr="00166FC3" w:rsidRDefault="000619E2" w:rsidP="000230CC">
      <w:pPr>
        <w:pStyle w:val="FootnoteText"/>
        <w:rPr>
          <w:lang w:val="en-US"/>
        </w:rPr>
      </w:pPr>
      <w:r w:rsidRPr="00E919BB">
        <w:t xml:space="preserve"> </w:t>
      </w:r>
    </w:p>
  </w:footnote>
  <w:footnote w:id="4">
    <w:p w14:paraId="523AEF6E" w14:textId="71AE454B" w:rsidR="000619E2" w:rsidRPr="00693029" w:rsidRDefault="000619E2" w:rsidP="000230CC">
      <w:pPr>
        <w:pStyle w:val="FootnoteText"/>
        <w:rPr>
          <w:lang w:val="en-US"/>
        </w:rPr>
      </w:pPr>
      <w:r>
        <w:rPr>
          <w:rStyle w:val="FootnoteReference"/>
        </w:rPr>
        <w:footnoteRef/>
      </w:r>
      <w:r>
        <w:t xml:space="preserve"> </w:t>
      </w:r>
      <w:r>
        <w:rPr>
          <w:lang w:val="en-US"/>
        </w:rPr>
        <w:t>Samantha Robertson was the NHMRC representative on the TAG, however, she has subsequently left the NHMRC</w:t>
      </w:r>
    </w:p>
  </w:footnote>
  <w:footnote w:id="5">
    <w:p w14:paraId="3A00311E" w14:textId="194DCAA6" w:rsidR="000619E2" w:rsidRPr="00C6555D" w:rsidRDefault="000619E2" w:rsidP="000230CC">
      <w:pPr>
        <w:pStyle w:val="FootnoteText"/>
        <w:rPr>
          <w:lang w:val="en-US"/>
        </w:rPr>
      </w:pPr>
      <w:r>
        <w:rPr>
          <w:rStyle w:val="FootnoteReference"/>
        </w:rPr>
        <w:footnoteRef/>
      </w:r>
      <w:r>
        <w:t xml:space="preserve"> </w:t>
      </w:r>
      <w:r>
        <w:rPr>
          <w:lang w:val="en-US"/>
        </w:rPr>
        <w:t>CGRG Section 11.4, page 30</w:t>
      </w:r>
    </w:p>
  </w:footnote>
  <w:footnote w:id="6">
    <w:p w14:paraId="346923CA" w14:textId="57576856" w:rsidR="000619E2" w:rsidRPr="003D0F96" w:rsidRDefault="000619E2" w:rsidP="000230CC">
      <w:pPr>
        <w:pStyle w:val="FootnoteText"/>
        <w:rPr>
          <w:lang w:val="en-US"/>
        </w:rPr>
      </w:pPr>
      <w:r>
        <w:rPr>
          <w:rStyle w:val="FootnoteReference"/>
        </w:rPr>
        <w:footnoteRef/>
      </w:r>
      <w:r>
        <w:t xml:space="preserve"> TAG made recommendations for priority areas for both Tranches 1 and 2, however the processes </w:t>
      </w:r>
      <w:r>
        <w:rPr>
          <w:lang w:val="en-US"/>
        </w:rPr>
        <w:t>for setting priority areas for Tranches 1 and 2 varied – Tranche 1 priority areas were set in response to proposal submissions submitted by The Guild, while Tranche 2 priority areas were set based on the stakeholder forum and call for ideas, taking care to not duplicate Tranche 1 priority areas.</w:t>
      </w:r>
    </w:p>
  </w:footnote>
  <w:footnote w:id="7">
    <w:p w14:paraId="408ED8B2" w14:textId="79F43BE2" w:rsidR="000619E2" w:rsidRPr="00A47683" w:rsidRDefault="000619E2" w:rsidP="000230CC">
      <w:pPr>
        <w:pStyle w:val="FootnoteText"/>
        <w:rPr>
          <w:lang w:val="en-US"/>
        </w:rPr>
      </w:pPr>
      <w:r>
        <w:rPr>
          <w:rStyle w:val="FootnoteReference"/>
        </w:rPr>
        <w:footnoteRef/>
      </w:r>
      <w:r>
        <w:t xml:space="preserve"> </w:t>
      </w:r>
      <w:r>
        <w:rPr>
          <w:lang w:val="en-US"/>
        </w:rPr>
        <w:t>Tranche 2 grant guidelines were developed in October 2016. Tranche 1 Grant Guidelines were developed in December 2016 (after the original Tranche 1 proposals were submitted).</w:t>
      </w:r>
    </w:p>
  </w:footnote>
  <w:footnote w:id="8">
    <w:p w14:paraId="431BF61C" w14:textId="77777777" w:rsidR="000619E2" w:rsidRPr="00F90521" w:rsidRDefault="000619E2" w:rsidP="000230CC">
      <w:pPr>
        <w:pStyle w:val="FootnoteText"/>
        <w:rPr>
          <w:lang w:val="en-US"/>
        </w:rPr>
      </w:pPr>
      <w:r>
        <w:rPr>
          <w:rStyle w:val="FootnoteReference"/>
        </w:rPr>
        <w:footnoteRef/>
      </w:r>
      <w:r>
        <w:t xml:space="preserve"> Internal Audit of the Management of the PTP, page 10</w:t>
      </w:r>
    </w:p>
  </w:footnote>
  <w:footnote w:id="9">
    <w:p w14:paraId="22BD7B06" w14:textId="77777777" w:rsidR="000619E2" w:rsidRPr="00625706" w:rsidRDefault="000619E2" w:rsidP="000230CC">
      <w:pPr>
        <w:pStyle w:val="FootnoteText"/>
        <w:rPr>
          <w:lang w:val="en-US"/>
        </w:rPr>
      </w:pPr>
      <w:r>
        <w:rPr>
          <w:rStyle w:val="FootnoteReference"/>
        </w:rPr>
        <w:footnoteRef/>
      </w:r>
      <w:r>
        <w:t xml:space="preserve"> Internal Audit of the Management of the PTP, page 17</w:t>
      </w:r>
    </w:p>
  </w:footnote>
  <w:footnote w:id="10">
    <w:p w14:paraId="5A254967" w14:textId="77777777" w:rsidR="000619E2" w:rsidRPr="00625706" w:rsidRDefault="000619E2" w:rsidP="000230CC">
      <w:pPr>
        <w:pStyle w:val="FootnoteText"/>
        <w:rPr>
          <w:lang w:val="en-US"/>
        </w:rPr>
      </w:pPr>
      <w:r>
        <w:rPr>
          <w:rStyle w:val="FootnoteReference"/>
        </w:rPr>
        <w:footnoteRef/>
      </w:r>
      <w:r>
        <w:t xml:space="preserve"> </w:t>
      </w:r>
      <w:r>
        <w:rPr>
          <w:lang w:val="en-US"/>
        </w:rPr>
        <w:t>Internal Audit of the Management of the PTP, page 19</w:t>
      </w:r>
    </w:p>
  </w:footnote>
  <w:footnote w:id="11">
    <w:p w14:paraId="637DE568" w14:textId="58640D88" w:rsidR="000619E2" w:rsidRPr="009D6C28" w:rsidRDefault="000619E2" w:rsidP="000230CC">
      <w:pPr>
        <w:pStyle w:val="FootnoteText"/>
        <w:rPr>
          <w:lang w:val="en-US"/>
        </w:rPr>
      </w:pPr>
      <w:r>
        <w:rPr>
          <w:rStyle w:val="FootnoteReference"/>
        </w:rPr>
        <w:footnoteRef/>
      </w:r>
      <w:r>
        <w:t xml:space="preserve"> </w:t>
      </w:r>
      <w:r>
        <w:rPr>
          <w:lang w:val="en-US"/>
        </w:rPr>
        <w:t>Tranche 2 grant guidelines, page 8</w:t>
      </w:r>
    </w:p>
  </w:footnote>
  <w:footnote w:id="12">
    <w:p w14:paraId="6FD6C3AF" w14:textId="0387508E" w:rsidR="000619E2" w:rsidRPr="00EF6F07" w:rsidRDefault="000619E2" w:rsidP="000230CC">
      <w:pPr>
        <w:pStyle w:val="FootnoteText"/>
        <w:rPr>
          <w:lang w:val="en-US"/>
        </w:rPr>
      </w:pPr>
      <w:r>
        <w:rPr>
          <w:rStyle w:val="FootnoteReference"/>
        </w:rPr>
        <w:footnoteRef/>
      </w:r>
      <w:r>
        <w:t xml:space="preserve"> </w:t>
      </w:r>
      <w:r>
        <w:rPr>
          <w:lang w:val="en-US"/>
        </w:rPr>
        <w:t>Internal Audit of the Management of the PTP, page 14</w:t>
      </w:r>
    </w:p>
  </w:footnote>
  <w:footnote w:id="13">
    <w:p w14:paraId="1D1E08E9" w14:textId="77777777" w:rsidR="000619E2" w:rsidRPr="00104089" w:rsidRDefault="000619E2" w:rsidP="000230CC">
      <w:pPr>
        <w:pStyle w:val="FootnoteText"/>
        <w:rPr>
          <w:lang w:val="en-US"/>
        </w:rPr>
      </w:pPr>
      <w:r>
        <w:rPr>
          <w:rStyle w:val="FootnoteReference"/>
        </w:rPr>
        <w:footnoteRef/>
      </w:r>
      <w:r>
        <w:t xml:space="preserve"> </w:t>
      </w:r>
      <w:r>
        <w:rPr>
          <w:lang w:val="en-US"/>
        </w:rPr>
        <w:t>Internal Audit of the Management of the PTP, page 7</w:t>
      </w:r>
    </w:p>
  </w:footnote>
  <w:footnote w:id="14">
    <w:p w14:paraId="2448A1B2" w14:textId="77777777" w:rsidR="000619E2" w:rsidRPr="00104089" w:rsidRDefault="000619E2" w:rsidP="000230CC">
      <w:pPr>
        <w:pStyle w:val="FootnoteText"/>
        <w:rPr>
          <w:lang w:val="en-US"/>
        </w:rPr>
      </w:pPr>
      <w:r>
        <w:rPr>
          <w:rStyle w:val="FootnoteReference"/>
        </w:rPr>
        <w:footnoteRef/>
      </w:r>
      <w:r>
        <w:t xml:space="preserve"> </w:t>
      </w:r>
      <w:r>
        <w:rPr>
          <w:lang w:val="en-US"/>
        </w:rPr>
        <w:t>Internal Audit of the Management of the PTP, page 7</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B669BF" w14:textId="77777777" w:rsidR="000619E2" w:rsidRDefault="000619E2"/>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C0E374" w14:textId="77777777" w:rsidR="000619E2" w:rsidRPr="00781A26" w:rsidRDefault="000619E2" w:rsidP="00781A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40097111"/>
      <w:docPartObj>
        <w:docPartGallery w:val="Page Numbers (Top of Page)"/>
        <w:docPartUnique/>
      </w:docPartObj>
    </w:sdtPr>
    <w:sdtEndPr>
      <w:rPr>
        <w:noProof/>
      </w:rPr>
    </w:sdtEndPr>
    <w:sdtContent>
      <w:p w14:paraId="38190EB5" w14:textId="76068474" w:rsidR="000619E2" w:rsidRDefault="000619E2">
        <w:pPr>
          <w:pStyle w:val="Header"/>
          <w:jc w:val="right"/>
        </w:pPr>
        <w:r>
          <w:fldChar w:fldCharType="begin"/>
        </w:r>
        <w:r>
          <w:instrText xml:space="preserve"> PAGE   \* MERGEFORMAT </w:instrText>
        </w:r>
        <w:r>
          <w:fldChar w:fldCharType="separate"/>
        </w:r>
        <w:r w:rsidR="00B4232C">
          <w:rPr>
            <w:noProof/>
          </w:rPr>
          <w:t>vii</w:t>
        </w:r>
        <w:r>
          <w:rPr>
            <w:noProof/>
          </w:rPr>
          <w:fldChar w:fldCharType="end"/>
        </w:r>
      </w:p>
    </w:sdtContent>
  </w:sdt>
  <w:p w14:paraId="60F3E086" w14:textId="76D7356A" w:rsidR="000619E2" w:rsidRPr="00EE3994" w:rsidRDefault="000619E2" w:rsidP="00EE3994">
    <w:pPr>
      <w:pStyle w:val="HeaderSectionTitle-nonumb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9679860"/>
      <w:docPartObj>
        <w:docPartGallery w:val="Page Numbers (Top of Page)"/>
        <w:docPartUnique/>
      </w:docPartObj>
    </w:sdtPr>
    <w:sdtEndPr>
      <w:rPr>
        <w:noProof/>
      </w:rPr>
    </w:sdtEndPr>
    <w:sdtContent>
      <w:p w14:paraId="467D8E57" w14:textId="6976C1B0" w:rsidR="000619E2" w:rsidRDefault="000619E2">
        <w:pPr>
          <w:pStyle w:val="Header"/>
          <w:jc w:val="right"/>
        </w:pPr>
        <w:r>
          <w:fldChar w:fldCharType="begin"/>
        </w:r>
        <w:r>
          <w:instrText xml:space="preserve"> PAGE   \* MERGEFORMAT </w:instrText>
        </w:r>
        <w:r>
          <w:fldChar w:fldCharType="separate"/>
        </w:r>
        <w:r w:rsidR="00B4232C">
          <w:rPr>
            <w:noProof/>
          </w:rPr>
          <w:t>12</w:t>
        </w:r>
        <w:r>
          <w:rPr>
            <w:noProof/>
          </w:rPr>
          <w:fldChar w:fldCharType="end"/>
        </w:r>
      </w:p>
    </w:sdtContent>
  </w:sdt>
  <w:p w14:paraId="76B065D6" w14:textId="6C4FA519" w:rsidR="000619E2" w:rsidRPr="00597301" w:rsidRDefault="000619E2" w:rsidP="00EE3994">
    <w:pPr>
      <w:pStyle w:val="HeaderSectionTitle-nonumb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2FBB"/>
    <w:multiLevelType w:val="multilevel"/>
    <w:tmpl w:val="DCE28566"/>
    <w:numStyleLink w:val="Indent"/>
  </w:abstractNum>
  <w:abstractNum w:abstractNumId="1" w15:restartNumberingAfterBreak="0">
    <w:nsid w:val="010F575F"/>
    <w:multiLevelType w:val="multilevel"/>
    <w:tmpl w:val="E7228820"/>
    <w:styleLink w:val="TableBullets"/>
    <w:lvl w:ilvl="0">
      <w:start w:val="1"/>
      <w:numFmt w:val="bullet"/>
      <w:pStyle w:val="TableBullets1"/>
      <w:lvlText w:val="•"/>
      <w:lvlJc w:val="left"/>
      <w:pPr>
        <w:ind w:left="227" w:hanging="170"/>
      </w:pPr>
      <w:rPr>
        <w:rFonts w:ascii="Garamond" w:hAnsi="Garamond" w:hint="default"/>
        <w:color w:val="000000" w:themeColor="text1"/>
        <w:sz w:val="22"/>
      </w:rPr>
    </w:lvl>
    <w:lvl w:ilvl="1">
      <w:start w:val="1"/>
      <w:numFmt w:val="bullet"/>
      <w:pStyle w:val="TableBullets2"/>
      <w:lvlText w:val="–"/>
      <w:lvlJc w:val="left"/>
      <w:pPr>
        <w:ind w:left="454" w:hanging="227"/>
      </w:pPr>
      <w:rPr>
        <w:rFonts w:ascii="Garamond" w:hAnsi="Garamond" w:hint="default"/>
        <w:color w:val="787878" w:themeColor="text2"/>
      </w:rPr>
    </w:lvl>
    <w:lvl w:ilvl="2">
      <w:start w:val="1"/>
      <w:numFmt w:val="bullet"/>
      <w:lvlText w:val="–"/>
      <w:lvlJc w:val="left"/>
      <w:pPr>
        <w:ind w:left="624" w:hanging="170"/>
      </w:pPr>
      <w:rPr>
        <w:rFonts w:ascii="Garamond" w:hAnsi="Garamond" w:hint="default"/>
        <w:color w:val="787878" w:themeColor="text2"/>
      </w:rPr>
    </w:lvl>
    <w:lvl w:ilvl="3">
      <w:start w:val="1"/>
      <w:numFmt w:val="bullet"/>
      <w:lvlText w:val="-"/>
      <w:lvlJc w:val="left"/>
      <w:pPr>
        <w:ind w:left="765" w:hanging="141"/>
      </w:pPr>
      <w:rPr>
        <w:rFonts w:ascii="Garamond" w:hAnsi="Garamond" w:hint="default"/>
        <w:color w:val="787878" w:themeColor="text2"/>
      </w:rPr>
    </w:lvl>
    <w:lvl w:ilvl="4">
      <w:start w:val="1"/>
      <w:numFmt w:val="bullet"/>
      <w:pStyle w:val="TableBulletssmall1"/>
      <w:lvlText w:val="•"/>
      <w:lvlJc w:val="left"/>
      <w:pPr>
        <w:ind w:left="227" w:hanging="170"/>
      </w:pPr>
      <w:rPr>
        <w:rFonts w:ascii="Garamond" w:hAnsi="Garamond" w:hint="default"/>
        <w:color w:val="000000" w:themeColor="text1"/>
      </w:rPr>
    </w:lvl>
    <w:lvl w:ilvl="5">
      <w:start w:val="1"/>
      <w:numFmt w:val="bullet"/>
      <w:pStyle w:val="TableBulletssmall2"/>
      <w:lvlText w:val="–"/>
      <w:lvlJc w:val="left"/>
      <w:pPr>
        <w:ind w:left="454" w:hanging="227"/>
      </w:pPr>
      <w:rPr>
        <w:rFonts w:ascii="Garamond" w:hAnsi="Garamond" w:hint="default"/>
        <w:color w:val="787878" w:themeColor="text2"/>
      </w:rPr>
    </w:lvl>
    <w:lvl w:ilvl="6">
      <w:start w:val="1"/>
      <w:numFmt w:val="bullet"/>
      <w:lvlText w:val="–"/>
      <w:lvlJc w:val="left"/>
      <w:pPr>
        <w:ind w:left="624" w:hanging="170"/>
      </w:pPr>
      <w:rPr>
        <w:rFonts w:ascii="Garamond" w:hAnsi="Garamond" w:hint="default"/>
        <w:color w:val="787878" w:themeColor="text2"/>
      </w:rPr>
    </w:lvl>
    <w:lvl w:ilvl="7">
      <w:start w:val="1"/>
      <w:numFmt w:val="bullet"/>
      <w:lvlText w:val="-"/>
      <w:lvlJc w:val="left"/>
      <w:pPr>
        <w:ind w:left="765" w:hanging="141"/>
      </w:pPr>
      <w:rPr>
        <w:rFonts w:ascii="Garamond" w:hAnsi="Garamond" w:hint="default"/>
        <w:color w:val="787878" w:themeColor="text2"/>
      </w:rPr>
    </w:lvl>
    <w:lvl w:ilvl="8">
      <w:start w:val="1"/>
      <w:numFmt w:val="bullet"/>
      <w:lvlText w:val="•"/>
      <w:lvlJc w:val="left"/>
      <w:pPr>
        <w:ind w:left="170" w:hanging="170"/>
      </w:pPr>
      <w:rPr>
        <w:rFonts w:ascii="Garamond" w:hAnsi="Garamond" w:hint="default"/>
        <w:color w:val="000000" w:themeColor="text1"/>
      </w:rPr>
    </w:lvl>
  </w:abstractNum>
  <w:abstractNum w:abstractNumId="2" w15:restartNumberingAfterBreak="0">
    <w:nsid w:val="04EB54DE"/>
    <w:multiLevelType w:val="multilevel"/>
    <w:tmpl w:val="7E260AEE"/>
    <w:styleLink w:val="NamedHeadings"/>
    <w:lvl w:ilvl="0">
      <w:start w:val="1"/>
      <w:numFmt w:val="upperLetter"/>
      <w:pStyle w:val="AppendixHeading"/>
      <w:lvlText w:val="Appendix %1"/>
      <w:lvlJc w:val="left"/>
      <w:pPr>
        <w:ind w:left="1985" w:hanging="1985"/>
      </w:pPr>
      <w:rPr>
        <w:rFonts w:hint="default"/>
      </w:rPr>
    </w:lvl>
    <w:lvl w:ilvl="1">
      <w:start w:val="1"/>
      <w:numFmt w:val="decimal"/>
      <w:pStyle w:val="StageHeading"/>
      <w:lvlText w:val="Stage %2"/>
      <w:lvlJc w:val="left"/>
      <w:pPr>
        <w:ind w:left="1418" w:hanging="1418"/>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AC2735F"/>
    <w:multiLevelType w:val="multilevel"/>
    <w:tmpl w:val="51D490E6"/>
    <w:styleLink w:val="ListHeadings"/>
    <w:lvl w:ilvl="0">
      <w:start w:val="1"/>
      <w:numFmt w:val="decimal"/>
      <w:pStyle w:val="Heading1"/>
      <w:lvlText w:val="%1"/>
      <w:lvlJc w:val="left"/>
      <w:pPr>
        <w:ind w:left="851" w:hanging="851"/>
      </w:pPr>
      <w:rPr>
        <w:rFonts w:hint="default"/>
      </w:rPr>
    </w:lvl>
    <w:lvl w:ilvl="1">
      <w:start w:val="1"/>
      <w:numFmt w:val="decimal"/>
      <w:pStyle w:val="Heading2"/>
      <w:lvlText w:val="%1.%2"/>
      <w:lvlJc w:val="left"/>
      <w:pPr>
        <w:ind w:left="851" w:hanging="851"/>
      </w:pPr>
      <w:rPr>
        <w:rFonts w:hint="default"/>
      </w:rPr>
    </w:lvl>
    <w:lvl w:ilvl="2">
      <w:start w:val="1"/>
      <w:numFmt w:val="decimal"/>
      <w:pStyle w:val="Heading3"/>
      <w:lvlText w:val="%1.%2.%3"/>
      <w:lvlJc w:val="left"/>
      <w:pPr>
        <w:ind w:left="1134" w:hanging="1134"/>
      </w:pPr>
      <w:rPr>
        <w:rFonts w:hint="default"/>
      </w:rPr>
    </w:lvl>
    <w:lvl w:ilvl="3">
      <w:start w:val="1"/>
      <w:numFmt w:val="decimal"/>
      <w:lvlText w:val="%1.%2.%3.%4."/>
      <w:lvlJc w:val="left"/>
      <w:pPr>
        <w:ind w:left="1361" w:hanging="1361"/>
      </w:pPr>
      <w:rPr>
        <w:rFonts w:hint="default"/>
      </w:rPr>
    </w:lvl>
    <w:lvl w:ilvl="4">
      <w:start w:val="1"/>
      <w:numFmt w:val="decimal"/>
      <w:lvlText w:val="%1.%2.%3.%4.%5"/>
      <w:lvlJc w:val="left"/>
      <w:pPr>
        <w:ind w:left="1701" w:hanging="1701"/>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0CFE1832"/>
    <w:multiLevelType w:val="multilevel"/>
    <w:tmpl w:val="8788DA52"/>
    <w:styleLink w:val="HeaderTitleList"/>
    <w:lvl w:ilvl="0">
      <w:start w:val="1"/>
      <w:numFmt w:val="decimal"/>
      <w:pStyle w:val="HeaderSectionTitle"/>
      <w:lvlText w:val="%1."/>
      <w:lvlJc w:val="left"/>
      <w:pPr>
        <w:ind w:left="567" w:hanging="56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D5A5E93"/>
    <w:multiLevelType w:val="multilevel"/>
    <w:tmpl w:val="4ECC7EB8"/>
    <w:numStyleLink w:val="Bullets"/>
  </w:abstractNum>
  <w:abstractNum w:abstractNumId="6" w15:restartNumberingAfterBreak="0">
    <w:nsid w:val="0F6F37EA"/>
    <w:multiLevelType w:val="multilevel"/>
    <w:tmpl w:val="05DE4E62"/>
    <w:styleLink w:val="Numbering"/>
    <w:lvl w:ilvl="0">
      <w:start w:val="1"/>
      <w:numFmt w:val="decimal"/>
      <w:pStyle w:val="ListNumber"/>
      <w:lvlText w:val="%1."/>
      <w:lvlJc w:val="left"/>
      <w:pPr>
        <w:tabs>
          <w:tab w:val="num" w:pos="284"/>
        </w:tabs>
        <w:ind w:left="567" w:hanging="567"/>
      </w:pPr>
      <w:rPr>
        <w:rFonts w:hint="default"/>
      </w:rPr>
    </w:lvl>
    <w:lvl w:ilvl="1">
      <w:start w:val="1"/>
      <w:numFmt w:val="decimal"/>
      <w:pStyle w:val="ListNumber2"/>
      <w:lvlText w:val="%1.%2."/>
      <w:lvlJc w:val="left"/>
      <w:pPr>
        <w:ind w:left="567" w:hanging="567"/>
      </w:pPr>
      <w:rPr>
        <w:rFonts w:hint="default"/>
      </w:rPr>
    </w:lvl>
    <w:lvl w:ilvl="2">
      <w:start w:val="1"/>
      <w:numFmt w:val="decimal"/>
      <w:pStyle w:val="ListNumber3"/>
      <w:lvlText w:val="%1.%2.%3."/>
      <w:lvlJc w:val="left"/>
      <w:pPr>
        <w:tabs>
          <w:tab w:val="num" w:pos="1134"/>
        </w:tabs>
        <w:ind w:left="851" w:hanging="851"/>
      </w:pPr>
      <w:rPr>
        <w:rFonts w:hint="default"/>
      </w:rPr>
    </w:lvl>
    <w:lvl w:ilvl="3">
      <w:start w:val="1"/>
      <w:numFmt w:val="decimal"/>
      <w:pStyle w:val="ListNumber4"/>
      <w:lvlText w:val="%1.%2.%3.%4."/>
      <w:lvlJc w:val="left"/>
      <w:pPr>
        <w:ind w:left="1134" w:hanging="1134"/>
      </w:pPr>
      <w:rPr>
        <w:rFonts w:hint="default"/>
      </w:rPr>
    </w:lvl>
    <w:lvl w:ilvl="4">
      <w:start w:val="1"/>
      <w:numFmt w:val="decimal"/>
      <w:pStyle w:val="ListNumber5"/>
      <w:lvlText w:val="%1.%2.%3.%4.%5"/>
      <w:lvlJc w:val="left"/>
      <w:pPr>
        <w:ind w:left="1418" w:hanging="1418"/>
      </w:pPr>
      <w:rPr>
        <w:rFonts w:hint="default"/>
      </w:rPr>
    </w:lvl>
    <w:lvl w:ilvl="5">
      <w:start w:val="1"/>
      <w:numFmt w:val="decimal"/>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decimal"/>
      <w:lvlText w:val="%8."/>
      <w:lvlJc w:val="left"/>
      <w:pPr>
        <w:ind w:left="567" w:hanging="567"/>
      </w:pPr>
      <w:rPr>
        <w:rFonts w:hint="default"/>
      </w:rPr>
    </w:lvl>
    <w:lvl w:ilvl="8">
      <w:start w:val="1"/>
      <w:numFmt w:val="none"/>
      <w:lvlText w:val=""/>
      <w:lvlJc w:val="right"/>
      <w:pPr>
        <w:ind w:left="567" w:hanging="567"/>
      </w:pPr>
      <w:rPr>
        <w:rFonts w:hint="default"/>
      </w:rPr>
    </w:lvl>
  </w:abstractNum>
  <w:abstractNum w:abstractNumId="7" w15:restartNumberingAfterBreak="0">
    <w:nsid w:val="18CD34C1"/>
    <w:multiLevelType w:val="hybridMultilevel"/>
    <w:tmpl w:val="0CE40A04"/>
    <w:lvl w:ilvl="0" w:tplc="1CA2EB9A">
      <w:start w:val="1"/>
      <w:numFmt w:val="bullet"/>
      <w:pStyle w:val="ProjectImplicationBullet"/>
      <w:lvlText w:val=""/>
      <w:lvlJc w:val="left"/>
      <w:pPr>
        <w:ind w:left="833" w:hanging="360"/>
      </w:pPr>
      <w:rPr>
        <w:rFonts w:ascii="Symbol" w:hAnsi="Symbol" w:hint="default"/>
      </w:rPr>
    </w:lvl>
    <w:lvl w:ilvl="1" w:tplc="0C090003" w:tentative="1">
      <w:start w:val="1"/>
      <w:numFmt w:val="bullet"/>
      <w:lvlText w:val="o"/>
      <w:lvlJc w:val="left"/>
      <w:pPr>
        <w:ind w:left="1553" w:hanging="360"/>
      </w:pPr>
      <w:rPr>
        <w:rFonts w:ascii="Courier New" w:hAnsi="Courier New" w:cs="Courier New" w:hint="default"/>
      </w:rPr>
    </w:lvl>
    <w:lvl w:ilvl="2" w:tplc="0C090005" w:tentative="1">
      <w:start w:val="1"/>
      <w:numFmt w:val="bullet"/>
      <w:lvlText w:val=""/>
      <w:lvlJc w:val="left"/>
      <w:pPr>
        <w:ind w:left="2273" w:hanging="360"/>
      </w:pPr>
      <w:rPr>
        <w:rFonts w:ascii="Wingdings" w:hAnsi="Wingdings" w:hint="default"/>
      </w:rPr>
    </w:lvl>
    <w:lvl w:ilvl="3" w:tplc="0C090001" w:tentative="1">
      <w:start w:val="1"/>
      <w:numFmt w:val="bullet"/>
      <w:lvlText w:val=""/>
      <w:lvlJc w:val="left"/>
      <w:pPr>
        <w:ind w:left="2993" w:hanging="360"/>
      </w:pPr>
      <w:rPr>
        <w:rFonts w:ascii="Symbol" w:hAnsi="Symbol" w:hint="default"/>
      </w:rPr>
    </w:lvl>
    <w:lvl w:ilvl="4" w:tplc="0C090003" w:tentative="1">
      <w:start w:val="1"/>
      <w:numFmt w:val="bullet"/>
      <w:lvlText w:val="o"/>
      <w:lvlJc w:val="left"/>
      <w:pPr>
        <w:ind w:left="3713" w:hanging="360"/>
      </w:pPr>
      <w:rPr>
        <w:rFonts w:ascii="Courier New" w:hAnsi="Courier New" w:cs="Courier New" w:hint="default"/>
      </w:rPr>
    </w:lvl>
    <w:lvl w:ilvl="5" w:tplc="0C090005" w:tentative="1">
      <w:start w:val="1"/>
      <w:numFmt w:val="bullet"/>
      <w:lvlText w:val=""/>
      <w:lvlJc w:val="left"/>
      <w:pPr>
        <w:ind w:left="4433" w:hanging="360"/>
      </w:pPr>
      <w:rPr>
        <w:rFonts w:ascii="Wingdings" w:hAnsi="Wingdings" w:hint="default"/>
      </w:rPr>
    </w:lvl>
    <w:lvl w:ilvl="6" w:tplc="0C090001" w:tentative="1">
      <w:start w:val="1"/>
      <w:numFmt w:val="bullet"/>
      <w:lvlText w:val=""/>
      <w:lvlJc w:val="left"/>
      <w:pPr>
        <w:ind w:left="5153" w:hanging="360"/>
      </w:pPr>
      <w:rPr>
        <w:rFonts w:ascii="Symbol" w:hAnsi="Symbol" w:hint="default"/>
      </w:rPr>
    </w:lvl>
    <w:lvl w:ilvl="7" w:tplc="0C090003" w:tentative="1">
      <w:start w:val="1"/>
      <w:numFmt w:val="bullet"/>
      <w:lvlText w:val="o"/>
      <w:lvlJc w:val="left"/>
      <w:pPr>
        <w:ind w:left="5873" w:hanging="360"/>
      </w:pPr>
      <w:rPr>
        <w:rFonts w:ascii="Courier New" w:hAnsi="Courier New" w:cs="Courier New" w:hint="default"/>
      </w:rPr>
    </w:lvl>
    <w:lvl w:ilvl="8" w:tplc="0C090005" w:tentative="1">
      <w:start w:val="1"/>
      <w:numFmt w:val="bullet"/>
      <w:lvlText w:val=""/>
      <w:lvlJc w:val="left"/>
      <w:pPr>
        <w:ind w:left="6593" w:hanging="360"/>
      </w:pPr>
      <w:rPr>
        <w:rFonts w:ascii="Wingdings" w:hAnsi="Wingdings" w:hint="default"/>
      </w:rPr>
    </w:lvl>
  </w:abstractNum>
  <w:abstractNum w:abstractNumId="8" w15:restartNumberingAfterBreak="0">
    <w:nsid w:val="28992195"/>
    <w:multiLevelType w:val="multilevel"/>
    <w:tmpl w:val="7E260AEE"/>
    <w:numStyleLink w:val="NamedHeadings"/>
  </w:abstractNum>
  <w:abstractNum w:abstractNumId="9" w15:restartNumberingAfterBreak="0">
    <w:nsid w:val="2E617650"/>
    <w:multiLevelType w:val="hybridMultilevel"/>
    <w:tmpl w:val="D2EC355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0" w15:restartNumberingAfterBreak="0">
    <w:nsid w:val="2EEE1CBC"/>
    <w:multiLevelType w:val="hybridMultilevel"/>
    <w:tmpl w:val="E3CCA542"/>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1" w15:restartNumberingAfterBreak="0">
    <w:nsid w:val="30155115"/>
    <w:multiLevelType w:val="multilevel"/>
    <w:tmpl w:val="51D490E6"/>
    <w:numStyleLink w:val="ListHeadings"/>
  </w:abstractNum>
  <w:abstractNum w:abstractNumId="12" w15:restartNumberingAfterBreak="0">
    <w:nsid w:val="34EC7B3C"/>
    <w:multiLevelType w:val="hybridMultilevel"/>
    <w:tmpl w:val="7A6AD2E2"/>
    <w:lvl w:ilvl="0" w:tplc="F0848BD2">
      <w:start w:val="1"/>
      <w:numFmt w:val="decimal"/>
      <w:pStyle w:val="PreliminaryFinding"/>
      <w:lvlText w:val="Observation %1:"/>
      <w:lvlJc w:val="left"/>
      <w:pPr>
        <w:ind w:left="360" w:hanging="360"/>
      </w:pPr>
      <w:rPr>
        <w:rFonts w:ascii="Franklin Gothic Book" w:hAnsi="Franklin Gothic Book" w:hint="default"/>
        <w:caps w:val="0"/>
        <w:color w:val="4B4B4B" w:themeColor="accent2"/>
        <w:sz w:val="22"/>
        <w:u w:val="none"/>
      </w:rPr>
    </w:lvl>
    <w:lvl w:ilvl="1" w:tplc="0C090019" w:tentative="1">
      <w:start w:val="1"/>
      <w:numFmt w:val="lowerLetter"/>
      <w:lvlText w:val="%2."/>
      <w:lvlJc w:val="left"/>
      <w:pPr>
        <w:ind w:left="1553" w:hanging="360"/>
      </w:pPr>
    </w:lvl>
    <w:lvl w:ilvl="2" w:tplc="0C09001B" w:tentative="1">
      <w:start w:val="1"/>
      <w:numFmt w:val="lowerRoman"/>
      <w:lvlText w:val="%3."/>
      <w:lvlJc w:val="right"/>
      <w:pPr>
        <w:ind w:left="2273" w:hanging="180"/>
      </w:pPr>
    </w:lvl>
    <w:lvl w:ilvl="3" w:tplc="0C09000F" w:tentative="1">
      <w:start w:val="1"/>
      <w:numFmt w:val="decimal"/>
      <w:lvlText w:val="%4."/>
      <w:lvlJc w:val="left"/>
      <w:pPr>
        <w:ind w:left="2993" w:hanging="360"/>
      </w:pPr>
    </w:lvl>
    <w:lvl w:ilvl="4" w:tplc="0C090019" w:tentative="1">
      <w:start w:val="1"/>
      <w:numFmt w:val="lowerLetter"/>
      <w:lvlText w:val="%5."/>
      <w:lvlJc w:val="left"/>
      <w:pPr>
        <w:ind w:left="3713" w:hanging="360"/>
      </w:pPr>
    </w:lvl>
    <w:lvl w:ilvl="5" w:tplc="0C09001B" w:tentative="1">
      <w:start w:val="1"/>
      <w:numFmt w:val="lowerRoman"/>
      <w:lvlText w:val="%6."/>
      <w:lvlJc w:val="right"/>
      <w:pPr>
        <w:ind w:left="4433" w:hanging="180"/>
      </w:pPr>
    </w:lvl>
    <w:lvl w:ilvl="6" w:tplc="0C09000F" w:tentative="1">
      <w:start w:val="1"/>
      <w:numFmt w:val="decimal"/>
      <w:lvlText w:val="%7."/>
      <w:lvlJc w:val="left"/>
      <w:pPr>
        <w:ind w:left="5153" w:hanging="360"/>
      </w:pPr>
    </w:lvl>
    <w:lvl w:ilvl="7" w:tplc="0C090019" w:tentative="1">
      <w:start w:val="1"/>
      <w:numFmt w:val="lowerLetter"/>
      <w:lvlText w:val="%8."/>
      <w:lvlJc w:val="left"/>
      <w:pPr>
        <w:ind w:left="5873" w:hanging="360"/>
      </w:pPr>
    </w:lvl>
    <w:lvl w:ilvl="8" w:tplc="0C09001B" w:tentative="1">
      <w:start w:val="1"/>
      <w:numFmt w:val="lowerRoman"/>
      <w:lvlText w:val="%9."/>
      <w:lvlJc w:val="right"/>
      <w:pPr>
        <w:ind w:left="6593" w:hanging="180"/>
      </w:pPr>
    </w:lvl>
  </w:abstractNum>
  <w:abstractNum w:abstractNumId="13" w15:restartNumberingAfterBreak="0">
    <w:nsid w:val="3727115B"/>
    <w:multiLevelType w:val="multilevel"/>
    <w:tmpl w:val="94CA9BF6"/>
    <w:styleLink w:val="Headings"/>
    <w:lvl w:ilvl="0">
      <w:start w:val="1"/>
      <w:numFmt w:val="decimal"/>
      <w:lvlText w:val="%1"/>
      <w:lvlJc w:val="left"/>
      <w:pPr>
        <w:ind w:left="737" w:hanging="737"/>
      </w:pPr>
      <w:rPr>
        <w:rFonts w:hint="default"/>
      </w:rPr>
    </w:lvl>
    <w:lvl w:ilvl="1">
      <w:start w:val="1"/>
      <w:numFmt w:val="decimal"/>
      <w:lvlText w:val="%1.%2"/>
      <w:lvlJc w:val="left"/>
      <w:pPr>
        <w:ind w:left="992" w:hanging="992"/>
      </w:pPr>
      <w:rPr>
        <w:rFonts w:hint="default"/>
        <w:u w:val="none"/>
      </w:rPr>
    </w:lvl>
    <w:lvl w:ilvl="2">
      <w:start w:val="1"/>
      <w:numFmt w:val="decimal"/>
      <w:lvlText w:val="%1.%2.%3"/>
      <w:lvlJc w:val="left"/>
      <w:pPr>
        <w:ind w:left="992" w:hanging="992"/>
      </w:pPr>
      <w:rPr>
        <w:rFonts w:hint="default"/>
      </w:rPr>
    </w:lvl>
    <w:lvl w:ilvl="3">
      <w:start w:val="1"/>
      <w:numFmt w:val="decimal"/>
      <w:lvlText w:val="%1.%2.%3.%4"/>
      <w:lvlJc w:val="left"/>
      <w:pPr>
        <w:ind w:left="680" w:hanging="680"/>
      </w:pPr>
      <w:rPr>
        <w:rFonts w:hint="default"/>
      </w:rPr>
    </w:lvl>
    <w:lvl w:ilvl="4">
      <w:start w:val="1"/>
      <w:numFmt w:val="decimal"/>
      <w:lvlText w:val="%1.%2.%3.%4.%5"/>
      <w:lvlJc w:val="left"/>
      <w:pPr>
        <w:ind w:left="680" w:hanging="680"/>
      </w:pPr>
      <w:rPr>
        <w:rFonts w:hint="default"/>
      </w:rPr>
    </w:lvl>
    <w:lvl w:ilvl="5">
      <w:start w:val="1"/>
      <w:numFmt w:val="decimal"/>
      <w:lvlText w:val="%1.%2.%3.%4.%5.%6"/>
      <w:lvlJc w:val="left"/>
      <w:pPr>
        <w:ind w:left="680" w:hanging="680"/>
      </w:pPr>
      <w:rPr>
        <w:rFonts w:hint="default"/>
      </w:rPr>
    </w:lvl>
    <w:lvl w:ilvl="6">
      <w:start w:val="1"/>
      <w:numFmt w:val="decimal"/>
      <w:lvlText w:val="%1.%2.%3.%4.%5.%6.%7"/>
      <w:lvlJc w:val="left"/>
      <w:pPr>
        <w:ind w:left="680" w:hanging="680"/>
      </w:pPr>
      <w:rPr>
        <w:rFonts w:hint="default"/>
      </w:rPr>
    </w:lvl>
    <w:lvl w:ilvl="7">
      <w:start w:val="1"/>
      <w:numFmt w:val="decimal"/>
      <w:lvlText w:val="%1.%2.%3.%4.%5.%6.%7.%8"/>
      <w:lvlJc w:val="left"/>
      <w:pPr>
        <w:ind w:left="680" w:hanging="680"/>
      </w:pPr>
      <w:rPr>
        <w:rFonts w:hint="default"/>
      </w:rPr>
    </w:lvl>
    <w:lvl w:ilvl="8">
      <w:start w:val="1"/>
      <w:numFmt w:val="decimal"/>
      <w:lvlText w:val="%9%1"/>
      <w:lvlJc w:val="left"/>
      <w:pPr>
        <w:tabs>
          <w:tab w:val="num" w:pos="1248"/>
        </w:tabs>
        <w:ind w:left="1248" w:hanging="822"/>
      </w:pPr>
      <w:rPr>
        <w:rFonts w:hint="default"/>
      </w:rPr>
    </w:lvl>
  </w:abstractNum>
  <w:abstractNum w:abstractNumId="14" w15:restartNumberingAfterBreak="0">
    <w:nsid w:val="417268FA"/>
    <w:multiLevelType w:val="multilevel"/>
    <w:tmpl w:val="79202170"/>
    <w:styleLink w:val="LetteredList"/>
    <w:lvl w:ilvl="0">
      <w:start w:val="1"/>
      <w:numFmt w:val="decimal"/>
      <w:pStyle w:val="List"/>
      <w:lvlText w:val="(%1)"/>
      <w:lvlJc w:val="left"/>
      <w:pPr>
        <w:ind w:left="567" w:hanging="567"/>
      </w:pPr>
      <w:rPr>
        <w:rFonts w:hint="default"/>
      </w:rPr>
    </w:lvl>
    <w:lvl w:ilvl="1">
      <w:start w:val="1"/>
      <w:numFmt w:val="lowerLetter"/>
      <w:pStyle w:val="List2"/>
      <w:lvlText w:val="(%2)"/>
      <w:lvlJc w:val="left"/>
      <w:pPr>
        <w:ind w:left="851" w:hanging="284"/>
      </w:pPr>
      <w:rPr>
        <w:rFonts w:hint="default"/>
      </w:rPr>
    </w:lvl>
    <w:lvl w:ilvl="2">
      <w:start w:val="1"/>
      <w:numFmt w:val="lowerRoman"/>
      <w:pStyle w:val="List3"/>
      <w:lvlText w:val="(%3)"/>
      <w:lvlJc w:val="left"/>
      <w:pPr>
        <w:tabs>
          <w:tab w:val="num" w:pos="1134"/>
        </w:tabs>
        <w:ind w:left="851" w:firstLine="28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7007BF5"/>
    <w:multiLevelType w:val="hybridMultilevel"/>
    <w:tmpl w:val="056652A6"/>
    <w:lvl w:ilvl="0" w:tplc="354031FA">
      <w:start w:val="1"/>
      <w:numFmt w:val="decimal"/>
      <w:pStyle w:val="StrategicDirection"/>
      <w:lvlText w:val="Key Finding %1:"/>
      <w:lvlJc w:val="left"/>
      <w:pPr>
        <w:ind w:left="473" w:hanging="360"/>
      </w:pPr>
      <w:rPr>
        <w:rFonts w:ascii="Franklin Gothic Book" w:hAnsi="Franklin Gothic Book" w:hint="default"/>
        <w:caps w:val="0"/>
        <w:color w:val="000000" w:themeColor="text1"/>
        <w:sz w:val="20"/>
        <w:u w:val="none"/>
      </w:rPr>
    </w:lvl>
    <w:lvl w:ilvl="1" w:tplc="04090019" w:tentative="1">
      <w:start w:val="1"/>
      <w:numFmt w:val="lowerLetter"/>
      <w:lvlText w:val="%2."/>
      <w:lvlJc w:val="left"/>
      <w:pPr>
        <w:ind w:left="1553" w:hanging="360"/>
      </w:pPr>
    </w:lvl>
    <w:lvl w:ilvl="2" w:tplc="0409001B" w:tentative="1">
      <w:start w:val="1"/>
      <w:numFmt w:val="lowerRoman"/>
      <w:lvlText w:val="%3."/>
      <w:lvlJc w:val="right"/>
      <w:pPr>
        <w:ind w:left="2273" w:hanging="180"/>
      </w:pPr>
    </w:lvl>
    <w:lvl w:ilvl="3" w:tplc="0409000F" w:tentative="1">
      <w:start w:val="1"/>
      <w:numFmt w:val="decimal"/>
      <w:lvlText w:val="%4."/>
      <w:lvlJc w:val="left"/>
      <w:pPr>
        <w:ind w:left="2993" w:hanging="360"/>
      </w:pPr>
    </w:lvl>
    <w:lvl w:ilvl="4" w:tplc="04090019" w:tentative="1">
      <w:start w:val="1"/>
      <w:numFmt w:val="lowerLetter"/>
      <w:lvlText w:val="%5."/>
      <w:lvlJc w:val="left"/>
      <w:pPr>
        <w:ind w:left="3713" w:hanging="360"/>
      </w:pPr>
    </w:lvl>
    <w:lvl w:ilvl="5" w:tplc="0409001B" w:tentative="1">
      <w:start w:val="1"/>
      <w:numFmt w:val="lowerRoman"/>
      <w:lvlText w:val="%6."/>
      <w:lvlJc w:val="right"/>
      <w:pPr>
        <w:ind w:left="4433" w:hanging="180"/>
      </w:pPr>
    </w:lvl>
    <w:lvl w:ilvl="6" w:tplc="0409000F" w:tentative="1">
      <w:start w:val="1"/>
      <w:numFmt w:val="decimal"/>
      <w:lvlText w:val="%7."/>
      <w:lvlJc w:val="left"/>
      <w:pPr>
        <w:ind w:left="5153" w:hanging="360"/>
      </w:pPr>
    </w:lvl>
    <w:lvl w:ilvl="7" w:tplc="04090019" w:tentative="1">
      <w:start w:val="1"/>
      <w:numFmt w:val="lowerLetter"/>
      <w:lvlText w:val="%8."/>
      <w:lvlJc w:val="left"/>
      <w:pPr>
        <w:ind w:left="5873" w:hanging="360"/>
      </w:pPr>
    </w:lvl>
    <w:lvl w:ilvl="8" w:tplc="0409001B" w:tentative="1">
      <w:start w:val="1"/>
      <w:numFmt w:val="lowerRoman"/>
      <w:lvlText w:val="%9."/>
      <w:lvlJc w:val="right"/>
      <w:pPr>
        <w:ind w:left="6593" w:hanging="180"/>
      </w:pPr>
    </w:lvl>
  </w:abstractNum>
  <w:abstractNum w:abstractNumId="16" w15:restartNumberingAfterBreak="0">
    <w:nsid w:val="4A6D0BC3"/>
    <w:multiLevelType w:val="hybridMultilevel"/>
    <w:tmpl w:val="C212A1D8"/>
    <w:lvl w:ilvl="0" w:tplc="E98EB274">
      <w:start w:val="1"/>
      <w:numFmt w:val="decimal"/>
      <w:pStyle w:val="Finding"/>
      <w:lvlText w:val="Finding %1:"/>
      <w:lvlJc w:val="left"/>
      <w:pPr>
        <w:ind w:left="833" w:hanging="360"/>
      </w:pPr>
      <w:rPr>
        <w:rFonts w:ascii="Franklin Gothic Book" w:hAnsi="Franklin Gothic Book" w:hint="default"/>
        <w:b w:val="0"/>
        <w:i w:val="0"/>
        <w:sz w:val="22"/>
      </w:rPr>
    </w:lvl>
    <w:lvl w:ilvl="1" w:tplc="0C090019" w:tentative="1">
      <w:start w:val="1"/>
      <w:numFmt w:val="lowerLetter"/>
      <w:lvlText w:val="%2."/>
      <w:lvlJc w:val="left"/>
      <w:pPr>
        <w:ind w:left="1553" w:hanging="360"/>
      </w:pPr>
    </w:lvl>
    <w:lvl w:ilvl="2" w:tplc="0C09001B" w:tentative="1">
      <w:start w:val="1"/>
      <w:numFmt w:val="lowerRoman"/>
      <w:lvlText w:val="%3."/>
      <w:lvlJc w:val="right"/>
      <w:pPr>
        <w:ind w:left="2273" w:hanging="180"/>
      </w:pPr>
    </w:lvl>
    <w:lvl w:ilvl="3" w:tplc="0C09000F" w:tentative="1">
      <w:start w:val="1"/>
      <w:numFmt w:val="decimal"/>
      <w:lvlText w:val="%4."/>
      <w:lvlJc w:val="left"/>
      <w:pPr>
        <w:ind w:left="2993" w:hanging="360"/>
      </w:pPr>
    </w:lvl>
    <w:lvl w:ilvl="4" w:tplc="0C090019" w:tentative="1">
      <w:start w:val="1"/>
      <w:numFmt w:val="lowerLetter"/>
      <w:lvlText w:val="%5."/>
      <w:lvlJc w:val="left"/>
      <w:pPr>
        <w:ind w:left="3713" w:hanging="360"/>
      </w:pPr>
    </w:lvl>
    <w:lvl w:ilvl="5" w:tplc="0C09001B" w:tentative="1">
      <w:start w:val="1"/>
      <w:numFmt w:val="lowerRoman"/>
      <w:lvlText w:val="%6."/>
      <w:lvlJc w:val="right"/>
      <w:pPr>
        <w:ind w:left="4433" w:hanging="180"/>
      </w:pPr>
    </w:lvl>
    <w:lvl w:ilvl="6" w:tplc="0C09000F" w:tentative="1">
      <w:start w:val="1"/>
      <w:numFmt w:val="decimal"/>
      <w:lvlText w:val="%7."/>
      <w:lvlJc w:val="left"/>
      <w:pPr>
        <w:ind w:left="5153" w:hanging="360"/>
      </w:pPr>
    </w:lvl>
    <w:lvl w:ilvl="7" w:tplc="0C090019" w:tentative="1">
      <w:start w:val="1"/>
      <w:numFmt w:val="lowerLetter"/>
      <w:lvlText w:val="%8."/>
      <w:lvlJc w:val="left"/>
      <w:pPr>
        <w:ind w:left="5873" w:hanging="360"/>
      </w:pPr>
    </w:lvl>
    <w:lvl w:ilvl="8" w:tplc="0C09001B" w:tentative="1">
      <w:start w:val="1"/>
      <w:numFmt w:val="lowerRoman"/>
      <w:lvlText w:val="%9."/>
      <w:lvlJc w:val="right"/>
      <w:pPr>
        <w:ind w:left="6593" w:hanging="180"/>
      </w:pPr>
    </w:lvl>
  </w:abstractNum>
  <w:abstractNum w:abstractNumId="17" w15:restartNumberingAfterBreak="0">
    <w:nsid w:val="55475046"/>
    <w:multiLevelType w:val="multilevel"/>
    <w:tmpl w:val="DCE28566"/>
    <w:styleLink w:val="Indent"/>
    <w:lvl w:ilvl="0">
      <w:start w:val="1"/>
      <w:numFmt w:val="decimal"/>
      <w:lvlText w:val="Key Finding %1:"/>
      <w:lvlJc w:val="left"/>
      <w:pPr>
        <w:ind w:left="1701" w:hanging="1588"/>
      </w:pPr>
      <w:rPr>
        <w:rFonts w:ascii="Franklin Gothic Book" w:hAnsi="Franklin Gothic Book" w:hint="default"/>
        <w:caps w:val="0"/>
        <w:color w:val="000000" w:themeColor="text1"/>
        <w:sz w:val="22"/>
        <w:u w:val="none"/>
      </w:rPr>
    </w:lvl>
    <w:lvl w:ilvl="1">
      <w:start w:val="1"/>
      <w:numFmt w:val="upperLetter"/>
      <w:pStyle w:val="DividerPageTitle"/>
      <w:lvlText w:val="Part %2"/>
      <w:lvlJc w:val="left"/>
      <w:pPr>
        <w:ind w:left="7768" w:hanging="7768"/>
      </w:pPr>
      <w:rPr>
        <w:rFonts w:hint="default"/>
        <w:b/>
        <w:i w:val="0"/>
        <w:sz w:val="72"/>
        <w:u w:val="single"/>
      </w:rPr>
    </w:lvl>
    <w:lvl w:ilvl="2">
      <w:start w:val="1"/>
      <w:numFmt w:val="decimal"/>
      <w:lvlText w:val="Recommendation %3:"/>
      <w:lvlJc w:val="left"/>
      <w:pPr>
        <w:ind w:left="2268" w:hanging="2155"/>
      </w:pPr>
      <w:rPr>
        <w:rFonts w:ascii="Franklin Gothic Book" w:hAnsi="Franklin Gothic Book" w:hint="default"/>
        <w:color w:val="000000"/>
        <w:sz w:val="22"/>
      </w:rPr>
    </w:lvl>
    <w:lvl w:ilvl="3">
      <w:start w:val="1"/>
      <w:numFmt w:val="decimal"/>
      <w:lvlText w:val="Strategic Direction %4:"/>
      <w:lvlJc w:val="left"/>
      <w:pPr>
        <w:ind w:left="2552" w:hanging="2439"/>
      </w:pPr>
      <w:rPr>
        <w:rFonts w:ascii="Franklin Gothic Book" w:hAnsi="Franklin Gothic Book" w:hint="default"/>
        <w:color w:val="000000" w:themeColor="text1"/>
        <w:sz w:val="22"/>
      </w:rPr>
    </w:lvl>
    <w:lvl w:ilvl="4">
      <w:start w:val="1"/>
      <w:numFmt w:val="lowerLetter"/>
      <w:lvlText w:val="%5."/>
      <w:lvlJc w:val="left"/>
      <w:pPr>
        <w:ind w:left="5472" w:hanging="360"/>
      </w:pPr>
      <w:rPr>
        <w:rFonts w:hint="default"/>
      </w:rPr>
    </w:lvl>
    <w:lvl w:ilvl="5">
      <w:start w:val="1"/>
      <w:numFmt w:val="lowerRoman"/>
      <w:lvlText w:val="%6."/>
      <w:lvlJc w:val="right"/>
      <w:pPr>
        <w:ind w:left="6192" w:hanging="180"/>
      </w:pPr>
      <w:rPr>
        <w:rFonts w:hint="default"/>
      </w:rPr>
    </w:lvl>
    <w:lvl w:ilvl="6">
      <w:start w:val="1"/>
      <w:numFmt w:val="decimal"/>
      <w:lvlText w:val="%7."/>
      <w:lvlJc w:val="left"/>
      <w:pPr>
        <w:ind w:left="6912" w:hanging="360"/>
      </w:pPr>
      <w:rPr>
        <w:rFonts w:hint="default"/>
      </w:rPr>
    </w:lvl>
    <w:lvl w:ilvl="7">
      <w:start w:val="1"/>
      <w:numFmt w:val="lowerLetter"/>
      <w:lvlText w:val="%8."/>
      <w:lvlJc w:val="left"/>
      <w:pPr>
        <w:ind w:left="7632" w:hanging="360"/>
      </w:pPr>
      <w:rPr>
        <w:rFonts w:hint="default"/>
      </w:rPr>
    </w:lvl>
    <w:lvl w:ilvl="8">
      <w:start w:val="1"/>
      <w:numFmt w:val="lowerRoman"/>
      <w:lvlText w:val="%9."/>
      <w:lvlJc w:val="right"/>
      <w:pPr>
        <w:ind w:left="8352" w:hanging="180"/>
      </w:pPr>
      <w:rPr>
        <w:rFonts w:hint="default"/>
      </w:rPr>
    </w:lvl>
  </w:abstractNum>
  <w:abstractNum w:abstractNumId="18" w15:restartNumberingAfterBreak="0">
    <w:nsid w:val="60E1502C"/>
    <w:multiLevelType w:val="multilevel"/>
    <w:tmpl w:val="4ECC7EB8"/>
    <w:styleLink w:val="Bullets"/>
    <w:lvl w:ilvl="0">
      <w:start w:val="1"/>
      <w:numFmt w:val="bullet"/>
      <w:pStyle w:val="ListBullet"/>
      <w:lvlText w:val=""/>
      <w:lvlJc w:val="left"/>
      <w:pPr>
        <w:ind w:left="284" w:hanging="284"/>
      </w:pPr>
      <w:rPr>
        <w:rFonts w:ascii="Symbol" w:hAnsi="Symbol" w:cs="Times New Roman" w:hint="default"/>
        <w:color w:val="auto"/>
      </w:rPr>
    </w:lvl>
    <w:lvl w:ilvl="1">
      <w:start w:val="1"/>
      <w:numFmt w:val="bullet"/>
      <w:pStyle w:val="ListBullet2"/>
      <w:lvlText w:val="–"/>
      <w:lvlJc w:val="left"/>
      <w:pPr>
        <w:ind w:left="567" w:hanging="283"/>
      </w:pPr>
      <w:rPr>
        <w:rFonts w:ascii="Calibri" w:hAnsi="Calibri" w:cs="Calibri" w:hint="default"/>
        <w:color w:val="auto"/>
      </w:rPr>
    </w:lvl>
    <w:lvl w:ilvl="2">
      <w:start w:val="1"/>
      <w:numFmt w:val="bullet"/>
      <w:pStyle w:val="ListBullet3"/>
      <w:lvlText w:val="–"/>
      <w:lvlJc w:val="left"/>
      <w:pPr>
        <w:ind w:left="851" w:hanging="284"/>
      </w:pPr>
      <w:rPr>
        <w:rFonts w:ascii="Calibri" w:hAnsi="Calibri" w:cs="Calibri" w:hint="default"/>
        <w:color w:val="auto"/>
      </w:rPr>
    </w:lvl>
    <w:lvl w:ilvl="3">
      <w:start w:val="1"/>
      <w:numFmt w:val="bullet"/>
      <w:lvlText w:val="–"/>
      <w:lvlJc w:val="left"/>
      <w:pPr>
        <w:tabs>
          <w:tab w:val="num" w:pos="851"/>
        </w:tabs>
        <w:ind w:left="1134" w:hanging="283"/>
      </w:pPr>
      <w:rPr>
        <w:rFonts w:ascii="Calibri" w:hAnsi="Calibri" w:cs="Times New Roman" w:hint="default"/>
        <w:color w:val="auto"/>
      </w:rPr>
    </w:lvl>
    <w:lvl w:ilvl="4">
      <w:start w:val="1"/>
      <w:numFmt w:val="bullet"/>
      <w:lvlText w:val="–"/>
      <w:lvlJc w:val="left"/>
      <w:pPr>
        <w:ind w:left="1418" w:hanging="284"/>
      </w:pPr>
      <w:rPr>
        <w:rFonts w:ascii="Calibri" w:hAnsi="Calibri" w:cs="Times New Roman" w:hint="default"/>
        <w:color w:val="auto"/>
      </w:rPr>
    </w:lvl>
    <w:lvl w:ilvl="5">
      <w:start w:val="1"/>
      <w:numFmt w:val="bullet"/>
      <w:lvlText w:val="–"/>
      <w:lvlJc w:val="left"/>
      <w:pPr>
        <w:ind w:left="1701" w:hanging="283"/>
      </w:pPr>
      <w:rPr>
        <w:rFonts w:ascii="Arial" w:hAnsi="Arial" w:cs="Times New Roman" w:hint="default"/>
      </w:rPr>
    </w:lvl>
    <w:lvl w:ilvl="6">
      <w:start w:val="1"/>
      <w:numFmt w:val="bullet"/>
      <w:lvlText w:val="–"/>
      <w:lvlJc w:val="left"/>
      <w:pPr>
        <w:ind w:left="1985" w:hanging="284"/>
      </w:pPr>
      <w:rPr>
        <w:rFonts w:ascii="Arial" w:hAnsi="Arial" w:cs="Times New Roman" w:hint="default"/>
      </w:rPr>
    </w:lvl>
    <w:lvl w:ilvl="7">
      <w:start w:val="1"/>
      <w:numFmt w:val="bullet"/>
      <w:lvlText w:val="–"/>
      <w:lvlJc w:val="left"/>
      <w:pPr>
        <w:ind w:left="2268" w:hanging="283"/>
      </w:pPr>
      <w:rPr>
        <w:rFonts w:ascii="Arial" w:hAnsi="Arial" w:cs="Times New Roman" w:hint="default"/>
      </w:rPr>
    </w:lvl>
    <w:lvl w:ilvl="8">
      <w:start w:val="1"/>
      <w:numFmt w:val="bullet"/>
      <w:lvlText w:val="–"/>
      <w:lvlJc w:val="left"/>
      <w:pPr>
        <w:ind w:left="2552" w:hanging="284"/>
      </w:pPr>
      <w:rPr>
        <w:rFonts w:ascii="Arial" w:hAnsi="Arial" w:cs="Times New Roman" w:hint="default"/>
      </w:rPr>
    </w:lvl>
  </w:abstractNum>
  <w:abstractNum w:abstractNumId="19" w15:restartNumberingAfterBreak="0">
    <w:nsid w:val="6191443C"/>
    <w:multiLevelType w:val="multilevel"/>
    <w:tmpl w:val="05DE4E62"/>
    <w:numStyleLink w:val="Numbering"/>
  </w:abstractNum>
  <w:abstractNum w:abstractNumId="20" w15:restartNumberingAfterBreak="0">
    <w:nsid w:val="63CC4626"/>
    <w:multiLevelType w:val="multilevel"/>
    <w:tmpl w:val="8788DA52"/>
    <w:numStyleLink w:val="HeaderTitleList"/>
  </w:abstractNum>
  <w:abstractNum w:abstractNumId="21" w15:restartNumberingAfterBreak="0">
    <w:nsid w:val="65135D2F"/>
    <w:multiLevelType w:val="multilevel"/>
    <w:tmpl w:val="7EC83984"/>
    <w:styleLink w:val="TableNumbers"/>
    <w:lvl w:ilvl="0">
      <w:start w:val="1"/>
      <w:numFmt w:val="decimal"/>
      <w:pStyle w:val="TableNumbers1"/>
      <w:lvlText w:val="(%1)"/>
      <w:lvlJc w:val="left"/>
      <w:pPr>
        <w:ind w:left="397" w:hanging="340"/>
      </w:pPr>
      <w:rPr>
        <w:rFonts w:hint="default"/>
      </w:rPr>
    </w:lvl>
    <w:lvl w:ilvl="1">
      <w:start w:val="1"/>
      <w:numFmt w:val="lowerLetter"/>
      <w:pStyle w:val="TableNumbers2"/>
      <w:lvlText w:val="(%2)"/>
      <w:lvlJc w:val="left"/>
      <w:pPr>
        <w:ind w:left="652" w:hanging="255"/>
      </w:pPr>
      <w:rPr>
        <w:rFonts w:hint="default"/>
      </w:rPr>
    </w:lvl>
    <w:lvl w:ilvl="2">
      <w:start w:val="1"/>
      <w:numFmt w:val="lowerRoman"/>
      <w:lvlText w:val="(%3)"/>
      <w:lvlJc w:val="left"/>
      <w:pPr>
        <w:ind w:left="1134" w:hanging="482"/>
      </w:pPr>
      <w:rPr>
        <w:rFonts w:hint="default"/>
      </w:rPr>
    </w:lvl>
    <w:lvl w:ilvl="3">
      <w:start w:val="1"/>
      <w:numFmt w:val="bullet"/>
      <w:lvlText w:val="-"/>
      <w:lvlJc w:val="left"/>
      <w:pPr>
        <w:tabs>
          <w:tab w:val="num" w:pos="1264"/>
        </w:tabs>
        <w:ind w:left="1332" w:hanging="198"/>
      </w:pPr>
      <w:rPr>
        <w:rFonts w:ascii="Garamond" w:hAnsi="Garamond" w:hint="default"/>
        <w:color w:val="787878" w:themeColor="text2"/>
      </w:rPr>
    </w:lvl>
    <w:lvl w:ilvl="4">
      <w:start w:val="1"/>
      <w:numFmt w:val="decimal"/>
      <w:pStyle w:val="TableNumberssmall1"/>
      <w:lvlText w:val="(%5)"/>
      <w:lvlJc w:val="left"/>
      <w:pPr>
        <w:ind w:left="397" w:hanging="340"/>
      </w:pPr>
      <w:rPr>
        <w:rFonts w:hint="default"/>
      </w:rPr>
    </w:lvl>
    <w:lvl w:ilvl="5">
      <w:start w:val="1"/>
      <w:numFmt w:val="lowerLetter"/>
      <w:pStyle w:val="TableNumberssmall2"/>
      <w:lvlText w:val="(%6)"/>
      <w:lvlJc w:val="left"/>
      <w:pPr>
        <w:ind w:left="652" w:hanging="255"/>
      </w:pPr>
      <w:rPr>
        <w:rFonts w:hint="default"/>
      </w:rPr>
    </w:lvl>
    <w:lvl w:ilvl="6">
      <w:start w:val="1"/>
      <w:numFmt w:val="lowerRoman"/>
      <w:lvlText w:val="(%7)"/>
      <w:lvlJc w:val="left"/>
      <w:pPr>
        <w:ind w:left="1134" w:hanging="482"/>
      </w:pPr>
      <w:rPr>
        <w:rFonts w:hint="default"/>
      </w:rPr>
    </w:lvl>
    <w:lvl w:ilvl="7">
      <w:start w:val="1"/>
      <w:numFmt w:val="bullet"/>
      <w:lvlText w:val="-"/>
      <w:lvlJc w:val="left"/>
      <w:pPr>
        <w:ind w:left="1332" w:hanging="198"/>
      </w:pPr>
      <w:rPr>
        <w:rFonts w:ascii="Garamond" w:hAnsi="Garamond" w:hint="default"/>
        <w:color w:val="787878" w:themeColor="text2"/>
      </w:rPr>
    </w:lvl>
    <w:lvl w:ilvl="8">
      <w:start w:val="1"/>
      <w:numFmt w:val="decimal"/>
      <w:lvlText w:val="(%9)"/>
      <w:lvlJc w:val="left"/>
      <w:pPr>
        <w:ind w:left="340" w:hanging="340"/>
      </w:pPr>
      <w:rPr>
        <w:rFonts w:hint="default"/>
      </w:rPr>
    </w:lvl>
  </w:abstractNum>
  <w:abstractNum w:abstractNumId="22" w15:restartNumberingAfterBreak="0">
    <w:nsid w:val="68ED06C5"/>
    <w:multiLevelType w:val="hybridMultilevel"/>
    <w:tmpl w:val="081A086E"/>
    <w:lvl w:ilvl="0" w:tplc="C2327822">
      <w:start w:val="1"/>
      <w:numFmt w:val="decimal"/>
      <w:pStyle w:val="KeyFinding"/>
      <w:lvlText w:val="Observation %1:"/>
      <w:lvlJc w:val="left"/>
      <w:pPr>
        <w:ind w:left="473" w:hanging="360"/>
      </w:pPr>
      <w:rPr>
        <w:rFonts w:ascii="Franklin Gothic Book" w:hAnsi="Franklin Gothic Book" w:hint="default"/>
        <w:b w:val="0"/>
        <w:bCs/>
        <w:caps w:val="0"/>
        <w:color w:val="4B4B4B" w:themeColor="accent2"/>
        <w:sz w:val="22"/>
        <w:u w:val="none"/>
      </w:rPr>
    </w:lvl>
    <w:lvl w:ilvl="1" w:tplc="04090019" w:tentative="1">
      <w:start w:val="1"/>
      <w:numFmt w:val="lowerLetter"/>
      <w:lvlText w:val="%2."/>
      <w:lvlJc w:val="left"/>
      <w:pPr>
        <w:ind w:left="3312" w:hanging="360"/>
      </w:pPr>
    </w:lvl>
    <w:lvl w:ilvl="2" w:tplc="0409001B" w:tentative="1">
      <w:start w:val="1"/>
      <w:numFmt w:val="lowerRoman"/>
      <w:pStyle w:val="Recommendations"/>
      <w:lvlText w:val="%3."/>
      <w:lvlJc w:val="right"/>
      <w:pPr>
        <w:ind w:left="4032" w:hanging="180"/>
      </w:pPr>
    </w:lvl>
    <w:lvl w:ilvl="3" w:tplc="0409000F" w:tentative="1">
      <w:start w:val="1"/>
      <w:numFmt w:val="decimal"/>
      <w:pStyle w:val="StrategicDirections"/>
      <w:lvlText w:val="%4."/>
      <w:lvlJc w:val="left"/>
      <w:pPr>
        <w:ind w:left="4752" w:hanging="360"/>
      </w:pPr>
    </w:lvl>
    <w:lvl w:ilvl="4" w:tplc="04090019" w:tentative="1">
      <w:start w:val="1"/>
      <w:numFmt w:val="lowerLetter"/>
      <w:lvlText w:val="%5."/>
      <w:lvlJc w:val="left"/>
      <w:pPr>
        <w:ind w:left="5472" w:hanging="360"/>
      </w:pPr>
    </w:lvl>
    <w:lvl w:ilvl="5" w:tplc="0409001B" w:tentative="1">
      <w:start w:val="1"/>
      <w:numFmt w:val="lowerRoman"/>
      <w:lvlText w:val="%6."/>
      <w:lvlJc w:val="right"/>
      <w:pPr>
        <w:ind w:left="6192" w:hanging="180"/>
      </w:pPr>
    </w:lvl>
    <w:lvl w:ilvl="6" w:tplc="0409000F" w:tentative="1">
      <w:start w:val="1"/>
      <w:numFmt w:val="decimal"/>
      <w:lvlText w:val="%7."/>
      <w:lvlJc w:val="left"/>
      <w:pPr>
        <w:ind w:left="6912" w:hanging="360"/>
      </w:pPr>
    </w:lvl>
    <w:lvl w:ilvl="7" w:tplc="04090019" w:tentative="1">
      <w:start w:val="1"/>
      <w:numFmt w:val="lowerLetter"/>
      <w:lvlText w:val="%8."/>
      <w:lvlJc w:val="left"/>
      <w:pPr>
        <w:ind w:left="7632" w:hanging="360"/>
      </w:pPr>
    </w:lvl>
    <w:lvl w:ilvl="8" w:tplc="0409001B" w:tentative="1">
      <w:start w:val="1"/>
      <w:numFmt w:val="lowerRoman"/>
      <w:lvlText w:val="%9."/>
      <w:lvlJc w:val="right"/>
      <w:pPr>
        <w:ind w:left="8352" w:hanging="180"/>
      </w:pPr>
    </w:lvl>
  </w:abstractNum>
  <w:abstractNum w:abstractNumId="23" w15:restartNumberingAfterBreak="0">
    <w:nsid w:val="6A6B5790"/>
    <w:multiLevelType w:val="multilevel"/>
    <w:tmpl w:val="7A20B558"/>
    <w:lvl w:ilvl="0">
      <w:start w:val="1"/>
      <w:numFmt w:val="upperLetter"/>
      <w:pStyle w:val="HeadingAppendix2"/>
      <w:lvlText w:val="Appendix %1"/>
      <w:lvlJc w:val="left"/>
      <w:pPr>
        <w:tabs>
          <w:tab w:val="num" w:pos="2694"/>
        </w:tabs>
        <w:ind w:left="709" w:firstLine="0"/>
      </w:pPr>
      <w:rPr>
        <w:rFonts w:hint="default"/>
      </w:rPr>
    </w:lvl>
    <w:lvl w:ilvl="1">
      <w:start w:val="1"/>
      <w:numFmt w:val="decimal"/>
      <w:lvlText w:val="%1.%2"/>
      <w:lvlJc w:val="left"/>
      <w:pPr>
        <w:tabs>
          <w:tab w:val="num" w:pos="567"/>
        </w:tabs>
        <w:ind w:left="567" w:hanging="567"/>
      </w:pPr>
      <w:rPr>
        <w:rFonts w:ascii="Arial" w:hAnsi="Arial" w:hint="default"/>
        <w:b/>
        <w:i w:val="0"/>
        <w:sz w:val="24"/>
        <w:szCs w:val="24"/>
      </w:rPr>
    </w:lvl>
    <w:lvl w:ilvl="2">
      <w:start w:val="1"/>
      <w:numFmt w:val="decimal"/>
      <w:lvlText w:val="%1.%2.%3"/>
      <w:lvlJc w:val="left"/>
      <w:pPr>
        <w:tabs>
          <w:tab w:val="num" w:pos="919"/>
        </w:tabs>
        <w:ind w:left="2" w:firstLine="0"/>
      </w:pPr>
      <w:rPr>
        <w:rFonts w:hint="default"/>
      </w:rPr>
    </w:lvl>
    <w:lvl w:ilvl="3">
      <w:start w:val="1"/>
      <w:numFmt w:val="decimal"/>
      <w:lvlText w:val="%1.%2.%3.%4"/>
      <w:lvlJc w:val="left"/>
      <w:pPr>
        <w:tabs>
          <w:tab w:val="num" w:pos="1223"/>
        </w:tabs>
        <w:ind w:left="1223" w:hanging="864"/>
      </w:pPr>
      <w:rPr>
        <w:rFonts w:hint="default"/>
      </w:rPr>
    </w:lvl>
    <w:lvl w:ilvl="4">
      <w:start w:val="1"/>
      <w:numFmt w:val="lowerRoman"/>
      <w:lvlText w:val="(%5)"/>
      <w:lvlJc w:val="left"/>
      <w:pPr>
        <w:tabs>
          <w:tab w:val="num" w:pos="699"/>
        </w:tabs>
        <w:ind w:left="699" w:hanging="340"/>
      </w:pPr>
      <w:rPr>
        <w:rFonts w:hint="default"/>
      </w:rPr>
    </w:lvl>
    <w:lvl w:ilvl="5">
      <w:start w:val="1"/>
      <w:numFmt w:val="decimal"/>
      <w:lvlText w:val="%1.%2.%3.%4.%5.%6"/>
      <w:lvlJc w:val="left"/>
      <w:pPr>
        <w:tabs>
          <w:tab w:val="num" w:pos="1511"/>
        </w:tabs>
        <w:ind w:left="1511" w:hanging="1152"/>
      </w:pPr>
      <w:rPr>
        <w:rFonts w:hint="default"/>
      </w:rPr>
    </w:lvl>
    <w:lvl w:ilvl="6">
      <w:start w:val="1"/>
      <w:numFmt w:val="decimal"/>
      <w:lvlText w:val="%1.%2.%3.%4.%5.%6.%7"/>
      <w:lvlJc w:val="left"/>
      <w:pPr>
        <w:tabs>
          <w:tab w:val="num" w:pos="1655"/>
        </w:tabs>
        <w:ind w:left="1655" w:hanging="1296"/>
      </w:pPr>
      <w:rPr>
        <w:rFonts w:hint="default"/>
      </w:rPr>
    </w:lvl>
    <w:lvl w:ilvl="7">
      <w:start w:val="1"/>
      <w:numFmt w:val="decimal"/>
      <w:lvlText w:val="%1.%2.%3.%4.%5.%6.%7.%8"/>
      <w:lvlJc w:val="left"/>
      <w:pPr>
        <w:tabs>
          <w:tab w:val="num" w:pos="1799"/>
        </w:tabs>
        <w:ind w:left="1799" w:hanging="1440"/>
      </w:pPr>
      <w:rPr>
        <w:rFonts w:hint="default"/>
      </w:rPr>
    </w:lvl>
    <w:lvl w:ilvl="8">
      <w:start w:val="1"/>
      <w:numFmt w:val="decimal"/>
      <w:lvlText w:val="%1.%2.%3.%4.%5.%6.%7.%8.%9"/>
      <w:lvlJc w:val="left"/>
      <w:pPr>
        <w:tabs>
          <w:tab w:val="num" w:pos="1943"/>
        </w:tabs>
        <w:ind w:left="1943" w:hanging="1584"/>
      </w:pPr>
      <w:rPr>
        <w:rFonts w:hint="default"/>
      </w:rPr>
    </w:lvl>
  </w:abstractNum>
  <w:abstractNum w:abstractNumId="24" w15:restartNumberingAfterBreak="0">
    <w:nsid w:val="6AFC2484"/>
    <w:multiLevelType w:val="multilevel"/>
    <w:tmpl w:val="D21C1198"/>
    <w:styleLink w:val="Sections"/>
    <w:lvl w:ilvl="0">
      <w:start w:val="1"/>
      <w:numFmt w:val="upperLetter"/>
      <w:pStyle w:val="SectionTitle"/>
      <w:lvlText w:val="SECTION %1:"/>
      <w:lvlJc w:val="left"/>
      <w:pPr>
        <w:tabs>
          <w:tab w:val="num" w:pos="1871"/>
        </w:tabs>
        <w:ind w:left="1871" w:hanging="1871"/>
      </w:pPr>
      <w:rPr>
        <w:rFonts w:ascii="Franklin Gothic Book" w:hAnsi="Franklin Gothic Book" w:hint="default"/>
        <w:color w:val="000000" w:themeColor="text1"/>
        <w:sz w:val="3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E5E5738"/>
    <w:multiLevelType w:val="hybridMultilevel"/>
    <w:tmpl w:val="9862755C"/>
    <w:lvl w:ilvl="0" w:tplc="0C090001">
      <w:start w:val="1"/>
      <w:numFmt w:val="bullet"/>
      <w:lvlText w:val=""/>
      <w:lvlJc w:val="left"/>
      <w:pPr>
        <w:ind w:left="777" w:hanging="360"/>
      </w:pPr>
      <w:rPr>
        <w:rFonts w:ascii="Symbol" w:hAnsi="Symbol"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26" w15:restartNumberingAfterBreak="0">
    <w:nsid w:val="6F5A2FE1"/>
    <w:multiLevelType w:val="multilevel"/>
    <w:tmpl w:val="91E44FA6"/>
    <w:styleLink w:val="Numbers"/>
    <w:lvl w:ilvl="0">
      <w:start w:val="1"/>
      <w:numFmt w:val="decimal"/>
      <w:pStyle w:val="Numbers1"/>
      <w:lvlText w:val="(%1)"/>
      <w:lvlJc w:val="left"/>
      <w:pPr>
        <w:ind w:left="454" w:hanging="454"/>
      </w:pPr>
      <w:rPr>
        <w:rFonts w:hint="default"/>
      </w:rPr>
    </w:lvl>
    <w:lvl w:ilvl="1">
      <w:start w:val="1"/>
      <w:numFmt w:val="lowerLetter"/>
      <w:pStyle w:val="Numbers2"/>
      <w:lvlText w:val="(%2)"/>
      <w:lvlJc w:val="left"/>
      <w:pPr>
        <w:ind w:left="765" w:hanging="311"/>
      </w:pPr>
      <w:rPr>
        <w:rFonts w:hint="default"/>
      </w:rPr>
    </w:lvl>
    <w:lvl w:ilvl="2">
      <w:start w:val="1"/>
      <w:numFmt w:val="lowerRoman"/>
      <w:pStyle w:val="Numbers3"/>
      <w:lvlText w:val="(%3)"/>
      <w:lvlJc w:val="left"/>
      <w:pPr>
        <w:ind w:left="1191" w:hanging="426"/>
      </w:pPr>
      <w:rPr>
        <w:rFonts w:hint="default"/>
      </w:rPr>
    </w:lvl>
    <w:lvl w:ilvl="3">
      <w:start w:val="1"/>
      <w:numFmt w:val="bullet"/>
      <w:pStyle w:val="Numbers4"/>
      <w:lvlText w:val="-"/>
      <w:lvlJc w:val="left"/>
      <w:pPr>
        <w:ind w:left="1332" w:hanging="141"/>
      </w:pPr>
      <w:rPr>
        <w:rFonts w:ascii="Garamond" w:hAnsi="Garamond" w:hint="default"/>
        <w:color w:val="787878" w:themeColor="text2"/>
      </w:rPr>
    </w:lvl>
    <w:lvl w:ilvl="4">
      <w:start w:val="1"/>
      <w:numFmt w:val="decimal"/>
      <w:lvlText w:val="(%5)"/>
      <w:lvlJc w:val="left"/>
      <w:pPr>
        <w:ind w:left="1800" w:hanging="360"/>
      </w:pPr>
      <w:rPr>
        <w:rFonts w:hint="default"/>
      </w:rPr>
    </w:lvl>
    <w:lvl w:ilvl="5">
      <w:start w:val="1"/>
      <w:numFmt w:val="lowerLetter"/>
      <w:lvlText w:val="(%6)"/>
      <w:lvlJc w:val="left"/>
      <w:pPr>
        <w:ind w:left="2160" w:hanging="360"/>
      </w:pPr>
      <w:rPr>
        <w:rFonts w:hint="default"/>
      </w:rPr>
    </w:lvl>
    <w:lvl w:ilvl="6">
      <w:start w:val="1"/>
      <w:numFmt w:val="lowerRoman"/>
      <w:lvlText w:val="(%7)"/>
      <w:lvlJc w:val="left"/>
      <w:pPr>
        <w:ind w:left="2520" w:hanging="360"/>
      </w:pPr>
      <w:rPr>
        <w:rFonts w:hint="default"/>
      </w:rPr>
    </w:lvl>
    <w:lvl w:ilvl="7">
      <w:start w:val="1"/>
      <w:numFmt w:val="bullet"/>
      <w:lvlText w:val="-"/>
      <w:lvlJc w:val="left"/>
      <w:pPr>
        <w:ind w:left="2880" w:hanging="360"/>
      </w:pPr>
      <w:rPr>
        <w:rFonts w:ascii="Garamond" w:hAnsi="Garamond" w:hint="default"/>
        <w:color w:val="787878" w:themeColor="text2"/>
      </w:rPr>
    </w:lvl>
    <w:lvl w:ilvl="8">
      <w:start w:val="1"/>
      <w:numFmt w:val="decimal"/>
      <w:lvlText w:val="(%9)"/>
      <w:lvlJc w:val="left"/>
      <w:pPr>
        <w:ind w:left="3240" w:hanging="360"/>
      </w:pPr>
      <w:rPr>
        <w:rFonts w:hint="default"/>
      </w:rPr>
    </w:lvl>
  </w:abstractNum>
  <w:abstractNum w:abstractNumId="27" w15:restartNumberingAfterBreak="0">
    <w:nsid w:val="72E4642B"/>
    <w:multiLevelType w:val="multilevel"/>
    <w:tmpl w:val="79202170"/>
    <w:numStyleLink w:val="LetteredList"/>
  </w:abstractNum>
  <w:abstractNum w:abstractNumId="28" w15:restartNumberingAfterBreak="0">
    <w:nsid w:val="73BA669E"/>
    <w:multiLevelType w:val="hybridMultilevel"/>
    <w:tmpl w:val="19E6CC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78D2615F"/>
    <w:multiLevelType w:val="hybridMultilevel"/>
    <w:tmpl w:val="24206898"/>
    <w:lvl w:ilvl="0" w:tplc="C7686F24">
      <w:start w:val="1"/>
      <w:numFmt w:val="upperLetter"/>
      <w:pStyle w:val="SectionPageTitle"/>
      <w:lvlText w:val="Part %1"/>
      <w:lvlJc w:val="left"/>
      <w:pPr>
        <w:ind w:left="360" w:hanging="360"/>
      </w:pPr>
      <w:rPr>
        <w:rFonts w:ascii="Franklin Gothic Demi" w:hAnsi="Franklin Gothic Demi" w:hint="default"/>
        <w:sz w:val="72"/>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B204A2A"/>
    <w:multiLevelType w:val="hybridMultilevel"/>
    <w:tmpl w:val="7A7A4008"/>
    <w:lvl w:ilvl="0" w:tplc="C448A124">
      <w:start w:val="1"/>
      <w:numFmt w:val="decimal"/>
      <w:pStyle w:val="Recommendation"/>
      <w:lvlText w:val="Recommendation %1:"/>
      <w:lvlJc w:val="left"/>
      <w:pPr>
        <w:ind w:left="360" w:hanging="360"/>
      </w:pPr>
      <w:rPr>
        <w:rFonts w:ascii="Franklin Gothic Heavy" w:hAnsi="Franklin Gothic Heavy" w:hint="default"/>
        <w:caps/>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6"/>
  </w:num>
  <w:num w:numId="3">
    <w:abstractNumId w:val="3"/>
  </w:num>
  <w:num w:numId="4">
    <w:abstractNumId w:val="5"/>
  </w:num>
  <w:num w:numId="5">
    <w:abstractNumId w:val="17"/>
  </w:num>
  <w:num w:numId="6">
    <w:abstractNumId w:val="4"/>
  </w:num>
  <w:num w:numId="7">
    <w:abstractNumId w:val="20"/>
  </w:num>
  <w:num w:numId="8">
    <w:abstractNumId w:val="14"/>
  </w:num>
  <w:num w:numId="9">
    <w:abstractNumId w:val="19"/>
  </w:num>
  <w:num w:numId="10">
    <w:abstractNumId w:val="27"/>
  </w:num>
  <w:num w:numId="11">
    <w:abstractNumId w:val="2"/>
  </w:num>
  <w:num w:numId="12">
    <w:abstractNumId w:val="11"/>
  </w:num>
  <w:num w:numId="13">
    <w:abstractNumId w:val="24"/>
  </w:num>
  <w:num w:numId="14">
    <w:abstractNumId w:val="1"/>
  </w:num>
  <w:num w:numId="15">
    <w:abstractNumId w:val="0"/>
  </w:num>
  <w:num w:numId="16">
    <w:abstractNumId w:val="8"/>
  </w:num>
  <w:num w:numId="17">
    <w:abstractNumId w:val="7"/>
  </w:num>
  <w:num w:numId="18">
    <w:abstractNumId w:val="16"/>
  </w:num>
  <w:num w:numId="19">
    <w:abstractNumId w:val="26"/>
  </w:num>
  <w:num w:numId="2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lvlOverride w:ilvl="8">
      <w:startOverride w:val="1"/>
    </w:lvlOverride>
  </w:num>
  <w:num w:numId="25">
    <w:abstractNumId w:val="30"/>
  </w:num>
  <w:num w:numId="26">
    <w:abstractNumId w:val="13"/>
    <w:lvlOverride w:ilvl="0">
      <w:lvl w:ilvl="0">
        <w:start w:val="1"/>
        <w:numFmt w:val="decimal"/>
        <w:lvlText w:val="%1"/>
        <w:lvlJc w:val="left"/>
        <w:pPr>
          <w:ind w:left="737" w:hanging="737"/>
        </w:pPr>
        <w:rPr>
          <w:rFonts w:hint="default"/>
        </w:rPr>
      </w:lvl>
    </w:lvlOverride>
    <w:lvlOverride w:ilvl="1">
      <w:lvl w:ilvl="1">
        <w:start w:val="1"/>
        <w:numFmt w:val="decimal"/>
        <w:lvlText w:val="%1.%2"/>
        <w:lvlJc w:val="left"/>
        <w:pPr>
          <w:ind w:left="992" w:hanging="992"/>
        </w:pPr>
        <w:rPr>
          <w:rFonts w:cs="Times New Roman"/>
          <w:b w:val="0"/>
          <w:bCs w:val="0"/>
          <w:i w:val="0"/>
          <w:iCs w:val="0"/>
          <w:caps w:val="0"/>
          <w:smallCaps w:val="0"/>
          <w:strike w:val="0"/>
          <w:dstrike w:val="0"/>
          <w:outline w:val="0"/>
          <w:shadow w:val="0"/>
          <w:emboss w:val="0"/>
          <w:imprint w:val="0"/>
          <w:noProof w:val="0"/>
          <w:vanish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2">
      <w:lvl w:ilvl="2">
        <w:start w:val="1"/>
        <w:numFmt w:val="decimal"/>
        <w:lvlText w:val="%1.%2.%3"/>
        <w:lvlJc w:val="left"/>
        <w:pPr>
          <w:ind w:left="992" w:hanging="992"/>
        </w:pPr>
        <w:rPr>
          <w:rFonts w:hint="default"/>
        </w:rPr>
      </w:lvl>
    </w:lvlOverride>
    <w:lvlOverride w:ilvl="3">
      <w:lvl w:ilvl="3">
        <w:start w:val="1"/>
        <w:numFmt w:val="decimal"/>
        <w:lvlText w:val="%1.%2.%3.%4"/>
        <w:lvlJc w:val="left"/>
        <w:pPr>
          <w:ind w:left="680" w:hanging="680"/>
        </w:pPr>
        <w:rPr>
          <w:rFonts w:hint="default"/>
        </w:rPr>
      </w:lvl>
    </w:lvlOverride>
    <w:lvlOverride w:ilvl="4">
      <w:lvl w:ilvl="4">
        <w:start w:val="1"/>
        <w:numFmt w:val="decimal"/>
        <w:lvlText w:val="%1.%2.%3.%4.%5"/>
        <w:lvlJc w:val="left"/>
        <w:pPr>
          <w:ind w:left="680" w:hanging="680"/>
        </w:pPr>
        <w:rPr>
          <w:rFonts w:hint="default"/>
        </w:rPr>
      </w:lvl>
    </w:lvlOverride>
    <w:lvlOverride w:ilvl="5">
      <w:lvl w:ilvl="5">
        <w:start w:val="1"/>
        <w:numFmt w:val="decimal"/>
        <w:lvlText w:val="%1.%2.%3.%4.%5.%6"/>
        <w:lvlJc w:val="left"/>
        <w:pPr>
          <w:ind w:left="680" w:hanging="680"/>
        </w:pPr>
        <w:rPr>
          <w:rFonts w:hint="default"/>
        </w:rPr>
      </w:lvl>
    </w:lvlOverride>
    <w:lvlOverride w:ilvl="6">
      <w:lvl w:ilvl="6">
        <w:start w:val="1"/>
        <w:numFmt w:val="decimal"/>
        <w:lvlText w:val="%1.%2.%3.%4.%5.%6.%7"/>
        <w:lvlJc w:val="left"/>
        <w:pPr>
          <w:ind w:left="680" w:hanging="680"/>
        </w:pPr>
        <w:rPr>
          <w:rFonts w:hint="default"/>
        </w:rPr>
      </w:lvl>
    </w:lvlOverride>
    <w:lvlOverride w:ilvl="7">
      <w:lvl w:ilvl="7">
        <w:start w:val="1"/>
        <w:numFmt w:val="decimal"/>
        <w:lvlText w:val="%1.%2.%3.%4.%5.%6.%7.%8"/>
        <w:lvlJc w:val="left"/>
        <w:pPr>
          <w:ind w:left="680" w:hanging="680"/>
        </w:pPr>
        <w:rPr>
          <w:rFonts w:hint="default"/>
        </w:rPr>
      </w:lvl>
    </w:lvlOverride>
    <w:lvlOverride w:ilvl="8">
      <w:lvl w:ilvl="8">
        <w:start w:val="1"/>
        <w:numFmt w:val="decimal"/>
        <w:lvlText w:val="%9%1"/>
        <w:lvlJc w:val="left"/>
        <w:pPr>
          <w:tabs>
            <w:tab w:val="num" w:pos="1248"/>
          </w:tabs>
          <w:ind w:left="1248" w:hanging="822"/>
        </w:pPr>
        <w:rPr>
          <w:rFonts w:hint="default"/>
        </w:rPr>
      </w:lvl>
    </w:lvlOverride>
  </w:num>
  <w:num w:numId="27">
    <w:abstractNumId w:val="13"/>
  </w:num>
  <w:num w:numId="28">
    <w:abstractNumId w:val="22"/>
  </w:num>
  <w:num w:numId="29">
    <w:abstractNumId w:val="26"/>
    <w:lvlOverride w:ilvl="0">
      <w:startOverride w:val="1"/>
      <w:lvl w:ilvl="0">
        <w:start w:val="1"/>
        <w:numFmt w:val="decimal"/>
        <w:pStyle w:val="Numbers1"/>
        <w:lvlText w:val="(%1)"/>
        <w:lvlJc w:val="left"/>
        <w:pPr>
          <w:ind w:left="454" w:hanging="454"/>
        </w:pPr>
        <w:rPr>
          <w:rFonts w:hint="default"/>
          <w:b w:val="0"/>
        </w:rPr>
      </w:lvl>
    </w:lvlOverride>
    <w:lvlOverride w:ilvl="1">
      <w:startOverride w:val="1"/>
      <w:lvl w:ilvl="1">
        <w:start w:val="1"/>
        <w:numFmt w:val="decimal"/>
        <w:pStyle w:val="Numbers2"/>
        <w:lvlText w:val=""/>
        <w:lvlJc w:val="left"/>
      </w:lvl>
    </w:lvlOverride>
  </w:num>
  <w:num w:numId="30">
    <w:abstractNumId w:val="15"/>
    <w:lvlOverride w:ilvl="0">
      <w:startOverride w:val="1"/>
    </w:lvlOverride>
  </w:num>
  <w:num w:numId="31">
    <w:abstractNumId w:val="21"/>
  </w:num>
  <w:num w:numId="32">
    <w:abstractNumId w:val="29"/>
  </w:num>
  <w:num w:numId="33">
    <w:abstractNumId w:val="23"/>
  </w:num>
  <w:num w:numId="34">
    <w:abstractNumId w:val="12"/>
  </w:num>
  <w:num w:numId="35">
    <w:abstractNumId w:val="21"/>
    <w:lvlOverride w:ilvl="0">
      <w:lvl w:ilvl="0">
        <w:start w:val="1"/>
        <w:numFmt w:val="decimal"/>
        <w:pStyle w:val="TableNumbers1"/>
        <w:lvlText w:val="(%1)"/>
        <w:lvlJc w:val="left"/>
        <w:pPr>
          <w:ind w:left="397" w:hanging="340"/>
        </w:pPr>
        <w:rPr>
          <w:rFonts w:hint="default"/>
        </w:rPr>
      </w:lvl>
    </w:lvlOverride>
    <w:lvlOverride w:ilvl="1">
      <w:lvl w:ilvl="1">
        <w:start w:val="1"/>
        <w:numFmt w:val="lowerLetter"/>
        <w:pStyle w:val="TableNumbers2"/>
        <w:lvlText w:val="(%2)"/>
        <w:lvlJc w:val="left"/>
        <w:pPr>
          <w:ind w:left="652" w:hanging="255"/>
        </w:pPr>
        <w:rPr>
          <w:rFonts w:hint="default"/>
        </w:rPr>
      </w:lvl>
    </w:lvlOverride>
    <w:lvlOverride w:ilvl="2">
      <w:lvl w:ilvl="2">
        <w:start w:val="1"/>
        <w:numFmt w:val="lowerRoman"/>
        <w:lvlText w:val="(%3)"/>
        <w:lvlJc w:val="left"/>
        <w:pPr>
          <w:ind w:left="1134" w:hanging="482"/>
        </w:pPr>
        <w:rPr>
          <w:rFonts w:hint="default"/>
        </w:rPr>
      </w:lvl>
    </w:lvlOverride>
    <w:lvlOverride w:ilvl="3">
      <w:lvl w:ilvl="3">
        <w:start w:val="1"/>
        <w:numFmt w:val="bullet"/>
        <w:lvlText w:val="-"/>
        <w:lvlJc w:val="left"/>
        <w:pPr>
          <w:tabs>
            <w:tab w:val="num" w:pos="1264"/>
          </w:tabs>
          <w:ind w:left="1332" w:hanging="198"/>
        </w:pPr>
        <w:rPr>
          <w:rFonts w:ascii="Garamond" w:hAnsi="Garamond" w:hint="default"/>
          <w:color w:val="787878" w:themeColor="text2"/>
        </w:rPr>
      </w:lvl>
    </w:lvlOverride>
    <w:lvlOverride w:ilvl="4">
      <w:lvl w:ilvl="4">
        <w:start w:val="1"/>
        <w:numFmt w:val="decimal"/>
        <w:pStyle w:val="TableNumberssmall1"/>
        <w:lvlText w:val="(%5)"/>
        <w:lvlJc w:val="left"/>
        <w:pPr>
          <w:ind w:left="397" w:hanging="340"/>
        </w:pPr>
        <w:rPr>
          <w:rFonts w:hint="default"/>
        </w:rPr>
      </w:lvl>
    </w:lvlOverride>
    <w:lvlOverride w:ilvl="5">
      <w:lvl w:ilvl="5">
        <w:start w:val="1"/>
        <w:numFmt w:val="lowerLetter"/>
        <w:pStyle w:val="TableNumberssmall2"/>
        <w:lvlText w:val="(%6)"/>
        <w:lvlJc w:val="left"/>
        <w:pPr>
          <w:ind w:left="652" w:hanging="255"/>
        </w:pPr>
        <w:rPr>
          <w:rFonts w:hint="default"/>
        </w:rPr>
      </w:lvl>
    </w:lvlOverride>
    <w:lvlOverride w:ilvl="6">
      <w:lvl w:ilvl="6">
        <w:start w:val="1"/>
        <w:numFmt w:val="lowerRoman"/>
        <w:lvlText w:val="(%7)"/>
        <w:lvlJc w:val="left"/>
        <w:pPr>
          <w:ind w:left="1134" w:hanging="482"/>
        </w:pPr>
        <w:rPr>
          <w:rFonts w:hint="default"/>
        </w:rPr>
      </w:lvl>
    </w:lvlOverride>
    <w:lvlOverride w:ilvl="7">
      <w:lvl w:ilvl="7">
        <w:start w:val="1"/>
        <w:numFmt w:val="bullet"/>
        <w:lvlText w:val="-"/>
        <w:lvlJc w:val="left"/>
        <w:pPr>
          <w:ind w:left="1332" w:hanging="198"/>
        </w:pPr>
        <w:rPr>
          <w:rFonts w:ascii="Garamond" w:hAnsi="Garamond" w:hint="default"/>
          <w:color w:val="787878" w:themeColor="text2"/>
        </w:rPr>
      </w:lvl>
    </w:lvlOverride>
    <w:lvlOverride w:ilvl="8">
      <w:lvl w:ilvl="8">
        <w:start w:val="1"/>
        <w:numFmt w:val="decimal"/>
        <w:lvlText w:val="(%9)"/>
        <w:lvlJc w:val="left"/>
        <w:pPr>
          <w:ind w:left="340" w:hanging="340"/>
        </w:pPr>
        <w:rPr>
          <w:rFonts w:hint="default"/>
        </w:rPr>
      </w:lvl>
    </w:lvlOverride>
  </w:num>
  <w:num w:numId="36">
    <w:abstractNumId w:val="21"/>
    <w:lvlOverride w:ilvl="0">
      <w:startOverride w:val="1"/>
      <w:lvl w:ilvl="0">
        <w:start w:val="1"/>
        <w:numFmt w:val="decimal"/>
        <w:pStyle w:val="TableNumbers1"/>
        <w:lvlText w:val="(%1)"/>
        <w:lvlJc w:val="left"/>
        <w:pPr>
          <w:ind w:left="397" w:hanging="340"/>
        </w:pPr>
        <w:rPr>
          <w:rFonts w:hint="default"/>
        </w:rPr>
      </w:lvl>
    </w:lvlOverride>
    <w:lvlOverride w:ilvl="1">
      <w:startOverride w:val="1"/>
      <w:lvl w:ilvl="1">
        <w:start w:val="1"/>
        <w:numFmt w:val="lowerLetter"/>
        <w:pStyle w:val="TableNumbers2"/>
        <w:lvlText w:val="(%2)"/>
        <w:lvlJc w:val="left"/>
        <w:pPr>
          <w:ind w:left="652" w:hanging="255"/>
        </w:pPr>
        <w:rPr>
          <w:rFonts w:hint="default"/>
        </w:rPr>
      </w:lvl>
    </w:lvlOverride>
    <w:lvlOverride w:ilvl="2">
      <w:startOverride w:val="1"/>
      <w:lvl w:ilvl="2">
        <w:start w:val="1"/>
        <w:numFmt w:val="lowerRoman"/>
        <w:lvlText w:val="(%3)"/>
        <w:lvlJc w:val="left"/>
        <w:pPr>
          <w:ind w:left="1134" w:hanging="482"/>
        </w:pPr>
        <w:rPr>
          <w:rFonts w:hint="default"/>
        </w:rPr>
      </w:lvl>
    </w:lvlOverride>
    <w:lvlOverride w:ilvl="3">
      <w:startOverride w:val="1"/>
      <w:lvl w:ilvl="3">
        <w:start w:val="1"/>
        <w:numFmt w:val="bullet"/>
        <w:lvlText w:val="-"/>
        <w:lvlJc w:val="left"/>
        <w:pPr>
          <w:tabs>
            <w:tab w:val="num" w:pos="1264"/>
          </w:tabs>
          <w:ind w:left="1332" w:hanging="198"/>
        </w:pPr>
        <w:rPr>
          <w:rFonts w:ascii="Garamond" w:hAnsi="Garamond" w:hint="default"/>
          <w:color w:val="787878" w:themeColor="text2"/>
        </w:rPr>
      </w:lvl>
    </w:lvlOverride>
    <w:lvlOverride w:ilvl="4">
      <w:startOverride w:val="1"/>
      <w:lvl w:ilvl="4">
        <w:start w:val="1"/>
        <w:numFmt w:val="decimal"/>
        <w:pStyle w:val="TableNumberssmall1"/>
        <w:lvlText w:val="(%5)"/>
        <w:lvlJc w:val="left"/>
        <w:pPr>
          <w:ind w:left="397" w:hanging="340"/>
        </w:pPr>
        <w:rPr>
          <w:rFonts w:hint="default"/>
        </w:rPr>
      </w:lvl>
    </w:lvlOverride>
    <w:lvlOverride w:ilvl="5">
      <w:startOverride w:val="1"/>
      <w:lvl w:ilvl="5">
        <w:start w:val="1"/>
        <w:numFmt w:val="lowerLetter"/>
        <w:pStyle w:val="TableNumberssmall2"/>
        <w:lvlText w:val="(%6)"/>
        <w:lvlJc w:val="left"/>
        <w:pPr>
          <w:ind w:left="652" w:hanging="255"/>
        </w:pPr>
        <w:rPr>
          <w:rFonts w:hint="default"/>
        </w:rPr>
      </w:lvl>
    </w:lvlOverride>
    <w:lvlOverride w:ilvl="6">
      <w:startOverride w:val="1"/>
      <w:lvl w:ilvl="6">
        <w:start w:val="1"/>
        <w:numFmt w:val="lowerRoman"/>
        <w:lvlText w:val="(%7)"/>
        <w:lvlJc w:val="left"/>
        <w:pPr>
          <w:ind w:left="1134" w:hanging="482"/>
        </w:pPr>
        <w:rPr>
          <w:rFonts w:hint="default"/>
        </w:rPr>
      </w:lvl>
    </w:lvlOverride>
    <w:lvlOverride w:ilvl="7">
      <w:startOverride w:val="1"/>
      <w:lvl w:ilvl="7">
        <w:start w:val="1"/>
        <w:numFmt w:val="bullet"/>
        <w:lvlText w:val="-"/>
        <w:lvlJc w:val="left"/>
        <w:pPr>
          <w:ind w:left="1332" w:hanging="198"/>
        </w:pPr>
        <w:rPr>
          <w:rFonts w:ascii="Garamond" w:hAnsi="Garamond" w:hint="default"/>
          <w:color w:val="787878" w:themeColor="text2"/>
        </w:rPr>
      </w:lvl>
    </w:lvlOverride>
    <w:lvlOverride w:ilvl="8">
      <w:startOverride w:val="1"/>
      <w:lvl w:ilvl="8">
        <w:start w:val="1"/>
        <w:numFmt w:val="decimal"/>
        <w:lvlText w:val="(%9)"/>
        <w:lvlJc w:val="left"/>
        <w:pPr>
          <w:ind w:left="340" w:hanging="340"/>
        </w:pPr>
        <w:rPr>
          <w:rFonts w:hint="default"/>
        </w:rPr>
      </w:lvl>
    </w:lvlOverride>
  </w:num>
  <w:num w:numId="3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lvlOverride w:ilvl="0">
      <w:startOverride w:val="1"/>
      <w:lvl w:ilvl="0">
        <w:start w:val="1"/>
        <w:numFmt w:val="decimal"/>
        <w:pStyle w:val="Numbers1"/>
        <w:lvlText w:val="(%1)"/>
        <w:lvlJc w:val="left"/>
        <w:pPr>
          <w:ind w:left="454" w:hanging="454"/>
        </w:pPr>
        <w:rPr>
          <w:rFonts w:hint="default"/>
          <w:b w:val="0"/>
        </w:rPr>
      </w:lvl>
    </w:lvlOverride>
    <w:lvlOverride w:ilvl="1">
      <w:startOverride w:val="1"/>
      <w:lvl w:ilvl="1">
        <w:start w:val="1"/>
        <w:numFmt w:val="decimal"/>
        <w:pStyle w:val="Numbers2"/>
        <w:lvlText w:val=""/>
        <w:lvlJc w:val="left"/>
      </w:lvl>
    </w:lvlOverride>
    <w:lvlOverride w:ilvl="2">
      <w:startOverride w:val="1"/>
      <w:lvl w:ilvl="2">
        <w:start w:val="1"/>
        <w:numFmt w:val="decimal"/>
        <w:pStyle w:val="Numbers3"/>
        <w:lvlText w:val=""/>
        <w:lvlJc w:val="left"/>
      </w:lvl>
    </w:lvlOverride>
    <w:lvlOverride w:ilvl="3">
      <w:startOverride w:val="1"/>
      <w:lvl w:ilvl="3">
        <w:start w:val="1"/>
        <w:numFmt w:val="decimal"/>
        <w:pStyle w:val="Numbers4"/>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8"/>
  </w:num>
  <w:num w:numId="54">
    <w:abstractNumId w:val="25"/>
  </w:num>
  <w:num w:numId="55">
    <w:abstractNumId w:val="10"/>
  </w:num>
  <w:num w:numId="56">
    <w:abstractNumId w:val="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removePersonalInformation/>
  <w:removeDateAndTime/>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FB5"/>
    <w:rsid w:val="00002E1E"/>
    <w:rsid w:val="00010A8D"/>
    <w:rsid w:val="000207B2"/>
    <w:rsid w:val="000230CC"/>
    <w:rsid w:val="00047030"/>
    <w:rsid w:val="00051612"/>
    <w:rsid w:val="000522CE"/>
    <w:rsid w:val="00053A3D"/>
    <w:rsid w:val="00053DDB"/>
    <w:rsid w:val="000619E2"/>
    <w:rsid w:val="000724AE"/>
    <w:rsid w:val="00076F90"/>
    <w:rsid w:val="0007701F"/>
    <w:rsid w:val="00080ABE"/>
    <w:rsid w:val="00083BB7"/>
    <w:rsid w:val="000859F6"/>
    <w:rsid w:val="00091316"/>
    <w:rsid w:val="000B1A29"/>
    <w:rsid w:val="000B2658"/>
    <w:rsid w:val="000C34C0"/>
    <w:rsid w:val="000C59BF"/>
    <w:rsid w:val="000D5CD4"/>
    <w:rsid w:val="000E7C09"/>
    <w:rsid w:val="00101720"/>
    <w:rsid w:val="00106A5B"/>
    <w:rsid w:val="00112164"/>
    <w:rsid w:val="00112269"/>
    <w:rsid w:val="00112E8F"/>
    <w:rsid w:val="00117640"/>
    <w:rsid w:val="001250F7"/>
    <w:rsid w:val="001268BC"/>
    <w:rsid w:val="00135E68"/>
    <w:rsid w:val="00137187"/>
    <w:rsid w:val="00143A79"/>
    <w:rsid w:val="00145FE7"/>
    <w:rsid w:val="00146A19"/>
    <w:rsid w:val="00150F81"/>
    <w:rsid w:val="00162B1F"/>
    <w:rsid w:val="00163D84"/>
    <w:rsid w:val="00176F66"/>
    <w:rsid w:val="001A0D77"/>
    <w:rsid w:val="001A2ECE"/>
    <w:rsid w:val="001A7A9E"/>
    <w:rsid w:val="001C7835"/>
    <w:rsid w:val="001F0680"/>
    <w:rsid w:val="001F13C1"/>
    <w:rsid w:val="001F2B38"/>
    <w:rsid w:val="001F446D"/>
    <w:rsid w:val="001F758C"/>
    <w:rsid w:val="0021246E"/>
    <w:rsid w:val="00212523"/>
    <w:rsid w:val="00214564"/>
    <w:rsid w:val="00214AFC"/>
    <w:rsid w:val="00215334"/>
    <w:rsid w:val="00215CF2"/>
    <w:rsid w:val="00221792"/>
    <w:rsid w:val="00221AB7"/>
    <w:rsid w:val="002239EC"/>
    <w:rsid w:val="0023054D"/>
    <w:rsid w:val="00235282"/>
    <w:rsid w:val="00244896"/>
    <w:rsid w:val="00244AA3"/>
    <w:rsid w:val="00246435"/>
    <w:rsid w:val="00246BCF"/>
    <w:rsid w:val="00257A17"/>
    <w:rsid w:val="002616DE"/>
    <w:rsid w:val="002677A3"/>
    <w:rsid w:val="00270834"/>
    <w:rsid w:val="00275CD3"/>
    <w:rsid w:val="002801F1"/>
    <w:rsid w:val="002906BB"/>
    <w:rsid w:val="0029733C"/>
    <w:rsid w:val="002A0D63"/>
    <w:rsid w:val="002A1A69"/>
    <w:rsid w:val="002A7D1E"/>
    <w:rsid w:val="002B1F8C"/>
    <w:rsid w:val="002B51BB"/>
    <w:rsid w:val="002C22EF"/>
    <w:rsid w:val="002C58CB"/>
    <w:rsid w:val="002D0F86"/>
    <w:rsid w:val="002D157B"/>
    <w:rsid w:val="002E69C7"/>
    <w:rsid w:val="002F59D8"/>
    <w:rsid w:val="002F6096"/>
    <w:rsid w:val="00305171"/>
    <w:rsid w:val="00312D13"/>
    <w:rsid w:val="00313E99"/>
    <w:rsid w:val="0032068F"/>
    <w:rsid w:val="0032084B"/>
    <w:rsid w:val="00337913"/>
    <w:rsid w:val="0034680A"/>
    <w:rsid w:val="00352602"/>
    <w:rsid w:val="00363FF8"/>
    <w:rsid w:val="00365B6C"/>
    <w:rsid w:val="00365C1B"/>
    <w:rsid w:val="0037721D"/>
    <w:rsid w:val="003801A1"/>
    <w:rsid w:val="00380A9E"/>
    <w:rsid w:val="0038102A"/>
    <w:rsid w:val="0038751A"/>
    <w:rsid w:val="00392195"/>
    <w:rsid w:val="00394236"/>
    <w:rsid w:val="003969B8"/>
    <w:rsid w:val="003A0BB2"/>
    <w:rsid w:val="003A1CB8"/>
    <w:rsid w:val="003A485C"/>
    <w:rsid w:val="003A7EC0"/>
    <w:rsid w:val="003B3C06"/>
    <w:rsid w:val="003C6F16"/>
    <w:rsid w:val="003D23A3"/>
    <w:rsid w:val="003D4830"/>
    <w:rsid w:val="003D5856"/>
    <w:rsid w:val="003E2ECC"/>
    <w:rsid w:val="003F0C5F"/>
    <w:rsid w:val="003F37D7"/>
    <w:rsid w:val="003F4318"/>
    <w:rsid w:val="003F4F55"/>
    <w:rsid w:val="003F6206"/>
    <w:rsid w:val="00401B60"/>
    <w:rsid w:val="00404E4F"/>
    <w:rsid w:val="00406972"/>
    <w:rsid w:val="00411FDA"/>
    <w:rsid w:val="0042339A"/>
    <w:rsid w:val="0042508F"/>
    <w:rsid w:val="00425FF5"/>
    <w:rsid w:val="0044443E"/>
    <w:rsid w:val="00455B96"/>
    <w:rsid w:val="0045715B"/>
    <w:rsid w:val="00461A3D"/>
    <w:rsid w:val="00463167"/>
    <w:rsid w:val="004635FD"/>
    <w:rsid w:val="00481843"/>
    <w:rsid w:val="00495D6A"/>
    <w:rsid w:val="004A55A4"/>
    <w:rsid w:val="004B40B6"/>
    <w:rsid w:val="004B609E"/>
    <w:rsid w:val="004C2004"/>
    <w:rsid w:val="004C4AF6"/>
    <w:rsid w:val="004D63E6"/>
    <w:rsid w:val="004E28C6"/>
    <w:rsid w:val="004F049F"/>
    <w:rsid w:val="004F138F"/>
    <w:rsid w:val="00507F66"/>
    <w:rsid w:val="00513307"/>
    <w:rsid w:val="005134E9"/>
    <w:rsid w:val="005141E8"/>
    <w:rsid w:val="005228D9"/>
    <w:rsid w:val="0052311E"/>
    <w:rsid w:val="00523359"/>
    <w:rsid w:val="0052440B"/>
    <w:rsid w:val="005313E5"/>
    <w:rsid w:val="0053215A"/>
    <w:rsid w:val="00550C99"/>
    <w:rsid w:val="00553413"/>
    <w:rsid w:val="00555292"/>
    <w:rsid w:val="00560243"/>
    <w:rsid w:val="00565741"/>
    <w:rsid w:val="00571199"/>
    <w:rsid w:val="00576128"/>
    <w:rsid w:val="00582597"/>
    <w:rsid w:val="0058369E"/>
    <w:rsid w:val="0058638A"/>
    <w:rsid w:val="00586A34"/>
    <w:rsid w:val="0059217F"/>
    <w:rsid w:val="00593314"/>
    <w:rsid w:val="00594496"/>
    <w:rsid w:val="00597301"/>
    <w:rsid w:val="0059791D"/>
    <w:rsid w:val="005A5851"/>
    <w:rsid w:val="005C4D57"/>
    <w:rsid w:val="005C576E"/>
    <w:rsid w:val="005C6618"/>
    <w:rsid w:val="005F1454"/>
    <w:rsid w:val="005F3AF8"/>
    <w:rsid w:val="005F4563"/>
    <w:rsid w:val="005F4C16"/>
    <w:rsid w:val="00601955"/>
    <w:rsid w:val="00603FD5"/>
    <w:rsid w:val="0061030E"/>
    <w:rsid w:val="00613FCD"/>
    <w:rsid w:val="00620A5D"/>
    <w:rsid w:val="00622197"/>
    <w:rsid w:val="006258F2"/>
    <w:rsid w:val="00662B8C"/>
    <w:rsid w:val="006706CE"/>
    <w:rsid w:val="006756D6"/>
    <w:rsid w:val="006870F7"/>
    <w:rsid w:val="0068724F"/>
    <w:rsid w:val="006A4A32"/>
    <w:rsid w:val="006A731F"/>
    <w:rsid w:val="006B6B4C"/>
    <w:rsid w:val="006B745C"/>
    <w:rsid w:val="006C3F29"/>
    <w:rsid w:val="006C4AF4"/>
    <w:rsid w:val="006C4C15"/>
    <w:rsid w:val="006C60FD"/>
    <w:rsid w:val="006D3F2F"/>
    <w:rsid w:val="006E01B9"/>
    <w:rsid w:val="006E0E5E"/>
    <w:rsid w:val="006E3536"/>
    <w:rsid w:val="006F67D8"/>
    <w:rsid w:val="006F6A6C"/>
    <w:rsid w:val="006F720F"/>
    <w:rsid w:val="00714488"/>
    <w:rsid w:val="00714499"/>
    <w:rsid w:val="007203A6"/>
    <w:rsid w:val="00721EFA"/>
    <w:rsid w:val="007241D5"/>
    <w:rsid w:val="0073222C"/>
    <w:rsid w:val="0073741B"/>
    <w:rsid w:val="00771EE0"/>
    <w:rsid w:val="0077662C"/>
    <w:rsid w:val="00776633"/>
    <w:rsid w:val="00781A26"/>
    <w:rsid w:val="00792B7A"/>
    <w:rsid w:val="00796783"/>
    <w:rsid w:val="007A0363"/>
    <w:rsid w:val="007A62B8"/>
    <w:rsid w:val="007B4254"/>
    <w:rsid w:val="007B54F9"/>
    <w:rsid w:val="007D79F3"/>
    <w:rsid w:val="007E4B95"/>
    <w:rsid w:val="007F6365"/>
    <w:rsid w:val="007F6579"/>
    <w:rsid w:val="007F78B0"/>
    <w:rsid w:val="00812EC5"/>
    <w:rsid w:val="00816FB5"/>
    <w:rsid w:val="00820D12"/>
    <w:rsid w:val="00824CCD"/>
    <w:rsid w:val="0082520A"/>
    <w:rsid w:val="008356E7"/>
    <w:rsid w:val="008414BC"/>
    <w:rsid w:val="0085439B"/>
    <w:rsid w:val="00861824"/>
    <w:rsid w:val="00871776"/>
    <w:rsid w:val="00872975"/>
    <w:rsid w:val="00874983"/>
    <w:rsid w:val="00892E8B"/>
    <w:rsid w:val="00895BEC"/>
    <w:rsid w:val="008A25D7"/>
    <w:rsid w:val="008B32BE"/>
    <w:rsid w:val="008B4965"/>
    <w:rsid w:val="008B7448"/>
    <w:rsid w:val="008C0AA9"/>
    <w:rsid w:val="008C4715"/>
    <w:rsid w:val="008D040A"/>
    <w:rsid w:val="008D1623"/>
    <w:rsid w:val="008D1ABD"/>
    <w:rsid w:val="008E16F0"/>
    <w:rsid w:val="008F07E3"/>
    <w:rsid w:val="008F4C48"/>
    <w:rsid w:val="008F6962"/>
    <w:rsid w:val="008F7D5E"/>
    <w:rsid w:val="00903621"/>
    <w:rsid w:val="009040BD"/>
    <w:rsid w:val="009075B3"/>
    <w:rsid w:val="00907CF9"/>
    <w:rsid w:val="00910CEF"/>
    <w:rsid w:val="00914184"/>
    <w:rsid w:val="00925E63"/>
    <w:rsid w:val="00936068"/>
    <w:rsid w:val="009443AC"/>
    <w:rsid w:val="009459F6"/>
    <w:rsid w:val="00947529"/>
    <w:rsid w:val="0095145B"/>
    <w:rsid w:val="009517CC"/>
    <w:rsid w:val="00957D57"/>
    <w:rsid w:val="009615D4"/>
    <w:rsid w:val="00974677"/>
    <w:rsid w:val="00983679"/>
    <w:rsid w:val="00984BF4"/>
    <w:rsid w:val="009940AC"/>
    <w:rsid w:val="009A2F17"/>
    <w:rsid w:val="009D24F5"/>
    <w:rsid w:val="009F5982"/>
    <w:rsid w:val="00A13664"/>
    <w:rsid w:val="00A223DF"/>
    <w:rsid w:val="00A35DAD"/>
    <w:rsid w:val="00A404BB"/>
    <w:rsid w:val="00A51930"/>
    <w:rsid w:val="00A65DD7"/>
    <w:rsid w:val="00A71669"/>
    <w:rsid w:val="00A738FA"/>
    <w:rsid w:val="00A76D43"/>
    <w:rsid w:val="00A90151"/>
    <w:rsid w:val="00A9359B"/>
    <w:rsid w:val="00AA105B"/>
    <w:rsid w:val="00AA420C"/>
    <w:rsid w:val="00AB3A78"/>
    <w:rsid w:val="00AC4677"/>
    <w:rsid w:val="00AD0DD9"/>
    <w:rsid w:val="00AE14F0"/>
    <w:rsid w:val="00AF35A4"/>
    <w:rsid w:val="00B00D5E"/>
    <w:rsid w:val="00B01E1A"/>
    <w:rsid w:val="00B044BF"/>
    <w:rsid w:val="00B0790E"/>
    <w:rsid w:val="00B1034F"/>
    <w:rsid w:val="00B11135"/>
    <w:rsid w:val="00B17FC2"/>
    <w:rsid w:val="00B21173"/>
    <w:rsid w:val="00B23603"/>
    <w:rsid w:val="00B236DB"/>
    <w:rsid w:val="00B30681"/>
    <w:rsid w:val="00B339A9"/>
    <w:rsid w:val="00B33C67"/>
    <w:rsid w:val="00B3749D"/>
    <w:rsid w:val="00B4131C"/>
    <w:rsid w:val="00B4232C"/>
    <w:rsid w:val="00B45604"/>
    <w:rsid w:val="00B51421"/>
    <w:rsid w:val="00B53095"/>
    <w:rsid w:val="00B56E39"/>
    <w:rsid w:val="00B65DAA"/>
    <w:rsid w:val="00B66B2F"/>
    <w:rsid w:val="00B67CED"/>
    <w:rsid w:val="00B8147E"/>
    <w:rsid w:val="00B87859"/>
    <w:rsid w:val="00B91596"/>
    <w:rsid w:val="00B91619"/>
    <w:rsid w:val="00B91D47"/>
    <w:rsid w:val="00B91FA3"/>
    <w:rsid w:val="00BA2955"/>
    <w:rsid w:val="00BA7623"/>
    <w:rsid w:val="00BC7702"/>
    <w:rsid w:val="00BD2592"/>
    <w:rsid w:val="00BD2B36"/>
    <w:rsid w:val="00BD565C"/>
    <w:rsid w:val="00BD6CB5"/>
    <w:rsid w:val="00BD7746"/>
    <w:rsid w:val="00BE0A42"/>
    <w:rsid w:val="00BE17E5"/>
    <w:rsid w:val="00BE5DF4"/>
    <w:rsid w:val="00BF2348"/>
    <w:rsid w:val="00BF68C8"/>
    <w:rsid w:val="00BF7727"/>
    <w:rsid w:val="00C01E68"/>
    <w:rsid w:val="00C0774F"/>
    <w:rsid w:val="00C07BFB"/>
    <w:rsid w:val="00C11924"/>
    <w:rsid w:val="00C2133E"/>
    <w:rsid w:val="00C24AEB"/>
    <w:rsid w:val="00C27651"/>
    <w:rsid w:val="00C326F9"/>
    <w:rsid w:val="00C36150"/>
    <w:rsid w:val="00C37A29"/>
    <w:rsid w:val="00C524F4"/>
    <w:rsid w:val="00C52EF1"/>
    <w:rsid w:val="00C5737A"/>
    <w:rsid w:val="00C57FB3"/>
    <w:rsid w:val="00C725BC"/>
    <w:rsid w:val="00C919FF"/>
    <w:rsid w:val="00C96BD2"/>
    <w:rsid w:val="00C97716"/>
    <w:rsid w:val="00CA3626"/>
    <w:rsid w:val="00CA3B8D"/>
    <w:rsid w:val="00CA7BB4"/>
    <w:rsid w:val="00CB14E9"/>
    <w:rsid w:val="00CB163F"/>
    <w:rsid w:val="00CB50D0"/>
    <w:rsid w:val="00CB6026"/>
    <w:rsid w:val="00CB7D12"/>
    <w:rsid w:val="00CD61EB"/>
    <w:rsid w:val="00CE4251"/>
    <w:rsid w:val="00CF02F0"/>
    <w:rsid w:val="00CF0CDE"/>
    <w:rsid w:val="00D16F74"/>
    <w:rsid w:val="00D23BC6"/>
    <w:rsid w:val="00D40562"/>
    <w:rsid w:val="00D5485B"/>
    <w:rsid w:val="00D60649"/>
    <w:rsid w:val="00D6707B"/>
    <w:rsid w:val="00D67E4D"/>
    <w:rsid w:val="00D8255C"/>
    <w:rsid w:val="00D83923"/>
    <w:rsid w:val="00D9419D"/>
    <w:rsid w:val="00DA3176"/>
    <w:rsid w:val="00DA370D"/>
    <w:rsid w:val="00DA76DA"/>
    <w:rsid w:val="00DB7D48"/>
    <w:rsid w:val="00DC138C"/>
    <w:rsid w:val="00DC7DE8"/>
    <w:rsid w:val="00DC7F19"/>
    <w:rsid w:val="00DD4580"/>
    <w:rsid w:val="00DD4741"/>
    <w:rsid w:val="00DE4F6E"/>
    <w:rsid w:val="00DF4E3E"/>
    <w:rsid w:val="00E007C9"/>
    <w:rsid w:val="00E015EA"/>
    <w:rsid w:val="00E02467"/>
    <w:rsid w:val="00E12393"/>
    <w:rsid w:val="00E123BE"/>
    <w:rsid w:val="00E2281E"/>
    <w:rsid w:val="00E228A2"/>
    <w:rsid w:val="00E315B2"/>
    <w:rsid w:val="00E3267C"/>
    <w:rsid w:val="00E32F93"/>
    <w:rsid w:val="00E33A97"/>
    <w:rsid w:val="00E423E1"/>
    <w:rsid w:val="00E432A3"/>
    <w:rsid w:val="00E5176D"/>
    <w:rsid w:val="00E54B2B"/>
    <w:rsid w:val="00E57F4F"/>
    <w:rsid w:val="00E63087"/>
    <w:rsid w:val="00E71206"/>
    <w:rsid w:val="00E728A9"/>
    <w:rsid w:val="00E81A5D"/>
    <w:rsid w:val="00E857AB"/>
    <w:rsid w:val="00E96273"/>
    <w:rsid w:val="00EA1943"/>
    <w:rsid w:val="00EA5448"/>
    <w:rsid w:val="00EC10C5"/>
    <w:rsid w:val="00EC7063"/>
    <w:rsid w:val="00ED64D4"/>
    <w:rsid w:val="00EE1D47"/>
    <w:rsid w:val="00EE3994"/>
    <w:rsid w:val="00EE575E"/>
    <w:rsid w:val="00EE6F14"/>
    <w:rsid w:val="00F162D4"/>
    <w:rsid w:val="00F23A23"/>
    <w:rsid w:val="00F338B9"/>
    <w:rsid w:val="00F43380"/>
    <w:rsid w:val="00F4702C"/>
    <w:rsid w:val="00F505B8"/>
    <w:rsid w:val="00F53FA1"/>
    <w:rsid w:val="00F54490"/>
    <w:rsid w:val="00F55784"/>
    <w:rsid w:val="00F61E36"/>
    <w:rsid w:val="00F634F6"/>
    <w:rsid w:val="00F6447F"/>
    <w:rsid w:val="00F64B00"/>
    <w:rsid w:val="00F71900"/>
    <w:rsid w:val="00F7530D"/>
    <w:rsid w:val="00F87219"/>
    <w:rsid w:val="00F87B07"/>
    <w:rsid w:val="00F92D8D"/>
    <w:rsid w:val="00F95C75"/>
    <w:rsid w:val="00FA0C00"/>
    <w:rsid w:val="00FA6383"/>
    <w:rsid w:val="00FB1903"/>
    <w:rsid w:val="00FC2D8B"/>
    <w:rsid w:val="00FD2054"/>
    <w:rsid w:val="00FD3306"/>
    <w:rsid w:val="00FF141F"/>
    <w:rsid w:val="00FF3B67"/>
    <w:rsid w:val="00FF40A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1852089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4" w:unhideWhenUsed="1" w:qFormat="1"/>
    <w:lsdException w:name="heading 3" w:semiHidden="1" w:uiPriority="4" w:unhideWhenUsed="1" w:qFormat="1"/>
    <w:lsdException w:name="heading 4" w:semiHidden="1" w:uiPriority="4" w:unhideWhenUsed="1" w:qFormat="1"/>
    <w:lsdException w:name="heading 5" w:semiHidden="1" w:uiPriority="5" w:unhideWhenUsed="1" w:qFormat="1"/>
    <w:lsdException w:name="heading 6" w:semiHidden="1" w:uiPriority="5" w:qFormat="1"/>
    <w:lsdException w:name="heading 7" w:semiHidden="1" w:uiPriority="5" w:qFormat="1"/>
    <w:lsdException w:name="heading 8" w:semiHidden="1" w:uiPriority="5" w:qFormat="1"/>
    <w:lsdException w:name="heading 9" w:semiHidden="1" w:uiPriority="5"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3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4"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qFormat="1"/>
    <w:lsdException w:name="List Continue 5" w:semiHidden="1" w:unhideWhenUsed="1" w:qFormat="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56E7"/>
    <w:pPr>
      <w:spacing w:after="120" w:line="240" w:lineRule="auto"/>
    </w:pPr>
    <w:rPr>
      <w:spacing w:val="-2"/>
    </w:rPr>
  </w:style>
  <w:style w:type="paragraph" w:styleId="Heading1">
    <w:name w:val="heading 1"/>
    <w:basedOn w:val="Normal"/>
    <w:next w:val="Normal"/>
    <w:link w:val="Heading1Char"/>
    <w:uiPriority w:val="9"/>
    <w:qFormat/>
    <w:rsid w:val="000C59BF"/>
    <w:pPr>
      <w:keepNext/>
      <w:keepLines/>
      <w:pageBreakBefore/>
      <w:framePr w:w="14799" w:h="1304" w:vSpace="680" w:wrap="around" w:vAnchor="page" w:hAnchor="margin" w:y="982"/>
      <w:numPr>
        <w:numId w:val="12"/>
      </w:numPr>
      <w:pBdr>
        <w:top w:val="single" w:sz="8" w:space="31" w:color="FFFFFF" w:themeColor="background1"/>
        <w:bottom w:val="single" w:sz="8" w:space="0" w:color="FFF200" w:themeColor="accent1"/>
      </w:pBdr>
      <w:shd w:val="clear" w:color="auto" w:fill="FFFFFF" w:themeFill="background1"/>
      <w:spacing w:after="0"/>
      <w:outlineLvl w:val="0"/>
    </w:pPr>
    <w:rPr>
      <w:rFonts w:asciiTheme="majorHAnsi" w:eastAsiaTheme="majorEastAsia" w:hAnsiTheme="majorHAnsi" w:cstheme="majorBidi"/>
      <w:b/>
      <w:caps/>
      <w:color w:val="000000" w:themeColor="text1"/>
      <w:sz w:val="52"/>
      <w:szCs w:val="28"/>
    </w:rPr>
  </w:style>
  <w:style w:type="paragraph" w:styleId="Heading2">
    <w:name w:val="heading 2"/>
    <w:basedOn w:val="Normal"/>
    <w:next w:val="Normal"/>
    <w:link w:val="Heading2Char"/>
    <w:uiPriority w:val="4"/>
    <w:qFormat/>
    <w:rsid w:val="000C59BF"/>
    <w:pPr>
      <w:keepNext/>
      <w:keepLines/>
      <w:numPr>
        <w:ilvl w:val="1"/>
        <w:numId w:val="12"/>
      </w:numPr>
      <w:spacing w:before="400" w:after="240"/>
      <w:outlineLvl w:val="1"/>
    </w:pPr>
    <w:rPr>
      <w:rFonts w:ascii="Franklin Gothic Book" w:eastAsia="Times New Roman" w:hAnsi="Franklin Gothic Book" w:cs="Times New Roman"/>
      <w:b/>
      <w:bCs/>
      <w:caps/>
      <w:color w:val="000000"/>
      <w:spacing w:val="-3"/>
      <w:sz w:val="32"/>
      <w:szCs w:val="26"/>
      <w:u w:val="single"/>
    </w:rPr>
  </w:style>
  <w:style w:type="paragraph" w:styleId="Heading3">
    <w:name w:val="heading 3"/>
    <w:basedOn w:val="Normal"/>
    <w:next w:val="Normal"/>
    <w:link w:val="Heading3Char"/>
    <w:uiPriority w:val="4"/>
    <w:qFormat/>
    <w:rsid w:val="000C59BF"/>
    <w:pPr>
      <w:keepNext/>
      <w:keepLines/>
      <w:numPr>
        <w:ilvl w:val="2"/>
        <w:numId w:val="12"/>
      </w:numPr>
      <w:spacing w:before="320" w:after="240"/>
      <w:outlineLvl w:val="2"/>
    </w:pPr>
    <w:rPr>
      <w:rFonts w:ascii="Franklin Gothic Demi" w:eastAsia="Times New Roman" w:hAnsi="Franklin Gothic Demi" w:cs="Times New Roman"/>
      <w:bCs/>
      <w:color w:val="000000"/>
      <w:spacing w:val="-6"/>
      <w:sz w:val="28"/>
      <w:szCs w:val="20"/>
    </w:rPr>
  </w:style>
  <w:style w:type="paragraph" w:styleId="Heading4">
    <w:name w:val="heading 4"/>
    <w:basedOn w:val="Normal"/>
    <w:next w:val="Normal"/>
    <w:link w:val="Heading4Char"/>
    <w:uiPriority w:val="4"/>
    <w:qFormat/>
    <w:rsid w:val="00365B6C"/>
    <w:pPr>
      <w:keepNext/>
      <w:keepLines/>
      <w:spacing w:before="200"/>
      <w:outlineLvl w:val="3"/>
    </w:pPr>
    <w:rPr>
      <w:rFonts w:asciiTheme="majorHAnsi" w:eastAsia="Times New Roman" w:hAnsiTheme="majorHAnsi" w:cs="Times New Roman"/>
      <w:bCs/>
      <w:iCs/>
      <w:color w:val="000000"/>
      <w:spacing w:val="-3"/>
      <w:sz w:val="24"/>
      <w:szCs w:val="20"/>
    </w:rPr>
  </w:style>
  <w:style w:type="paragraph" w:styleId="Heading5">
    <w:name w:val="heading 5"/>
    <w:basedOn w:val="Normal"/>
    <w:next w:val="Normal"/>
    <w:link w:val="Heading5Char"/>
    <w:uiPriority w:val="5"/>
    <w:semiHidden/>
    <w:qFormat/>
    <w:rsid w:val="009D24F5"/>
    <w:pPr>
      <w:keepNext/>
      <w:keepLines/>
      <w:spacing w:before="120" w:after="60"/>
      <w:outlineLvl w:val="4"/>
    </w:pPr>
    <w:rPr>
      <w:rFonts w:asciiTheme="majorHAnsi" w:eastAsiaTheme="majorEastAsia" w:hAnsiTheme="majorHAnsi" w:cstheme="majorBidi"/>
      <w:b/>
      <w:sz w:val="18"/>
    </w:rPr>
  </w:style>
  <w:style w:type="paragraph" w:styleId="Heading6">
    <w:name w:val="heading 6"/>
    <w:next w:val="BodyText"/>
    <w:link w:val="Heading6Char"/>
    <w:uiPriority w:val="5"/>
    <w:semiHidden/>
    <w:qFormat/>
    <w:rsid w:val="000230CC"/>
    <w:pPr>
      <w:keepNext/>
      <w:keepLines/>
      <w:spacing w:before="200" w:after="0" w:line="240" w:lineRule="auto"/>
      <w:outlineLvl w:val="5"/>
    </w:pPr>
    <w:rPr>
      <w:rFonts w:asciiTheme="majorHAnsi" w:eastAsiaTheme="majorEastAsia" w:hAnsiTheme="majorHAnsi" w:cstheme="majorBidi"/>
      <w:i/>
      <w:iCs/>
      <w:color w:val="7F7800" w:themeColor="accent1" w:themeShade="7F"/>
      <w:sz w:val="20"/>
      <w:szCs w:val="20"/>
    </w:rPr>
  </w:style>
  <w:style w:type="paragraph" w:styleId="Heading7">
    <w:name w:val="heading 7"/>
    <w:next w:val="BodyText"/>
    <w:link w:val="Heading7Char"/>
    <w:uiPriority w:val="5"/>
    <w:semiHidden/>
    <w:qFormat/>
    <w:rsid w:val="000230CC"/>
    <w:pPr>
      <w:keepNext/>
      <w:keepLines/>
      <w:spacing w:before="200" w:after="0" w:line="240" w:lineRule="auto"/>
      <w:outlineLvl w:val="6"/>
    </w:pPr>
    <w:rPr>
      <w:rFonts w:asciiTheme="majorHAnsi" w:eastAsiaTheme="majorEastAsia" w:hAnsiTheme="majorHAnsi" w:cstheme="majorBidi"/>
      <w:i/>
      <w:iCs/>
      <w:color w:val="404040" w:themeColor="text1" w:themeTint="BF"/>
      <w:sz w:val="20"/>
      <w:szCs w:val="20"/>
    </w:rPr>
  </w:style>
  <w:style w:type="paragraph" w:styleId="Heading8">
    <w:name w:val="heading 8"/>
    <w:next w:val="BodyText"/>
    <w:link w:val="Heading8Char"/>
    <w:uiPriority w:val="5"/>
    <w:semiHidden/>
    <w:qFormat/>
    <w:rsid w:val="000230CC"/>
    <w:pPr>
      <w:keepNext/>
      <w:keepLines/>
      <w:spacing w:before="200" w:after="0" w:line="240" w:lineRule="auto"/>
      <w:outlineLvl w:val="7"/>
    </w:pPr>
    <w:rPr>
      <w:rFonts w:asciiTheme="majorHAnsi" w:eastAsiaTheme="majorEastAsia" w:hAnsiTheme="majorHAnsi" w:cstheme="majorBidi"/>
      <w:color w:val="404040" w:themeColor="text1" w:themeTint="BF"/>
      <w:sz w:val="20"/>
      <w:szCs w:val="20"/>
    </w:rPr>
  </w:style>
  <w:style w:type="paragraph" w:styleId="Heading9">
    <w:name w:val="heading 9"/>
    <w:next w:val="BodyText"/>
    <w:link w:val="Heading9Char"/>
    <w:uiPriority w:val="5"/>
    <w:semiHidden/>
    <w:rsid w:val="000230CC"/>
    <w:pPr>
      <w:keepNext/>
      <w:keepLines/>
      <w:pBdr>
        <w:bottom w:val="single" w:sz="4" w:space="14" w:color="FFF200" w:themeColor="background2"/>
      </w:pBdr>
      <w:spacing w:after="0" w:line="336" w:lineRule="atLeast"/>
      <w:outlineLvl w:val="8"/>
    </w:pPr>
    <w:rPr>
      <w:rFonts w:asciiTheme="majorHAnsi" w:eastAsiaTheme="majorEastAsia" w:hAnsiTheme="majorHAnsi" w:cstheme="majorBidi"/>
      <w:iCs/>
      <w:caps/>
      <w:color w:val="000000" w:themeColor="text1"/>
      <w:spacing w:val="-3"/>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11924"/>
    <w:rPr>
      <w:color w:val="808080"/>
    </w:rPr>
  </w:style>
  <w:style w:type="paragraph" w:styleId="Date">
    <w:name w:val="Date"/>
    <w:basedOn w:val="Normal"/>
    <w:next w:val="Normal"/>
    <w:link w:val="DateChar"/>
    <w:uiPriority w:val="99"/>
    <w:unhideWhenUsed/>
    <w:rsid w:val="00C11924"/>
  </w:style>
  <w:style w:type="character" w:customStyle="1" w:styleId="DateChar">
    <w:name w:val="Date Char"/>
    <w:basedOn w:val="DefaultParagraphFont"/>
    <w:link w:val="Date"/>
    <w:uiPriority w:val="99"/>
    <w:rsid w:val="00C11924"/>
  </w:style>
  <w:style w:type="paragraph" w:styleId="NoSpacing">
    <w:name w:val="No Spacing"/>
    <w:link w:val="NoSpacingChar"/>
    <w:uiPriority w:val="1"/>
    <w:qFormat/>
    <w:rsid w:val="00C11924"/>
    <w:pPr>
      <w:spacing w:after="0" w:line="240" w:lineRule="auto"/>
    </w:pPr>
  </w:style>
  <w:style w:type="paragraph" w:customStyle="1" w:styleId="Sign-off">
    <w:name w:val="Sign-off"/>
    <w:basedOn w:val="NoSpacing"/>
    <w:next w:val="Normal"/>
    <w:semiHidden/>
    <w:rsid w:val="00C11924"/>
    <w:rPr>
      <w:b/>
    </w:rPr>
  </w:style>
  <w:style w:type="paragraph" w:styleId="ListBullet">
    <w:name w:val="List Bullet"/>
    <w:basedOn w:val="Normal"/>
    <w:uiPriority w:val="99"/>
    <w:unhideWhenUsed/>
    <w:qFormat/>
    <w:rsid w:val="00D83923"/>
    <w:pPr>
      <w:numPr>
        <w:numId w:val="4"/>
      </w:numPr>
      <w:contextualSpacing/>
    </w:pPr>
  </w:style>
  <w:style w:type="paragraph" w:styleId="ListBullet2">
    <w:name w:val="List Bullet 2"/>
    <w:basedOn w:val="Normal"/>
    <w:uiPriority w:val="99"/>
    <w:unhideWhenUsed/>
    <w:qFormat/>
    <w:rsid w:val="00D83923"/>
    <w:pPr>
      <w:numPr>
        <w:ilvl w:val="1"/>
        <w:numId w:val="4"/>
      </w:numPr>
      <w:contextualSpacing/>
    </w:pPr>
  </w:style>
  <w:style w:type="paragraph" w:styleId="ListNumber">
    <w:name w:val="List Number"/>
    <w:basedOn w:val="Normal"/>
    <w:uiPriority w:val="99"/>
    <w:unhideWhenUsed/>
    <w:qFormat/>
    <w:rsid w:val="00A71669"/>
    <w:pPr>
      <w:numPr>
        <w:numId w:val="9"/>
      </w:numPr>
      <w:tabs>
        <w:tab w:val="clear" w:pos="284"/>
      </w:tabs>
      <w:contextualSpacing/>
    </w:pPr>
  </w:style>
  <w:style w:type="numbering" w:customStyle="1" w:styleId="Bullets">
    <w:name w:val="Bullets"/>
    <w:uiPriority w:val="99"/>
    <w:rsid w:val="00D83923"/>
    <w:pPr>
      <w:numPr>
        <w:numId w:val="1"/>
      </w:numPr>
    </w:pPr>
  </w:style>
  <w:style w:type="character" w:customStyle="1" w:styleId="Heading1Char">
    <w:name w:val="Heading 1 Char"/>
    <w:basedOn w:val="DefaultParagraphFont"/>
    <w:link w:val="Heading1"/>
    <w:uiPriority w:val="9"/>
    <w:rsid w:val="00B00D5E"/>
    <w:rPr>
      <w:rFonts w:asciiTheme="majorHAnsi" w:eastAsiaTheme="majorEastAsia" w:hAnsiTheme="majorHAnsi" w:cstheme="majorBidi"/>
      <w:b/>
      <w:caps/>
      <w:color w:val="000000" w:themeColor="text1"/>
      <w:spacing w:val="-2"/>
      <w:sz w:val="52"/>
      <w:szCs w:val="28"/>
      <w:shd w:val="clear" w:color="auto" w:fill="FFFFFF" w:themeFill="background1"/>
    </w:rPr>
  </w:style>
  <w:style w:type="paragraph" w:styleId="ListNumber2">
    <w:name w:val="List Number 2"/>
    <w:basedOn w:val="Normal"/>
    <w:uiPriority w:val="99"/>
    <w:unhideWhenUsed/>
    <w:qFormat/>
    <w:rsid w:val="00A71669"/>
    <w:pPr>
      <w:numPr>
        <w:ilvl w:val="1"/>
        <w:numId w:val="9"/>
      </w:numPr>
      <w:contextualSpacing/>
    </w:pPr>
  </w:style>
  <w:style w:type="character" w:customStyle="1" w:styleId="Heading2Char">
    <w:name w:val="Heading 2 Char"/>
    <w:basedOn w:val="DefaultParagraphFont"/>
    <w:link w:val="Heading2"/>
    <w:uiPriority w:val="4"/>
    <w:rsid w:val="00B00D5E"/>
    <w:rPr>
      <w:rFonts w:ascii="Franklin Gothic Book" w:eastAsia="Times New Roman" w:hAnsi="Franklin Gothic Book" w:cs="Times New Roman"/>
      <w:b/>
      <w:bCs/>
      <w:caps/>
      <w:color w:val="000000"/>
      <w:spacing w:val="-3"/>
      <w:sz w:val="32"/>
      <w:szCs w:val="26"/>
      <w:u w:val="single"/>
    </w:rPr>
  </w:style>
  <w:style w:type="paragraph" w:styleId="ListParagraph">
    <w:name w:val="List Paragraph"/>
    <w:basedOn w:val="Normal"/>
    <w:uiPriority w:val="34"/>
    <w:qFormat/>
    <w:rsid w:val="00594496"/>
    <w:pPr>
      <w:ind w:left="284"/>
      <w:contextualSpacing/>
    </w:pPr>
  </w:style>
  <w:style w:type="paragraph" w:styleId="Header">
    <w:name w:val="header"/>
    <w:basedOn w:val="Normal"/>
    <w:link w:val="HeaderChar"/>
    <w:uiPriority w:val="99"/>
    <w:unhideWhenUsed/>
    <w:rsid w:val="00C37A29"/>
    <w:pPr>
      <w:tabs>
        <w:tab w:val="center" w:pos="4513"/>
        <w:tab w:val="right" w:pos="9026"/>
      </w:tabs>
      <w:spacing w:after="0"/>
    </w:pPr>
  </w:style>
  <w:style w:type="character" w:customStyle="1" w:styleId="HeaderChar">
    <w:name w:val="Header Char"/>
    <w:basedOn w:val="DefaultParagraphFont"/>
    <w:link w:val="Header"/>
    <w:uiPriority w:val="99"/>
    <w:rsid w:val="00C37A29"/>
  </w:style>
  <w:style w:type="paragraph" w:styleId="Footer">
    <w:name w:val="footer"/>
    <w:basedOn w:val="Normal"/>
    <w:link w:val="FooterChar"/>
    <w:uiPriority w:val="99"/>
    <w:semiHidden/>
    <w:rsid w:val="008D1623"/>
    <w:pPr>
      <w:tabs>
        <w:tab w:val="center" w:pos="4513"/>
        <w:tab w:val="right" w:pos="9026"/>
      </w:tabs>
      <w:spacing w:after="40"/>
    </w:pPr>
    <w:rPr>
      <w:sz w:val="18"/>
    </w:rPr>
  </w:style>
  <w:style w:type="character" w:customStyle="1" w:styleId="FooterChar">
    <w:name w:val="Footer Char"/>
    <w:basedOn w:val="DefaultParagraphFont"/>
    <w:link w:val="Footer"/>
    <w:uiPriority w:val="99"/>
    <w:semiHidden/>
    <w:rsid w:val="008D1623"/>
    <w:rPr>
      <w:spacing w:val="-2"/>
      <w:sz w:val="18"/>
    </w:rPr>
  </w:style>
  <w:style w:type="numbering" w:customStyle="1" w:styleId="Numbering">
    <w:name w:val="Numbering"/>
    <w:uiPriority w:val="99"/>
    <w:rsid w:val="00A71669"/>
    <w:pPr>
      <w:numPr>
        <w:numId w:val="2"/>
      </w:numPr>
    </w:pPr>
  </w:style>
  <w:style w:type="paragraph" w:styleId="ListBullet3">
    <w:name w:val="List Bullet 3"/>
    <w:basedOn w:val="Normal"/>
    <w:uiPriority w:val="99"/>
    <w:unhideWhenUsed/>
    <w:rsid w:val="00D83923"/>
    <w:pPr>
      <w:numPr>
        <w:ilvl w:val="2"/>
        <w:numId w:val="4"/>
      </w:numPr>
      <w:contextualSpacing/>
    </w:pPr>
  </w:style>
  <w:style w:type="paragraph" w:styleId="ListContinue2">
    <w:name w:val="List Continue 2"/>
    <w:basedOn w:val="Normal"/>
    <w:uiPriority w:val="99"/>
    <w:unhideWhenUsed/>
    <w:qFormat/>
    <w:rsid w:val="004635FD"/>
    <w:pPr>
      <w:ind w:left="566"/>
      <w:contextualSpacing/>
    </w:pPr>
  </w:style>
  <w:style w:type="paragraph" w:styleId="ListNumber3">
    <w:name w:val="List Number 3"/>
    <w:basedOn w:val="Normal"/>
    <w:uiPriority w:val="99"/>
    <w:unhideWhenUsed/>
    <w:qFormat/>
    <w:rsid w:val="00A71669"/>
    <w:pPr>
      <w:numPr>
        <w:ilvl w:val="2"/>
        <w:numId w:val="9"/>
      </w:numPr>
      <w:contextualSpacing/>
    </w:pPr>
  </w:style>
  <w:style w:type="paragraph" w:styleId="ListNumber4">
    <w:name w:val="List Number 4"/>
    <w:basedOn w:val="Normal"/>
    <w:uiPriority w:val="99"/>
    <w:unhideWhenUsed/>
    <w:qFormat/>
    <w:rsid w:val="00A71669"/>
    <w:pPr>
      <w:numPr>
        <w:ilvl w:val="3"/>
        <w:numId w:val="9"/>
      </w:numPr>
      <w:contextualSpacing/>
    </w:pPr>
  </w:style>
  <w:style w:type="paragraph" w:styleId="ListNumber5">
    <w:name w:val="List Number 5"/>
    <w:basedOn w:val="Normal"/>
    <w:uiPriority w:val="99"/>
    <w:unhideWhenUsed/>
    <w:rsid w:val="00A71669"/>
    <w:pPr>
      <w:numPr>
        <w:ilvl w:val="4"/>
        <w:numId w:val="9"/>
      </w:numPr>
      <w:contextualSpacing/>
    </w:pPr>
  </w:style>
  <w:style w:type="paragraph" w:styleId="ListContinue">
    <w:name w:val="List Continue"/>
    <w:basedOn w:val="Normal"/>
    <w:uiPriority w:val="99"/>
    <w:unhideWhenUsed/>
    <w:qFormat/>
    <w:rsid w:val="00B91D47"/>
    <w:pPr>
      <w:ind w:left="283"/>
      <w:contextualSpacing/>
    </w:pPr>
  </w:style>
  <w:style w:type="paragraph" w:styleId="ListContinue3">
    <w:name w:val="List Continue 3"/>
    <w:basedOn w:val="Normal"/>
    <w:uiPriority w:val="99"/>
    <w:unhideWhenUsed/>
    <w:qFormat/>
    <w:rsid w:val="00974677"/>
    <w:pPr>
      <w:ind w:left="849"/>
      <w:contextualSpacing/>
    </w:pPr>
  </w:style>
  <w:style w:type="paragraph" w:styleId="ListContinue4">
    <w:name w:val="List Continue 4"/>
    <w:basedOn w:val="Normal"/>
    <w:uiPriority w:val="99"/>
    <w:unhideWhenUsed/>
    <w:qFormat/>
    <w:rsid w:val="00974677"/>
    <w:pPr>
      <w:ind w:left="1132"/>
      <w:contextualSpacing/>
    </w:pPr>
  </w:style>
  <w:style w:type="character" w:customStyle="1" w:styleId="Heading3Char">
    <w:name w:val="Heading 3 Char"/>
    <w:basedOn w:val="DefaultParagraphFont"/>
    <w:link w:val="Heading3"/>
    <w:uiPriority w:val="4"/>
    <w:rsid w:val="00B00D5E"/>
    <w:rPr>
      <w:rFonts w:ascii="Franklin Gothic Demi" w:eastAsia="Times New Roman" w:hAnsi="Franklin Gothic Demi" w:cs="Times New Roman"/>
      <w:bCs/>
      <w:color w:val="000000"/>
      <w:spacing w:val="-6"/>
      <w:sz w:val="28"/>
      <w:szCs w:val="20"/>
    </w:rPr>
  </w:style>
  <w:style w:type="character" w:customStyle="1" w:styleId="Heading4Char">
    <w:name w:val="Heading 4 Char"/>
    <w:basedOn w:val="DefaultParagraphFont"/>
    <w:link w:val="Heading4"/>
    <w:uiPriority w:val="4"/>
    <w:rsid w:val="00B00D5E"/>
    <w:rPr>
      <w:rFonts w:asciiTheme="majorHAnsi" w:eastAsia="Times New Roman" w:hAnsiTheme="majorHAnsi" w:cs="Times New Roman"/>
      <w:bCs/>
      <w:iCs/>
      <w:color w:val="000000"/>
      <w:spacing w:val="-3"/>
      <w:sz w:val="24"/>
      <w:szCs w:val="20"/>
    </w:rPr>
  </w:style>
  <w:style w:type="character" w:customStyle="1" w:styleId="Heading5Char">
    <w:name w:val="Heading 5 Char"/>
    <w:basedOn w:val="DefaultParagraphFont"/>
    <w:link w:val="Heading5"/>
    <w:uiPriority w:val="5"/>
    <w:semiHidden/>
    <w:rsid w:val="00365B6C"/>
    <w:rPr>
      <w:rFonts w:asciiTheme="majorHAnsi" w:eastAsiaTheme="majorEastAsia" w:hAnsiTheme="majorHAnsi" w:cstheme="majorBidi"/>
      <w:b/>
      <w:spacing w:val="-2"/>
      <w:sz w:val="18"/>
    </w:rPr>
  </w:style>
  <w:style w:type="numbering" w:customStyle="1" w:styleId="ListHeadings">
    <w:name w:val="List Headings"/>
    <w:uiPriority w:val="99"/>
    <w:rsid w:val="000C59BF"/>
    <w:pPr>
      <w:numPr>
        <w:numId w:val="3"/>
      </w:numPr>
    </w:pPr>
  </w:style>
  <w:style w:type="paragraph" w:styleId="Title">
    <w:name w:val="Title"/>
    <w:basedOn w:val="DocumentTitle"/>
    <w:next w:val="Normal"/>
    <w:link w:val="TitleChar"/>
    <w:uiPriority w:val="99"/>
    <w:qFormat/>
    <w:rsid w:val="00150F81"/>
    <w:pPr>
      <w:spacing w:after="120" w:line="240" w:lineRule="auto"/>
    </w:pPr>
  </w:style>
  <w:style w:type="character" w:customStyle="1" w:styleId="TitleChar">
    <w:name w:val="Title Char"/>
    <w:basedOn w:val="DefaultParagraphFont"/>
    <w:link w:val="Title"/>
    <w:uiPriority w:val="99"/>
    <w:rsid w:val="00A65DD7"/>
    <w:rPr>
      <w:rFonts w:ascii="Franklin Gothic Demi" w:hAnsi="Franklin Gothic Demi" w:cs="Times New Roman"/>
      <w:color w:val="000000" w:themeColor="text1"/>
      <w:spacing w:val="-4"/>
      <w:sz w:val="36"/>
      <w:szCs w:val="20"/>
    </w:rPr>
  </w:style>
  <w:style w:type="paragraph" w:customStyle="1" w:styleId="Pull-outQuote">
    <w:name w:val="Pull-out Quote"/>
    <w:basedOn w:val="Normal"/>
    <w:link w:val="Pull-outQuoteChar"/>
    <w:semiHidden/>
    <w:rsid w:val="009D24F5"/>
    <w:pPr>
      <w:pBdr>
        <w:top w:val="single" w:sz="4" w:space="4" w:color="787878" w:themeColor="text2"/>
        <w:left w:val="single" w:sz="4" w:space="4" w:color="787878" w:themeColor="text2"/>
        <w:bottom w:val="single" w:sz="4" w:space="4" w:color="787878" w:themeColor="text2"/>
        <w:right w:val="single" w:sz="4" w:space="4" w:color="787878" w:themeColor="text2"/>
      </w:pBdr>
      <w:shd w:val="clear" w:color="auto" w:fill="787878" w:themeFill="text2"/>
      <w:ind w:left="113" w:right="113"/>
    </w:pPr>
    <w:rPr>
      <w:color w:val="FFFFFF" w:themeColor="background1"/>
    </w:rPr>
  </w:style>
  <w:style w:type="paragraph" w:customStyle="1" w:styleId="Pull-outQuoteHeading">
    <w:name w:val="Pull-out Quote Heading"/>
    <w:basedOn w:val="Pull-outQuote"/>
    <w:next w:val="Pull-outQuote"/>
    <w:link w:val="Pull-outQuoteHeadingChar"/>
    <w:semiHidden/>
    <w:rsid w:val="004B609E"/>
    <w:rPr>
      <w:b/>
    </w:rPr>
  </w:style>
  <w:style w:type="character" w:customStyle="1" w:styleId="Pull-outQuoteChar">
    <w:name w:val="Pull-out Quote Char"/>
    <w:basedOn w:val="DefaultParagraphFont"/>
    <w:link w:val="Pull-outQuote"/>
    <w:semiHidden/>
    <w:rsid w:val="00B17FC2"/>
    <w:rPr>
      <w:color w:val="FFFFFF" w:themeColor="background1"/>
      <w:sz w:val="20"/>
      <w:shd w:val="clear" w:color="auto" w:fill="787878" w:themeFill="text2"/>
    </w:rPr>
  </w:style>
  <w:style w:type="character" w:customStyle="1" w:styleId="Pull-outQuoteHeadingChar">
    <w:name w:val="Pull-out Quote Heading Char"/>
    <w:basedOn w:val="Pull-outQuoteChar"/>
    <w:link w:val="Pull-outQuoteHeading"/>
    <w:semiHidden/>
    <w:rsid w:val="00B17FC2"/>
    <w:rPr>
      <w:b/>
      <w:color w:val="FFFFFF" w:themeColor="background1"/>
      <w:sz w:val="20"/>
      <w:shd w:val="clear" w:color="auto" w:fill="787878" w:themeFill="text2"/>
    </w:rPr>
  </w:style>
  <w:style w:type="paragraph" w:customStyle="1" w:styleId="ESHeading2">
    <w:name w:val="ES Heading 2"/>
    <w:basedOn w:val="Heading2"/>
    <w:uiPriority w:val="5"/>
    <w:qFormat/>
    <w:rsid w:val="00B00D5E"/>
    <w:pPr>
      <w:numPr>
        <w:ilvl w:val="0"/>
        <w:numId w:val="0"/>
      </w:numPr>
    </w:pPr>
  </w:style>
  <w:style w:type="paragraph" w:customStyle="1" w:styleId="ESHeading3">
    <w:name w:val="ES Heading 3"/>
    <w:basedOn w:val="Heading3"/>
    <w:uiPriority w:val="5"/>
    <w:qFormat/>
    <w:rsid w:val="00B00D5E"/>
    <w:pPr>
      <w:numPr>
        <w:ilvl w:val="0"/>
        <w:numId w:val="0"/>
      </w:numPr>
    </w:pPr>
  </w:style>
  <w:style w:type="paragraph" w:styleId="ListContinue5">
    <w:name w:val="List Continue 5"/>
    <w:basedOn w:val="Normal"/>
    <w:uiPriority w:val="99"/>
    <w:unhideWhenUsed/>
    <w:qFormat/>
    <w:rsid w:val="00593314"/>
    <w:pPr>
      <w:ind w:left="1415"/>
      <w:contextualSpacing/>
    </w:pPr>
  </w:style>
  <w:style w:type="table" w:styleId="TableGrid">
    <w:name w:val="Table Grid"/>
    <w:basedOn w:val="TableNormal"/>
    <w:uiPriority w:val="59"/>
    <w:rsid w:val="003B3C06"/>
    <w:pPr>
      <w:spacing w:after="0" w:line="240" w:lineRule="auto"/>
    </w:pPr>
    <w:rPr>
      <w:rFonts w:ascii="Arial" w:hAnsi="Arial" w:cs="Times New Roman"/>
      <w:sz w:val="20"/>
      <w:szCs w:val="20"/>
    </w:rPr>
    <w:tblPr>
      <w:tblCellMar>
        <w:left w:w="0" w:type="dxa"/>
        <w:right w:w="0" w:type="dxa"/>
      </w:tblCellMar>
    </w:tblPr>
  </w:style>
  <w:style w:type="paragraph" w:styleId="TOC1">
    <w:name w:val="toc 1"/>
    <w:uiPriority w:val="39"/>
    <w:rsid w:val="00BD7746"/>
    <w:pPr>
      <w:tabs>
        <w:tab w:val="center" w:pos="6804"/>
      </w:tabs>
      <w:spacing w:before="120" w:after="60" w:line="280" w:lineRule="atLeast"/>
      <w:ind w:left="397" w:right="1021"/>
      <w:contextualSpacing/>
    </w:pPr>
    <w:rPr>
      <w:rFonts w:asciiTheme="majorHAnsi" w:hAnsiTheme="majorHAnsi" w:cs="Times New Roman"/>
      <w:caps/>
      <w:color w:val="000000" w:themeColor="text1"/>
      <w:spacing w:val="-2"/>
      <w:szCs w:val="20"/>
    </w:rPr>
  </w:style>
  <w:style w:type="paragraph" w:styleId="TOC2">
    <w:name w:val="toc 2"/>
    <w:uiPriority w:val="39"/>
    <w:rsid w:val="003B3C06"/>
    <w:pPr>
      <w:tabs>
        <w:tab w:val="left" w:pos="397"/>
        <w:tab w:val="center" w:pos="6804"/>
      </w:tabs>
      <w:spacing w:before="180" w:after="0" w:line="360" w:lineRule="atLeast"/>
      <w:ind w:left="397" w:right="1021" w:hanging="397"/>
    </w:pPr>
    <w:rPr>
      <w:rFonts w:asciiTheme="majorHAnsi" w:hAnsiTheme="majorHAnsi" w:cs="Times New Roman"/>
      <w:caps/>
      <w:color w:val="000000" w:themeColor="text1"/>
      <w:spacing w:val="-2"/>
      <w:sz w:val="28"/>
      <w:szCs w:val="20"/>
      <w:u w:val="single"/>
    </w:rPr>
  </w:style>
  <w:style w:type="paragraph" w:styleId="TOC3">
    <w:name w:val="toc 3"/>
    <w:uiPriority w:val="39"/>
    <w:rsid w:val="000207B2"/>
    <w:pPr>
      <w:tabs>
        <w:tab w:val="left" w:pos="964"/>
        <w:tab w:val="center" w:pos="6804"/>
      </w:tabs>
      <w:spacing w:before="80" w:after="0" w:line="280" w:lineRule="atLeast"/>
      <w:ind w:left="964" w:right="1021" w:hanging="567"/>
      <w:contextualSpacing/>
    </w:pPr>
    <w:rPr>
      <w:rFonts w:ascii="Franklin Gothic Demi" w:hAnsi="Franklin Gothic Demi" w:cs="Times New Roman"/>
      <w:caps/>
      <w:color w:val="000000" w:themeColor="text1"/>
      <w:sz w:val="20"/>
      <w:szCs w:val="20"/>
    </w:rPr>
  </w:style>
  <w:style w:type="paragraph" w:customStyle="1" w:styleId="BodyCopy">
    <w:name w:val="Body Copy"/>
    <w:basedOn w:val="Normal"/>
    <w:link w:val="BodyCopyChar"/>
    <w:qFormat/>
    <w:rsid w:val="00150F81"/>
    <w:rPr>
      <w:rFonts w:cs="Times New Roman"/>
      <w:color w:val="000000" w:themeColor="text1"/>
      <w:szCs w:val="20"/>
    </w:rPr>
  </w:style>
  <w:style w:type="paragraph" w:customStyle="1" w:styleId="MissionStatementHeading">
    <w:name w:val="Mission Statement Heading"/>
    <w:uiPriority w:val="24"/>
    <w:rsid w:val="003B3C06"/>
    <w:pPr>
      <w:framePr w:hSpace="181" w:wrap="notBeside" w:vAnchor="text" w:hAnchor="margin" w:y="6096"/>
      <w:spacing w:after="480" w:line="480" w:lineRule="exact"/>
    </w:pPr>
    <w:rPr>
      <w:rFonts w:ascii="Franklin Gothic Book" w:hAnsi="Franklin Gothic Book" w:cs="Times New Roman"/>
      <w:color w:val="787878" w:themeColor="text2"/>
      <w:sz w:val="48"/>
      <w:szCs w:val="20"/>
      <w:u w:val="single"/>
    </w:rPr>
  </w:style>
  <w:style w:type="paragraph" w:customStyle="1" w:styleId="MissionStatementBody">
    <w:name w:val="Mission Statement Body"/>
    <w:next w:val="BodyCopy"/>
    <w:uiPriority w:val="24"/>
    <w:rsid w:val="003B3C06"/>
    <w:pPr>
      <w:framePr w:wrap="notBeside" w:vAnchor="text" w:hAnchor="text" w:y="1"/>
      <w:spacing w:after="0" w:line="540" w:lineRule="exact"/>
    </w:pPr>
    <w:rPr>
      <w:rFonts w:ascii="Franklin Gothic Book" w:hAnsi="Franklin Gothic Book" w:cs="Times New Roman"/>
      <w:i/>
      <w:color w:val="787878" w:themeColor="text2"/>
      <w:sz w:val="48"/>
      <w:szCs w:val="20"/>
    </w:rPr>
  </w:style>
  <w:style w:type="character" w:customStyle="1" w:styleId="BodyCopyChar">
    <w:name w:val="Body Copy Char"/>
    <w:basedOn w:val="DefaultParagraphFont"/>
    <w:link w:val="BodyCopy"/>
    <w:rsid w:val="00BD7746"/>
    <w:rPr>
      <w:rFonts w:cs="Times New Roman"/>
      <w:color w:val="000000" w:themeColor="text1"/>
      <w:spacing w:val="-2"/>
      <w:szCs w:val="20"/>
    </w:rPr>
  </w:style>
  <w:style w:type="paragraph" w:customStyle="1" w:styleId="DocumentInfo">
    <w:name w:val="Document Info"/>
    <w:link w:val="DocumentInfoChar"/>
    <w:uiPriority w:val="34"/>
    <w:rsid w:val="006756D6"/>
    <w:pPr>
      <w:spacing w:after="0" w:line="288" w:lineRule="exact"/>
      <w:jc w:val="right"/>
    </w:pPr>
    <w:rPr>
      <w:rFonts w:asciiTheme="majorHAnsi" w:hAnsiTheme="majorHAnsi" w:cs="Times New Roman"/>
      <w:caps/>
      <w:color w:val="000000" w:themeColor="text1"/>
      <w:spacing w:val="-2"/>
      <w:sz w:val="24"/>
      <w:szCs w:val="20"/>
    </w:rPr>
  </w:style>
  <w:style w:type="character" w:customStyle="1" w:styleId="DocumentInfoChar">
    <w:name w:val="Document Info Char"/>
    <w:basedOn w:val="DefaultParagraphFont"/>
    <w:link w:val="DocumentInfo"/>
    <w:uiPriority w:val="34"/>
    <w:rsid w:val="006756D6"/>
    <w:rPr>
      <w:rFonts w:asciiTheme="majorHAnsi" w:hAnsiTheme="majorHAnsi" w:cs="Times New Roman"/>
      <w:caps/>
      <w:color w:val="000000" w:themeColor="text1"/>
      <w:spacing w:val="-2"/>
      <w:sz w:val="24"/>
      <w:szCs w:val="20"/>
    </w:rPr>
  </w:style>
  <w:style w:type="paragraph" w:customStyle="1" w:styleId="DocumentTitle">
    <w:name w:val="Document Title"/>
    <w:link w:val="DocumentTitleChar"/>
    <w:uiPriority w:val="34"/>
    <w:rsid w:val="003B3C06"/>
    <w:pPr>
      <w:spacing w:after="284" w:line="432" w:lineRule="exact"/>
    </w:pPr>
    <w:rPr>
      <w:rFonts w:ascii="Franklin Gothic Demi" w:hAnsi="Franklin Gothic Demi" w:cs="Times New Roman"/>
      <w:color w:val="000000" w:themeColor="text1"/>
      <w:spacing w:val="-4"/>
      <w:sz w:val="36"/>
      <w:szCs w:val="20"/>
    </w:rPr>
  </w:style>
  <w:style w:type="character" w:customStyle="1" w:styleId="DocumentTitleChar">
    <w:name w:val="Document Title Char"/>
    <w:basedOn w:val="DefaultParagraphFont"/>
    <w:link w:val="DocumentTitle"/>
    <w:uiPriority w:val="34"/>
    <w:rsid w:val="003B3C06"/>
    <w:rPr>
      <w:rFonts w:ascii="Franklin Gothic Demi" w:hAnsi="Franklin Gothic Demi" w:cs="Times New Roman"/>
      <w:color w:val="000000" w:themeColor="text1"/>
      <w:spacing w:val="-4"/>
      <w:sz w:val="36"/>
      <w:szCs w:val="20"/>
    </w:rPr>
  </w:style>
  <w:style w:type="paragraph" w:customStyle="1" w:styleId="DocumentPublishDate">
    <w:name w:val="Document Publish Date"/>
    <w:next w:val="BodyCopy"/>
    <w:link w:val="DocumentPublishDateChar"/>
    <w:uiPriority w:val="35"/>
    <w:rsid w:val="003B3C06"/>
    <w:pPr>
      <w:spacing w:after="0" w:line="264" w:lineRule="exact"/>
    </w:pPr>
    <w:rPr>
      <w:rFonts w:cs="Times New Roman"/>
      <w:caps/>
      <w:color w:val="000000" w:themeColor="text1"/>
      <w:spacing w:val="-2"/>
      <w:szCs w:val="20"/>
    </w:rPr>
  </w:style>
  <w:style w:type="character" w:customStyle="1" w:styleId="DocumentPublishDateChar">
    <w:name w:val="Document Publish Date Char"/>
    <w:basedOn w:val="DefaultParagraphFont"/>
    <w:link w:val="DocumentPublishDate"/>
    <w:uiPriority w:val="35"/>
    <w:rsid w:val="003B3C06"/>
    <w:rPr>
      <w:rFonts w:cs="Times New Roman"/>
      <w:caps/>
      <w:color w:val="000000" w:themeColor="text1"/>
      <w:spacing w:val="-2"/>
      <w:szCs w:val="20"/>
    </w:rPr>
  </w:style>
  <w:style w:type="paragraph" w:customStyle="1" w:styleId="HeaderText">
    <w:name w:val="Header Text"/>
    <w:next w:val="BodyCopy"/>
    <w:link w:val="HeaderTextChar"/>
    <w:uiPriority w:val="34"/>
    <w:semiHidden/>
    <w:qFormat/>
    <w:rsid w:val="003B3C06"/>
    <w:pPr>
      <w:spacing w:after="0" w:line="144" w:lineRule="exact"/>
    </w:pPr>
    <w:rPr>
      <w:rFonts w:ascii="Franklin Gothic Demi" w:hAnsi="Franklin Gothic Demi" w:cs="Times New Roman"/>
      <w:caps/>
      <w:color w:val="000000" w:themeColor="text1"/>
      <w:spacing w:val="-2"/>
      <w:sz w:val="12"/>
      <w:szCs w:val="20"/>
    </w:rPr>
  </w:style>
  <w:style w:type="character" w:customStyle="1" w:styleId="HeaderTextChar">
    <w:name w:val="Header Text Char"/>
    <w:basedOn w:val="DefaultParagraphFont"/>
    <w:link w:val="HeaderText"/>
    <w:uiPriority w:val="34"/>
    <w:semiHidden/>
    <w:rsid w:val="003B3C06"/>
    <w:rPr>
      <w:rFonts w:ascii="Franklin Gothic Demi" w:hAnsi="Franklin Gothic Demi" w:cs="Times New Roman"/>
      <w:caps/>
      <w:color w:val="000000" w:themeColor="text1"/>
      <w:spacing w:val="-2"/>
      <w:sz w:val="12"/>
      <w:szCs w:val="20"/>
    </w:rPr>
  </w:style>
  <w:style w:type="paragraph" w:customStyle="1" w:styleId="HeaderSecondaryText">
    <w:name w:val="Header Secondary Text"/>
    <w:link w:val="HeaderSecondaryTextChar"/>
    <w:uiPriority w:val="34"/>
    <w:semiHidden/>
    <w:qFormat/>
    <w:rsid w:val="003B3C06"/>
    <w:pPr>
      <w:spacing w:after="0" w:line="144" w:lineRule="exact"/>
    </w:pPr>
    <w:rPr>
      <w:rFonts w:asciiTheme="majorHAnsi" w:eastAsiaTheme="majorEastAsia" w:hAnsiTheme="majorHAnsi" w:cstheme="majorBidi"/>
      <w:bCs/>
      <w:iCs/>
      <w:color w:val="787878" w:themeColor="text2"/>
      <w:spacing w:val="-3"/>
      <w:sz w:val="12"/>
      <w:szCs w:val="20"/>
    </w:rPr>
  </w:style>
  <w:style w:type="character" w:customStyle="1" w:styleId="HeaderSecondaryTextChar">
    <w:name w:val="Header Secondary Text Char"/>
    <w:basedOn w:val="DefaultParagraphFont"/>
    <w:link w:val="HeaderSecondaryText"/>
    <w:uiPriority w:val="34"/>
    <w:semiHidden/>
    <w:rsid w:val="003B3C06"/>
    <w:rPr>
      <w:rFonts w:asciiTheme="majorHAnsi" w:eastAsiaTheme="majorEastAsia" w:hAnsiTheme="majorHAnsi" w:cstheme="majorBidi"/>
      <w:bCs/>
      <w:iCs/>
      <w:color w:val="787878" w:themeColor="text2"/>
      <w:spacing w:val="-3"/>
      <w:sz w:val="12"/>
      <w:szCs w:val="20"/>
    </w:rPr>
  </w:style>
  <w:style w:type="table" w:customStyle="1" w:styleId="HMATable-Abbreviations">
    <w:name w:val="HMA Table - Abbreviations"/>
    <w:basedOn w:val="HMATableB"/>
    <w:uiPriority w:val="99"/>
    <w:rsid w:val="000859F6"/>
    <w:tblPr>
      <w:tblStyleColBandSize w:val="1"/>
    </w:tblPr>
    <w:tcPr>
      <w:shd w:val="clear" w:color="auto" w:fill="FFFFFF" w:themeFill="background1"/>
      <w:vAlign w:val="center"/>
    </w:tcPr>
    <w:tblStylePr w:type="firstRow">
      <w:rPr>
        <w:rFonts w:asciiTheme="majorHAnsi" w:hAnsiTheme="majorHAnsi"/>
        <w:caps/>
        <w:smallCaps w:val="0"/>
      </w:rPr>
      <w:tblPr/>
      <w:tcPr>
        <w:shd w:val="clear" w:color="auto" w:fill="FFFFFF" w:themeFill="background1"/>
      </w:tcPr>
    </w:tblStylePr>
    <w:tblStylePr w:type="firstCol">
      <w:tblPr/>
      <w:tcPr>
        <w:tcBorders>
          <w:right w:val="single" w:sz="48" w:space="0" w:color="FFFFFF" w:themeColor="background1"/>
        </w:tcBorders>
        <w:shd w:val="clear" w:color="auto" w:fill="FFFFFF" w:themeFill="background1"/>
      </w:tcPr>
    </w:tblStylePr>
    <w:tblStylePr w:type="lastCol">
      <w:tblPr/>
      <w:tcPr>
        <w:tcBorders>
          <w:insideH w:val="single" w:sz="4" w:space="0" w:color="auto"/>
        </w:tcBorders>
      </w:tcPr>
    </w:tblStylePr>
    <w:tblStylePr w:type="band2Vert">
      <w:tblPr/>
      <w:tcPr>
        <w:tcBorders>
          <w:insideH w:val="single" w:sz="4" w:space="0" w:color="auto"/>
        </w:tcBorders>
      </w:tcPr>
    </w:tblStylePr>
  </w:style>
  <w:style w:type="paragraph" w:customStyle="1" w:styleId="Tabletext-Garamond">
    <w:name w:val="Table text - Garamond"/>
    <w:basedOn w:val="Normal"/>
    <w:semiHidden/>
    <w:rsid w:val="00B45604"/>
    <w:pPr>
      <w:spacing w:after="0"/>
    </w:pPr>
    <w:rPr>
      <w:sz w:val="20"/>
    </w:rPr>
  </w:style>
  <w:style w:type="paragraph" w:styleId="TableofFigures">
    <w:name w:val="table of figures"/>
    <w:basedOn w:val="Normal"/>
    <w:next w:val="Normal"/>
    <w:uiPriority w:val="99"/>
    <w:unhideWhenUsed/>
    <w:rsid w:val="00B45604"/>
    <w:pPr>
      <w:spacing w:after="0"/>
    </w:pPr>
  </w:style>
  <w:style w:type="paragraph" w:styleId="BodyTextIndent">
    <w:name w:val="Body Text Indent"/>
    <w:basedOn w:val="Normal"/>
    <w:link w:val="BodyTextIndentChar"/>
    <w:uiPriority w:val="99"/>
    <w:unhideWhenUsed/>
    <w:rsid w:val="006F67D8"/>
    <w:pPr>
      <w:ind w:left="283"/>
    </w:pPr>
  </w:style>
  <w:style w:type="character" w:customStyle="1" w:styleId="BodyTextIndentChar">
    <w:name w:val="Body Text Indent Char"/>
    <w:basedOn w:val="DefaultParagraphFont"/>
    <w:link w:val="BodyTextIndent"/>
    <w:uiPriority w:val="99"/>
    <w:rsid w:val="006F67D8"/>
    <w:rPr>
      <w:spacing w:val="-2"/>
    </w:rPr>
  </w:style>
  <w:style w:type="paragraph" w:styleId="TOC4">
    <w:name w:val="toc 4"/>
    <w:next w:val="BodyCopy"/>
    <w:uiPriority w:val="39"/>
    <w:rsid w:val="003B3C06"/>
    <w:pPr>
      <w:tabs>
        <w:tab w:val="left" w:pos="1644"/>
        <w:tab w:val="center" w:pos="6804"/>
      </w:tabs>
      <w:spacing w:after="0" w:line="280" w:lineRule="atLeast"/>
      <w:ind w:left="1644" w:right="1021" w:hanging="680"/>
    </w:pPr>
    <w:rPr>
      <w:rFonts w:asciiTheme="majorHAnsi" w:hAnsiTheme="majorHAnsi" w:cs="Times New Roman"/>
      <w:noProof/>
      <w:color w:val="000000" w:themeColor="text1"/>
      <w:spacing w:val="-2"/>
      <w:sz w:val="20"/>
      <w:szCs w:val="20"/>
    </w:rPr>
  </w:style>
  <w:style w:type="paragraph" w:customStyle="1" w:styleId="FooterDocumentTitle">
    <w:name w:val="Footer Document Title"/>
    <w:link w:val="FooterDocumentTitleChar"/>
    <w:uiPriority w:val="34"/>
    <w:qFormat/>
    <w:rsid w:val="003B3C06"/>
    <w:pPr>
      <w:spacing w:after="0" w:line="168" w:lineRule="exact"/>
      <w:jc w:val="right"/>
    </w:pPr>
    <w:rPr>
      <w:rFonts w:asciiTheme="majorHAnsi" w:hAnsiTheme="majorHAnsi" w:cs="Times New Roman"/>
      <w:color w:val="000000" w:themeColor="text1"/>
      <w:spacing w:val="-2"/>
      <w:sz w:val="14"/>
      <w:szCs w:val="20"/>
    </w:rPr>
  </w:style>
  <w:style w:type="character" w:customStyle="1" w:styleId="FooterDocumentTitleChar">
    <w:name w:val="Footer Document Title Char"/>
    <w:basedOn w:val="DefaultParagraphFont"/>
    <w:link w:val="FooterDocumentTitle"/>
    <w:uiPriority w:val="34"/>
    <w:rsid w:val="00313E99"/>
    <w:rPr>
      <w:rFonts w:asciiTheme="majorHAnsi" w:hAnsiTheme="majorHAnsi" w:cs="Times New Roman"/>
      <w:color w:val="000000" w:themeColor="text1"/>
      <w:spacing w:val="-2"/>
      <w:sz w:val="14"/>
      <w:szCs w:val="20"/>
    </w:rPr>
  </w:style>
  <w:style w:type="paragraph" w:customStyle="1" w:styleId="FooterProjectTitle">
    <w:name w:val="Footer Project Title"/>
    <w:link w:val="FooterProjectTitleChar"/>
    <w:uiPriority w:val="34"/>
    <w:qFormat/>
    <w:rsid w:val="00C24AEB"/>
    <w:pPr>
      <w:spacing w:before="360" w:after="0" w:line="168" w:lineRule="exact"/>
    </w:pPr>
    <w:rPr>
      <w:rFonts w:ascii="Franklin Gothic Demi" w:hAnsi="Franklin Gothic Demi" w:cs="Times New Roman"/>
      <w:color w:val="000000" w:themeColor="text1"/>
      <w:spacing w:val="-2"/>
      <w:sz w:val="14"/>
      <w:szCs w:val="20"/>
    </w:rPr>
  </w:style>
  <w:style w:type="character" w:customStyle="1" w:styleId="FooterProjectTitleChar">
    <w:name w:val="Footer Project Title Char"/>
    <w:basedOn w:val="DefaultParagraphFont"/>
    <w:link w:val="FooterProjectTitle"/>
    <w:uiPriority w:val="34"/>
    <w:rsid w:val="00C24AEB"/>
    <w:rPr>
      <w:rFonts w:ascii="Franklin Gothic Demi" w:hAnsi="Franklin Gothic Demi" w:cs="Times New Roman"/>
      <w:color w:val="000000" w:themeColor="text1"/>
      <w:spacing w:val="-2"/>
      <w:sz w:val="14"/>
      <w:szCs w:val="20"/>
    </w:rPr>
  </w:style>
  <w:style w:type="paragraph" w:customStyle="1" w:styleId="TOCTitle">
    <w:name w:val="TOC Title"/>
    <w:next w:val="BodyCopy"/>
    <w:link w:val="TOCTitleChar"/>
    <w:uiPriority w:val="39"/>
    <w:rsid w:val="00925E63"/>
    <w:pPr>
      <w:framePr w:w="14799" w:h="1588" w:hRule="exact" w:vSpace="1134" w:wrap="around" w:vAnchor="page" w:hAnchor="text" w:y="982" w:anchorLock="1"/>
      <w:pBdr>
        <w:bottom w:val="single" w:sz="8" w:space="0" w:color="FFF200" w:themeColor="background2"/>
      </w:pBdr>
      <w:spacing w:before="960" w:after="0" w:line="240" w:lineRule="auto"/>
    </w:pPr>
    <w:rPr>
      <w:rFonts w:asciiTheme="majorHAnsi" w:eastAsiaTheme="majorEastAsia" w:hAnsiTheme="majorHAnsi" w:cstheme="majorBidi"/>
      <w:b/>
      <w:bCs/>
      <w:caps/>
      <w:color w:val="000000" w:themeColor="text1"/>
      <w:sz w:val="52"/>
      <w:szCs w:val="28"/>
    </w:rPr>
  </w:style>
  <w:style w:type="character" w:customStyle="1" w:styleId="TOCTitleChar">
    <w:name w:val="TOC Title Char"/>
    <w:basedOn w:val="DefaultParagraphFont"/>
    <w:link w:val="TOCTitle"/>
    <w:uiPriority w:val="39"/>
    <w:rsid w:val="00925E63"/>
    <w:rPr>
      <w:rFonts w:asciiTheme="majorHAnsi" w:eastAsiaTheme="majorEastAsia" w:hAnsiTheme="majorHAnsi" w:cstheme="majorBidi"/>
      <w:b/>
      <w:bCs/>
      <w:caps/>
      <w:color w:val="000000" w:themeColor="text1"/>
      <w:sz w:val="52"/>
      <w:szCs w:val="28"/>
    </w:rPr>
  </w:style>
  <w:style w:type="character" w:styleId="Hyperlink">
    <w:name w:val="Hyperlink"/>
    <w:basedOn w:val="DefaultParagraphFont"/>
    <w:hidden/>
    <w:uiPriority w:val="99"/>
    <w:rsid w:val="003B3C06"/>
    <w:rPr>
      <w:color w:val="787878" w:themeColor="hyperlink"/>
      <w:u w:val="single"/>
    </w:rPr>
  </w:style>
  <w:style w:type="numbering" w:customStyle="1" w:styleId="HeaderTitleList">
    <w:name w:val="Header Title List"/>
    <w:uiPriority w:val="99"/>
    <w:rsid w:val="00337913"/>
    <w:pPr>
      <w:numPr>
        <w:numId w:val="6"/>
      </w:numPr>
    </w:pPr>
  </w:style>
  <w:style w:type="paragraph" w:customStyle="1" w:styleId="KeyFinding">
    <w:name w:val="Key Finding"/>
    <w:basedOn w:val="Normal"/>
    <w:next w:val="Normal"/>
    <w:uiPriority w:val="21"/>
    <w:qFormat/>
    <w:rsid w:val="0077662C"/>
    <w:pPr>
      <w:keepLines/>
      <w:numPr>
        <w:numId w:val="28"/>
      </w:numPr>
      <w:pBdr>
        <w:top w:val="single" w:sz="4" w:space="4" w:color="787878" w:themeColor="text2"/>
        <w:left w:val="single" w:sz="4" w:space="4" w:color="DCDCDC" w:themeColor="accent6"/>
        <w:bottom w:val="single" w:sz="4" w:space="4" w:color="787878" w:themeColor="text2"/>
        <w:right w:val="single" w:sz="4" w:space="4" w:color="DCDCDC" w:themeColor="accent6"/>
      </w:pBdr>
      <w:shd w:val="clear" w:color="auto" w:fill="F2F2F2" w:themeFill="accent5" w:themeFillTint="33"/>
      <w:tabs>
        <w:tab w:val="left" w:pos="1701"/>
      </w:tabs>
      <w:spacing w:before="113" w:after="113" w:line="264" w:lineRule="atLeast"/>
      <w:ind w:left="1701" w:right="113" w:hanging="1588"/>
    </w:pPr>
    <w:rPr>
      <w:rFonts w:cs="Times New Roman"/>
      <w:color w:val="000000" w:themeColor="text1"/>
      <w:szCs w:val="20"/>
    </w:rPr>
  </w:style>
  <w:style w:type="paragraph" w:styleId="BalloonText">
    <w:name w:val="Balloon Text"/>
    <w:basedOn w:val="Normal"/>
    <w:link w:val="BalloonTextChar"/>
    <w:uiPriority w:val="99"/>
    <w:semiHidden/>
    <w:unhideWhenUsed/>
    <w:rsid w:val="00101720"/>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1720"/>
    <w:rPr>
      <w:rFonts w:ascii="Segoe UI" w:hAnsi="Segoe UI" w:cs="Segoe UI"/>
      <w:sz w:val="18"/>
      <w:szCs w:val="18"/>
    </w:rPr>
  </w:style>
  <w:style w:type="character" w:styleId="PageNumber">
    <w:name w:val="page number"/>
    <w:basedOn w:val="DefaultParagraphFont"/>
    <w:uiPriority w:val="99"/>
    <w:unhideWhenUsed/>
    <w:rsid w:val="002A1A69"/>
  </w:style>
  <w:style w:type="paragraph" w:customStyle="1" w:styleId="HeaderA">
    <w:name w:val="Header A"/>
    <w:basedOn w:val="Normal"/>
    <w:link w:val="HeaderAChar"/>
    <w:rsid w:val="00776633"/>
    <w:pPr>
      <w:spacing w:after="0" w:line="144" w:lineRule="exact"/>
    </w:pPr>
    <w:rPr>
      <w:rFonts w:ascii="Franklin Gothic Demi" w:eastAsia="Garamond" w:hAnsi="Franklin Gothic Demi" w:cs="Times New Roman"/>
      <w:caps/>
      <w:color w:val="000000"/>
      <w:sz w:val="12"/>
      <w:szCs w:val="20"/>
    </w:rPr>
  </w:style>
  <w:style w:type="paragraph" w:customStyle="1" w:styleId="HeaderB">
    <w:name w:val="Header B"/>
    <w:basedOn w:val="Normal"/>
    <w:link w:val="HeaderBChar"/>
    <w:rsid w:val="00776633"/>
    <w:pPr>
      <w:spacing w:after="0" w:line="144" w:lineRule="exact"/>
    </w:pPr>
    <w:rPr>
      <w:rFonts w:ascii="Franklin Gothic Book" w:eastAsia="Times New Roman" w:hAnsi="Franklin Gothic Book" w:cs="Times New Roman"/>
      <w:color w:val="787878"/>
      <w:spacing w:val="-3"/>
      <w:sz w:val="12"/>
      <w:szCs w:val="20"/>
    </w:rPr>
  </w:style>
  <w:style w:type="character" w:customStyle="1" w:styleId="HeaderBChar">
    <w:name w:val="Header B Char"/>
    <w:basedOn w:val="DefaultParagraphFont"/>
    <w:link w:val="HeaderB"/>
    <w:rsid w:val="00776633"/>
    <w:rPr>
      <w:rFonts w:ascii="Franklin Gothic Book" w:eastAsia="Times New Roman" w:hAnsi="Franklin Gothic Book" w:cs="Times New Roman"/>
      <w:color w:val="787878"/>
      <w:spacing w:val="-3"/>
      <w:sz w:val="12"/>
      <w:szCs w:val="20"/>
    </w:rPr>
  </w:style>
  <w:style w:type="paragraph" w:styleId="Caption">
    <w:name w:val="caption"/>
    <w:aliases w:val="Caption Char1,Char Char Char"/>
    <w:basedOn w:val="Normal"/>
    <w:next w:val="Normal"/>
    <w:link w:val="CaptionChar"/>
    <w:uiPriority w:val="14"/>
    <w:unhideWhenUsed/>
    <w:qFormat/>
    <w:rsid w:val="008A25D7"/>
    <w:pPr>
      <w:spacing w:before="240" w:after="80"/>
      <w:jc w:val="center"/>
    </w:pPr>
    <w:rPr>
      <w:rFonts w:ascii="Franklin Gothic Demi" w:hAnsi="Franklin Gothic Demi"/>
      <w:iCs/>
      <w:sz w:val="17"/>
      <w:szCs w:val="18"/>
    </w:rPr>
  </w:style>
  <w:style w:type="table" w:customStyle="1" w:styleId="HMATableD-Recommendations">
    <w:name w:val="HMA Table D-Recommendations"/>
    <w:basedOn w:val="TableNormal"/>
    <w:uiPriority w:val="99"/>
    <w:rsid w:val="008A25D7"/>
    <w:pPr>
      <w:spacing w:after="0" w:line="240" w:lineRule="auto"/>
    </w:pPr>
    <w:rPr>
      <w:rFonts w:asciiTheme="majorHAnsi" w:hAnsiTheme="majorHAnsi"/>
      <w:sz w:val="20"/>
    </w:rPr>
    <w:tblPr>
      <w:tblStyleRowBandSize w:val="1"/>
      <w:tblBorders>
        <w:top w:val="single" w:sz="4" w:space="0" w:color="auto"/>
        <w:bottom w:val="single" w:sz="4" w:space="0" w:color="auto"/>
        <w:insideH w:val="single" w:sz="4" w:space="0" w:color="auto"/>
        <w:insideV w:val="single" w:sz="4" w:space="0" w:color="FFFFFF" w:themeColor="background1"/>
      </w:tblBorders>
      <w:tblCellMar>
        <w:top w:w="85" w:type="dxa"/>
        <w:left w:w="85" w:type="dxa"/>
      </w:tblCellMar>
    </w:tblPr>
    <w:tcPr>
      <w:shd w:val="clear" w:color="auto" w:fill="F2F2F2" w:themeFill="background1" w:themeFillShade="F2"/>
    </w:tcPr>
    <w:tblStylePr w:type="firstRow">
      <w:rPr>
        <w:rFonts w:asciiTheme="majorHAnsi" w:hAnsiTheme="majorHAnsi"/>
        <w:caps/>
        <w:smallCaps w:val="0"/>
      </w:rPr>
      <w:tblPr/>
      <w:tcPr>
        <w:shd w:val="clear" w:color="auto" w:fill="C9C9C9" w:themeFill="accent3" w:themeFillTint="66"/>
      </w:tcPr>
    </w:tblStylePr>
    <w:tblStylePr w:type="firstCol">
      <w:tblPr/>
      <w:tcPr>
        <w:shd w:val="clear" w:color="auto" w:fill="DCDCDC" w:themeFill="accent6"/>
      </w:tcPr>
    </w:tblStylePr>
    <w:tblStylePr w:type="band2Horz">
      <w:tblPr/>
      <w:tcPr>
        <w:tcBorders>
          <w:top w:val="nil"/>
          <w:left w:val="nil"/>
          <w:bottom w:val="nil"/>
          <w:right w:val="nil"/>
          <w:insideH w:val="nil"/>
          <w:insideV w:val="nil"/>
          <w:tl2br w:val="nil"/>
          <w:tr2bl w:val="nil"/>
        </w:tcBorders>
        <w:shd w:val="clear" w:color="auto" w:fill="FFFCCC" w:themeFill="background2" w:themeFillTint="33"/>
      </w:tcPr>
    </w:tblStylePr>
  </w:style>
  <w:style w:type="table" w:customStyle="1" w:styleId="HMATableB">
    <w:name w:val="HMA Table B"/>
    <w:basedOn w:val="TableNormal"/>
    <w:uiPriority w:val="99"/>
    <w:rsid w:val="004F049F"/>
    <w:pPr>
      <w:spacing w:after="0" w:line="240" w:lineRule="auto"/>
    </w:pPr>
    <w:rPr>
      <w:rFonts w:asciiTheme="majorHAnsi" w:hAnsiTheme="majorHAnsi"/>
      <w:sz w:val="20"/>
    </w:rPr>
    <w:tblPr>
      <w:tblBorders>
        <w:top w:val="single" w:sz="4" w:space="0" w:color="auto"/>
        <w:bottom w:val="single" w:sz="4" w:space="0" w:color="auto"/>
        <w:insideH w:val="single" w:sz="4" w:space="0" w:color="auto"/>
      </w:tblBorders>
      <w:tblCellMar>
        <w:top w:w="85" w:type="dxa"/>
        <w:left w:w="85" w:type="dxa"/>
      </w:tblCellMar>
    </w:tblPr>
    <w:tcPr>
      <w:shd w:val="clear" w:color="auto" w:fill="FFFFFF" w:themeFill="background1"/>
    </w:tcPr>
    <w:tblStylePr w:type="firstRow">
      <w:rPr>
        <w:rFonts w:asciiTheme="majorHAnsi" w:hAnsiTheme="majorHAnsi"/>
        <w:caps/>
        <w:smallCaps w:val="0"/>
      </w:rPr>
      <w:tblPr/>
      <w:tcPr>
        <w:shd w:val="clear" w:color="auto" w:fill="BEBEBE" w:themeFill="accent5"/>
      </w:tcPr>
    </w:tblStylePr>
    <w:tblStylePr w:type="firstCol">
      <w:tblPr/>
      <w:tcPr>
        <w:shd w:val="clear" w:color="auto" w:fill="F2F2F2" w:themeFill="background1" w:themeFillShade="F2"/>
      </w:tcPr>
    </w:tblStylePr>
  </w:style>
  <w:style w:type="paragraph" w:styleId="FootnoteText">
    <w:name w:val="footnote text"/>
    <w:basedOn w:val="Normal"/>
    <w:link w:val="FootnoteTextChar"/>
    <w:uiPriority w:val="39"/>
    <w:semiHidden/>
    <w:unhideWhenUsed/>
    <w:rsid w:val="00576128"/>
    <w:pPr>
      <w:spacing w:after="0"/>
    </w:pPr>
    <w:rPr>
      <w:szCs w:val="20"/>
    </w:rPr>
  </w:style>
  <w:style w:type="character" w:customStyle="1" w:styleId="FootnoteTextChar">
    <w:name w:val="Footnote Text Char"/>
    <w:basedOn w:val="DefaultParagraphFont"/>
    <w:link w:val="FootnoteText"/>
    <w:uiPriority w:val="39"/>
    <w:semiHidden/>
    <w:rsid w:val="00576128"/>
    <w:rPr>
      <w:sz w:val="20"/>
      <w:szCs w:val="20"/>
    </w:rPr>
  </w:style>
  <w:style w:type="character" w:styleId="FootnoteReference">
    <w:name w:val="footnote reference"/>
    <w:basedOn w:val="DefaultParagraphFont"/>
    <w:uiPriority w:val="99"/>
    <w:semiHidden/>
    <w:unhideWhenUsed/>
    <w:rsid w:val="00576128"/>
    <w:rPr>
      <w:vertAlign w:val="superscript"/>
    </w:rPr>
  </w:style>
  <w:style w:type="numbering" w:customStyle="1" w:styleId="Indent">
    <w:name w:val="Indent"/>
    <w:uiPriority w:val="99"/>
    <w:rsid w:val="00601955"/>
    <w:pPr>
      <w:numPr>
        <w:numId w:val="5"/>
      </w:numPr>
    </w:pPr>
  </w:style>
  <w:style w:type="paragraph" w:customStyle="1" w:styleId="DividerPageTitle">
    <w:name w:val="Divider Page Title"/>
    <w:next w:val="BodyCopy"/>
    <w:link w:val="DividerPageTitleChar"/>
    <w:uiPriority w:val="24"/>
    <w:qFormat/>
    <w:rsid w:val="00601955"/>
    <w:pPr>
      <w:pageBreakBefore/>
      <w:framePr w:w="14799" w:h="2268" w:hSpace="15876" w:vSpace="851" w:wrap="around" w:vAnchor="page" w:hAnchor="margin" w:y="852" w:anchorLock="1"/>
      <w:numPr>
        <w:ilvl w:val="1"/>
        <w:numId w:val="15"/>
      </w:numPr>
      <w:pBdr>
        <w:top w:val="single" w:sz="8" w:space="31" w:color="FFF200" w:themeColor="background2"/>
      </w:pBdr>
      <w:shd w:val="clear" w:color="auto" w:fill="FFFFFF" w:themeFill="background1"/>
      <w:spacing w:before="200" w:after="360" w:line="624" w:lineRule="atLeast"/>
    </w:pPr>
    <w:rPr>
      <w:rFonts w:ascii="Franklin Gothic Book" w:hAnsi="Franklin Gothic Book" w:cs="Times New Roman"/>
      <w:caps/>
      <w:color w:val="787878" w:themeColor="text2"/>
      <w:sz w:val="72"/>
      <w:szCs w:val="20"/>
      <w:u w:val="single"/>
    </w:rPr>
  </w:style>
  <w:style w:type="character" w:customStyle="1" w:styleId="DividerPageTitleChar">
    <w:name w:val="Divider Page Title Char"/>
    <w:basedOn w:val="DefaultParagraphFont"/>
    <w:link w:val="DividerPageTitle"/>
    <w:uiPriority w:val="24"/>
    <w:rsid w:val="006706CE"/>
    <w:rPr>
      <w:rFonts w:ascii="Franklin Gothic Book" w:hAnsi="Franklin Gothic Book" w:cs="Times New Roman"/>
      <w:caps/>
      <w:color w:val="787878" w:themeColor="text2"/>
      <w:sz w:val="72"/>
      <w:szCs w:val="20"/>
      <w:u w:val="single"/>
      <w:shd w:val="clear" w:color="auto" w:fill="FFFFFF" w:themeFill="background1"/>
    </w:rPr>
  </w:style>
  <w:style w:type="paragraph" w:styleId="BodyText">
    <w:name w:val="Body Text"/>
    <w:link w:val="BodyTextChar"/>
    <w:uiPriority w:val="99"/>
    <w:semiHidden/>
    <w:rsid w:val="00C2133E"/>
    <w:pPr>
      <w:spacing w:after="120" w:line="240" w:lineRule="auto"/>
    </w:pPr>
    <w:rPr>
      <w:rFonts w:cs="Times New Roman"/>
      <w:sz w:val="20"/>
      <w:szCs w:val="20"/>
    </w:rPr>
  </w:style>
  <w:style w:type="character" w:customStyle="1" w:styleId="BodyTextChar">
    <w:name w:val="Body Text Char"/>
    <w:basedOn w:val="DefaultParagraphFont"/>
    <w:link w:val="BodyText"/>
    <w:uiPriority w:val="99"/>
    <w:semiHidden/>
    <w:rsid w:val="00C2133E"/>
    <w:rPr>
      <w:rFonts w:cs="Times New Roman"/>
      <w:sz w:val="20"/>
      <w:szCs w:val="20"/>
    </w:rPr>
  </w:style>
  <w:style w:type="paragraph" w:customStyle="1" w:styleId="RecommendationsTableHeading">
    <w:name w:val="Recommendations Table Heading"/>
    <w:basedOn w:val="KeyFindingsTableHeading"/>
    <w:uiPriority w:val="21"/>
    <w:rsid w:val="00C2133E"/>
    <w:pPr>
      <w:spacing w:line="216" w:lineRule="atLeast"/>
    </w:pPr>
  </w:style>
  <w:style w:type="paragraph" w:customStyle="1" w:styleId="RecommendationsTableLeftColumn">
    <w:name w:val="Recommendations Table Left Column"/>
    <w:basedOn w:val="KeyFindingsTableLeftColumn"/>
    <w:uiPriority w:val="21"/>
    <w:rsid w:val="00C2133E"/>
    <w:pPr>
      <w:spacing w:line="240" w:lineRule="atLeast"/>
    </w:pPr>
  </w:style>
  <w:style w:type="paragraph" w:customStyle="1" w:styleId="KeyFindingsTableHeading">
    <w:name w:val="Key Findings Table Heading"/>
    <w:basedOn w:val="BodyCopy"/>
    <w:uiPriority w:val="21"/>
    <w:rsid w:val="00C2133E"/>
    <w:pPr>
      <w:keepNext/>
      <w:spacing w:before="60" w:after="60" w:line="250" w:lineRule="atLeast"/>
      <w:ind w:left="142" w:right="142"/>
    </w:pPr>
    <w:rPr>
      <w:rFonts w:asciiTheme="majorHAnsi" w:hAnsiTheme="majorHAnsi"/>
      <w:caps/>
      <w:sz w:val="18"/>
    </w:rPr>
  </w:style>
  <w:style w:type="paragraph" w:customStyle="1" w:styleId="KeyFindingsTableLeftColumn">
    <w:name w:val="Key Findings Table Left Column"/>
    <w:basedOn w:val="KeyFindingsTableHeading"/>
    <w:uiPriority w:val="21"/>
    <w:rsid w:val="00C2133E"/>
    <w:pPr>
      <w:keepNext w:val="0"/>
      <w:spacing w:line="264" w:lineRule="atLeast"/>
    </w:pPr>
    <w:rPr>
      <w:caps w:val="0"/>
      <w:sz w:val="20"/>
    </w:rPr>
  </w:style>
  <w:style w:type="paragraph" w:customStyle="1" w:styleId="KeyFindingsTableCopy">
    <w:name w:val="Key Findings Table Copy"/>
    <w:basedOn w:val="Normal"/>
    <w:uiPriority w:val="21"/>
    <w:rsid w:val="00C2133E"/>
    <w:pPr>
      <w:spacing w:before="60" w:after="60" w:line="264" w:lineRule="atLeast"/>
      <w:ind w:left="142" w:right="57"/>
    </w:pPr>
    <w:rPr>
      <w:rFonts w:ascii="Garamond" w:hAnsi="Garamond" w:cs="Times New Roman"/>
      <w:color w:val="000000" w:themeColor="text1"/>
      <w:szCs w:val="20"/>
    </w:rPr>
  </w:style>
  <w:style w:type="paragraph" w:customStyle="1" w:styleId="StageHeading">
    <w:name w:val="Stage Heading"/>
    <w:basedOn w:val="Heading2"/>
    <w:next w:val="Normal"/>
    <w:qFormat/>
    <w:rsid w:val="00F6447F"/>
    <w:pPr>
      <w:numPr>
        <w:numId w:val="16"/>
      </w:numPr>
    </w:pPr>
    <w:rPr>
      <w:b w:val="0"/>
    </w:rPr>
  </w:style>
  <w:style w:type="paragraph" w:customStyle="1" w:styleId="RecommendationsTableCopy">
    <w:name w:val="Recommendations Table Copy"/>
    <w:basedOn w:val="KeyFindingsTableCopy"/>
    <w:uiPriority w:val="21"/>
    <w:rsid w:val="00C2133E"/>
  </w:style>
  <w:style w:type="paragraph" w:customStyle="1" w:styleId="AppendixHeading">
    <w:name w:val="Appendix Heading"/>
    <w:basedOn w:val="StageHeading"/>
    <w:next w:val="Normal"/>
    <w:uiPriority w:val="11"/>
    <w:qFormat/>
    <w:rsid w:val="00F6447F"/>
    <w:pPr>
      <w:numPr>
        <w:ilvl w:val="0"/>
      </w:numPr>
    </w:pPr>
  </w:style>
  <w:style w:type="paragraph" w:customStyle="1" w:styleId="StrategicDirectionsTableLeftColumn">
    <w:name w:val="Strategic Directions Table Left Column"/>
    <w:basedOn w:val="RecommendationsTableLeftColumn"/>
    <w:uiPriority w:val="21"/>
    <w:rsid w:val="00C2133E"/>
  </w:style>
  <w:style w:type="paragraph" w:customStyle="1" w:styleId="StrategicDirectionsTableCopy">
    <w:name w:val="Strategic Directions Table Copy"/>
    <w:basedOn w:val="RecommendationsTableCopy"/>
    <w:uiPriority w:val="21"/>
    <w:rsid w:val="00C2133E"/>
  </w:style>
  <w:style w:type="paragraph" w:customStyle="1" w:styleId="StrategicDirectionsTableHeading">
    <w:name w:val="Strategic Directions Table Heading"/>
    <w:basedOn w:val="RecommendationsTableHeading"/>
    <w:uiPriority w:val="21"/>
    <w:rsid w:val="00C2133E"/>
  </w:style>
  <w:style w:type="table" w:customStyle="1" w:styleId="HMATableC-StrategicDirections">
    <w:name w:val="HMA Table C-Strategic Directions"/>
    <w:basedOn w:val="TableNormal"/>
    <w:uiPriority w:val="99"/>
    <w:rsid w:val="00620A5D"/>
    <w:pPr>
      <w:spacing w:after="0" w:line="240" w:lineRule="auto"/>
    </w:pPr>
    <w:rPr>
      <w:rFonts w:asciiTheme="majorHAnsi" w:hAnsiTheme="majorHAnsi"/>
      <w:sz w:val="20"/>
    </w:rPr>
    <w:tblPr>
      <w:tblBorders>
        <w:top w:val="single" w:sz="4" w:space="0" w:color="auto"/>
        <w:bottom w:val="single" w:sz="4" w:space="0" w:color="auto"/>
        <w:insideH w:val="single" w:sz="4" w:space="0" w:color="auto"/>
        <w:insideV w:val="single" w:sz="4" w:space="0" w:color="FFFFFF" w:themeColor="background1"/>
      </w:tblBorders>
      <w:tblCellMar>
        <w:top w:w="85" w:type="dxa"/>
        <w:left w:w="85" w:type="dxa"/>
      </w:tblCellMar>
    </w:tblPr>
    <w:tcPr>
      <w:shd w:val="clear" w:color="auto" w:fill="FFFFFF" w:themeFill="background1"/>
    </w:tcPr>
    <w:tblStylePr w:type="firstRow">
      <w:rPr>
        <w:rFonts w:asciiTheme="majorHAnsi" w:hAnsiTheme="majorHAnsi"/>
        <w:caps/>
        <w:smallCaps w:val="0"/>
      </w:rPr>
      <w:tblPr/>
      <w:tcPr>
        <w:shd w:val="clear" w:color="auto" w:fill="FFF200" w:themeFill="background2"/>
      </w:tcPr>
    </w:tblStylePr>
    <w:tblStylePr w:type="firstCol">
      <w:tblPr/>
      <w:tcPr>
        <w:shd w:val="clear" w:color="auto" w:fill="D2D2D2"/>
      </w:tcPr>
    </w:tblStylePr>
  </w:style>
  <w:style w:type="paragraph" w:customStyle="1" w:styleId="HeaderSectionTitle">
    <w:name w:val="Header Section Title"/>
    <w:basedOn w:val="HeaderA"/>
    <w:link w:val="HeaderSectionTitleChar"/>
    <w:uiPriority w:val="34"/>
    <w:semiHidden/>
    <w:qFormat/>
    <w:rsid w:val="008F6962"/>
    <w:pPr>
      <w:numPr>
        <w:numId w:val="7"/>
      </w:numPr>
      <w:pBdr>
        <w:bottom w:val="single" w:sz="8" w:space="1" w:color="FFF200" w:themeColor="background2"/>
      </w:pBdr>
      <w:spacing w:before="360" w:after="360" w:line="240" w:lineRule="auto"/>
    </w:pPr>
    <w:rPr>
      <w:rFonts w:asciiTheme="majorHAnsi" w:hAnsiTheme="majorHAnsi"/>
      <w:sz w:val="28"/>
    </w:rPr>
  </w:style>
  <w:style w:type="paragraph" w:customStyle="1" w:styleId="ES-Heading1">
    <w:name w:val="ES-Heading 1"/>
    <w:basedOn w:val="Normal"/>
    <w:link w:val="ES-Heading1Char"/>
    <w:uiPriority w:val="7"/>
    <w:qFormat/>
    <w:rsid w:val="00235282"/>
    <w:pPr>
      <w:keepNext/>
      <w:keepLines/>
      <w:pageBreakBefore/>
      <w:framePr w:w="14799" w:h="1304" w:vSpace="680" w:wrap="around" w:vAnchor="page" w:hAnchor="margin" w:y="982"/>
      <w:pBdr>
        <w:top w:val="single" w:sz="8" w:space="31" w:color="FFFFFF" w:themeColor="background1"/>
        <w:bottom w:val="single" w:sz="8" w:space="0" w:color="FFF200" w:themeColor="accent1"/>
      </w:pBdr>
      <w:shd w:val="clear" w:color="auto" w:fill="FFFFFF" w:themeFill="background1"/>
      <w:spacing w:after="0"/>
      <w:outlineLvl w:val="0"/>
    </w:pPr>
    <w:rPr>
      <w:rFonts w:asciiTheme="majorHAnsi" w:eastAsiaTheme="majorEastAsia" w:hAnsiTheme="majorHAnsi" w:cstheme="majorBidi"/>
      <w:b/>
      <w:bCs/>
      <w:caps/>
      <w:color w:val="000000" w:themeColor="text1"/>
      <w:sz w:val="52"/>
      <w:szCs w:val="28"/>
    </w:rPr>
  </w:style>
  <w:style w:type="character" w:customStyle="1" w:styleId="HeaderAChar">
    <w:name w:val="Header A Char"/>
    <w:basedOn w:val="DefaultParagraphFont"/>
    <w:link w:val="HeaderA"/>
    <w:rsid w:val="005228D9"/>
    <w:rPr>
      <w:rFonts w:ascii="Franklin Gothic Demi" w:eastAsia="Garamond" w:hAnsi="Franklin Gothic Demi" w:cs="Times New Roman"/>
      <w:caps/>
      <w:color w:val="000000"/>
      <w:spacing w:val="-2"/>
      <w:sz w:val="12"/>
      <w:szCs w:val="20"/>
    </w:rPr>
  </w:style>
  <w:style w:type="character" w:customStyle="1" w:styleId="HeaderSectionTitleChar">
    <w:name w:val="Header Section Title Char"/>
    <w:basedOn w:val="HeaderAChar"/>
    <w:link w:val="HeaderSectionTitle"/>
    <w:uiPriority w:val="34"/>
    <w:semiHidden/>
    <w:rsid w:val="008F6962"/>
    <w:rPr>
      <w:rFonts w:asciiTheme="majorHAnsi" w:eastAsia="Garamond" w:hAnsiTheme="majorHAnsi" w:cs="Times New Roman"/>
      <w:caps/>
      <w:color w:val="000000"/>
      <w:spacing w:val="-2"/>
      <w:sz w:val="28"/>
      <w:szCs w:val="20"/>
    </w:rPr>
  </w:style>
  <w:style w:type="paragraph" w:customStyle="1" w:styleId="HeaderSectionTitle-nonumber">
    <w:name w:val="Header Section Title-no number"/>
    <w:basedOn w:val="HeaderSectionTitle"/>
    <w:semiHidden/>
    <w:rsid w:val="00B91619"/>
    <w:pPr>
      <w:numPr>
        <w:numId w:val="0"/>
      </w:numPr>
    </w:pPr>
    <w:rPr>
      <w:noProof/>
    </w:rPr>
  </w:style>
  <w:style w:type="paragraph" w:styleId="List">
    <w:name w:val="List"/>
    <w:basedOn w:val="Normal"/>
    <w:uiPriority w:val="99"/>
    <w:unhideWhenUsed/>
    <w:rsid w:val="00A71669"/>
    <w:pPr>
      <w:numPr>
        <w:numId w:val="10"/>
      </w:numPr>
      <w:contextualSpacing/>
    </w:pPr>
  </w:style>
  <w:style w:type="character" w:customStyle="1" w:styleId="ES-Heading1Char">
    <w:name w:val="ES-Heading 1 Char"/>
    <w:basedOn w:val="DefaultParagraphFont"/>
    <w:link w:val="ES-Heading1"/>
    <w:uiPriority w:val="7"/>
    <w:rsid w:val="00B00D5E"/>
    <w:rPr>
      <w:rFonts w:asciiTheme="majorHAnsi" w:eastAsiaTheme="majorEastAsia" w:hAnsiTheme="majorHAnsi" w:cstheme="majorBidi"/>
      <w:b/>
      <w:bCs/>
      <w:caps/>
      <w:color w:val="000000" w:themeColor="text1"/>
      <w:spacing w:val="-2"/>
      <w:sz w:val="52"/>
      <w:szCs w:val="28"/>
      <w:shd w:val="clear" w:color="auto" w:fill="FFFFFF" w:themeFill="background1"/>
    </w:rPr>
  </w:style>
  <w:style w:type="paragraph" w:styleId="List2">
    <w:name w:val="List 2"/>
    <w:basedOn w:val="Normal"/>
    <w:uiPriority w:val="99"/>
    <w:unhideWhenUsed/>
    <w:rsid w:val="00A71669"/>
    <w:pPr>
      <w:numPr>
        <w:ilvl w:val="1"/>
        <w:numId w:val="10"/>
      </w:numPr>
      <w:contextualSpacing/>
    </w:pPr>
  </w:style>
  <w:style w:type="paragraph" w:styleId="List3">
    <w:name w:val="List 3"/>
    <w:basedOn w:val="Normal"/>
    <w:uiPriority w:val="99"/>
    <w:unhideWhenUsed/>
    <w:rsid w:val="00A71669"/>
    <w:pPr>
      <w:numPr>
        <w:ilvl w:val="2"/>
        <w:numId w:val="10"/>
      </w:numPr>
      <w:contextualSpacing/>
    </w:pPr>
  </w:style>
  <w:style w:type="numbering" w:customStyle="1" w:styleId="LetteredList">
    <w:name w:val="Lettered List"/>
    <w:uiPriority w:val="99"/>
    <w:rsid w:val="00A71669"/>
    <w:pPr>
      <w:numPr>
        <w:numId w:val="8"/>
      </w:numPr>
    </w:pPr>
  </w:style>
  <w:style w:type="numbering" w:customStyle="1" w:styleId="NamedHeadings">
    <w:name w:val="Named Headings"/>
    <w:uiPriority w:val="99"/>
    <w:rsid w:val="00F6447F"/>
    <w:pPr>
      <w:numPr>
        <w:numId w:val="11"/>
      </w:numPr>
    </w:pPr>
  </w:style>
  <w:style w:type="paragraph" w:styleId="Quote">
    <w:name w:val="Quote"/>
    <w:basedOn w:val="Normal"/>
    <w:next w:val="Normal"/>
    <w:link w:val="QuoteChar"/>
    <w:qFormat/>
    <w:rsid w:val="002E69C7"/>
    <w:pPr>
      <w:spacing w:before="85" w:after="85" w:line="264" w:lineRule="atLeast"/>
      <w:ind w:left="284" w:right="284"/>
    </w:pPr>
    <w:rPr>
      <w:rFonts w:ascii="Times New Roman" w:hAnsi="Times New Roman"/>
      <w:i/>
      <w:iCs/>
      <w:color w:val="000000" w:themeColor="text1"/>
      <w:sz w:val="20"/>
    </w:rPr>
  </w:style>
  <w:style w:type="character" w:customStyle="1" w:styleId="QuoteChar">
    <w:name w:val="Quote Char"/>
    <w:basedOn w:val="DefaultParagraphFont"/>
    <w:link w:val="Quote"/>
    <w:rsid w:val="002E69C7"/>
    <w:rPr>
      <w:rFonts w:ascii="Times New Roman" w:hAnsi="Times New Roman"/>
      <w:i/>
      <w:iCs/>
      <w:color w:val="000000" w:themeColor="text1"/>
      <w:spacing w:val="-2"/>
      <w:sz w:val="20"/>
    </w:rPr>
  </w:style>
  <w:style w:type="paragraph" w:customStyle="1" w:styleId="Recommendations">
    <w:name w:val="Recommendations"/>
    <w:basedOn w:val="KeyFinding"/>
    <w:uiPriority w:val="15"/>
    <w:qFormat/>
    <w:rsid w:val="006706CE"/>
    <w:pPr>
      <w:numPr>
        <w:ilvl w:val="2"/>
      </w:numPr>
      <w:shd w:val="clear" w:color="auto" w:fill="FFF200" w:themeFill="background2"/>
    </w:pPr>
  </w:style>
  <w:style w:type="paragraph" w:customStyle="1" w:styleId="StrategicDirections">
    <w:name w:val="Strategic Directions"/>
    <w:basedOn w:val="Recommendations"/>
    <w:uiPriority w:val="15"/>
    <w:qFormat/>
    <w:rsid w:val="006706CE"/>
    <w:pPr>
      <w:numPr>
        <w:ilvl w:val="3"/>
      </w:numPr>
    </w:pPr>
  </w:style>
  <w:style w:type="paragraph" w:customStyle="1" w:styleId="BoxedPageNumber">
    <w:name w:val="Boxed Page Number"/>
    <w:basedOn w:val="NoSpacing"/>
    <w:link w:val="BoxedPageNumberChar"/>
    <w:rsid w:val="00B91FA3"/>
    <w:pPr>
      <w:jc w:val="center"/>
    </w:pPr>
    <w:rPr>
      <w:noProof/>
    </w:rPr>
  </w:style>
  <w:style w:type="character" w:customStyle="1" w:styleId="NoSpacingChar">
    <w:name w:val="No Spacing Char"/>
    <w:basedOn w:val="DefaultParagraphFont"/>
    <w:link w:val="NoSpacing"/>
    <w:uiPriority w:val="1"/>
    <w:rsid w:val="00B91FA3"/>
  </w:style>
  <w:style w:type="character" w:customStyle="1" w:styleId="BoxedPageNumberChar">
    <w:name w:val="Boxed Page Number Char"/>
    <w:basedOn w:val="NoSpacingChar"/>
    <w:link w:val="BoxedPageNumber"/>
    <w:rsid w:val="00B91FA3"/>
    <w:rPr>
      <w:noProof/>
    </w:rPr>
  </w:style>
  <w:style w:type="paragraph" w:customStyle="1" w:styleId="SectionTitle">
    <w:name w:val="Section Title"/>
    <w:basedOn w:val="BodyCopy"/>
    <w:next w:val="BodyCopy"/>
    <w:uiPriority w:val="5"/>
    <w:qFormat/>
    <w:rsid w:val="00380A9E"/>
    <w:pPr>
      <w:numPr>
        <w:numId w:val="13"/>
      </w:numPr>
      <w:shd w:val="clear" w:color="auto" w:fill="FFF200" w:themeFill="background2"/>
      <w:spacing w:before="520" w:after="85" w:line="384" w:lineRule="atLeast"/>
    </w:pPr>
    <w:rPr>
      <w:rFonts w:asciiTheme="majorHAnsi" w:hAnsiTheme="majorHAnsi"/>
      <w:caps/>
      <w:sz w:val="32"/>
    </w:rPr>
  </w:style>
  <w:style w:type="numbering" w:customStyle="1" w:styleId="Sections">
    <w:name w:val="Sections"/>
    <w:basedOn w:val="NoList"/>
    <w:uiPriority w:val="99"/>
    <w:rsid w:val="00380A9E"/>
    <w:pPr>
      <w:numPr>
        <w:numId w:val="13"/>
      </w:numPr>
    </w:pPr>
  </w:style>
  <w:style w:type="paragraph" w:customStyle="1" w:styleId="Caption-notbold">
    <w:name w:val="Caption - not bold"/>
    <w:basedOn w:val="Caption"/>
    <w:link w:val="Caption-notboldChar"/>
    <w:uiPriority w:val="29"/>
    <w:qFormat/>
    <w:rsid w:val="00380A9E"/>
    <w:rPr>
      <w:rFonts w:asciiTheme="majorHAnsi" w:hAnsiTheme="majorHAnsi"/>
    </w:rPr>
  </w:style>
  <w:style w:type="table" w:customStyle="1" w:styleId="HMATableA">
    <w:name w:val="HMA Table A"/>
    <w:basedOn w:val="HMATableD-Recommendations"/>
    <w:uiPriority w:val="99"/>
    <w:rsid w:val="00E3267C"/>
    <w:pPr>
      <w:contextualSpacing/>
    </w:pPr>
    <w:rPr>
      <w:rFonts w:asciiTheme="minorHAnsi" w:hAnsiTheme="minorHAnsi"/>
    </w:rPr>
    <w:tblPr>
      <w:tblCellMar>
        <w:top w:w="0" w:type="dxa"/>
      </w:tblCellMar>
    </w:tblPr>
    <w:tcPr>
      <w:shd w:val="clear" w:color="auto" w:fill="F2F2F2" w:themeFill="background1" w:themeFillShade="F2"/>
    </w:tcPr>
    <w:tblStylePr w:type="firstRow">
      <w:pPr>
        <w:wordWrap/>
        <w:spacing w:line="0" w:lineRule="atLeast"/>
      </w:pPr>
      <w:rPr>
        <w:rFonts w:asciiTheme="majorHAnsi" w:hAnsiTheme="majorHAnsi"/>
        <w:b w:val="0"/>
        <w:caps w:val="0"/>
        <w:smallCaps w:val="0"/>
        <w:sz w:val="22"/>
      </w:rPr>
      <w:tblPr/>
      <w:tcPr>
        <w:shd w:val="clear" w:color="auto" w:fill="C6C6C6" w:themeFill="accent6" w:themeFillShade="E6"/>
      </w:tcPr>
    </w:tblStylePr>
    <w:tblStylePr w:type="lastRow">
      <w:rPr>
        <w:rFonts w:asciiTheme="minorHAnsi" w:hAnsiTheme="minorHAnsi"/>
        <w:b/>
        <w:sz w:val="20"/>
      </w:rPr>
    </w:tblStylePr>
    <w:tblStylePr w:type="firstCol">
      <w:rPr>
        <w:b/>
      </w:rPr>
      <w:tblPr/>
      <w:tcPr>
        <w:shd w:val="clear" w:color="auto" w:fill="F2F2F2" w:themeFill="background1" w:themeFillShade="F2"/>
      </w:tcPr>
    </w:tblStylePr>
    <w:tblStylePr w:type="lastCol">
      <w:rPr>
        <w:rFonts w:asciiTheme="minorHAnsi" w:hAnsiTheme="minorHAnsi"/>
        <w:b/>
      </w:rPr>
    </w:tblStylePr>
    <w:tblStylePr w:type="band2Horz">
      <w:tblPr/>
      <w:tcPr>
        <w:tcBorders>
          <w:top w:val="single" w:sz="4" w:space="0" w:color="auto"/>
          <w:left w:val="nil"/>
          <w:bottom w:val="single" w:sz="4" w:space="0" w:color="auto"/>
          <w:right w:val="nil"/>
          <w:insideH w:val="nil"/>
          <w:insideV w:val="nil"/>
          <w:tl2br w:val="nil"/>
          <w:tr2bl w:val="nil"/>
        </w:tcBorders>
        <w:shd w:val="clear" w:color="auto" w:fill="FFFCCC" w:themeFill="background2" w:themeFillTint="33"/>
      </w:tcPr>
    </w:tblStylePr>
  </w:style>
  <w:style w:type="character" w:customStyle="1" w:styleId="CaptionChar">
    <w:name w:val="Caption Char"/>
    <w:aliases w:val="Caption Char1 Char,Char Char Char Char"/>
    <w:basedOn w:val="DefaultParagraphFont"/>
    <w:link w:val="Caption"/>
    <w:rsid w:val="008A25D7"/>
    <w:rPr>
      <w:rFonts w:ascii="Franklin Gothic Demi" w:hAnsi="Franklin Gothic Demi"/>
      <w:iCs/>
      <w:spacing w:val="-2"/>
      <w:sz w:val="17"/>
      <w:szCs w:val="18"/>
    </w:rPr>
  </w:style>
  <w:style w:type="character" w:customStyle="1" w:styleId="Caption-notboldChar">
    <w:name w:val="Caption - not bold Char"/>
    <w:basedOn w:val="CaptionChar"/>
    <w:link w:val="Caption-notbold"/>
    <w:uiPriority w:val="29"/>
    <w:rsid w:val="00380A9E"/>
    <w:rPr>
      <w:rFonts w:asciiTheme="majorHAnsi" w:hAnsiTheme="majorHAnsi"/>
      <w:iCs/>
      <w:spacing w:val="-2"/>
      <w:sz w:val="17"/>
      <w:szCs w:val="18"/>
    </w:rPr>
  </w:style>
  <w:style w:type="paragraph" w:customStyle="1" w:styleId="PullQuote">
    <w:name w:val="Pull Quote"/>
    <w:next w:val="BodyCopy"/>
    <w:link w:val="PullQuoteChar"/>
    <w:uiPriority w:val="24"/>
    <w:qFormat/>
    <w:rsid w:val="006258F2"/>
    <w:pPr>
      <w:spacing w:after="440" w:line="672" w:lineRule="exact"/>
    </w:pPr>
    <w:rPr>
      <w:rFonts w:asciiTheme="majorHAnsi" w:hAnsiTheme="majorHAnsi" w:cs="Times New Roman"/>
      <w:color w:val="787878" w:themeColor="text2"/>
      <w:spacing w:val="-6"/>
      <w:sz w:val="56"/>
      <w:szCs w:val="20"/>
    </w:rPr>
  </w:style>
  <w:style w:type="character" w:customStyle="1" w:styleId="PullQuoteChar">
    <w:name w:val="Pull Quote Char"/>
    <w:basedOn w:val="DefaultParagraphFont"/>
    <w:link w:val="PullQuote"/>
    <w:uiPriority w:val="24"/>
    <w:rsid w:val="006258F2"/>
    <w:rPr>
      <w:rFonts w:asciiTheme="majorHAnsi" w:hAnsiTheme="majorHAnsi" w:cs="Times New Roman"/>
      <w:color w:val="787878" w:themeColor="text2"/>
      <w:spacing w:val="-6"/>
      <w:sz w:val="56"/>
      <w:szCs w:val="20"/>
    </w:rPr>
  </w:style>
  <w:style w:type="paragraph" w:customStyle="1" w:styleId="PullQuoteReference">
    <w:name w:val="Pull Quote Reference"/>
    <w:next w:val="BodyCopy"/>
    <w:link w:val="PullQuoteReferenceChar"/>
    <w:uiPriority w:val="24"/>
    <w:qFormat/>
    <w:rsid w:val="007A62B8"/>
    <w:pPr>
      <w:spacing w:after="0" w:line="288" w:lineRule="atLeast"/>
    </w:pPr>
    <w:rPr>
      <w:rFonts w:cs="Times New Roman"/>
      <w:i/>
      <w:color w:val="787878" w:themeColor="text2"/>
      <w:spacing w:val="-2"/>
      <w:sz w:val="24"/>
      <w:szCs w:val="20"/>
    </w:rPr>
  </w:style>
  <w:style w:type="character" w:customStyle="1" w:styleId="PullQuoteReferenceChar">
    <w:name w:val="Pull Quote Reference Char"/>
    <w:basedOn w:val="DefaultParagraphFont"/>
    <w:link w:val="PullQuoteReference"/>
    <w:uiPriority w:val="24"/>
    <w:rsid w:val="007A62B8"/>
    <w:rPr>
      <w:rFonts w:cs="Times New Roman"/>
      <w:i/>
      <w:color w:val="787878" w:themeColor="text2"/>
      <w:spacing w:val="-2"/>
      <w:sz w:val="24"/>
      <w:szCs w:val="20"/>
    </w:rPr>
  </w:style>
  <w:style w:type="paragraph" w:customStyle="1" w:styleId="ProjectImplication">
    <w:name w:val="Project Implication"/>
    <w:basedOn w:val="BodyCopy"/>
    <w:next w:val="Normal"/>
    <w:link w:val="ProjectImplicationChar"/>
    <w:uiPriority w:val="22"/>
    <w:qFormat/>
    <w:rsid w:val="007F78B0"/>
    <w:pPr>
      <w:pBdr>
        <w:top w:val="single" w:sz="4" w:space="4" w:color="787878" w:themeColor="accent3"/>
        <w:left w:val="single" w:sz="4" w:space="4" w:color="FFFCCC" w:themeColor="background2" w:themeTint="33"/>
        <w:bottom w:val="single" w:sz="4" w:space="4" w:color="787878" w:themeColor="accent3"/>
        <w:right w:val="single" w:sz="4" w:space="4" w:color="FFFCCC" w:themeColor="background2" w:themeTint="33"/>
      </w:pBdr>
      <w:shd w:val="clear" w:color="auto" w:fill="FFFCCC" w:themeFill="background2" w:themeFillTint="33"/>
      <w:ind w:left="113" w:right="113"/>
    </w:pPr>
  </w:style>
  <w:style w:type="paragraph" w:customStyle="1" w:styleId="TableCopy">
    <w:name w:val="Table Copy"/>
    <w:link w:val="TableCopyChar"/>
    <w:uiPriority w:val="14"/>
    <w:qFormat/>
    <w:rsid w:val="00BD7746"/>
    <w:pPr>
      <w:spacing w:after="0" w:line="0" w:lineRule="atLeast"/>
      <w:ind w:left="57" w:right="57"/>
      <w:contextualSpacing/>
    </w:pPr>
    <w:rPr>
      <w:rFonts w:ascii="Garamond" w:hAnsi="Garamond" w:cs="Times New Roman"/>
      <w:color w:val="000000" w:themeColor="text1"/>
      <w:spacing w:val="-2"/>
      <w:sz w:val="20"/>
      <w:szCs w:val="20"/>
    </w:rPr>
  </w:style>
  <w:style w:type="character" w:customStyle="1" w:styleId="ProjectImplicationChar">
    <w:name w:val="Project Implication Char"/>
    <w:basedOn w:val="BodyCopyChar"/>
    <w:link w:val="ProjectImplication"/>
    <w:uiPriority w:val="22"/>
    <w:rsid w:val="00C07BFB"/>
    <w:rPr>
      <w:rFonts w:cs="Times New Roman"/>
      <w:color w:val="000000" w:themeColor="text1"/>
      <w:spacing w:val="-2"/>
      <w:szCs w:val="20"/>
      <w:shd w:val="clear" w:color="auto" w:fill="FFFCCC" w:themeFill="background2" w:themeFillTint="33"/>
    </w:rPr>
  </w:style>
  <w:style w:type="numbering" w:customStyle="1" w:styleId="TableBullets">
    <w:name w:val="Table Bullets"/>
    <w:basedOn w:val="NoList"/>
    <w:uiPriority w:val="99"/>
    <w:rsid w:val="00B30681"/>
    <w:pPr>
      <w:numPr>
        <w:numId w:val="14"/>
      </w:numPr>
    </w:pPr>
  </w:style>
  <w:style w:type="paragraph" w:customStyle="1" w:styleId="TableBullets1">
    <w:name w:val="Table Bullets 1"/>
    <w:basedOn w:val="TableCopy"/>
    <w:uiPriority w:val="15"/>
    <w:qFormat/>
    <w:rsid w:val="00BD7746"/>
    <w:pPr>
      <w:numPr>
        <w:numId w:val="14"/>
      </w:numPr>
    </w:pPr>
  </w:style>
  <w:style w:type="paragraph" w:customStyle="1" w:styleId="TableBullets2">
    <w:name w:val="Table Bullets 2"/>
    <w:basedOn w:val="TableCopy"/>
    <w:uiPriority w:val="15"/>
    <w:qFormat/>
    <w:rsid w:val="00B30681"/>
    <w:pPr>
      <w:numPr>
        <w:ilvl w:val="1"/>
        <w:numId w:val="14"/>
      </w:numPr>
    </w:pPr>
  </w:style>
  <w:style w:type="paragraph" w:customStyle="1" w:styleId="TableBulletssmall1">
    <w:name w:val="Table Bullets (small) 1"/>
    <w:basedOn w:val="Normal"/>
    <w:uiPriority w:val="18"/>
    <w:qFormat/>
    <w:rsid w:val="00B30681"/>
    <w:pPr>
      <w:numPr>
        <w:ilvl w:val="4"/>
        <w:numId w:val="14"/>
      </w:numPr>
      <w:spacing w:after="0" w:line="166" w:lineRule="atLeast"/>
      <w:ind w:right="57"/>
    </w:pPr>
    <w:rPr>
      <w:rFonts w:ascii="Garamond" w:hAnsi="Garamond" w:cs="Times New Roman"/>
      <w:color w:val="000000" w:themeColor="text1"/>
      <w:sz w:val="14"/>
      <w:szCs w:val="20"/>
    </w:rPr>
  </w:style>
  <w:style w:type="paragraph" w:customStyle="1" w:styleId="TableBulletssmall2">
    <w:name w:val="Table Bullets (small) 2"/>
    <w:basedOn w:val="Normal"/>
    <w:uiPriority w:val="18"/>
    <w:qFormat/>
    <w:rsid w:val="00B30681"/>
    <w:pPr>
      <w:numPr>
        <w:ilvl w:val="5"/>
        <w:numId w:val="14"/>
      </w:numPr>
      <w:spacing w:after="0" w:line="166" w:lineRule="atLeast"/>
      <w:ind w:right="57"/>
    </w:pPr>
    <w:rPr>
      <w:rFonts w:ascii="Garamond" w:hAnsi="Garamond" w:cs="Times New Roman"/>
      <w:color w:val="000000" w:themeColor="text1"/>
      <w:sz w:val="14"/>
      <w:szCs w:val="20"/>
    </w:rPr>
  </w:style>
  <w:style w:type="paragraph" w:customStyle="1" w:styleId="TableHeading">
    <w:name w:val="Table Heading"/>
    <w:basedOn w:val="TableCopy"/>
    <w:link w:val="TableHeadingChar"/>
    <w:uiPriority w:val="21"/>
    <w:qFormat/>
    <w:rsid w:val="00B30681"/>
    <w:pPr>
      <w:spacing w:line="270" w:lineRule="atLeast"/>
    </w:pPr>
    <w:rPr>
      <w:rFonts w:asciiTheme="majorHAnsi" w:hAnsiTheme="majorHAnsi"/>
      <w:sz w:val="22"/>
    </w:rPr>
  </w:style>
  <w:style w:type="paragraph" w:customStyle="1" w:styleId="TableNotes">
    <w:name w:val="Table Notes"/>
    <w:basedOn w:val="Normal"/>
    <w:uiPriority w:val="21"/>
    <w:qFormat/>
    <w:rsid w:val="00BD7746"/>
    <w:rPr>
      <w:sz w:val="16"/>
    </w:rPr>
  </w:style>
  <w:style w:type="character" w:customStyle="1" w:styleId="TableCopyChar">
    <w:name w:val="Table Copy Char"/>
    <w:basedOn w:val="DefaultParagraphFont"/>
    <w:link w:val="TableCopy"/>
    <w:uiPriority w:val="21"/>
    <w:rsid w:val="00BD7746"/>
    <w:rPr>
      <w:rFonts w:ascii="Garamond" w:hAnsi="Garamond" w:cs="Times New Roman"/>
      <w:color w:val="000000" w:themeColor="text1"/>
      <w:spacing w:val="-2"/>
      <w:sz w:val="20"/>
      <w:szCs w:val="20"/>
    </w:rPr>
  </w:style>
  <w:style w:type="character" w:customStyle="1" w:styleId="TableHeadingChar">
    <w:name w:val="Table Heading Char"/>
    <w:basedOn w:val="TableCopyChar"/>
    <w:link w:val="TableHeading"/>
    <w:uiPriority w:val="21"/>
    <w:rsid w:val="00C07BFB"/>
    <w:rPr>
      <w:rFonts w:asciiTheme="majorHAnsi" w:hAnsiTheme="majorHAnsi" w:cs="Times New Roman"/>
      <w:color w:val="000000" w:themeColor="text1"/>
      <w:spacing w:val="-2"/>
      <w:sz w:val="20"/>
      <w:szCs w:val="20"/>
    </w:rPr>
  </w:style>
  <w:style w:type="paragraph" w:customStyle="1" w:styleId="ProjectImplicationBullet">
    <w:name w:val="Project Implication Bullet"/>
    <w:basedOn w:val="ProjectImplication"/>
    <w:uiPriority w:val="22"/>
    <w:qFormat/>
    <w:rsid w:val="007F78B0"/>
    <w:pPr>
      <w:numPr>
        <w:numId w:val="17"/>
      </w:numPr>
      <w:ind w:left="340" w:hanging="227"/>
    </w:pPr>
  </w:style>
  <w:style w:type="paragraph" w:styleId="TOC6">
    <w:name w:val="toc 6"/>
    <w:basedOn w:val="TOC3"/>
    <w:next w:val="BodyCopy"/>
    <w:uiPriority w:val="39"/>
    <w:rsid w:val="00BD7746"/>
    <w:pPr>
      <w:tabs>
        <w:tab w:val="clear" w:pos="964"/>
        <w:tab w:val="left" w:pos="1474"/>
      </w:tabs>
      <w:spacing w:after="100"/>
      <w:contextualSpacing w:val="0"/>
    </w:pPr>
    <w:rPr>
      <w:caps w:val="0"/>
      <w:noProof/>
    </w:rPr>
  </w:style>
  <w:style w:type="paragraph" w:styleId="TOC5">
    <w:name w:val="toc 5"/>
    <w:basedOn w:val="TOC1"/>
    <w:next w:val="BodyCopy"/>
    <w:uiPriority w:val="39"/>
    <w:rsid w:val="00BD7746"/>
    <w:pPr>
      <w:tabs>
        <w:tab w:val="left" w:pos="794"/>
      </w:tabs>
      <w:spacing w:before="240" w:after="240"/>
      <w:ind w:left="1361" w:hanging="1361"/>
      <w:contextualSpacing w:val="0"/>
    </w:pPr>
    <w:rPr>
      <w:sz w:val="36"/>
    </w:rPr>
  </w:style>
  <w:style w:type="paragraph" w:customStyle="1" w:styleId="Finding">
    <w:name w:val="Finding"/>
    <w:basedOn w:val="KeyFinding"/>
    <w:next w:val="Normal"/>
    <w:qFormat/>
    <w:rsid w:val="008A25D7"/>
    <w:pPr>
      <w:numPr>
        <w:numId w:val="18"/>
      </w:numPr>
      <w:ind w:left="1360" w:hanging="1247"/>
    </w:pPr>
  </w:style>
  <w:style w:type="paragraph" w:customStyle="1" w:styleId="Abbreviations1">
    <w:name w:val="Abbreviations 1"/>
    <w:link w:val="Abbreviations1Char"/>
    <w:uiPriority w:val="24"/>
    <w:rsid w:val="00781A26"/>
    <w:pPr>
      <w:spacing w:before="60" w:after="60" w:line="220" w:lineRule="atLeast"/>
    </w:pPr>
    <w:rPr>
      <w:rFonts w:asciiTheme="majorHAnsi" w:hAnsiTheme="majorHAnsi" w:cs="Times New Roman"/>
      <w:color w:val="000000" w:themeColor="text1"/>
      <w:sz w:val="18"/>
      <w:szCs w:val="20"/>
    </w:rPr>
  </w:style>
  <w:style w:type="character" w:customStyle="1" w:styleId="Abbreviations1Char">
    <w:name w:val="Abbreviations 1 Char"/>
    <w:basedOn w:val="DefaultParagraphFont"/>
    <w:link w:val="Abbreviations1"/>
    <w:uiPriority w:val="24"/>
    <w:rsid w:val="00781A26"/>
    <w:rPr>
      <w:rFonts w:asciiTheme="majorHAnsi" w:hAnsiTheme="majorHAnsi" w:cs="Times New Roman"/>
      <w:color w:val="000000" w:themeColor="text1"/>
      <w:sz w:val="18"/>
      <w:szCs w:val="20"/>
    </w:rPr>
  </w:style>
  <w:style w:type="paragraph" w:customStyle="1" w:styleId="Abbreviations2definition">
    <w:name w:val="Abbreviations 2 (definition)"/>
    <w:link w:val="Abbreviations2definitionChar"/>
    <w:uiPriority w:val="24"/>
    <w:rsid w:val="00781A26"/>
    <w:pPr>
      <w:spacing w:before="60" w:after="60" w:line="288" w:lineRule="atLeast"/>
      <w:ind w:left="57"/>
    </w:pPr>
    <w:rPr>
      <w:rFonts w:cs="Times New Roman"/>
      <w:color w:val="000000" w:themeColor="text1"/>
      <w:szCs w:val="20"/>
    </w:rPr>
  </w:style>
  <w:style w:type="character" w:customStyle="1" w:styleId="Abbreviations2definitionChar">
    <w:name w:val="Abbreviations 2 (definition) Char"/>
    <w:basedOn w:val="DefaultParagraphFont"/>
    <w:link w:val="Abbreviations2definition"/>
    <w:uiPriority w:val="24"/>
    <w:rsid w:val="00781A26"/>
    <w:rPr>
      <w:rFonts w:cs="Times New Roman"/>
      <w:color w:val="000000" w:themeColor="text1"/>
      <w:szCs w:val="20"/>
    </w:rPr>
  </w:style>
  <w:style w:type="paragraph" w:customStyle="1" w:styleId="Bullets2">
    <w:name w:val="Bullets 2"/>
    <w:basedOn w:val="Bullets1"/>
    <w:qFormat/>
    <w:rsid w:val="00781A26"/>
    <w:pPr>
      <w:tabs>
        <w:tab w:val="num" w:pos="397"/>
      </w:tabs>
      <w:ind w:left="397" w:hanging="227"/>
    </w:pPr>
  </w:style>
  <w:style w:type="paragraph" w:customStyle="1" w:styleId="Bullets1">
    <w:name w:val="Bullets 1"/>
    <w:basedOn w:val="ListBullet"/>
    <w:qFormat/>
    <w:rsid w:val="002C22EF"/>
  </w:style>
  <w:style w:type="numbering" w:customStyle="1" w:styleId="Numbers">
    <w:name w:val="Numbers"/>
    <w:basedOn w:val="Bullets"/>
    <w:uiPriority w:val="99"/>
    <w:rsid w:val="00781A26"/>
    <w:pPr>
      <w:numPr>
        <w:numId w:val="19"/>
      </w:numPr>
    </w:pPr>
  </w:style>
  <w:style w:type="paragraph" w:customStyle="1" w:styleId="Numbers1">
    <w:name w:val="Numbers 1"/>
    <w:basedOn w:val="Bullets1"/>
    <w:qFormat/>
    <w:rsid w:val="00E57F4F"/>
    <w:pPr>
      <w:numPr>
        <w:numId w:val="19"/>
      </w:numPr>
      <w:tabs>
        <w:tab w:val="num" w:pos="360"/>
      </w:tabs>
      <w:ind w:left="357" w:hanging="357"/>
    </w:pPr>
  </w:style>
  <w:style w:type="paragraph" w:customStyle="1" w:styleId="Bullets3">
    <w:name w:val="Bullets 3"/>
    <w:basedOn w:val="Bullets1"/>
    <w:rsid w:val="00781A26"/>
    <w:pPr>
      <w:tabs>
        <w:tab w:val="num" w:pos="567"/>
      </w:tabs>
      <w:ind w:left="567"/>
    </w:pPr>
  </w:style>
  <w:style w:type="paragraph" w:customStyle="1" w:styleId="Bullets4">
    <w:name w:val="Bullets 4"/>
    <w:basedOn w:val="Bullets1"/>
    <w:qFormat/>
    <w:rsid w:val="00781A26"/>
    <w:pPr>
      <w:tabs>
        <w:tab w:val="num" w:pos="709"/>
      </w:tabs>
      <w:ind w:left="709" w:hanging="142"/>
    </w:pPr>
  </w:style>
  <w:style w:type="paragraph" w:customStyle="1" w:styleId="Numbers2">
    <w:name w:val="Numbers 2"/>
    <w:basedOn w:val="Numbers1"/>
    <w:qFormat/>
    <w:rsid w:val="00781A26"/>
    <w:pPr>
      <w:numPr>
        <w:ilvl w:val="1"/>
      </w:numPr>
      <w:tabs>
        <w:tab w:val="num" w:pos="360"/>
      </w:tabs>
    </w:pPr>
  </w:style>
  <w:style w:type="paragraph" w:customStyle="1" w:styleId="Numbers3">
    <w:name w:val="Numbers 3"/>
    <w:basedOn w:val="Numbers1"/>
    <w:rsid w:val="00781A26"/>
    <w:pPr>
      <w:numPr>
        <w:ilvl w:val="2"/>
      </w:numPr>
      <w:tabs>
        <w:tab w:val="num" w:pos="360"/>
      </w:tabs>
    </w:pPr>
  </w:style>
  <w:style w:type="paragraph" w:customStyle="1" w:styleId="Numbers4">
    <w:name w:val="Numbers 4"/>
    <w:basedOn w:val="Numbers1"/>
    <w:rsid w:val="00781A26"/>
    <w:pPr>
      <w:numPr>
        <w:ilvl w:val="3"/>
      </w:numPr>
      <w:tabs>
        <w:tab w:val="num" w:pos="360"/>
      </w:tabs>
    </w:pPr>
  </w:style>
  <w:style w:type="paragraph" w:customStyle="1" w:styleId="StrategicDirection">
    <w:name w:val="Strategic Direction"/>
    <w:basedOn w:val="Normal"/>
    <w:next w:val="BodyCopy"/>
    <w:uiPriority w:val="21"/>
    <w:rsid w:val="00781A26"/>
    <w:pPr>
      <w:keepLines/>
      <w:numPr>
        <w:numId w:val="21"/>
      </w:numPr>
      <w:pBdr>
        <w:top w:val="single" w:sz="4" w:space="4" w:color="787878" w:themeColor="text2"/>
        <w:left w:val="single" w:sz="4" w:space="4" w:color="DCDCDC" w:themeColor="accent6"/>
        <w:bottom w:val="single" w:sz="4" w:space="4" w:color="4B4B4B" w:themeColor="accent2"/>
        <w:right w:val="single" w:sz="4" w:space="4" w:color="DCDCDC" w:themeColor="accent6"/>
      </w:pBdr>
      <w:shd w:val="clear" w:color="auto" w:fill="FFF200" w:themeFill="background2"/>
      <w:tabs>
        <w:tab w:val="left" w:pos="1418"/>
      </w:tabs>
      <w:spacing w:before="113" w:after="113" w:line="264" w:lineRule="atLeast"/>
      <w:ind w:left="1417" w:right="113" w:hanging="1304"/>
    </w:pPr>
    <w:rPr>
      <w:rFonts w:cs="Times New Roman"/>
      <w:color w:val="000000" w:themeColor="text1"/>
      <w:szCs w:val="20"/>
    </w:rPr>
  </w:style>
  <w:style w:type="character" w:styleId="CommentReference">
    <w:name w:val="annotation reference"/>
    <w:basedOn w:val="DefaultParagraphFont"/>
    <w:uiPriority w:val="99"/>
    <w:semiHidden/>
    <w:unhideWhenUsed/>
    <w:rsid w:val="00781A26"/>
    <w:rPr>
      <w:sz w:val="16"/>
      <w:szCs w:val="16"/>
    </w:rPr>
  </w:style>
  <w:style w:type="paragraph" w:styleId="CommentText">
    <w:name w:val="annotation text"/>
    <w:basedOn w:val="Normal"/>
    <w:link w:val="CommentTextChar"/>
    <w:uiPriority w:val="99"/>
    <w:unhideWhenUsed/>
    <w:rsid w:val="00781A26"/>
    <w:pPr>
      <w:spacing w:after="0"/>
    </w:pPr>
    <w:rPr>
      <w:rFonts w:cs="Times New Roman"/>
      <w:color w:val="000000" w:themeColor="text1"/>
      <w:sz w:val="20"/>
      <w:szCs w:val="20"/>
    </w:rPr>
  </w:style>
  <w:style w:type="character" w:customStyle="1" w:styleId="CommentTextChar">
    <w:name w:val="Comment Text Char"/>
    <w:basedOn w:val="DefaultParagraphFont"/>
    <w:link w:val="CommentText"/>
    <w:uiPriority w:val="99"/>
    <w:rsid w:val="00781A26"/>
    <w:rPr>
      <w:rFonts w:cs="Times New Roman"/>
      <w:color w:val="000000" w:themeColor="text1"/>
      <w:spacing w:val="-2"/>
      <w:sz w:val="20"/>
      <w:szCs w:val="20"/>
    </w:rPr>
  </w:style>
  <w:style w:type="table" w:customStyle="1" w:styleId="HMATable">
    <w:name w:val="HMA Table"/>
    <w:basedOn w:val="TableNormal"/>
    <w:uiPriority w:val="99"/>
    <w:rsid w:val="000230CC"/>
    <w:pPr>
      <w:spacing w:after="0" w:line="240" w:lineRule="auto"/>
    </w:pPr>
    <w:rPr>
      <w:rFonts w:ascii="Courier" w:hAnsi="Courier" w:cs="Times New Roman"/>
      <w:sz w:val="20"/>
      <w:szCs w:val="20"/>
    </w:rPr>
    <w:tblPr>
      <w:tblBorders>
        <w:top w:val="single" w:sz="4" w:space="0" w:color="4B4B4B" w:themeColor="accent2"/>
        <w:left w:val="single" w:sz="4" w:space="0" w:color="FFFFFF" w:themeColor="background1"/>
        <w:bottom w:val="single" w:sz="4" w:space="0" w:color="4B4B4B" w:themeColor="accent2"/>
        <w:right w:val="single" w:sz="4" w:space="0" w:color="FFFFFF" w:themeColor="background1"/>
        <w:insideH w:val="single" w:sz="4" w:space="0" w:color="4B4B4B" w:themeColor="accent2"/>
        <w:insideV w:val="single" w:sz="4" w:space="0" w:color="FFFFFF" w:themeColor="background1"/>
      </w:tblBorders>
      <w:tblCellMar>
        <w:left w:w="0" w:type="dxa"/>
        <w:right w:w="0" w:type="dxa"/>
      </w:tblCellMar>
    </w:tblPr>
    <w:tcPr>
      <w:shd w:val="clear" w:color="auto" w:fill="DCDCDC" w:themeFill="accent6"/>
    </w:tcPr>
    <w:tblStylePr w:type="firstRow">
      <w:rPr>
        <w:rFonts w:asciiTheme="majorHAnsi" w:hAnsiTheme="majorHAnsi"/>
        <w:b w:val="0"/>
      </w:rPr>
      <w:tblPr/>
      <w:tcPr>
        <w:shd w:val="clear" w:color="auto" w:fill="BEBEBE" w:themeFill="accent5"/>
      </w:tcPr>
    </w:tblStylePr>
    <w:tblStylePr w:type="lastRow">
      <w:rPr>
        <w:rFonts w:asciiTheme="minorHAnsi" w:hAnsiTheme="minorHAnsi"/>
        <w:b/>
      </w:rPr>
    </w:tblStylePr>
    <w:tblStylePr w:type="firstCol">
      <w:rPr>
        <w:rFonts w:asciiTheme="minorHAnsi" w:hAnsiTheme="minorHAnsi"/>
        <w:b/>
      </w:rPr>
    </w:tblStylePr>
    <w:tblStylePr w:type="neCell">
      <w:rPr>
        <w:b w:val="0"/>
      </w:rPr>
    </w:tblStylePr>
    <w:tblStylePr w:type="nwCell">
      <w:rPr>
        <w:b w:val="0"/>
      </w:rPr>
    </w:tblStylePr>
  </w:style>
  <w:style w:type="paragraph" w:customStyle="1" w:styleId="TableColumnHeading">
    <w:name w:val="Table Column Heading"/>
    <w:uiPriority w:val="17"/>
    <w:qFormat/>
    <w:rsid w:val="000230CC"/>
    <w:pPr>
      <w:keepNext/>
      <w:spacing w:after="0" w:line="264" w:lineRule="atLeast"/>
      <w:ind w:left="57" w:right="57"/>
    </w:pPr>
    <w:rPr>
      <w:rFonts w:asciiTheme="majorHAnsi" w:hAnsiTheme="majorHAnsi" w:cs="Times New Roman"/>
      <w:color w:val="000000" w:themeColor="text1"/>
      <w:spacing w:val="-2"/>
      <w:szCs w:val="20"/>
    </w:rPr>
  </w:style>
  <w:style w:type="character" w:customStyle="1" w:styleId="Captionnotbold">
    <w:name w:val="Caption (not bold)"/>
    <w:basedOn w:val="DefaultParagraphFont"/>
    <w:uiPriority w:val="14"/>
    <w:rsid w:val="000230CC"/>
    <w:rPr>
      <w:rFonts w:asciiTheme="majorHAnsi" w:hAnsiTheme="majorHAnsi"/>
      <w:b w:val="0"/>
      <w:color w:val="000000" w:themeColor="text1"/>
    </w:rPr>
  </w:style>
  <w:style w:type="paragraph" w:customStyle="1" w:styleId="Recommendation">
    <w:name w:val="Recommendation"/>
    <w:basedOn w:val="BodyCopy"/>
    <w:next w:val="BodyCopy"/>
    <w:uiPriority w:val="21"/>
    <w:qFormat/>
    <w:rsid w:val="000230CC"/>
    <w:pPr>
      <w:numPr>
        <w:numId w:val="25"/>
      </w:numPr>
      <w:tabs>
        <w:tab w:val="left" w:pos="2041"/>
        <w:tab w:val="left" w:pos="2155"/>
        <w:tab w:val="left" w:pos="2268"/>
      </w:tabs>
      <w:spacing w:before="85" w:after="85" w:line="264" w:lineRule="atLeast"/>
      <w:ind w:left="0" w:firstLine="0"/>
    </w:pPr>
  </w:style>
  <w:style w:type="numbering" w:customStyle="1" w:styleId="Headings">
    <w:name w:val="Headings"/>
    <w:basedOn w:val="NoList"/>
    <w:uiPriority w:val="99"/>
    <w:rsid w:val="000230CC"/>
    <w:pPr>
      <w:numPr>
        <w:numId w:val="27"/>
      </w:numPr>
    </w:pPr>
  </w:style>
  <w:style w:type="character" w:customStyle="1" w:styleId="Heading6Char">
    <w:name w:val="Heading 6 Char"/>
    <w:basedOn w:val="DefaultParagraphFont"/>
    <w:link w:val="Heading6"/>
    <w:uiPriority w:val="5"/>
    <w:semiHidden/>
    <w:rsid w:val="000230CC"/>
    <w:rPr>
      <w:rFonts w:asciiTheme="majorHAnsi" w:eastAsiaTheme="majorEastAsia" w:hAnsiTheme="majorHAnsi" w:cstheme="majorBidi"/>
      <w:i/>
      <w:iCs/>
      <w:color w:val="7F7800" w:themeColor="accent1" w:themeShade="7F"/>
      <w:sz w:val="20"/>
      <w:szCs w:val="20"/>
    </w:rPr>
  </w:style>
  <w:style w:type="character" w:customStyle="1" w:styleId="Heading7Char">
    <w:name w:val="Heading 7 Char"/>
    <w:basedOn w:val="DefaultParagraphFont"/>
    <w:link w:val="Heading7"/>
    <w:uiPriority w:val="5"/>
    <w:semiHidden/>
    <w:rsid w:val="000230CC"/>
    <w:rPr>
      <w:rFonts w:asciiTheme="majorHAnsi" w:eastAsiaTheme="majorEastAsia" w:hAnsiTheme="majorHAnsi" w:cstheme="majorBidi"/>
      <w:i/>
      <w:iCs/>
      <w:color w:val="404040" w:themeColor="text1" w:themeTint="BF"/>
      <w:sz w:val="20"/>
      <w:szCs w:val="20"/>
    </w:rPr>
  </w:style>
  <w:style w:type="character" w:customStyle="1" w:styleId="Heading8Char">
    <w:name w:val="Heading 8 Char"/>
    <w:basedOn w:val="DefaultParagraphFont"/>
    <w:link w:val="Heading8"/>
    <w:uiPriority w:val="5"/>
    <w:semiHidden/>
    <w:rsid w:val="000230C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5"/>
    <w:semiHidden/>
    <w:rsid w:val="000230CC"/>
    <w:rPr>
      <w:rFonts w:asciiTheme="majorHAnsi" w:eastAsiaTheme="majorEastAsia" w:hAnsiTheme="majorHAnsi" w:cstheme="majorBidi"/>
      <w:iCs/>
      <w:caps/>
      <w:color w:val="000000" w:themeColor="text1"/>
      <w:spacing w:val="-3"/>
      <w:sz w:val="28"/>
      <w:szCs w:val="20"/>
    </w:rPr>
  </w:style>
  <w:style w:type="paragraph" w:styleId="Subtitle">
    <w:name w:val="Subtitle"/>
    <w:link w:val="SubtitleChar"/>
    <w:uiPriority w:val="99"/>
    <w:qFormat/>
    <w:rsid w:val="000230CC"/>
    <w:pPr>
      <w:numPr>
        <w:ilvl w:val="1"/>
      </w:numPr>
      <w:spacing w:after="0" w:line="240" w:lineRule="auto"/>
    </w:pPr>
    <w:rPr>
      <w:rFonts w:asciiTheme="majorHAnsi" w:eastAsiaTheme="majorEastAsia" w:hAnsiTheme="majorHAnsi" w:cstheme="majorBidi"/>
      <w:iCs/>
      <w:color w:val="FFF200" w:themeColor="accent1"/>
      <w:sz w:val="24"/>
      <w:szCs w:val="24"/>
    </w:rPr>
  </w:style>
  <w:style w:type="character" w:customStyle="1" w:styleId="SubtitleChar">
    <w:name w:val="Subtitle Char"/>
    <w:basedOn w:val="DefaultParagraphFont"/>
    <w:link w:val="Subtitle"/>
    <w:uiPriority w:val="99"/>
    <w:rsid w:val="000230CC"/>
    <w:rPr>
      <w:rFonts w:asciiTheme="majorHAnsi" w:eastAsiaTheme="majorEastAsia" w:hAnsiTheme="majorHAnsi" w:cstheme="majorBidi"/>
      <w:iCs/>
      <w:color w:val="FFF200" w:themeColor="accent1"/>
      <w:sz w:val="24"/>
      <w:szCs w:val="24"/>
    </w:rPr>
  </w:style>
  <w:style w:type="paragraph" w:styleId="EndnoteText">
    <w:name w:val="endnote text"/>
    <w:link w:val="EndnoteTextChar"/>
    <w:uiPriority w:val="99"/>
    <w:semiHidden/>
    <w:rsid w:val="000230CC"/>
    <w:pPr>
      <w:spacing w:after="0" w:line="240" w:lineRule="auto"/>
    </w:pPr>
    <w:rPr>
      <w:rFonts w:cs="Times New Roman"/>
      <w:sz w:val="20"/>
      <w:szCs w:val="20"/>
    </w:rPr>
  </w:style>
  <w:style w:type="character" w:customStyle="1" w:styleId="EndnoteTextChar">
    <w:name w:val="Endnote Text Char"/>
    <w:basedOn w:val="DefaultParagraphFont"/>
    <w:link w:val="EndnoteText"/>
    <w:uiPriority w:val="99"/>
    <w:semiHidden/>
    <w:rsid w:val="000230CC"/>
    <w:rPr>
      <w:rFonts w:cs="Times New Roman"/>
      <w:sz w:val="20"/>
      <w:szCs w:val="20"/>
    </w:rPr>
  </w:style>
  <w:style w:type="paragraph" w:styleId="TOCHeading">
    <w:name w:val="TOC Heading"/>
    <w:basedOn w:val="Heading1"/>
    <w:next w:val="BodyText"/>
    <w:uiPriority w:val="99"/>
    <w:semiHidden/>
    <w:qFormat/>
    <w:rsid w:val="000230CC"/>
    <w:pPr>
      <w:framePr w:w="0" w:hRule="auto" w:vSpace="0" w:wrap="around" w:vAnchor="margin" w:hAnchor="text" w:yAlign="inline"/>
      <w:numPr>
        <w:numId w:val="0"/>
      </w:numPr>
      <w:pBdr>
        <w:top w:val="none" w:sz="0" w:space="0" w:color="auto"/>
        <w:bottom w:val="none" w:sz="0" w:space="0" w:color="auto"/>
      </w:pBdr>
      <w:shd w:val="clear" w:color="auto" w:fill="auto"/>
      <w:spacing w:line="560" w:lineRule="exact"/>
      <w:ind w:left="1701" w:hanging="1588"/>
      <w:outlineLvl w:val="9"/>
    </w:pPr>
    <w:rPr>
      <w:bCs/>
      <w:spacing w:val="0"/>
    </w:rPr>
  </w:style>
  <w:style w:type="character" w:customStyle="1" w:styleId="Superscript">
    <w:name w:val="Superscript"/>
    <w:basedOn w:val="DefaultParagraphFont"/>
    <w:uiPriority w:val="22"/>
    <w:qFormat/>
    <w:rsid w:val="000230CC"/>
    <w:rPr>
      <w:vertAlign w:val="superscript"/>
    </w:rPr>
  </w:style>
  <w:style w:type="paragraph" w:customStyle="1" w:styleId="BoxHeading">
    <w:name w:val="Box Heading"/>
    <w:basedOn w:val="TableColumnHeading"/>
    <w:next w:val="BoxCopy"/>
    <w:uiPriority w:val="23"/>
    <w:qFormat/>
    <w:rsid w:val="000230CC"/>
    <w:pPr>
      <w:spacing w:before="113" w:after="60" w:line="288" w:lineRule="atLeast"/>
      <w:ind w:left="0" w:right="0"/>
    </w:pPr>
    <w:rPr>
      <w:sz w:val="24"/>
    </w:rPr>
  </w:style>
  <w:style w:type="paragraph" w:customStyle="1" w:styleId="BoxCopy">
    <w:name w:val="Box Copy"/>
    <w:basedOn w:val="TableCopy"/>
    <w:uiPriority w:val="23"/>
    <w:qFormat/>
    <w:rsid w:val="000230CC"/>
    <w:pPr>
      <w:spacing w:before="60" w:after="60" w:line="240" w:lineRule="atLeast"/>
      <w:ind w:left="0" w:right="0"/>
      <w:contextualSpacing w:val="0"/>
    </w:pPr>
  </w:style>
  <w:style w:type="paragraph" w:customStyle="1" w:styleId="SectionPageTitle">
    <w:name w:val="Section Page Title"/>
    <w:next w:val="BodyCopy"/>
    <w:link w:val="SectionPageTitleChar"/>
    <w:uiPriority w:val="24"/>
    <w:qFormat/>
    <w:rsid w:val="000230CC"/>
    <w:pPr>
      <w:numPr>
        <w:numId w:val="32"/>
      </w:numPr>
      <w:tabs>
        <w:tab w:val="left" w:pos="7513"/>
      </w:tabs>
      <w:spacing w:after="0" w:line="624" w:lineRule="atLeast"/>
      <w:ind w:left="7513" w:hanging="7513"/>
    </w:pPr>
    <w:rPr>
      <w:rFonts w:ascii="Franklin Gothic Book" w:hAnsi="Franklin Gothic Book" w:cs="Times New Roman"/>
      <w:caps/>
      <w:color w:val="787878" w:themeColor="text2"/>
      <w:sz w:val="52"/>
      <w:szCs w:val="20"/>
      <w:u w:val="single"/>
    </w:rPr>
  </w:style>
  <w:style w:type="character" w:customStyle="1" w:styleId="SectionPageTitleChar">
    <w:name w:val="Section Page Title Char"/>
    <w:basedOn w:val="DefaultParagraphFont"/>
    <w:link w:val="SectionPageTitle"/>
    <w:uiPriority w:val="24"/>
    <w:rsid w:val="000230CC"/>
    <w:rPr>
      <w:rFonts w:ascii="Franklin Gothic Book" w:hAnsi="Franklin Gothic Book" w:cs="Times New Roman"/>
      <w:caps/>
      <w:color w:val="787878" w:themeColor="text2"/>
      <w:sz w:val="52"/>
      <w:szCs w:val="20"/>
      <w:u w:val="single"/>
    </w:rPr>
  </w:style>
  <w:style w:type="table" w:customStyle="1" w:styleId="AbbreviationsTable">
    <w:name w:val="Abbreviations Table"/>
    <w:basedOn w:val="TableGrid"/>
    <w:uiPriority w:val="99"/>
    <w:rsid w:val="000230CC"/>
    <w:tblPr>
      <w:tblStyleColBandSize w:val="1"/>
      <w:tblBorders>
        <w:top w:val="single" w:sz="4" w:space="0" w:color="000000" w:themeColor="text1"/>
        <w:bottom w:val="single" w:sz="4" w:space="0" w:color="000000" w:themeColor="text1"/>
        <w:insideH w:val="single" w:sz="4" w:space="0" w:color="000000" w:themeColor="text1"/>
      </w:tblBorders>
    </w:tblPr>
    <w:tcPr>
      <w:vAlign w:val="center"/>
    </w:tcPr>
    <w:tblStylePr w:type="firstCol">
      <w:tblPr/>
      <w:tcPr>
        <w:tcBorders>
          <w:right w:val="single" w:sz="48" w:space="0" w:color="FFFFFF" w:themeColor="background1"/>
        </w:tcBorders>
      </w:tcPr>
    </w:tblStylePr>
    <w:tblStylePr w:type="lastCol">
      <w:tblPr/>
      <w:tcPr>
        <w:tcBorders>
          <w:insideH w:val="single" w:sz="4" w:space="0" w:color="auto"/>
        </w:tcBorders>
      </w:tcPr>
    </w:tblStylePr>
    <w:tblStylePr w:type="band2Vert">
      <w:tblPr/>
      <w:tcPr>
        <w:tcBorders>
          <w:insideH w:val="single" w:sz="4" w:space="0" w:color="auto"/>
        </w:tcBorders>
      </w:tcPr>
    </w:tblStylePr>
  </w:style>
  <w:style w:type="character" w:customStyle="1" w:styleId="SectionPageDemi">
    <w:name w:val="Section Page Demi"/>
    <w:basedOn w:val="DefaultParagraphFont"/>
    <w:uiPriority w:val="1"/>
    <w:semiHidden/>
    <w:rsid w:val="000230CC"/>
    <w:rPr>
      <w:rFonts w:ascii="Franklin Gothic Demi" w:hAnsi="Franklin Gothic Demi"/>
      <w:b/>
    </w:rPr>
  </w:style>
  <w:style w:type="paragraph" w:customStyle="1" w:styleId="TableColumnHeadingsmall">
    <w:name w:val="Table Column Heading (small)"/>
    <w:basedOn w:val="TableColumnHeading"/>
    <w:uiPriority w:val="20"/>
    <w:rsid w:val="000230CC"/>
    <w:pPr>
      <w:spacing w:line="180" w:lineRule="atLeast"/>
    </w:pPr>
    <w:rPr>
      <w:sz w:val="14"/>
    </w:rPr>
  </w:style>
  <w:style w:type="paragraph" w:customStyle="1" w:styleId="TableCopysmall">
    <w:name w:val="Table Copy (small)"/>
    <w:basedOn w:val="TableCopy"/>
    <w:uiPriority w:val="17"/>
    <w:qFormat/>
    <w:rsid w:val="000230CC"/>
    <w:pPr>
      <w:spacing w:line="166" w:lineRule="atLeast"/>
      <w:contextualSpacing w:val="0"/>
    </w:pPr>
    <w:rPr>
      <w:sz w:val="14"/>
    </w:rPr>
  </w:style>
  <w:style w:type="table" w:customStyle="1" w:styleId="KeyFindings">
    <w:name w:val="Key Findings"/>
    <w:basedOn w:val="TableNormal"/>
    <w:uiPriority w:val="99"/>
    <w:rsid w:val="000230CC"/>
    <w:pPr>
      <w:spacing w:after="0" w:line="240" w:lineRule="auto"/>
    </w:pPr>
    <w:rPr>
      <w:rFonts w:ascii="Courier" w:hAnsi="Courier" w:cs="Times New Roman"/>
      <w:sz w:val="20"/>
      <w:szCs w:val="20"/>
    </w:rPr>
    <w:tblPr>
      <w:tblBorders>
        <w:bottom w:val="single" w:sz="4" w:space="0" w:color="787878" w:themeColor="text2"/>
        <w:insideH w:val="single" w:sz="4" w:space="0" w:color="787878" w:themeColor="text2"/>
      </w:tblBorders>
      <w:tblCellMar>
        <w:left w:w="0" w:type="dxa"/>
        <w:right w:w="0" w:type="dxa"/>
      </w:tblCellMar>
    </w:tblPr>
    <w:tcPr>
      <w:shd w:val="clear" w:color="auto" w:fill="DCDCDC" w:themeFill="accent6"/>
    </w:tcPr>
    <w:tblStylePr w:type="firstRow">
      <w:tblPr/>
      <w:tcPr>
        <w:shd w:val="clear" w:color="auto" w:fill="BEBEBE" w:themeFill="accent5"/>
      </w:tcPr>
    </w:tblStylePr>
  </w:style>
  <w:style w:type="paragraph" w:customStyle="1" w:styleId="ESHeading1">
    <w:name w:val="ES Heading 1"/>
    <w:basedOn w:val="Heading1"/>
    <w:next w:val="BodyCopy"/>
    <w:uiPriority w:val="5"/>
    <w:qFormat/>
    <w:rsid w:val="000230CC"/>
    <w:pPr>
      <w:framePr w:w="0" w:hRule="auto" w:vSpace="0" w:wrap="around" w:vAnchor="margin" w:hAnchor="page" w:x="568"/>
      <w:numPr>
        <w:numId w:val="0"/>
      </w:numPr>
      <w:pBdr>
        <w:top w:val="none" w:sz="0" w:space="0" w:color="auto"/>
        <w:bottom w:val="none" w:sz="0" w:space="0" w:color="auto"/>
      </w:pBdr>
      <w:shd w:val="clear" w:color="auto" w:fill="auto"/>
      <w:spacing w:line="560" w:lineRule="exact"/>
    </w:pPr>
    <w:rPr>
      <w:bCs/>
      <w:spacing w:val="0"/>
    </w:rPr>
  </w:style>
  <w:style w:type="numbering" w:customStyle="1" w:styleId="TableNumbers">
    <w:name w:val="Table Numbers"/>
    <w:basedOn w:val="TableBullets"/>
    <w:uiPriority w:val="99"/>
    <w:rsid w:val="000230CC"/>
    <w:pPr>
      <w:numPr>
        <w:numId w:val="31"/>
      </w:numPr>
    </w:pPr>
  </w:style>
  <w:style w:type="paragraph" w:customStyle="1" w:styleId="TableNumbers1">
    <w:name w:val="Table Numbers 1"/>
    <w:basedOn w:val="TableCopy"/>
    <w:uiPriority w:val="15"/>
    <w:qFormat/>
    <w:rsid w:val="000230CC"/>
    <w:pPr>
      <w:numPr>
        <w:numId w:val="31"/>
      </w:numPr>
      <w:spacing w:line="240" w:lineRule="atLeast"/>
      <w:contextualSpacing w:val="0"/>
    </w:pPr>
  </w:style>
  <w:style w:type="paragraph" w:customStyle="1" w:styleId="TableNumbers2">
    <w:name w:val="Table Numbers 2"/>
    <w:basedOn w:val="TableCopy"/>
    <w:uiPriority w:val="15"/>
    <w:qFormat/>
    <w:rsid w:val="000230CC"/>
    <w:pPr>
      <w:numPr>
        <w:ilvl w:val="1"/>
        <w:numId w:val="31"/>
      </w:numPr>
      <w:spacing w:line="240" w:lineRule="atLeast"/>
      <w:contextualSpacing w:val="0"/>
    </w:pPr>
  </w:style>
  <w:style w:type="paragraph" w:customStyle="1" w:styleId="TableNumberssmall1">
    <w:name w:val="Table Numbers (small) 1"/>
    <w:basedOn w:val="TableCopysmall"/>
    <w:uiPriority w:val="18"/>
    <w:qFormat/>
    <w:rsid w:val="000230CC"/>
    <w:pPr>
      <w:numPr>
        <w:ilvl w:val="4"/>
        <w:numId w:val="31"/>
      </w:numPr>
    </w:pPr>
  </w:style>
  <w:style w:type="paragraph" w:customStyle="1" w:styleId="TableNumberssmall2">
    <w:name w:val="Table Numbers (small) 2"/>
    <w:basedOn w:val="TableCopysmall"/>
    <w:uiPriority w:val="18"/>
    <w:qFormat/>
    <w:rsid w:val="000230CC"/>
    <w:pPr>
      <w:numPr>
        <w:ilvl w:val="5"/>
        <w:numId w:val="31"/>
      </w:numPr>
    </w:pPr>
  </w:style>
  <w:style w:type="paragraph" w:customStyle="1" w:styleId="650E97733753414DBFCDE381257316533">
    <w:name w:val="650E97733753414DBFCDE381257316533"/>
    <w:hidden/>
    <w:semiHidden/>
    <w:rsid w:val="000230CC"/>
    <w:pPr>
      <w:spacing w:after="0" w:line="264" w:lineRule="atLeast"/>
    </w:pPr>
    <w:rPr>
      <w:rFonts w:cs="Times New Roman"/>
      <w:color w:val="787878" w:themeColor="text2"/>
      <w:spacing w:val="-2"/>
      <w:szCs w:val="20"/>
    </w:rPr>
  </w:style>
  <w:style w:type="paragraph" w:customStyle="1" w:styleId="BodyCopyIndented">
    <w:name w:val="Body Copy Indented"/>
    <w:basedOn w:val="BodyCopy"/>
    <w:qFormat/>
    <w:rsid w:val="000230CC"/>
    <w:pPr>
      <w:spacing w:before="85" w:after="85" w:line="264" w:lineRule="atLeast"/>
      <w:ind w:left="454"/>
    </w:pPr>
  </w:style>
  <w:style w:type="table" w:customStyle="1" w:styleId="Style1">
    <w:name w:val="Style1"/>
    <w:uiPriority w:val="99"/>
    <w:rsid w:val="000230CC"/>
    <w:tblPr>
      <w:tblCellMar>
        <w:top w:w="0" w:type="dxa"/>
        <w:left w:w="0" w:type="dxa"/>
        <w:bottom w:w="0" w:type="dxa"/>
        <w:right w:w="0" w:type="dxa"/>
      </w:tblCellMar>
    </w:tblPr>
  </w:style>
  <w:style w:type="paragraph" w:customStyle="1" w:styleId="HeadingAppendix2">
    <w:name w:val="Heading Appendix 2"/>
    <w:basedOn w:val="Heading1"/>
    <w:next w:val="Normal"/>
    <w:link w:val="HeadingAppendix2CharChar"/>
    <w:rsid w:val="000230CC"/>
    <w:pPr>
      <w:keepLines w:val="0"/>
      <w:pageBreakBefore w:val="0"/>
      <w:framePr w:w="0" w:hRule="auto" w:vSpace="0" w:wrap="auto" w:vAnchor="margin" w:hAnchor="text" w:yAlign="inline"/>
      <w:numPr>
        <w:numId w:val="33"/>
      </w:numPr>
      <w:pBdr>
        <w:top w:val="none" w:sz="0" w:space="0" w:color="auto"/>
        <w:bottom w:val="none" w:sz="0" w:space="0" w:color="auto"/>
      </w:pBdr>
      <w:shd w:val="clear" w:color="auto" w:fill="auto"/>
      <w:tabs>
        <w:tab w:val="clear" w:pos="2694"/>
        <w:tab w:val="num" w:pos="1985"/>
      </w:tabs>
      <w:spacing w:before="360" w:after="120"/>
      <w:ind w:left="0"/>
    </w:pPr>
    <w:rPr>
      <w:rFonts w:eastAsia="Times New Roman" w:cs="Arial"/>
      <w:b w:val="0"/>
      <w:bCs/>
      <w:color w:val="auto"/>
      <w:spacing w:val="0"/>
      <w:kern w:val="32"/>
      <w:sz w:val="32"/>
      <w:szCs w:val="24"/>
      <w:u w:val="single"/>
    </w:rPr>
  </w:style>
  <w:style w:type="character" w:customStyle="1" w:styleId="HeadingAppendix2CharChar">
    <w:name w:val="Heading Appendix 2 Char Char"/>
    <w:link w:val="HeadingAppendix2"/>
    <w:rsid w:val="000230CC"/>
    <w:rPr>
      <w:rFonts w:asciiTheme="majorHAnsi" w:eastAsia="Times New Roman" w:hAnsiTheme="majorHAnsi" w:cs="Arial"/>
      <w:bCs/>
      <w:caps/>
      <w:kern w:val="32"/>
      <w:sz w:val="32"/>
      <w:szCs w:val="24"/>
      <w:u w:val="single"/>
    </w:rPr>
  </w:style>
  <w:style w:type="paragraph" w:customStyle="1" w:styleId="B62F7A7DF74646E485171A8AA5594CF41">
    <w:name w:val="B62F7A7DF74646E485171A8AA5594CF41"/>
    <w:hidden/>
    <w:semiHidden/>
    <w:rsid w:val="000230CC"/>
    <w:pPr>
      <w:spacing w:after="0" w:line="240" w:lineRule="auto"/>
    </w:pPr>
    <w:rPr>
      <w:rFonts w:cs="Times New Roman"/>
      <w:sz w:val="20"/>
      <w:szCs w:val="20"/>
    </w:rPr>
  </w:style>
  <w:style w:type="table" w:styleId="TableGridLight">
    <w:name w:val="Grid Table Light"/>
    <w:basedOn w:val="TableNormal"/>
    <w:uiPriority w:val="40"/>
    <w:rsid w:val="000230CC"/>
    <w:pPr>
      <w:spacing w:after="0" w:line="240" w:lineRule="auto"/>
    </w:pPr>
    <w:rPr>
      <w:rFonts w:ascii="Courier" w:hAnsi="Courier" w:cs="Times New Roman"/>
      <w:sz w:val="20"/>
      <w:szCs w:val="20"/>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reliminaryFinding">
    <w:name w:val="Preliminary Finding"/>
    <w:basedOn w:val="KeyFinding"/>
    <w:uiPriority w:val="99"/>
    <w:rsid w:val="000230CC"/>
    <w:pPr>
      <w:numPr>
        <w:numId w:val="34"/>
      </w:numPr>
      <w:ind w:left="1531" w:right="0" w:hanging="1531"/>
    </w:pPr>
    <w:rPr>
      <w:rFonts w:ascii="Garamond" w:hAnsi="Garamond"/>
    </w:rPr>
  </w:style>
  <w:style w:type="paragraph" w:styleId="CommentSubject">
    <w:name w:val="annotation subject"/>
    <w:basedOn w:val="CommentText"/>
    <w:next w:val="CommentText"/>
    <w:link w:val="CommentSubjectChar"/>
    <w:uiPriority w:val="99"/>
    <w:semiHidden/>
    <w:unhideWhenUsed/>
    <w:rsid w:val="000230CC"/>
    <w:rPr>
      <w:b/>
      <w:bCs/>
    </w:rPr>
  </w:style>
  <w:style w:type="character" w:customStyle="1" w:styleId="CommentSubjectChar">
    <w:name w:val="Comment Subject Char"/>
    <w:basedOn w:val="CommentTextChar"/>
    <w:link w:val="CommentSubject"/>
    <w:uiPriority w:val="99"/>
    <w:semiHidden/>
    <w:rsid w:val="000230CC"/>
    <w:rPr>
      <w:rFonts w:cs="Times New Roman"/>
      <w:b/>
      <w:bCs/>
      <w:color w:val="000000" w:themeColor="text1"/>
      <w:spacing w:val="-2"/>
      <w:sz w:val="20"/>
      <w:szCs w:val="20"/>
    </w:rPr>
  </w:style>
  <w:style w:type="paragraph" w:styleId="Bibliography">
    <w:name w:val="Bibliography"/>
    <w:basedOn w:val="Normal"/>
    <w:next w:val="Normal"/>
    <w:uiPriority w:val="99"/>
    <w:unhideWhenUsed/>
    <w:rsid w:val="000230CC"/>
    <w:pPr>
      <w:spacing w:after="0" w:line="264" w:lineRule="atLeast"/>
    </w:pPr>
    <w:rPr>
      <w:rFonts w:cs="Times New Roman"/>
      <w:color w:val="000000" w:themeColor="text1"/>
      <w:szCs w:val="20"/>
    </w:rPr>
  </w:style>
  <w:style w:type="paragraph" w:styleId="TOC7">
    <w:name w:val="toc 7"/>
    <w:basedOn w:val="Normal"/>
    <w:next w:val="Normal"/>
    <w:autoRedefine/>
    <w:uiPriority w:val="39"/>
    <w:unhideWhenUsed/>
    <w:rsid w:val="000230CC"/>
    <w:pPr>
      <w:spacing w:after="100" w:line="259" w:lineRule="auto"/>
      <w:ind w:left="1320"/>
    </w:pPr>
    <w:rPr>
      <w:rFonts w:eastAsiaTheme="minorEastAsia"/>
      <w:spacing w:val="0"/>
      <w:lang w:val="en-GB" w:eastAsia="en-GB"/>
    </w:rPr>
  </w:style>
  <w:style w:type="paragraph" w:styleId="TOC8">
    <w:name w:val="toc 8"/>
    <w:basedOn w:val="Normal"/>
    <w:next w:val="Normal"/>
    <w:autoRedefine/>
    <w:uiPriority w:val="39"/>
    <w:unhideWhenUsed/>
    <w:rsid w:val="000230CC"/>
    <w:pPr>
      <w:spacing w:after="100" w:line="259" w:lineRule="auto"/>
      <w:ind w:left="1540"/>
    </w:pPr>
    <w:rPr>
      <w:rFonts w:eastAsiaTheme="minorEastAsia"/>
      <w:spacing w:val="0"/>
      <w:lang w:val="en-GB" w:eastAsia="en-GB"/>
    </w:rPr>
  </w:style>
  <w:style w:type="paragraph" w:styleId="TOC9">
    <w:name w:val="toc 9"/>
    <w:basedOn w:val="Normal"/>
    <w:next w:val="Normal"/>
    <w:autoRedefine/>
    <w:uiPriority w:val="39"/>
    <w:unhideWhenUsed/>
    <w:rsid w:val="000230CC"/>
    <w:pPr>
      <w:spacing w:after="100" w:line="259" w:lineRule="auto"/>
      <w:ind w:left="1760"/>
    </w:pPr>
    <w:rPr>
      <w:rFonts w:eastAsiaTheme="minorEastAsia"/>
      <w:spacing w:val="0"/>
      <w:lang w:val="en-GB" w:eastAsia="en-GB"/>
    </w:rPr>
  </w:style>
  <w:style w:type="character" w:customStyle="1" w:styleId="UnresolvedMention1">
    <w:name w:val="Unresolved Mention1"/>
    <w:basedOn w:val="DefaultParagraphFont"/>
    <w:uiPriority w:val="99"/>
    <w:semiHidden/>
    <w:unhideWhenUsed/>
    <w:rsid w:val="000230CC"/>
    <w:rPr>
      <w:color w:val="605E5C"/>
      <w:shd w:val="clear" w:color="auto" w:fill="E1DFDD"/>
    </w:rPr>
  </w:style>
  <w:style w:type="paragraph" w:styleId="Revision">
    <w:name w:val="Revision"/>
    <w:hidden/>
    <w:uiPriority w:val="99"/>
    <w:semiHidden/>
    <w:rsid w:val="000230CC"/>
    <w:pPr>
      <w:spacing w:after="0" w:line="240" w:lineRule="auto"/>
    </w:pPr>
    <w:rPr>
      <w:rFonts w:cs="Times New Roman"/>
      <w:color w:val="000000" w:themeColor="text1"/>
      <w:spacing w:val="-2"/>
      <w:szCs w:val="20"/>
    </w:rPr>
  </w:style>
  <w:style w:type="character" w:styleId="FollowedHyperlink">
    <w:name w:val="FollowedHyperlink"/>
    <w:basedOn w:val="DefaultParagraphFont"/>
    <w:uiPriority w:val="99"/>
    <w:semiHidden/>
    <w:unhideWhenUsed/>
    <w:rsid w:val="00B67CED"/>
    <w:rPr>
      <w:color w:val="BEBEB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094">
      <w:bodyDiv w:val="1"/>
      <w:marLeft w:val="0"/>
      <w:marRight w:val="0"/>
      <w:marTop w:val="0"/>
      <w:marBottom w:val="0"/>
      <w:divBdr>
        <w:top w:val="none" w:sz="0" w:space="0" w:color="auto"/>
        <w:left w:val="none" w:sz="0" w:space="0" w:color="auto"/>
        <w:bottom w:val="none" w:sz="0" w:space="0" w:color="auto"/>
        <w:right w:val="none" w:sz="0" w:space="0" w:color="auto"/>
      </w:divBdr>
    </w:div>
    <w:div w:id="1200834">
      <w:bodyDiv w:val="1"/>
      <w:marLeft w:val="0"/>
      <w:marRight w:val="0"/>
      <w:marTop w:val="0"/>
      <w:marBottom w:val="0"/>
      <w:divBdr>
        <w:top w:val="none" w:sz="0" w:space="0" w:color="auto"/>
        <w:left w:val="none" w:sz="0" w:space="0" w:color="auto"/>
        <w:bottom w:val="none" w:sz="0" w:space="0" w:color="auto"/>
        <w:right w:val="none" w:sz="0" w:space="0" w:color="auto"/>
      </w:divBdr>
    </w:div>
    <w:div w:id="3019407">
      <w:bodyDiv w:val="1"/>
      <w:marLeft w:val="0"/>
      <w:marRight w:val="0"/>
      <w:marTop w:val="0"/>
      <w:marBottom w:val="0"/>
      <w:divBdr>
        <w:top w:val="none" w:sz="0" w:space="0" w:color="auto"/>
        <w:left w:val="none" w:sz="0" w:space="0" w:color="auto"/>
        <w:bottom w:val="none" w:sz="0" w:space="0" w:color="auto"/>
        <w:right w:val="none" w:sz="0" w:space="0" w:color="auto"/>
      </w:divBdr>
    </w:div>
    <w:div w:id="5059918">
      <w:bodyDiv w:val="1"/>
      <w:marLeft w:val="0"/>
      <w:marRight w:val="0"/>
      <w:marTop w:val="0"/>
      <w:marBottom w:val="0"/>
      <w:divBdr>
        <w:top w:val="none" w:sz="0" w:space="0" w:color="auto"/>
        <w:left w:val="none" w:sz="0" w:space="0" w:color="auto"/>
        <w:bottom w:val="none" w:sz="0" w:space="0" w:color="auto"/>
        <w:right w:val="none" w:sz="0" w:space="0" w:color="auto"/>
      </w:divBdr>
    </w:div>
    <w:div w:id="9529882">
      <w:bodyDiv w:val="1"/>
      <w:marLeft w:val="0"/>
      <w:marRight w:val="0"/>
      <w:marTop w:val="0"/>
      <w:marBottom w:val="0"/>
      <w:divBdr>
        <w:top w:val="none" w:sz="0" w:space="0" w:color="auto"/>
        <w:left w:val="none" w:sz="0" w:space="0" w:color="auto"/>
        <w:bottom w:val="none" w:sz="0" w:space="0" w:color="auto"/>
        <w:right w:val="none" w:sz="0" w:space="0" w:color="auto"/>
      </w:divBdr>
    </w:div>
    <w:div w:id="11538775">
      <w:bodyDiv w:val="1"/>
      <w:marLeft w:val="0"/>
      <w:marRight w:val="0"/>
      <w:marTop w:val="0"/>
      <w:marBottom w:val="0"/>
      <w:divBdr>
        <w:top w:val="none" w:sz="0" w:space="0" w:color="auto"/>
        <w:left w:val="none" w:sz="0" w:space="0" w:color="auto"/>
        <w:bottom w:val="none" w:sz="0" w:space="0" w:color="auto"/>
        <w:right w:val="none" w:sz="0" w:space="0" w:color="auto"/>
      </w:divBdr>
    </w:div>
    <w:div w:id="15888913">
      <w:bodyDiv w:val="1"/>
      <w:marLeft w:val="0"/>
      <w:marRight w:val="0"/>
      <w:marTop w:val="0"/>
      <w:marBottom w:val="0"/>
      <w:divBdr>
        <w:top w:val="none" w:sz="0" w:space="0" w:color="auto"/>
        <w:left w:val="none" w:sz="0" w:space="0" w:color="auto"/>
        <w:bottom w:val="none" w:sz="0" w:space="0" w:color="auto"/>
        <w:right w:val="none" w:sz="0" w:space="0" w:color="auto"/>
      </w:divBdr>
    </w:div>
    <w:div w:id="16347016">
      <w:bodyDiv w:val="1"/>
      <w:marLeft w:val="0"/>
      <w:marRight w:val="0"/>
      <w:marTop w:val="0"/>
      <w:marBottom w:val="0"/>
      <w:divBdr>
        <w:top w:val="none" w:sz="0" w:space="0" w:color="auto"/>
        <w:left w:val="none" w:sz="0" w:space="0" w:color="auto"/>
        <w:bottom w:val="none" w:sz="0" w:space="0" w:color="auto"/>
        <w:right w:val="none" w:sz="0" w:space="0" w:color="auto"/>
      </w:divBdr>
    </w:div>
    <w:div w:id="16927260">
      <w:bodyDiv w:val="1"/>
      <w:marLeft w:val="0"/>
      <w:marRight w:val="0"/>
      <w:marTop w:val="0"/>
      <w:marBottom w:val="0"/>
      <w:divBdr>
        <w:top w:val="none" w:sz="0" w:space="0" w:color="auto"/>
        <w:left w:val="none" w:sz="0" w:space="0" w:color="auto"/>
        <w:bottom w:val="none" w:sz="0" w:space="0" w:color="auto"/>
        <w:right w:val="none" w:sz="0" w:space="0" w:color="auto"/>
      </w:divBdr>
    </w:div>
    <w:div w:id="22707108">
      <w:bodyDiv w:val="1"/>
      <w:marLeft w:val="0"/>
      <w:marRight w:val="0"/>
      <w:marTop w:val="0"/>
      <w:marBottom w:val="0"/>
      <w:divBdr>
        <w:top w:val="none" w:sz="0" w:space="0" w:color="auto"/>
        <w:left w:val="none" w:sz="0" w:space="0" w:color="auto"/>
        <w:bottom w:val="none" w:sz="0" w:space="0" w:color="auto"/>
        <w:right w:val="none" w:sz="0" w:space="0" w:color="auto"/>
      </w:divBdr>
    </w:div>
    <w:div w:id="23478893">
      <w:bodyDiv w:val="1"/>
      <w:marLeft w:val="0"/>
      <w:marRight w:val="0"/>
      <w:marTop w:val="0"/>
      <w:marBottom w:val="0"/>
      <w:divBdr>
        <w:top w:val="none" w:sz="0" w:space="0" w:color="auto"/>
        <w:left w:val="none" w:sz="0" w:space="0" w:color="auto"/>
        <w:bottom w:val="none" w:sz="0" w:space="0" w:color="auto"/>
        <w:right w:val="none" w:sz="0" w:space="0" w:color="auto"/>
      </w:divBdr>
    </w:div>
    <w:div w:id="26756559">
      <w:bodyDiv w:val="1"/>
      <w:marLeft w:val="0"/>
      <w:marRight w:val="0"/>
      <w:marTop w:val="0"/>
      <w:marBottom w:val="0"/>
      <w:divBdr>
        <w:top w:val="none" w:sz="0" w:space="0" w:color="auto"/>
        <w:left w:val="none" w:sz="0" w:space="0" w:color="auto"/>
        <w:bottom w:val="none" w:sz="0" w:space="0" w:color="auto"/>
        <w:right w:val="none" w:sz="0" w:space="0" w:color="auto"/>
      </w:divBdr>
    </w:div>
    <w:div w:id="27536364">
      <w:bodyDiv w:val="1"/>
      <w:marLeft w:val="0"/>
      <w:marRight w:val="0"/>
      <w:marTop w:val="0"/>
      <w:marBottom w:val="0"/>
      <w:divBdr>
        <w:top w:val="none" w:sz="0" w:space="0" w:color="auto"/>
        <w:left w:val="none" w:sz="0" w:space="0" w:color="auto"/>
        <w:bottom w:val="none" w:sz="0" w:space="0" w:color="auto"/>
        <w:right w:val="none" w:sz="0" w:space="0" w:color="auto"/>
      </w:divBdr>
    </w:div>
    <w:div w:id="29189591">
      <w:bodyDiv w:val="1"/>
      <w:marLeft w:val="0"/>
      <w:marRight w:val="0"/>
      <w:marTop w:val="0"/>
      <w:marBottom w:val="0"/>
      <w:divBdr>
        <w:top w:val="none" w:sz="0" w:space="0" w:color="auto"/>
        <w:left w:val="none" w:sz="0" w:space="0" w:color="auto"/>
        <w:bottom w:val="none" w:sz="0" w:space="0" w:color="auto"/>
        <w:right w:val="none" w:sz="0" w:space="0" w:color="auto"/>
      </w:divBdr>
    </w:div>
    <w:div w:id="30232723">
      <w:bodyDiv w:val="1"/>
      <w:marLeft w:val="0"/>
      <w:marRight w:val="0"/>
      <w:marTop w:val="0"/>
      <w:marBottom w:val="0"/>
      <w:divBdr>
        <w:top w:val="none" w:sz="0" w:space="0" w:color="auto"/>
        <w:left w:val="none" w:sz="0" w:space="0" w:color="auto"/>
        <w:bottom w:val="none" w:sz="0" w:space="0" w:color="auto"/>
        <w:right w:val="none" w:sz="0" w:space="0" w:color="auto"/>
      </w:divBdr>
    </w:div>
    <w:div w:id="31267975">
      <w:bodyDiv w:val="1"/>
      <w:marLeft w:val="0"/>
      <w:marRight w:val="0"/>
      <w:marTop w:val="0"/>
      <w:marBottom w:val="0"/>
      <w:divBdr>
        <w:top w:val="none" w:sz="0" w:space="0" w:color="auto"/>
        <w:left w:val="none" w:sz="0" w:space="0" w:color="auto"/>
        <w:bottom w:val="none" w:sz="0" w:space="0" w:color="auto"/>
        <w:right w:val="none" w:sz="0" w:space="0" w:color="auto"/>
      </w:divBdr>
    </w:div>
    <w:div w:id="35128045">
      <w:bodyDiv w:val="1"/>
      <w:marLeft w:val="0"/>
      <w:marRight w:val="0"/>
      <w:marTop w:val="0"/>
      <w:marBottom w:val="0"/>
      <w:divBdr>
        <w:top w:val="none" w:sz="0" w:space="0" w:color="auto"/>
        <w:left w:val="none" w:sz="0" w:space="0" w:color="auto"/>
        <w:bottom w:val="none" w:sz="0" w:space="0" w:color="auto"/>
        <w:right w:val="none" w:sz="0" w:space="0" w:color="auto"/>
      </w:divBdr>
    </w:div>
    <w:div w:id="36005807">
      <w:bodyDiv w:val="1"/>
      <w:marLeft w:val="0"/>
      <w:marRight w:val="0"/>
      <w:marTop w:val="0"/>
      <w:marBottom w:val="0"/>
      <w:divBdr>
        <w:top w:val="none" w:sz="0" w:space="0" w:color="auto"/>
        <w:left w:val="none" w:sz="0" w:space="0" w:color="auto"/>
        <w:bottom w:val="none" w:sz="0" w:space="0" w:color="auto"/>
        <w:right w:val="none" w:sz="0" w:space="0" w:color="auto"/>
      </w:divBdr>
    </w:div>
    <w:div w:id="38669196">
      <w:bodyDiv w:val="1"/>
      <w:marLeft w:val="0"/>
      <w:marRight w:val="0"/>
      <w:marTop w:val="0"/>
      <w:marBottom w:val="0"/>
      <w:divBdr>
        <w:top w:val="none" w:sz="0" w:space="0" w:color="auto"/>
        <w:left w:val="none" w:sz="0" w:space="0" w:color="auto"/>
        <w:bottom w:val="none" w:sz="0" w:space="0" w:color="auto"/>
        <w:right w:val="none" w:sz="0" w:space="0" w:color="auto"/>
      </w:divBdr>
    </w:div>
    <w:div w:id="40523377">
      <w:bodyDiv w:val="1"/>
      <w:marLeft w:val="0"/>
      <w:marRight w:val="0"/>
      <w:marTop w:val="0"/>
      <w:marBottom w:val="0"/>
      <w:divBdr>
        <w:top w:val="none" w:sz="0" w:space="0" w:color="auto"/>
        <w:left w:val="none" w:sz="0" w:space="0" w:color="auto"/>
        <w:bottom w:val="none" w:sz="0" w:space="0" w:color="auto"/>
        <w:right w:val="none" w:sz="0" w:space="0" w:color="auto"/>
      </w:divBdr>
    </w:div>
    <w:div w:id="43717806">
      <w:bodyDiv w:val="1"/>
      <w:marLeft w:val="0"/>
      <w:marRight w:val="0"/>
      <w:marTop w:val="0"/>
      <w:marBottom w:val="0"/>
      <w:divBdr>
        <w:top w:val="none" w:sz="0" w:space="0" w:color="auto"/>
        <w:left w:val="none" w:sz="0" w:space="0" w:color="auto"/>
        <w:bottom w:val="none" w:sz="0" w:space="0" w:color="auto"/>
        <w:right w:val="none" w:sz="0" w:space="0" w:color="auto"/>
      </w:divBdr>
    </w:div>
    <w:div w:id="47070173">
      <w:bodyDiv w:val="1"/>
      <w:marLeft w:val="0"/>
      <w:marRight w:val="0"/>
      <w:marTop w:val="0"/>
      <w:marBottom w:val="0"/>
      <w:divBdr>
        <w:top w:val="none" w:sz="0" w:space="0" w:color="auto"/>
        <w:left w:val="none" w:sz="0" w:space="0" w:color="auto"/>
        <w:bottom w:val="none" w:sz="0" w:space="0" w:color="auto"/>
        <w:right w:val="none" w:sz="0" w:space="0" w:color="auto"/>
      </w:divBdr>
    </w:div>
    <w:div w:id="47607754">
      <w:bodyDiv w:val="1"/>
      <w:marLeft w:val="0"/>
      <w:marRight w:val="0"/>
      <w:marTop w:val="0"/>
      <w:marBottom w:val="0"/>
      <w:divBdr>
        <w:top w:val="none" w:sz="0" w:space="0" w:color="auto"/>
        <w:left w:val="none" w:sz="0" w:space="0" w:color="auto"/>
        <w:bottom w:val="none" w:sz="0" w:space="0" w:color="auto"/>
        <w:right w:val="none" w:sz="0" w:space="0" w:color="auto"/>
      </w:divBdr>
    </w:div>
    <w:div w:id="47654207">
      <w:bodyDiv w:val="1"/>
      <w:marLeft w:val="0"/>
      <w:marRight w:val="0"/>
      <w:marTop w:val="0"/>
      <w:marBottom w:val="0"/>
      <w:divBdr>
        <w:top w:val="none" w:sz="0" w:space="0" w:color="auto"/>
        <w:left w:val="none" w:sz="0" w:space="0" w:color="auto"/>
        <w:bottom w:val="none" w:sz="0" w:space="0" w:color="auto"/>
        <w:right w:val="none" w:sz="0" w:space="0" w:color="auto"/>
      </w:divBdr>
    </w:div>
    <w:div w:id="49691153">
      <w:bodyDiv w:val="1"/>
      <w:marLeft w:val="0"/>
      <w:marRight w:val="0"/>
      <w:marTop w:val="0"/>
      <w:marBottom w:val="0"/>
      <w:divBdr>
        <w:top w:val="none" w:sz="0" w:space="0" w:color="auto"/>
        <w:left w:val="none" w:sz="0" w:space="0" w:color="auto"/>
        <w:bottom w:val="none" w:sz="0" w:space="0" w:color="auto"/>
        <w:right w:val="none" w:sz="0" w:space="0" w:color="auto"/>
      </w:divBdr>
    </w:div>
    <w:div w:id="51387152">
      <w:bodyDiv w:val="1"/>
      <w:marLeft w:val="0"/>
      <w:marRight w:val="0"/>
      <w:marTop w:val="0"/>
      <w:marBottom w:val="0"/>
      <w:divBdr>
        <w:top w:val="none" w:sz="0" w:space="0" w:color="auto"/>
        <w:left w:val="none" w:sz="0" w:space="0" w:color="auto"/>
        <w:bottom w:val="none" w:sz="0" w:space="0" w:color="auto"/>
        <w:right w:val="none" w:sz="0" w:space="0" w:color="auto"/>
      </w:divBdr>
    </w:div>
    <w:div w:id="52123249">
      <w:bodyDiv w:val="1"/>
      <w:marLeft w:val="0"/>
      <w:marRight w:val="0"/>
      <w:marTop w:val="0"/>
      <w:marBottom w:val="0"/>
      <w:divBdr>
        <w:top w:val="none" w:sz="0" w:space="0" w:color="auto"/>
        <w:left w:val="none" w:sz="0" w:space="0" w:color="auto"/>
        <w:bottom w:val="none" w:sz="0" w:space="0" w:color="auto"/>
        <w:right w:val="none" w:sz="0" w:space="0" w:color="auto"/>
      </w:divBdr>
    </w:div>
    <w:div w:id="52897989">
      <w:bodyDiv w:val="1"/>
      <w:marLeft w:val="0"/>
      <w:marRight w:val="0"/>
      <w:marTop w:val="0"/>
      <w:marBottom w:val="0"/>
      <w:divBdr>
        <w:top w:val="none" w:sz="0" w:space="0" w:color="auto"/>
        <w:left w:val="none" w:sz="0" w:space="0" w:color="auto"/>
        <w:bottom w:val="none" w:sz="0" w:space="0" w:color="auto"/>
        <w:right w:val="none" w:sz="0" w:space="0" w:color="auto"/>
      </w:divBdr>
    </w:div>
    <w:div w:id="54013880">
      <w:bodyDiv w:val="1"/>
      <w:marLeft w:val="0"/>
      <w:marRight w:val="0"/>
      <w:marTop w:val="0"/>
      <w:marBottom w:val="0"/>
      <w:divBdr>
        <w:top w:val="none" w:sz="0" w:space="0" w:color="auto"/>
        <w:left w:val="none" w:sz="0" w:space="0" w:color="auto"/>
        <w:bottom w:val="none" w:sz="0" w:space="0" w:color="auto"/>
        <w:right w:val="none" w:sz="0" w:space="0" w:color="auto"/>
      </w:divBdr>
    </w:div>
    <w:div w:id="55007612">
      <w:bodyDiv w:val="1"/>
      <w:marLeft w:val="0"/>
      <w:marRight w:val="0"/>
      <w:marTop w:val="0"/>
      <w:marBottom w:val="0"/>
      <w:divBdr>
        <w:top w:val="none" w:sz="0" w:space="0" w:color="auto"/>
        <w:left w:val="none" w:sz="0" w:space="0" w:color="auto"/>
        <w:bottom w:val="none" w:sz="0" w:space="0" w:color="auto"/>
        <w:right w:val="none" w:sz="0" w:space="0" w:color="auto"/>
      </w:divBdr>
    </w:div>
    <w:div w:id="66735978">
      <w:bodyDiv w:val="1"/>
      <w:marLeft w:val="0"/>
      <w:marRight w:val="0"/>
      <w:marTop w:val="0"/>
      <w:marBottom w:val="0"/>
      <w:divBdr>
        <w:top w:val="none" w:sz="0" w:space="0" w:color="auto"/>
        <w:left w:val="none" w:sz="0" w:space="0" w:color="auto"/>
        <w:bottom w:val="none" w:sz="0" w:space="0" w:color="auto"/>
        <w:right w:val="none" w:sz="0" w:space="0" w:color="auto"/>
      </w:divBdr>
    </w:div>
    <w:div w:id="67191241">
      <w:bodyDiv w:val="1"/>
      <w:marLeft w:val="0"/>
      <w:marRight w:val="0"/>
      <w:marTop w:val="0"/>
      <w:marBottom w:val="0"/>
      <w:divBdr>
        <w:top w:val="none" w:sz="0" w:space="0" w:color="auto"/>
        <w:left w:val="none" w:sz="0" w:space="0" w:color="auto"/>
        <w:bottom w:val="none" w:sz="0" w:space="0" w:color="auto"/>
        <w:right w:val="none" w:sz="0" w:space="0" w:color="auto"/>
      </w:divBdr>
    </w:div>
    <w:div w:id="68163387">
      <w:bodyDiv w:val="1"/>
      <w:marLeft w:val="0"/>
      <w:marRight w:val="0"/>
      <w:marTop w:val="0"/>
      <w:marBottom w:val="0"/>
      <w:divBdr>
        <w:top w:val="none" w:sz="0" w:space="0" w:color="auto"/>
        <w:left w:val="none" w:sz="0" w:space="0" w:color="auto"/>
        <w:bottom w:val="none" w:sz="0" w:space="0" w:color="auto"/>
        <w:right w:val="none" w:sz="0" w:space="0" w:color="auto"/>
      </w:divBdr>
    </w:div>
    <w:div w:id="74596905">
      <w:bodyDiv w:val="1"/>
      <w:marLeft w:val="0"/>
      <w:marRight w:val="0"/>
      <w:marTop w:val="0"/>
      <w:marBottom w:val="0"/>
      <w:divBdr>
        <w:top w:val="none" w:sz="0" w:space="0" w:color="auto"/>
        <w:left w:val="none" w:sz="0" w:space="0" w:color="auto"/>
        <w:bottom w:val="none" w:sz="0" w:space="0" w:color="auto"/>
        <w:right w:val="none" w:sz="0" w:space="0" w:color="auto"/>
      </w:divBdr>
    </w:div>
    <w:div w:id="79180306">
      <w:bodyDiv w:val="1"/>
      <w:marLeft w:val="0"/>
      <w:marRight w:val="0"/>
      <w:marTop w:val="0"/>
      <w:marBottom w:val="0"/>
      <w:divBdr>
        <w:top w:val="none" w:sz="0" w:space="0" w:color="auto"/>
        <w:left w:val="none" w:sz="0" w:space="0" w:color="auto"/>
        <w:bottom w:val="none" w:sz="0" w:space="0" w:color="auto"/>
        <w:right w:val="none" w:sz="0" w:space="0" w:color="auto"/>
      </w:divBdr>
    </w:div>
    <w:div w:id="82146681">
      <w:bodyDiv w:val="1"/>
      <w:marLeft w:val="0"/>
      <w:marRight w:val="0"/>
      <w:marTop w:val="0"/>
      <w:marBottom w:val="0"/>
      <w:divBdr>
        <w:top w:val="none" w:sz="0" w:space="0" w:color="auto"/>
        <w:left w:val="none" w:sz="0" w:space="0" w:color="auto"/>
        <w:bottom w:val="none" w:sz="0" w:space="0" w:color="auto"/>
        <w:right w:val="none" w:sz="0" w:space="0" w:color="auto"/>
      </w:divBdr>
    </w:div>
    <w:div w:id="82579559">
      <w:bodyDiv w:val="1"/>
      <w:marLeft w:val="0"/>
      <w:marRight w:val="0"/>
      <w:marTop w:val="0"/>
      <w:marBottom w:val="0"/>
      <w:divBdr>
        <w:top w:val="none" w:sz="0" w:space="0" w:color="auto"/>
        <w:left w:val="none" w:sz="0" w:space="0" w:color="auto"/>
        <w:bottom w:val="none" w:sz="0" w:space="0" w:color="auto"/>
        <w:right w:val="none" w:sz="0" w:space="0" w:color="auto"/>
      </w:divBdr>
    </w:div>
    <w:div w:id="82917931">
      <w:bodyDiv w:val="1"/>
      <w:marLeft w:val="0"/>
      <w:marRight w:val="0"/>
      <w:marTop w:val="0"/>
      <w:marBottom w:val="0"/>
      <w:divBdr>
        <w:top w:val="none" w:sz="0" w:space="0" w:color="auto"/>
        <w:left w:val="none" w:sz="0" w:space="0" w:color="auto"/>
        <w:bottom w:val="none" w:sz="0" w:space="0" w:color="auto"/>
        <w:right w:val="none" w:sz="0" w:space="0" w:color="auto"/>
      </w:divBdr>
    </w:div>
    <w:div w:id="93593714">
      <w:bodyDiv w:val="1"/>
      <w:marLeft w:val="0"/>
      <w:marRight w:val="0"/>
      <w:marTop w:val="0"/>
      <w:marBottom w:val="0"/>
      <w:divBdr>
        <w:top w:val="none" w:sz="0" w:space="0" w:color="auto"/>
        <w:left w:val="none" w:sz="0" w:space="0" w:color="auto"/>
        <w:bottom w:val="none" w:sz="0" w:space="0" w:color="auto"/>
        <w:right w:val="none" w:sz="0" w:space="0" w:color="auto"/>
      </w:divBdr>
    </w:div>
    <w:div w:id="94909983">
      <w:bodyDiv w:val="1"/>
      <w:marLeft w:val="0"/>
      <w:marRight w:val="0"/>
      <w:marTop w:val="0"/>
      <w:marBottom w:val="0"/>
      <w:divBdr>
        <w:top w:val="none" w:sz="0" w:space="0" w:color="auto"/>
        <w:left w:val="none" w:sz="0" w:space="0" w:color="auto"/>
        <w:bottom w:val="none" w:sz="0" w:space="0" w:color="auto"/>
        <w:right w:val="none" w:sz="0" w:space="0" w:color="auto"/>
      </w:divBdr>
    </w:div>
    <w:div w:id="95441492">
      <w:bodyDiv w:val="1"/>
      <w:marLeft w:val="0"/>
      <w:marRight w:val="0"/>
      <w:marTop w:val="0"/>
      <w:marBottom w:val="0"/>
      <w:divBdr>
        <w:top w:val="none" w:sz="0" w:space="0" w:color="auto"/>
        <w:left w:val="none" w:sz="0" w:space="0" w:color="auto"/>
        <w:bottom w:val="none" w:sz="0" w:space="0" w:color="auto"/>
        <w:right w:val="none" w:sz="0" w:space="0" w:color="auto"/>
      </w:divBdr>
    </w:div>
    <w:div w:id="96027996">
      <w:bodyDiv w:val="1"/>
      <w:marLeft w:val="0"/>
      <w:marRight w:val="0"/>
      <w:marTop w:val="0"/>
      <w:marBottom w:val="0"/>
      <w:divBdr>
        <w:top w:val="none" w:sz="0" w:space="0" w:color="auto"/>
        <w:left w:val="none" w:sz="0" w:space="0" w:color="auto"/>
        <w:bottom w:val="none" w:sz="0" w:space="0" w:color="auto"/>
        <w:right w:val="none" w:sz="0" w:space="0" w:color="auto"/>
      </w:divBdr>
    </w:div>
    <w:div w:id="96947332">
      <w:bodyDiv w:val="1"/>
      <w:marLeft w:val="0"/>
      <w:marRight w:val="0"/>
      <w:marTop w:val="0"/>
      <w:marBottom w:val="0"/>
      <w:divBdr>
        <w:top w:val="none" w:sz="0" w:space="0" w:color="auto"/>
        <w:left w:val="none" w:sz="0" w:space="0" w:color="auto"/>
        <w:bottom w:val="none" w:sz="0" w:space="0" w:color="auto"/>
        <w:right w:val="none" w:sz="0" w:space="0" w:color="auto"/>
      </w:divBdr>
    </w:div>
    <w:div w:id="99448384">
      <w:bodyDiv w:val="1"/>
      <w:marLeft w:val="0"/>
      <w:marRight w:val="0"/>
      <w:marTop w:val="0"/>
      <w:marBottom w:val="0"/>
      <w:divBdr>
        <w:top w:val="none" w:sz="0" w:space="0" w:color="auto"/>
        <w:left w:val="none" w:sz="0" w:space="0" w:color="auto"/>
        <w:bottom w:val="none" w:sz="0" w:space="0" w:color="auto"/>
        <w:right w:val="none" w:sz="0" w:space="0" w:color="auto"/>
      </w:divBdr>
    </w:div>
    <w:div w:id="100035328">
      <w:bodyDiv w:val="1"/>
      <w:marLeft w:val="0"/>
      <w:marRight w:val="0"/>
      <w:marTop w:val="0"/>
      <w:marBottom w:val="0"/>
      <w:divBdr>
        <w:top w:val="none" w:sz="0" w:space="0" w:color="auto"/>
        <w:left w:val="none" w:sz="0" w:space="0" w:color="auto"/>
        <w:bottom w:val="none" w:sz="0" w:space="0" w:color="auto"/>
        <w:right w:val="none" w:sz="0" w:space="0" w:color="auto"/>
      </w:divBdr>
    </w:div>
    <w:div w:id="101537225">
      <w:bodyDiv w:val="1"/>
      <w:marLeft w:val="0"/>
      <w:marRight w:val="0"/>
      <w:marTop w:val="0"/>
      <w:marBottom w:val="0"/>
      <w:divBdr>
        <w:top w:val="none" w:sz="0" w:space="0" w:color="auto"/>
        <w:left w:val="none" w:sz="0" w:space="0" w:color="auto"/>
        <w:bottom w:val="none" w:sz="0" w:space="0" w:color="auto"/>
        <w:right w:val="none" w:sz="0" w:space="0" w:color="auto"/>
      </w:divBdr>
    </w:div>
    <w:div w:id="103624147">
      <w:bodyDiv w:val="1"/>
      <w:marLeft w:val="0"/>
      <w:marRight w:val="0"/>
      <w:marTop w:val="0"/>
      <w:marBottom w:val="0"/>
      <w:divBdr>
        <w:top w:val="none" w:sz="0" w:space="0" w:color="auto"/>
        <w:left w:val="none" w:sz="0" w:space="0" w:color="auto"/>
        <w:bottom w:val="none" w:sz="0" w:space="0" w:color="auto"/>
        <w:right w:val="none" w:sz="0" w:space="0" w:color="auto"/>
      </w:divBdr>
    </w:div>
    <w:div w:id="104230143">
      <w:bodyDiv w:val="1"/>
      <w:marLeft w:val="0"/>
      <w:marRight w:val="0"/>
      <w:marTop w:val="0"/>
      <w:marBottom w:val="0"/>
      <w:divBdr>
        <w:top w:val="none" w:sz="0" w:space="0" w:color="auto"/>
        <w:left w:val="none" w:sz="0" w:space="0" w:color="auto"/>
        <w:bottom w:val="none" w:sz="0" w:space="0" w:color="auto"/>
        <w:right w:val="none" w:sz="0" w:space="0" w:color="auto"/>
      </w:divBdr>
    </w:div>
    <w:div w:id="105395891">
      <w:bodyDiv w:val="1"/>
      <w:marLeft w:val="0"/>
      <w:marRight w:val="0"/>
      <w:marTop w:val="0"/>
      <w:marBottom w:val="0"/>
      <w:divBdr>
        <w:top w:val="none" w:sz="0" w:space="0" w:color="auto"/>
        <w:left w:val="none" w:sz="0" w:space="0" w:color="auto"/>
        <w:bottom w:val="none" w:sz="0" w:space="0" w:color="auto"/>
        <w:right w:val="none" w:sz="0" w:space="0" w:color="auto"/>
      </w:divBdr>
    </w:div>
    <w:div w:id="106580725">
      <w:bodyDiv w:val="1"/>
      <w:marLeft w:val="0"/>
      <w:marRight w:val="0"/>
      <w:marTop w:val="0"/>
      <w:marBottom w:val="0"/>
      <w:divBdr>
        <w:top w:val="none" w:sz="0" w:space="0" w:color="auto"/>
        <w:left w:val="none" w:sz="0" w:space="0" w:color="auto"/>
        <w:bottom w:val="none" w:sz="0" w:space="0" w:color="auto"/>
        <w:right w:val="none" w:sz="0" w:space="0" w:color="auto"/>
      </w:divBdr>
    </w:div>
    <w:div w:id="108281956">
      <w:bodyDiv w:val="1"/>
      <w:marLeft w:val="0"/>
      <w:marRight w:val="0"/>
      <w:marTop w:val="0"/>
      <w:marBottom w:val="0"/>
      <w:divBdr>
        <w:top w:val="none" w:sz="0" w:space="0" w:color="auto"/>
        <w:left w:val="none" w:sz="0" w:space="0" w:color="auto"/>
        <w:bottom w:val="none" w:sz="0" w:space="0" w:color="auto"/>
        <w:right w:val="none" w:sz="0" w:space="0" w:color="auto"/>
      </w:divBdr>
    </w:div>
    <w:div w:id="110172222">
      <w:bodyDiv w:val="1"/>
      <w:marLeft w:val="0"/>
      <w:marRight w:val="0"/>
      <w:marTop w:val="0"/>
      <w:marBottom w:val="0"/>
      <w:divBdr>
        <w:top w:val="none" w:sz="0" w:space="0" w:color="auto"/>
        <w:left w:val="none" w:sz="0" w:space="0" w:color="auto"/>
        <w:bottom w:val="none" w:sz="0" w:space="0" w:color="auto"/>
        <w:right w:val="none" w:sz="0" w:space="0" w:color="auto"/>
      </w:divBdr>
    </w:div>
    <w:div w:id="111948446">
      <w:bodyDiv w:val="1"/>
      <w:marLeft w:val="0"/>
      <w:marRight w:val="0"/>
      <w:marTop w:val="0"/>
      <w:marBottom w:val="0"/>
      <w:divBdr>
        <w:top w:val="none" w:sz="0" w:space="0" w:color="auto"/>
        <w:left w:val="none" w:sz="0" w:space="0" w:color="auto"/>
        <w:bottom w:val="none" w:sz="0" w:space="0" w:color="auto"/>
        <w:right w:val="none" w:sz="0" w:space="0" w:color="auto"/>
      </w:divBdr>
    </w:div>
    <w:div w:id="116611850">
      <w:bodyDiv w:val="1"/>
      <w:marLeft w:val="0"/>
      <w:marRight w:val="0"/>
      <w:marTop w:val="0"/>
      <w:marBottom w:val="0"/>
      <w:divBdr>
        <w:top w:val="none" w:sz="0" w:space="0" w:color="auto"/>
        <w:left w:val="none" w:sz="0" w:space="0" w:color="auto"/>
        <w:bottom w:val="none" w:sz="0" w:space="0" w:color="auto"/>
        <w:right w:val="none" w:sz="0" w:space="0" w:color="auto"/>
      </w:divBdr>
    </w:div>
    <w:div w:id="119961644">
      <w:bodyDiv w:val="1"/>
      <w:marLeft w:val="0"/>
      <w:marRight w:val="0"/>
      <w:marTop w:val="0"/>
      <w:marBottom w:val="0"/>
      <w:divBdr>
        <w:top w:val="none" w:sz="0" w:space="0" w:color="auto"/>
        <w:left w:val="none" w:sz="0" w:space="0" w:color="auto"/>
        <w:bottom w:val="none" w:sz="0" w:space="0" w:color="auto"/>
        <w:right w:val="none" w:sz="0" w:space="0" w:color="auto"/>
      </w:divBdr>
    </w:div>
    <w:div w:id="129442747">
      <w:bodyDiv w:val="1"/>
      <w:marLeft w:val="0"/>
      <w:marRight w:val="0"/>
      <w:marTop w:val="0"/>
      <w:marBottom w:val="0"/>
      <w:divBdr>
        <w:top w:val="none" w:sz="0" w:space="0" w:color="auto"/>
        <w:left w:val="none" w:sz="0" w:space="0" w:color="auto"/>
        <w:bottom w:val="none" w:sz="0" w:space="0" w:color="auto"/>
        <w:right w:val="none" w:sz="0" w:space="0" w:color="auto"/>
      </w:divBdr>
    </w:div>
    <w:div w:id="135534186">
      <w:bodyDiv w:val="1"/>
      <w:marLeft w:val="0"/>
      <w:marRight w:val="0"/>
      <w:marTop w:val="0"/>
      <w:marBottom w:val="0"/>
      <w:divBdr>
        <w:top w:val="none" w:sz="0" w:space="0" w:color="auto"/>
        <w:left w:val="none" w:sz="0" w:space="0" w:color="auto"/>
        <w:bottom w:val="none" w:sz="0" w:space="0" w:color="auto"/>
        <w:right w:val="none" w:sz="0" w:space="0" w:color="auto"/>
      </w:divBdr>
    </w:div>
    <w:div w:id="136463227">
      <w:bodyDiv w:val="1"/>
      <w:marLeft w:val="0"/>
      <w:marRight w:val="0"/>
      <w:marTop w:val="0"/>
      <w:marBottom w:val="0"/>
      <w:divBdr>
        <w:top w:val="none" w:sz="0" w:space="0" w:color="auto"/>
        <w:left w:val="none" w:sz="0" w:space="0" w:color="auto"/>
        <w:bottom w:val="none" w:sz="0" w:space="0" w:color="auto"/>
        <w:right w:val="none" w:sz="0" w:space="0" w:color="auto"/>
      </w:divBdr>
    </w:div>
    <w:div w:id="136722633">
      <w:bodyDiv w:val="1"/>
      <w:marLeft w:val="0"/>
      <w:marRight w:val="0"/>
      <w:marTop w:val="0"/>
      <w:marBottom w:val="0"/>
      <w:divBdr>
        <w:top w:val="none" w:sz="0" w:space="0" w:color="auto"/>
        <w:left w:val="none" w:sz="0" w:space="0" w:color="auto"/>
        <w:bottom w:val="none" w:sz="0" w:space="0" w:color="auto"/>
        <w:right w:val="none" w:sz="0" w:space="0" w:color="auto"/>
      </w:divBdr>
    </w:div>
    <w:div w:id="139615754">
      <w:bodyDiv w:val="1"/>
      <w:marLeft w:val="0"/>
      <w:marRight w:val="0"/>
      <w:marTop w:val="0"/>
      <w:marBottom w:val="0"/>
      <w:divBdr>
        <w:top w:val="none" w:sz="0" w:space="0" w:color="auto"/>
        <w:left w:val="none" w:sz="0" w:space="0" w:color="auto"/>
        <w:bottom w:val="none" w:sz="0" w:space="0" w:color="auto"/>
        <w:right w:val="none" w:sz="0" w:space="0" w:color="auto"/>
      </w:divBdr>
    </w:div>
    <w:div w:id="140654929">
      <w:bodyDiv w:val="1"/>
      <w:marLeft w:val="0"/>
      <w:marRight w:val="0"/>
      <w:marTop w:val="0"/>
      <w:marBottom w:val="0"/>
      <w:divBdr>
        <w:top w:val="none" w:sz="0" w:space="0" w:color="auto"/>
        <w:left w:val="none" w:sz="0" w:space="0" w:color="auto"/>
        <w:bottom w:val="none" w:sz="0" w:space="0" w:color="auto"/>
        <w:right w:val="none" w:sz="0" w:space="0" w:color="auto"/>
      </w:divBdr>
    </w:div>
    <w:div w:id="142043001">
      <w:bodyDiv w:val="1"/>
      <w:marLeft w:val="0"/>
      <w:marRight w:val="0"/>
      <w:marTop w:val="0"/>
      <w:marBottom w:val="0"/>
      <w:divBdr>
        <w:top w:val="none" w:sz="0" w:space="0" w:color="auto"/>
        <w:left w:val="none" w:sz="0" w:space="0" w:color="auto"/>
        <w:bottom w:val="none" w:sz="0" w:space="0" w:color="auto"/>
        <w:right w:val="none" w:sz="0" w:space="0" w:color="auto"/>
      </w:divBdr>
    </w:div>
    <w:div w:id="142428681">
      <w:bodyDiv w:val="1"/>
      <w:marLeft w:val="0"/>
      <w:marRight w:val="0"/>
      <w:marTop w:val="0"/>
      <w:marBottom w:val="0"/>
      <w:divBdr>
        <w:top w:val="none" w:sz="0" w:space="0" w:color="auto"/>
        <w:left w:val="none" w:sz="0" w:space="0" w:color="auto"/>
        <w:bottom w:val="none" w:sz="0" w:space="0" w:color="auto"/>
        <w:right w:val="none" w:sz="0" w:space="0" w:color="auto"/>
      </w:divBdr>
    </w:div>
    <w:div w:id="143203905">
      <w:bodyDiv w:val="1"/>
      <w:marLeft w:val="0"/>
      <w:marRight w:val="0"/>
      <w:marTop w:val="0"/>
      <w:marBottom w:val="0"/>
      <w:divBdr>
        <w:top w:val="none" w:sz="0" w:space="0" w:color="auto"/>
        <w:left w:val="none" w:sz="0" w:space="0" w:color="auto"/>
        <w:bottom w:val="none" w:sz="0" w:space="0" w:color="auto"/>
        <w:right w:val="none" w:sz="0" w:space="0" w:color="auto"/>
      </w:divBdr>
    </w:div>
    <w:div w:id="144467639">
      <w:bodyDiv w:val="1"/>
      <w:marLeft w:val="0"/>
      <w:marRight w:val="0"/>
      <w:marTop w:val="0"/>
      <w:marBottom w:val="0"/>
      <w:divBdr>
        <w:top w:val="none" w:sz="0" w:space="0" w:color="auto"/>
        <w:left w:val="none" w:sz="0" w:space="0" w:color="auto"/>
        <w:bottom w:val="none" w:sz="0" w:space="0" w:color="auto"/>
        <w:right w:val="none" w:sz="0" w:space="0" w:color="auto"/>
      </w:divBdr>
    </w:div>
    <w:div w:id="147332092">
      <w:bodyDiv w:val="1"/>
      <w:marLeft w:val="0"/>
      <w:marRight w:val="0"/>
      <w:marTop w:val="0"/>
      <w:marBottom w:val="0"/>
      <w:divBdr>
        <w:top w:val="none" w:sz="0" w:space="0" w:color="auto"/>
        <w:left w:val="none" w:sz="0" w:space="0" w:color="auto"/>
        <w:bottom w:val="none" w:sz="0" w:space="0" w:color="auto"/>
        <w:right w:val="none" w:sz="0" w:space="0" w:color="auto"/>
      </w:divBdr>
    </w:div>
    <w:div w:id="148064532">
      <w:bodyDiv w:val="1"/>
      <w:marLeft w:val="0"/>
      <w:marRight w:val="0"/>
      <w:marTop w:val="0"/>
      <w:marBottom w:val="0"/>
      <w:divBdr>
        <w:top w:val="none" w:sz="0" w:space="0" w:color="auto"/>
        <w:left w:val="none" w:sz="0" w:space="0" w:color="auto"/>
        <w:bottom w:val="none" w:sz="0" w:space="0" w:color="auto"/>
        <w:right w:val="none" w:sz="0" w:space="0" w:color="auto"/>
      </w:divBdr>
    </w:div>
    <w:div w:id="149912574">
      <w:bodyDiv w:val="1"/>
      <w:marLeft w:val="0"/>
      <w:marRight w:val="0"/>
      <w:marTop w:val="0"/>
      <w:marBottom w:val="0"/>
      <w:divBdr>
        <w:top w:val="none" w:sz="0" w:space="0" w:color="auto"/>
        <w:left w:val="none" w:sz="0" w:space="0" w:color="auto"/>
        <w:bottom w:val="none" w:sz="0" w:space="0" w:color="auto"/>
        <w:right w:val="none" w:sz="0" w:space="0" w:color="auto"/>
      </w:divBdr>
    </w:div>
    <w:div w:id="151220251">
      <w:bodyDiv w:val="1"/>
      <w:marLeft w:val="0"/>
      <w:marRight w:val="0"/>
      <w:marTop w:val="0"/>
      <w:marBottom w:val="0"/>
      <w:divBdr>
        <w:top w:val="none" w:sz="0" w:space="0" w:color="auto"/>
        <w:left w:val="none" w:sz="0" w:space="0" w:color="auto"/>
        <w:bottom w:val="none" w:sz="0" w:space="0" w:color="auto"/>
        <w:right w:val="none" w:sz="0" w:space="0" w:color="auto"/>
      </w:divBdr>
    </w:div>
    <w:div w:id="151719294">
      <w:bodyDiv w:val="1"/>
      <w:marLeft w:val="0"/>
      <w:marRight w:val="0"/>
      <w:marTop w:val="0"/>
      <w:marBottom w:val="0"/>
      <w:divBdr>
        <w:top w:val="none" w:sz="0" w:space="0" w:color="auto"/>
        <w:left w:val="none" w:sz="0" w:space="0" w:color="auto"/>
        <w:bottom w:val="none" w:sz="0" w:space="0" w:color="auto"/>
        <w:right w:val="none" w:sz="0" w:space="0" w:color="auto"/>
      </w:divBdr>
    </w:div>
    <w:div w:id="155221538">
      <w:bodyDiv w:val="1"/>
      <w:marLeft w:val="0"/>
      <w:marRight w:val="0"/>
      <w:marTop w:val="0"/>
      <w:marBottom w:val="0"/>
      <w:divBdr>
        <w:top w:val="none" w:sz="0" w:space="0" w:color="auto"/>
        <w:left w:val="none" w:sz="0" w:space="0" w:color="auto"/>
        <w:bottom w:val="none" w:sz="0" w:space="0" w:color="auto"/>
        <w:right w:val="none" w:sz="0" w:space="0" w:color="auto"/>
      </w:divBdr>
    </w:div>
    <w:div w:id="155851374">
      <w:bodyDiv w:val="1"/>
      <w:marLeft w:val="0"/>
      <w:marRight w:val="0"/>
      <w:marTop w:val="0"/>
      <w:marBottom w:val="0"/>
      <w:divBdr>
        <w:top w:val="none" w:sz="0" w:space="0" w:color="auto"/>
        <w:left w:val="none" w:sz="0" w:space="0" w:color="auto"/>
        <w:bottom w:val="none" w:sz="0" w:space="0" w:color="auto"/>
        <w:right w:val="none" w:sz="0" w:space="0" w:color="auto"/>
      </w:divBdr>
    </w:div>
    <w:div w:id="157505567">
      <w:bodyDiv w:val="1"/>
      <w:marLeft w:val="0"/>
      <w:marRight w:val="0"/>
      <w:marTop w:val="0"/>
      <w:marBottom w:val="0"/>
      <w:divBdr>
        <w:top w:val="none" w:sz="0" w:space="0" w:color="auto"/>
        <w:left w:val="none" w:sz="0" w:space="0" w:color="auto"/>
        <w:bottom w:val="none" w:sz="0" w:space="0" w:color="auto"/>
        <w:right w:val="none" w:sz="0" w:space="0" w:color="auto"/>
      </w:divBdr>
    </w:div>
    <w:div w:id="157624882">
      <w:bodyDiv w:val="1"/>
      <w:marLeft w:val="0"/>
      <w:marRight w:val="0"/>
      <w:marTop w:val="0"/>
      <w:marBottom w:val="0"/>
      <w:divBdr>
        <w:top w:val="none" w:sz="0" w:space="0" w:color="auto"/>
        <w:left w:val="none" w:sz="0" w:space="0" w:color="auto"/>
        <w:bottom w:val="none" w:sz="0" w:space="0" w:color="auto"/>
        <w:right w:val="none" w:sz="0" w:space="0" w:color="auto"/>
      </w:divBdr>
    </w:div>
    <w:div w:id="158665536">
      <w:bodyDiv w:val="1"/>
      <w:marLeft w:val="0"/>
      <w:marRight w:val="0"/>
      <w:marTop w:val="0"/>
      <w:marBottom w:val="0"/>
      <w:divBdr>
        <w:top w:val="none" w:sz="0" w:space="0" w:color="auto"/>
        <w:left w:val="none" w:sz="0" w:space="0" w:color="auto"/>
        <w:bottom w:val="none" w:sz="0" w:space="0" w:color="auto"/>
        <w:right w:val="none" w:sz="0" w:space="0" w:color="auto"/>
      </w:divBdr>
    </w:div>
    <w:div w:id="160005766">
      <w:bodyDiv w:val="1"/>
      <w:marLeft w:val="0"/>
      <w:marRight w:val="0"/>
      <w:marTop w:val="0"/>
      <w:marBottom w:val="0"/>
      <w:divBdr>
        <w:top w:val="none" w:sz="0" w:space="0" w:color="auto"/>
        <w:left w:val="none" w:sz="0" w:space="0" w:color="auto"/>
        <w:bottom w:val="none" w:sz="0" w:space="0" w:color="auto"/>
        <w:right w:val="none" w:sz="0" w:space="0" w:color="auto"/>
      </w:divBdr>
    </w:div>
    <w:div w:id="161164193">
      <w:bodyDiv w:val="1"/>
      <w:marLeft w:val="0"/>
      <w:marRight w:val="0"/>
      <w:marTop w:val="0"/>
      <w:marBottom w:val="0"/>
      <w:divBdr>
        <w:top w:val="none" w:sz="0" w:space="0" w:color="auto"/>
        <w:left w:val="none" w:sz="0" w:space="0" w:color="auto"/>
        <w:bottom w:val="none" w:sz="0" w:space="0" w:color="auto"/>
        <w:right w:val="none" w:sz="0" w:space="0" w:color="auto"/>
      </w:divBdr>
    </w:div>
    <w:div w:id="161438683">
      <w:bodyDiv w:val="1"/>
      <w:marLeft w:val="0"/>
      <w:marRight w:val="0"/>
      <w:marTop w:val="0"/>
      <w:marBottom w:val="0"/>
      <w:divBdr>
        <w:top w:val="none" w:sz="0" w:space="0" w:color="auto"/>
        <w:left w:val="none" w:sz="0" w:space="0" w:color="auto"/>
        <w:bottom w:val="none" w:sz="0" w:space="0" w:color="auto"/>
        <w:right w:val="none" w:sz="0" w:space="0" w:color="auto"/>
      </w:divBdr>
    </w:div>
    <w:div w:id="161547260">
      <w:bodyDiv w:val="1"/>
      <w:marLeft w:val="0"/>
      <w:marRight w:val="0"/>
      <w:marTop w:val="0"/>
      <w:marBottom w:val="0"/>
      <w:divBdr>
        <w:top w:val="none" w:sz="0" w:space="0" w:color="auto"/>
        <w:left w:val="none" w:sz="0" w:space="0" w:color="auto"/>
        <w:bottom w:val="none" w:sz="0" w:space="0" w:color="auto"/>
        <w:right w:val="none" w:sz="0" w:space="0" w:color="auto"/>
      </w:divBdr>
    </w:div>
    <w:div w:id="164173233">
      <w:bodyDiv w:val="1"/>
      <w:marLeft w:val="0"/>
      <w:marRight w:val="0"/>
      <w:marTop w:val="0"/>
      <w:marBottom w:val="0"/>
      <w:divBdr>
        <w:top w:val="none" w:sz="0" w:space="0" w:color="auto"/>
        <w:left w:val="none" w:sz="0" w:space="0" w:color="auto"/>
        <w:bottom w:val="none" w:sz="0" w:space="0" w:color="auto"/>
        <w:right w:val="none" w:sz="0" w:space="0" w:color="auto"/>
      </w:divBdr>
    </w:div>
    <w:div w:id="170918937">
      <w:bodyDiv w:val="1"/>
      <w:marLeft w:val="0"/>
      <w:marRight w:val="0"/>
      <w:marTop w:val="0"/>
      <w:marBottom w:val="0"/>
      <w:divBdr>
        <w:top w:val="none" w:sz="0" w:space="0" w:color="auto"/>
        <w:left w:val="none" w:sz="0" w:space="0" w:color="auto"/>
        <w:bottom w:val="none" w:sz="0" w:space="0" w:color="auto"/>
        <w:right w:val="none" w:sz="0" w:space="0" w:color="auto"/>
      </w:divBdr>
    </w:div>
    <w:div w:id="174653447">
      <w:bodyDiv w:val="1"/>
      <w:marLeft w:val="0"/>
      <w:marRight w:val="0"/>
      <w:marTop w:val="0"/>
      <w:marBottom w:val="0"/>
      <w:divBdr>
        <w:top w:val="none" w:sz="0" w:space="0" w:color="auto"/>
        <w:left w:val="none" w:sz="0" w:space="0" w:color="auto"/>
        <w:bottom w:val="none" w:sz="0" w:space="0" w:color="auto"/>
        <w:right w:val="none" w:sz="0" w:space="0" w:color="auto"/>
      </w:divBdr>
    </w:div>
    <w:div w:id="176192768">
      <w:bodyDiv w:val="1"/>
      <w:marLeft w:val="0"/>
      <w:marRight w:val="0"/>
      <w:marTop w:val="0"/>
      <w:marBottom w:val="0"/>
      <w:divBdr>
        <w:top w:val="none" w:sz="0" w:space="0" w:color="auto"/>
        <w:left w:val="none" w:sz="0" w:space="0" w:color="auto"/>
        <w:bottom w:val="none" w:sz="0" w:space="0" w:color="auto"/>
        <w:right w:val="none" w:sz="0" w:space="0" w:color="auto"/>
      </w:divBdr>
    </w:div>
    <w:div w:id="179247634">
      <w:bodyDiv w:val="1"/>
      <w:marLeft w:val="0"/>
      <w:marRight w:val="0"/>
      <w:marTop w:val="0"/>
      <w:marBottom w:val="0"/>
      <w:divBdr>
        <w:top w:val="none" w:sz="0" w:space="0" w:color="auto"/>
        <w:left w:val="none" w:sz="0" w:space="0" w:color="auto"/>
        <w:bottom w:val="none" w:sz="0" w:space="0" w:color="auto"/>
        <w:right w:val="none" w:sz="0" w:space="0" w:color="auto"/>
      </w:divBdr>
    </w:div>
    <w:div w:id="181165837">
      <w:bodyDiv w:val="1"/>
      <w:marLeft w:val="0"/>
      <w:marRight w:val="0"/>
      <w:marTop w:val="0"/>
      <w:marBottom w:val="0"/>
      <w:divBdr>
        <w:top w:val="none" w:sz="0" w:space="0" w:color="auto"/>
        <w:left w:val="none" w:sz="0" w:space="0" w:color="auto"/>
        <w:bottom w:val="none" w:sz="0" w:space="0" w:color="auto"/>
        <w:right w:val="none" w:sz="0" w:space="0" w:color="auto"/>
      </w:divBdr>
    </w:div>
    <w:div w:id="183792996">
      <w:bodyDiv w:val="1"/>
      <w:marLeft w:val="0"/>
      <w:marRight w:val="0"/>
      <w:marTop w:val="0"/>
      <w:marBottom w:val="0"/>
      <w:divBdr>
        <w:top w:val="none" w:sz="0" w:space="0" w:color="auto"/>
        <w:left w:val="none" w:sz="0" w:space="0" w:color="auto"/>
        <w:bottom w:val="none" w:sz="0" w:space="0" w:color="auto"/>
        <w:right w:val="none" w:sz="0" w:space="0" w:color="auto"/>
      </w:divBdr>
    </w:div>
    <w:div w:id="184174958">
      <w:bodyDiv w:val="1"/>
      <w:marLeft w:val="0"/>
      <w:marRight w:val="0"/>
      <w:marTop w:val="0"/>
      <w:marBottom w:val="0"/>
      <w:divBdr>
        <w:top w:val="none" w:sz="0" w:space="0" w:color="auto"/>
        <w:left w:val="none" w:sz="0" w:space="0" w:color="auto"/>
        <w:bottom w:val="none" w:sz="0" w:space="0" w:color="auto"/>
        <w:right w:val="none" w:sz="0" w:space="0" w:color="auto"/>
      </w:divBdr>
    </w:div>
    <w:div w:id="184681361">
      <w:bodyDiv w:val="1"/>
      <w:marLeft w:val="0"/>
      <w:marRight w:val="0"/>
      <w:marTop w:val="0"/>
      <w:marBottom w:val="0"/>
      <w:divBdr>
        <w:top w:val="none" w:sz="0" w:space="0" w:color="auto"/>
        <w:left w:val="none" w:sz="0" w:space="0" w:color="auto"/>
        <w:bottom w:val="none" w:sz="0" w:space="0" w:color="auto"/>
        <w:right w:val="none" w:sz="0" w:space="0" w:color="auto"/>
      </w:divBdr>
    </w:div>
    <w:div w:id="185801770">
      <w:bodyDiv w:val="1"/>
      <w:marLeft w:val="0"/>
      <w:marRight w:val="0"/>
      <w:marTop w:val="0"/>
      <w:marBottom w:val="0"/>
      <w:divBdr>
        <w:top w:val="none" w:sz="0" w:space="0" w:color="auto"/>
        <w:left w:val="none" w:sz="0" w:space="0" w:color="auto"/>
        <w:bottom w:val="none" w:sz="0" w:space="0" w:color="auto"/>
        <w:right w:val="none" w:sz="0" w:space="0" w:color="auto"/>
      </w:divBdr>
    </w:div>
    <w:div w:id="187303742">
      <w:bodyDiv w:val="1"/>
      <w:marLeft w:val="0"/>
      <w:marRight w:val="0"/>
      <w:marTop w:val="0"/>
      <w:marBottom w:val="0"/>
      <w:divBdr>
        <w:top w:val="none" w:sz="0" w:space="0" w:color="auto"/>
        <w:left w:val="none" w:sz="0" w:space="0" w:color="auto"/>
        <w:bottom w:val="none" w:sz="0" w:space="0" w:color="auto"/>
        <w:right w:val="none" w:sz="0" w:space="0" w:color="auto"/>
      </w:divBdr>
    </w:div>
    <w:div w:id="190073322">
      <w:bodyDiv w:val="1"/>
      <w:marLeft w:val="0"/>
      <w:marRight w:val="0"/>
      <w:marTop w:val="0"/>
      <w:marBottom w:val="0"/>
      <w:divBdr>
        <w:top w:val="none" w:sz="0" w:space="0" w:color="auto"/>
        <w:left w:val="none" w:sz="0" w:space="0" w:color="auto"/>
        <w:bottom w:val="none" w:sz="0" w:space="0" w:color="auto"/>
        <w:right w:val="none" w:sz="0" w:space="0" w:color="auto"/>
      </w:divBdr>
    </w:div>
    <w:div w:id="191846027">
      <w:bodyDiv w:val="1"/>
      <w:marLeft w:val="0"/>
      <w:marRight w:val="0"/>
      <w:marTop w:val="0"/>
      <w:marBottom w:val="0"/>
      <w:divBdr>
        <w:top w:val="none" w:sz="0" w:space="0" w:color="auto"/>
        <w:left w:val="none" w:sz="0" w:space="0" w:color="auto"/>
        <w:bottom w:val="none" w:sz="0" w:space="0" w:color="auto"/>
        <w:right w:val="none" w:sz="0" w:space="0" w:color="auto"/>
      </w:divBdr>
    </w:div>
    <w:div w:id="193232465">
      <w:bodyDiv w:val="1"/>
      <w:marLeft w:val="0"/>
      <w:marRight w:val="0"/>
      <w:marTop w:val="0"/>
      <w:marBottom w:val="0"/>
      <w:divBdr>
        <w:top w:val="none" w:sz="0" w:space="0" w:color="auto"/>
        <w:left w:val="none" w:sz="0" w:space="0" w:color="auto"/>
        <w:bottom w:val="none" w:sz="0" w:space="0" w:color="auto"/>
        <w:right w:val="none" w:sz="0" w:space="0" w:color="auto"/>
      </w:divBdr>
    </w:div>
    <w:div w:id="199585801">
      <w:bodyDiv w:val="1"/>
      <w:marLeft w:val="0"/>
      <w:marRight w:val="0"/>
      <w:marTop w:val="0"/>
      <w:marBottom w:val="0"/>
      <w:divBdr>
        <w:top w:val="none" w:sz="0" w:space="0" w:color="auto"/>
        <w:left w:val="none" w:sz="0" w:space="0" w:color="auto"/>
        <w:bottom w:val="none" w:sz="0" w:space="0" w:color="auto"/>
        <w:right w:val="none" w:sz="0" w:space="0" w:color="auto"/>
      </w:divBdr>
    </w:div>
    <w:div w:id="201014979">
      <w:bodyDiv w:val="1"/>
      <w:marLeft w:val="0"/>
      <w:marRight w:val="0"/>
      <w:marTop w:val="0"/>
      <w:marBottom w:val="0"/>
      <w:divBdr>
        <w:top w:val="none" w:sz="0" w:space="0" w:color="auto"/>
        <w:left w:val="none" w:sz="0" w:space="0" w:color="auto"/>
        <w:bottom w:val="none" w:sz="0" w:space="0" w:color="auto"/>
        <w:right w:val="none" w:sz="0" w:space="0" w:color="auto"/>
      </w:divBdr>
    </w:div>
    <w:div w:id="201407146">
      <w:bodyDiv w:val="1"/>
      <w:marLeft w:val="0"/>
      <w:marRight w:val="0"/>
      <w:marTop w:val="0"/>
      <w:marBottom w:val="0"/>
      <w:divBdr>
        <w:top w:val="none" w:sz="0" w:space="0" w:color="auto"/>
        <w:left w:val="none" w:sz="0" w:space="0" w:color="auto"/>
        <w:bottom w:val="none" w:sz="0" w:space="0" w:color="auto"/>
        <w:right w:val="none" w:sz="0" w:space="0" w:color="auto"/>
      </w:divBdr>
    </w:div>
    <w:div w:id="202596249">
      <w:bodyDiv w:val="1"/>
      <w:marLeft w:val="0"/>
      <w:marRight w:val="0"/>
      <w:marTop w:val="0"/>
      <w:marBottom w:val="0"/>
      <w:divBdr>
        <w:top w:val="none" w:sz="0" w:space="0" w:color="auto"/>
        <w:left w:val="none" w:sz="0" w:space="0" w:color="auto"/>
        <w:bottom w:val="none" w:sz="0" w:space="0" w:color="auto"/>
        <w:right w:val="none" w:sz="0" w:space="0" w:color="auto"/>
      </w:divBdr>
    </w:div>
    <w:div w:id="202793643">
      <w:bodyDiv w:val="1"/>
      <w:marLeft w:val="0"/>
      <w:marRight w:val="0"/>
      <w:marTop w:val="0"/>
      <w:marBottom w:val="0"/>
      <w:divBdr>
        <w:top w:val="none" w:sz="0" w:space="0" w:color="auto"/>
        <w:left w:val="none" w:sz="0" w:space="0" w:color="auto"/>
        <w:bottom w:val="none" w:sz="0" w:space="0" w:color="auto"/>
        <w:right w:val="none" w:sz="0" w:space="0" w:color="auto"/>
      </w:divBdr>
    </w:div>
    <w:div w:id="203636984">
      <w:bodyDiv w:val="1"/>
      <w:marLeft w:val="0"/>
      <w:marRight w:val="0"/>
      <w:marTop w:val="0"/>
      <w:marBottom w:val="0"/>
      <w:divBdr>
        <w:top w:val="none" w:sz="0" w:space="0" w:color="auto"/>
        <w:left w:val="none" w:sz="0" w:space="0" w:color="auto"/>
        <w:bottom w:val="none" w:sz="0" w:space="0" w:color="auto"/>
        <w:right w:val="none" w:sz="0" w:space="0" w:color="auto"/>
      </w:divBdr>
    </w:div>
    <w:div w:id="204172534">
      <w:bodyDiv w:val="1"/>
      <w:marLeft w:val="0"/>
      <w:marRight w:val="0"/>
      <w:marTop w:val="0"/>
      <w:marBottom w:val="0"/>
      <w:divBdr>
        <w:top w:val="none" w:sz="0" w:space="0" w:color="auto"/>
        <w:left w:val="none" w:sz="0" w:space="0" w:color="auto"/>
        <w:bottom w:val="none" w:sz="0" w:space="0" w:color="auto"/>
        <w:right w:val="none" w:sz="0" w:space="0" w:color="auto"/>
      </w:divBdr>
    </w:div>
    <w:div w:id="206530450">
      <w:bodyDiv w:val="1"/>
      <w:marLeft w:val="0"/>
      <w:marRight w:val="0"/>
      <w:marTop w:val="0"/>
      <w:marBottom w:val="0"/>
      <w:divBdr>
        <w:top w:val="none" w:sz="0" w:space="0" w:color="auto"/>
        <w:left w:val="none" w:sz="0" w:space="0" w:color="auto"/>
        <w:bottom w:val="none" w:sz="0" w:space="0" w:color="auto"/>
        <w:right w:val="none" w:sz="0" w:space="0" w:color="auto"/>
      </w:divBdr>
    </w:div>
    <w:div w:id="207300231">
      <w:bodyDiv w:val="1"/>
      <w:marLeft w:val="0"/>
      <w:marRight w:val="0"/>
      <w:marTop w:val="0"/>
      <w:marBottom w:val="0"/>
      <w:divBdr>
        <w:top w:val="none" w:sz="0" w:space="0" w:color="auto"/>
        <w:left w:val="none" w:sz="0" w:space="0" w:color="auto"/>
        <w:bottom w:val="none" w:sz="0" w:space="0" w:color="auto"/>
        <w:right w:val="none" w:sz="0" w:space="0" w:color="auto"/>
      </w:divBdr>
    </w:div>
    <w:div w:id="209070776">
      <w:bodyDiv w:val="1"/>
      <w:marLeft w:val="0"/>
      <w:marRight w:val="0"/>
      <w:marTop w:val="0"/>
      <w:marBottom w:val="0"/>
      <w:divBdr>
        <w:top w:val="none" w:sz="0" w:space="0" w:color="auto"/>
        <w:left w:val="none" w:sz="0" w:space="0" w:color="auto"/>
        <w:bottom w:val="none" w:sz="0" w:space="0" w:color="auto"/>
        <w:right w:val="none" w:sz="0" w:space="0" w:color="auto"/>
      </w:divBdr>
    </w:div>
    <w:div w:id="210000359">
      <w:bodyDiv w:val="1"/>
      <w:marLeft w:val="0"/>
      <w:marRight w:val="0"/>
      <w:marTop w:val="0"/>
      <w:marBottom w:val="0"/>
      <w:divBdr>
        <w:top w:val="none" w:sz="0" w:space="0" w:color="auto"/>
        <w:left w:val="none" w:sz="0" w:space="0" w:color="auto"/>
        <w:bottom w:val="none" w:sz="0" w:space="0" w:color="auto"/>
        <w:right w:val="none" w:sz="0" w:space="0" w:color="auto"/>
      </w:divBdr>
    </w:div>
    <w:div w:id="211893146">
      <w:bodyDiv w:val="1"/>
      <w:marLeft w:val="0"/>
      <w:marRight w:val="0"/>
      <w:marTop w:val="0"/>
      <w:marBottom w:val="0"/>
      <w:divBdr>
        <w:top w:val="none" w:sz="0" w:space="0" w:color="auto"/>
        <w:left w:val="none" w:sz="0" w:space="0" w:color="auto"/>
        <w:bottom w:val="none" w:sz="0" w:space="0" w:color="auto"/>
        <w:right w:val="none" w:sz="0" w:space="0" w:color="auto"/>
      </w:divBdr>
    </w:div>
    <w:div w:id="214049038">
      <w:bodyDiv w:val="1"/>
      <w:marLeft w:val="0"/>
      <w:marRight w:val="0"/>
      <w:marTop w:val="0"/>
      <w:marBottom w:val="0"/>
      <w:divBdr>
        <w:top w:val="none" w:sz="0" w:space="0" w:color="auto"/>
        <w:left w:val="none" w:sz="0" w:space="0" w:color="auto"/>
        <w:bottom w:val="none" w:sz="0" w:space="0" w:color="auto"/>
        <w:right w:val="none" w:sz="0" w:space="0" w:color="auto"/>
      </w:divBdr>
    </w:div>
    <w:div w:id="214201773">
      <w:bodyDiv w:val="1"/>
      <w:marLeft w:val="0"/>
      <w:marRight w:val="0"/>
      <w:marTop w:val="0"/>
      <w:marBottom w:val="0"/>
      <w:divBdr>
        <w:top w:val="none" w:sz="0" w:space="0" w:color="auto"/>
        <w:left w:val="none" w:sz="0" w:space="0" w:color="auto"/>
        <w:bottom w:val="none" w:sz="0" w:space="0" w:color="auto"/>
        <w:right w:val="none" w:sz="0" w:space="0" w:color="auto"/>
      </w:divBdr>
    </w:div>
    <w:div w:id="215046130">
      <w:bodyDiv w:val="1"/>
      <w:marLeft w:val="0"/>
      <w:marRight w:val="0"/>
      <w:marTop w:val="0"/>
      <w:marBottom w:val="0"/>
      <w:divBdr>
        <w:top w:val="none" w:sz="0" w:space="0" w:color="auto"/>
        <w:left w:val="none" w:sz="0" w:space="0" w:color="auto"/>
        <w:bottom w:val="none" w:sz="0" w:space="0" w:color="auto"/>
        <w:right w:val="none" w:sz="0" w:space="0" w:color="auto"/>
      </w:divBdr>
    </w:div>
    <w:div w:id="219442486">
      <w:bodyDiv w:val="1"/>
      <w:marLeft w:val="0"/>
      <w:marRight w:val="0"/>
      <w:marTop w:val="0"/>
      <w:marBottom w:val="0"/>
      <w:divBdr>
        <w:top w:val="none" w:sz="0" w:space="0" w:color="auto"/>
        <w:left w:val="none" w:sz="0" w:space="0" w:color="auto"/>
        <w:bottom w:val="none" w:sz="0" w:space="0" w:color="auto"/>
        <w:right w:val="none" w:sz="0" w:space="0" w:color="auto"/>
      </w:divBdr>
    </w:div>
    <w:div w:id="221134245">
      <w:bodyDiv w:val="1"/>
      <w:marLeft w:val="0"/>
      <w:marRight w:val="0"/>
      <w:marTop w:val="0"/>
      <w:marBottom w:val="0"/>
      <w:divBdr>
        <w:top w:val="none" w:sz="0" w:space="0" w:color="auto"/>
        <w:left w:val="none" w:sz="0" w:space="0" w:color="auto"/>
        <w:bottom w:val="none" w:sz="0" w:space="0" w:color="auto"/>
        <w:right w:val="none" w:sz="0" w:space="0" w:color="auto"/>
      </w:divBdr>
    </w:div>
    <w:div w:id="222102223">
      <w:bodyDiv w:val="1"/>
      <w:marLeft w:val="0"/>
      <w:marRight w:val="0"/>
      <w:marTop w:val="0"/>
      <w:marBottom w:val="0"/>
      <w:divBdr>
        <w:top w:val="none" w:sz="0" w:space="0" w:color="auto"/>
        <w:left w:val="none" w:sz="0" w:space="0" w:color="auto"/>
        <w:bottom w:val="none" w:sz="0" w:space="0" w:color="auto"/>
        <w:right w:val="none" w:sz="0" w:space="0" w:color="auto"/>
      </w:divBdr>
    </w:div>
    <w:div w:id="223370931">
      <w:bodyDiv w:val="1"/>
      <w:marLeft w:val="0"/>
      <w:marRight w:val="0"/>
      <w:marTop w:val="0"/>
      <w:marBottom w:val="0"/>
      <w:divBdr>
        <w:top w:val="none" w:sz="0" w:space="0" w:color="auto"/>
        <w:left w:val="none" w:sz="0" w:space="0" w:color="auto"/>
        <w:bottom w:val="none" w:sz="0" w:space="0" w:color="auto"/>
        <w:right w:val="none" w:sz="0" w:space="0" w:color="auto"/>
      </w:divBdr>
    </w:div>
    <w:div w:id="224341824">
      <w:bodyDiv w:val="1"/>
      <w:marLeft w:val="0"/>
      <w:marRight w:val="0"/>
      <w:marTop w:val="0"/>
      <w:marBottom w:val="0"/>
      <w:divBdr>
        <w:top w:val="none" w:sz="0" w:space="0" w:color="auto"/>
        <w:left w:val="none" w:sz="0" w:space="0" w:color="auto"/>
        <w:bottom w:val="none" w:sz="0" w:space="0" w:color="auto"/>
        <w:right w:val="none" w:sz="0" w:space="0" w:color="auto"/>
      </w:divBdr>
    </w:div>
    <w:div w:id="225146042">
      <w:bodyDiv w:val="1"/>
      <w:marLeft w:val="0"/>
      <w:marRight w:val="0"/>
      <w:marTop w:val="0"/>
      <w:marBottom w:val="0"/>
      <w:divBdr>
        <w:top w:val="none" w:sz="0" w:space="0" w:color="auto"/>
        <w:left w:val="none" w:sz="0" w:space="0" w:color="auto"/>
        <w:bottom w:val="none" w:sz="0" w:space="0" w:color="auto"/>
        <w:right w:val="none" w:sz="0" w:space="0" w:color="auto"/>
      </w:divBdr>
    </w:div>
    <w:div w:id="225771555">
      <w:bodyDiv w:val="1"/>
      <w:marLeft w:val="0"/>
      <w:marRight w:val="0"/>
      <w:marTop w:val="0"/>
      <w:marBottom w:val="0"/>
      <w:divBdr>
        <w:top w:val="none" w:sz="0" w:space="0" w:color="auto"/>
        <w:left w:val="none" w:sz="0" w:space="0" w:color="auto"/>
        <w:bottom w:val="none" w:sz="0" w:space="0" w:color="auto"/>
        <w:right w:val="none" w:sz="0" w:space="0" w:color="auto"/>
      </w:divBdr>
    </w:div>
    <w:div w:id="229923236">
      <w:bodyDiv w:val="1"/>
      <w:marLeft w:val="0"/>
      <w:marRight w:val="0"/>
      <w:marTop w:val="0"/>
      <w:marBottom w:val="0"/>
      <w:divBdr>
        <w:top w:val="none" w:sz="0" w:space="0" w:color="auto"/>
        <w:left w:val="none" w:sz="0" w:space="0" w:color="auto"/>
        <w:bottom w:val="none" w:sz="0" w:space="0" w:color="auto"/>
        <w:right w:val="none" w:sz="0" w:space="0" w:color="auto"/>
      </w:divBdr>
    </w:div>
    <w:div w:id="232668091">
      <w:bodyDiv w:val="1"/>
      <w:marLeft w:val="0"/>
      <w:marRight w:val="0"/>
      <w:marTop w:val="0"/>
      <w:marBottom w:val="0"/>
      <w:divBdr>
        <w:top w:val="none" w:sz="0" w:space="0" w:color="auto"/>
        <w:left w:val="none" w:sz="0" w:space="0" w:color="auto"/>
        <w:bottom w:val="none" w:sz="0" w:space="0" w:color="auto"/>
        <w:right w:val="none" w:sz="0" w:space="0" w:color="auto"/>
      </w:divBdr>
    </w:div>
    <w:div w:id="232934625">
      <w:bodyDiv w:val="1"/>
      <w:marLeft w:val="0"/>
      <w:marRight w:val="0"/>
      <w:marTop w:val="0"/>
      <w:marBottom w:val="0"/>
      <w:divBdr>
        <w:top w:val="none" w:sz="0" w:space="0" w:color="auto"/>
        <w:left w:val="none" w:sz="0" w:space="0" w:color="auto"/>
        <w:bottom w:val="none" w:sz="0" w:space="0" w:color="auto"/>
        <w:right w:val="none" w:sz="0" w:space="0" w:color="auto"/>
      </w:divBdr>
    </w:div>
    <w:div w:id="236088571">
      <w:bodyDiv w:val="1"/>
      <w:marLeft w:val="0"/>
      <w:marRight w:val="0"/>
      <w:marTop w:val="0"/>
      <w:marBottom w:val="0"/>
      <w:divBdr>
        <w:top w:val="none" w:sz="0" w:space="0" w:color="auto"/>
        <w:left w:val="none" w:sz="0" w:space="0" w:color="auto"/>
        <w:bottom w:val="none" w:sz="0" w:space="0" w:color="auto"/>
        <w:right w:val="none" w:sz="0" w:space="0" w:color="auto"/>
      </w:divBdr>
    </w:div>
    <w:div w:id="238448625">
      <w:bodyDiv w:val="1"/>
      <w:marLeft w:val="0"/>
      <w:marRight w:val="0"/>
      <w:marTop w:val="0"/>
      <w:marBottom w:val="0"/>
      <w:divBdr>
        <w:top w:val="none" w:sz="0" w:space="0" w:color="auto"/>
        <w:left w:val="none" w:sz="0" w:space="0" w:color="auto"/>
        <w:bottom w:val="none" w:sz="0" w:space="0" w:color="auto"/>
        <w:right w:val="none" w:sz="0" w:space="0" w:color="auto"/>
      </w:divBdr>
    </w:div>
    <w:div w:id="238751236">
      <w:bodyDiv w:val="1"/>
      <w:marLeft w:val="0"/>
      <w:marRight w:val="0"/>
      <w:marTop w:val="0"/>
      <w:marBottom w:val="0"/>
      <w:divBdr>
        <w:top w:val="none" w:sz="0" w:space="0" w:color="auto"/>
        <w:left w:val="none" w:sz="0" w:space="0" w:color="auto"/>
        <w:bottom w:val="none" w:sz="0" w:space="0" w:color="auto"/>
        <w:right w:val="none" w:sz="0" w:space="0" w:color="auto"/>
      </w:divBdr>
    </w:div>
    <w:div w:id="238835044">
      <w:bodyDiv w:val="1"/>
      <w:marLeft w:val="0"/>
      <w:marRight w:val="0"/>
      <w:marTop w:val="0"/>
      <w:marBottom w:val="0"/>
      <w:divBdr>
        <w:top w:val="none" w:sz="0" w:space="0" w:color="auto"/>
        <w:left w:val="none" w:sz="0" w:space="0" w:color="auto"/>
        <w:bottom w:val="none" w:sz="0" w:space="0" w:color="auto"/>
        <w:right w:val="none" w:sz="0" w:space="0" w:color="auto"/>
      </w:divBdr>
    </w:div>
    <w:div w:id="240216906">
      <w:bodyDiv w:val="1"/>
      <w:marLeft w:val="0"/>
      <w:marRight w:val="0"/>
      <w:marTop w:val="0"/>
      <w:marBottom w:val="0"/>
      <w:divBdr>
        <w:top w:val="none" w:sz="0" w:space="0" w:color="auto"/>
        <w:left w:val="none" w:sz="0" w:space="0" w:color="auto"/>
        <w:bottom w:val="none" w:sz="0" w:space="0" w:color="auto"/>
        <w:right w:val="none" w:sz="0" w:space="0" w:color="auto"/>
      </w:divBdr>
    </w:div>
    <w:div w:id="243032121">
      <w:bodyDiv w:val="1"/>
      <w:marLeft w:val="0"/>
      <w:marRight w:val="0"/>
      <w:marTop w:val="0"/>
      <w:marBottom w:val="0"/>
      <w:divBdr>
        <w:top w:val="none" w:sz="0" w:space="0" w:color="auto"/>
        <w:left w:val="none" w:sz="0" w:space="0" w:color="auto"/>
        <w:bottom w:val="none" w:sz="0" w:space="0" w:color="auto"/>
        <w:right w:val="none" w:sz="0" w:space="0" w:color="auto"/>
      </w:divBdr>
    </w:div>
    <w:div w:id="244726023">
      <w:bodyDiv w:val="1"/>
      <w:marLeft w:val="0"/>
      <w:marRight w:val="0"/>
      <w:marTop w:val="0"/>
      <w:marBottom w:val="0"/>
      <w:divBdr>
        <w:top w:val="none" w:sz="0" w:space="0" w:color="auto"/>
        <w:left w:val="none" w:sz="0" w:space="0" w:color="auto"/>
        <w:bottom w:val="none" w:sz="0" w:space="0" w:color="auto"/>
        <w:right w:val="none" w:sz="0" w:space="0" w:color="auto"/>
      </w:divBdr>
    </w:div>
    <w:div w:id="245115229">
      <w:bodyDiv w:val="1"/>
      <w:marLeft w:val="0"/>
      <w:marRight w:val="0"/>
      <w:marTop w:val="0"/>
      <w:marBottom w:val="0"/>
      <w:divBdr>
        <w:top w:val="none" w:sz="0" w:space="0" w:color="auto"/>
        <w:left w:val="none" w:sz="0" w:space="0" w:color="auto"/>
        <w:bottom w:val="none" w:sz="0" w:space="0" w:color="auto"/>
        <w:right w:val="none" w:sz="0" w:space="0" w:color="auto"/>
      </w:divBdr>
    </w:div>
    <w:div w:id="246038823">
      <w:bodyDiv w:val="1"/>
      <w:marLeft w:val="0"/>
      <w:marRight w:val="0"/>
      <w:marTop w:val="0"/>
      <w:marBottom w:val="0"/>
      <w:divBdr>
        <w:top w:val="none" w:sz="0" w:space="0" w:color="auto"/>
        <w:left w:val="none" w:sz="0" w:space="0" w:color="auto"/>
        <w:bottom w:val="none" w:sz="0" w:space="0" w:color="auto"/>
        <w:right w:val="none" w:sz="0" w:space="0" w:color="auto"/>
      </w:divBdr>
    </w:div>
    <w:div w:id="246496942">
      <w:bodyDiv w:val="1"/>
      <w:marLeft w:val="0"/>
      <w:marRight w:val="0"/>
      <w:marTop w:val="0"/>
      <w:marBottom w:val="0"/>
      <w:divBdr>
        <w:top w:val="none" w:sz="0" w:space="0" w:color="auto"/>
        <w:left w:val="none" w:sz="0" w:space="0" w:color="auto"/>
        <w:bottom w:val="none" w:sz="0" w:space="0" w:color="auto"/>
        <w:right w:val="none" w:sz="0" w:space="0" w:color="auto"/>
      </w:divBdr>
    </w:div>
    <w:div w:id="248392385">
      <w:bodyDiv w:val="1"/>
      <w:marLeft w:val="0"/>
      <w:marRight w:val="0"/>
      <w:marTop w:val="0"/>
      <w:marBottom w:val="0"/>
      <w:divBdr>
        <w:top w:val="none" w:sz="0" w:space="0" w:color="auto"/>
        <w:left w:val="none" w:sz="0" w:space="0" w:color="auto"/>
        <w:bottom w:val="none" w:sz="0" w:space="0" w:color="auto"/>
        <w:right w:val="none" w:sz="0" w:space="0" w:color="auto"/>
      </w:divBdr>
    </w:div>
    <w:div w:id="250623723">
      <w:bodyDiv w:val="1"/>
      <w:marLeft w:val="0"/>
      <w:marRight w:val="0"/>
      <w:marTop w:val="0"/>
      <w:marBottom w:val="0"/>
      <w:divBdr>
        <w:top w:val="none" w:sz="0" w:space="0" w:color="auto"/>
        <w:left w:val="none" w:sz="0" w:space="0" w:color="auto"/>
        <w:bottom w:val="none" w:sz="0" w:space="0" w:color="auto"/>
        <w:right w:val="none" w:sz="0" w:space="0" w:color="auto"/>
      </w:divBdr>
    </w:div>
    <w:div w:id="250890711">
      <w:bodyDiv w:val="1"/>
      <w:marLeft w:val="0"/>
      <w:marRight w:val="0"/>
      <w:marTop w:val="0"/>
      <w:marBottom w:val="0"/>
      <w:divBdr>
        <w:top w:val="none" w:sz="0" w:space="0" w:color="auto"/>
        <w:left w:val="none" w:sz="0" w:space="0" w:color="auto"/>
        <w:bottom w:val="none" w:sz="0" w:space="0" w:color="auto"/>
        <w:right w:val="none" w:sz="0" w:space="0" w:color="auto"/>
      </w:divBdr>
    </w:div>
    <w:div w:id="254561472">
      <w:bodyDiv w:val="1"/>
      <w:marLeft w:val="0"/>
      <w:marRight w:val="0"/>
      <w:marTop w:val="0"/>
      <w:marBottom w:val="0"/>
      <w:divBdr>
        <w:top w:val="none" w:sz="0" w:space="0" w:color="auto"/>
        <w:left w:val="none" w:sz="0" w:space="0" w:color="auto"/>
        <w:bottom w:val="none" w:sz="0" w:space="0" w:color="auto"/>
        <w:right w:val="none" w:sz="0" w:space="0" w:color="auto"/>
      </w:divBdr>
    </w:div>
    <w:div w:id="255485139">
      <w:bodyDiv w:val="1"/>
      <w:marLeft w:val="0"/>
      <w:marRight w:val="0"/>
      <w:marTop w:val="0"/>
      <w:marBottom w:val="0"/>
      <w:divBdr>
        <w:top w:val="none" w:sz="0" w:space="0" w:color="auto"/>
        <w:left w:val="none" w:sz="0" w:space="0" w:color="auto"/>
        <w:bottom w:val="none" w:sz="0" w:space="0" w:color="auto"/>
        <w:right w:val="none" w:sz="0" w:space="0" w:color="auto"/>
      </w:divBdr>
    </w:div>
    <w:div w:id="256251561">
      <w:bodyDiv w:val="1"/>
      <w:marLeft w:val="0"/>
      <w:marRight w:val="0"/>
      <w:marTop w:val="0"/>
      <w:marBottom w:val="0"/>
      <w:divBdr>
        <w:top w:val="none" w:sz="0" w:space="0" w:color="auto"/>
        <w:left w:val="none" w:sz="0" w:space="0" w:color="auto"/>
        <w:bottom w:val="none" w:sz="0" w:space="0" w:color="auto"/>
        <w:right w:val="none" w:sz="0" w:space="0" w:color="auto"/>
      </w:divBdr>
    </w:div>
    <w:div w:id="262540553">
      <w:bodyDiv w:val="1"/>
      <w:marLeft w:val="0"/>
      <w:marRight w:val="0"/>
      <w:marTop w:val="0"/>
      <w:marBottom w:val="0"/>
      <w:divBdr>
        <w:top w:val="none" w:sz="0" w:space="0" w:color="auto"/>
        <w:left w:val="none" w:sz="0" w:space="0" w:color="auto"/>
        <w:bottom w:val="none" w:sz="0" w:space="0" w:color="auto"/>
        <w:right w:val="none" w:sz="0" w:space="0" w:color="auto"/>
      </w:divBdr>
    </w:div>
    <w:div w:id="263146791">
      <w:bodyDiv w:val="1"/>
      <w:marLeft w:val="0"/>
      <w:marRight w:val="0"/>
      <w:marTop w:val="0"/>
      <w:marBottom w:val="0"/>
      <w:divBdr>
        <w:top w:val="none" w:sz="0" w:space="0" w:color="auto"/>
        <w:left w:val="none" w:sz="0" w:space="0" w:color="auto"/>
        <w:bottom w:val="none" w:sz="0" w:space="0" w:color="auto"/>
        <w:right w:val="none" w:sz="0" w:space="0" w:color="auto"/>
      </w:divBdr>
    </w:div>
    <w:div w:id="264311628">
      <w:bodyDiv w:val="1"/>
      <w:marLeft w:val="0"/>
      <w:marRight w:val="0"/>
      <w:marTop w:val="0"/>
      <w:marBottom w:val="0"/>
      <w:divBdr>
        <w:top w:val="none" w:sz="0" w:space="0" w:color="auto"/>
        <w:left w:val="none" w:sz="0" w:space="0" w:color="auto"/>
        <w:bottom w:val="none" w:sz="0" w:space="0" w:color="auto"/>
        <w:right w:val="none" w:sz="0" w:space="0" w:color="auto"/>
      </w:divBdr>
    </w:div>
    <w:div w:id="265116709">
      <w:bodyDiv w:val="1"/>
      <w:marLeft w:val="0"/>
      <w:marRight w:val="0"/>
      <w:marTop w:val="0"/>
      <w:marBottom w:val="0"/>
      <w:divBdr>
        <w:top w:val="none" w:sz="0" w:space="0" w:color="auto"/>
        <w:left w:val="none" w:sz="0" w:space="0" w:color="auto"/>
        <w:bottom w:val="none" w:sz="0" w:space="0" w:color="auto"/>
        <w:right w:val="none" w:sz="0" w:space="0" w:color="auto"/>
      </w:divBdr>
    </w:div>
    <w:div w:id="267590767">
      <w:bodyDiv w:val="1"/>
      <w:marLeft w:val="0"/>
      <w:marRight w:val="0"/>
      <w:marTop w:val="0"/>
      <w:marBottom w:val="0"/>
      <w:divBdr>
        <w:top w:val="none" w:sz="0" w:space="0" w:color="auto"/>
        <w:left w:val="none" w:sz="0" w:space="0" w:color="auto"/>
        <w:bottom w:val="none" w:sz="0" w:space="0" w:color="auto"/>
        <w:right w:val="none" w:sz="0" w:space="0" w:color="auto"/>
      </w:divBdr>
    </w:div>
    <w:div w:id="272831186">
      <w:bodyDiv w:val="1"/>
      <w:marLeft w:val="0"/>
      <w:marRight w:val="0"/>
      <w:marTop w:val="0"/>
      <w:marBottom w:val="0"/>
      <w:divBdr>
        <w:top w:val="none" w:sz="0" w:space="0" w:color="auto"/>
        <w:left w:val="none" w:sz="0" w:space="0" w:color="auto"/>
        <w:bottom w:val="none" w:sz="0" w:space="0" w:color="auto"/>
        <w:right w:val="none" w:sz="0" w:space="0" w:color="auto"/>
      </w:divBdr>
    </w:div>
    <w:div w:id="276184542">
      <w:bodyDiv w:val="1"/>
      <w:marLeft w:val="0"/>
      <w:marRight w:val="0"/>
      <w:marTop w:val="0"/>
      <w:marBottom w:val="0"/>
      <w:divBdr>
        <w:top w:val="none" w:sz="0" w:space="0" w:color="auto"/>
        <w:left w:val="none" w:sz="0" w:space="0" w:color="auto"/>
        <w:bottom w:val="none" w:sz="0" w:space="0" w:color="auto"/>
        <w:right w:val="none" w:sz="0" w:space="0" w:color="auto"/>
      </w:divBdr>
    </w:div>
    <w:div w:id="277419568">
      <w:bodyDiv w:val="1"/>
      <w:marLeft w:val="0"/>
      <w:marRight w:val="0"/>
      <w:marTop w:val="0"/>
      <w:marBottom w:val="0"/>
      <w:divBdr>
        <w:top w:val="none" w:sz="0" w:space="0" w:color="auto"/>
        <w:left w:val="none" w:sz="0" w:space="0" w:color="auto"/>
        <w:bottom w:val="none" w:sz="0" w:space="0" w:color="auto"/>
        <w:right w:val="none" w:sz="0" w:space="0" w:color="auto"/>
      </w:divBdr>
    </w:div>
    <w:div w:id="283655397">
      <w:bodyDiv w:val="1"/>
      <w:marLeft w:val="0"/>
      <w:marRight w:val="0"/>
      <w:marTop w:val="0"/>
      <w:marBottom w:val="0"/>
      <w:divBdr>
        <w:top w:val="none" w:sz="0" w:space="0" w:color="auto"/>
        <w:left w:val="none" w:sz="0" w:space="0" w:color="auto"/>
        <w:bottom w:val="none" w:sz="0" w:space="0" w:color="auto"/>
        <w:right w:val="none" w:sz="0" w:space="0" w:color="auto"/>
      </w:divBdr>
    </w:div>
    <w:div w:id="284504524">
      <w:bodyDiv w:val="1"/>
      <w:marLeft w:val="0"/>
      <w:marRight w:val="0"/>
      <w:marTop w:val="0"/>
      <w:marBottom w:val="0"/>
      <w:divBdr>
        <w:top w:val="none" w:sz="0" w:space="0" w:color="auto"/>
        <w:left w:val="none" w:sz="0" w:space="0" w:color="auto"/>
        <w:bottom w:val="none" w:sz="0" w:space="0" w:color="auto"/>
        <w:right w:val="none" w:sz="0" w:space="0" w:color="auto"/>
      </w:divBdr>
    </w:div>
    <w:div w:id="284964805">
      <w:bodyDiv w:val="1"/>
      <w:marLeft w:val="0"/>
      <w:marRight w:val="0"/>
      <w:marTop w:val="0"/>
      <w:marBottom w:val="0"/>
      <w:divBdr>
        <w:top w:val="none" w:sz="0" w:space="0" w:color="auto"/>
        <w:left w:val="none" w:sz="0" w:space="0" w:color="auto"/>
        <w:bottom w:val="none" w:sz="0" w:space="0" w:color="auto"/>
        <w:right w:val="none" w:sz="0" w:space="0" w:color="auto"/>
      </w:divBdr>
    </w:div>
    <w:div w:id="284969209">
      <w:bodyDiv w:val="1"/>
      <w:marLeft w:val="0"/>
      <w:marRight w:val="0"/>
      <w:marTop w:val="0"/>
      <w:marBottom w:val="0"/>
      <w:divBdr>
        <w:top w:val="none" w:sz="0" w:space="0" w:color="auto"/>
        <w:left w:val="none" w:sz="0" w:space="0" w:color="auto"/>
        <w:bottom w:val="none" w:sz="0" w:space="0" w:color="auto"/>
        <w:right w:val="none" w:sz="0" w:space="0" w:color="auto"/>
      </w:divBdr>
    </w:div>
    <w:div w:id="286354114">
      <w:bodyDiv w:val="1"/>
      <w:marLeft w:val="0"/>
      <w:marRight w:val="0"/>
      <w:marTop w:val="0"/>
      <w:marBottom w:val="0"/>
      <w:divBdr>
        <w:top w:val="none" w:sz="0" w:space="0" w:color="auto"/>
        <w:left w:val="none" w:sz="0" w:space="0" w:color="auto"/>
        <w:bottom w:val="none" w:sz="0" w:space="0" w:color="auto"/>
        <w:right w:val="none" w:sz="0" w:space="0" w:color="auto"/>
      </w:divBdr>
    </w:div>
    <w:div w:id="286860420">
      <w:bodyDiv w:val="1"/>
      <w:marLeft w:val="0"/>
      <w:marRight w:val="0"/>
      <w:marTop w:val="0"/>
      <w:marBottom w:val="0"/>
      <w:divBdr>
        <w:top w:val="none" w:sz="0" w:space="0" w:color="auto"/>
        <w:left w:val="none" w:sz="0" w:space="0" w:color="auto"/>
        <w:bottom w:val="none" w:sz="0" w:space="0" w:color="auto"/>
        <w:right w:val="none" w:sz="0" w:space="0" w:color="auto"/>
      </w:divBdr>
    </w:div>
    <w:div w:id="293101632">
      <w:bodyDiv w:val="1"/>
      <w:marLeft w:val="0"/>
      <w:marRight w:val="0"/>
      <w:marTop w:val="0"/>
      <w:marBottom w:val="0"/>
      <w:divBdr>
        <w:top w:val="none" w:sz="0" w:space="0" w:color="auto"/>
        <w:left w:val="none" w:sz="0" w:space="0" w:color="auto"/>
        <w:bottom w:val="none" w:sz="0" w:space="0" w:color="auto"/>
        <w:right w:val="none" w:sz="0" w:space="0" w:color="auto"/>
      </w:divBdr>
    </w:div>
    <w:div w:id="294064759">
      <w:bodyDiv w:val="1"/>
      <w:marLeft w:val="0"/>
      <w:marRight w:val="0"/>
      <w:marTop w:val="0"/>
      <w:marBottom w:val="0"/>
      <w:divBdr>
        <w:top w:val="none" w:sz="0" w:space="0" w:color="auto"/>
        <w:left w:val="none" w:sz="0" w:space="0" w:color="auto"/>
        <w:bottom w:val="none" w:sz="0" w:space="0" w:color="auto"/>
        <w:right w:val="none" w:sz="0" w:space="0" w:color="auto"/>
      </w:divBdr>
    </w:div>
    <w:div w:id="294483292">
      <w:bodyDiv w:val="1"/>
      <w:marLeft w:val="0"/>
      <w:marRight w:val="0"/>
      <w:marTop w:val="0"/>
      <w:marBottom w:val="0"/>
      <w:divBdr>
        <w:top w:val="none" w:sz="0" w:space="0" w:color="auto"/>
        <w:left w:val="none" w:sz="0" w:space="0" w:color="auto"/>
        <w:bottom w:val="none" w:sz="0" w:space="0" w:color="auto"/>
        <w:right w:val="none" w:sz="0" w:space="0" w:color="auto"/>
      </w:divBdr>
    </w:div>
    <w:div w:id="295839959">
      <w:bodyDiv w:val="1"/>
      <w:marLeft w:val="0"/>
      <w:marRight w:val="0"/>
      <w:marTop w:val="0"/>
      <w:marBottom w:val="0"/>
      <w:divBdr>
        <w:top w:val="none" w:sz="0" w:space="0" w:color="auto"/>
        <w:left w:val="none" w:sz="0" w:space="0" w:color="auto"/>
        <w:bottom w:val="none" w:sz="0" w:space="0" w:color="auto"/>
        <w:right w:val="none" w:sz="0" w:space="0" w:color="auto"/>
      </w:divBdr>
    </w:div>
    <w:div w:id="297803581">
      <w:bodyDiv w:val="1"/>
      <w:marLeft w:val="0"/>
      <w:marRight w:val="0"/>
      <w:marTop w:val="0"/>
      <w:marBottom w:val="0"/>
      <w:divBdr>
        <w:top w:val="none" w:sz="0" w:space="0" w:color="auto"/>
        <w:left w:val="none" w:sz="0" w:space="0" w:color="auto"/>
        <w:bottom w:val="none" w:sz="0" w:space="0" w:color="auto"/>
        <w:right w:val="none" w:sz="0" w:space="0" w:color="auto"/>
      </w:divBdr>
    </w:div>
    <w:div w:id="298002516">
      <w:bodyDiv w:val="1"/>
      <w:marLeft w:val="0"/>
      <w:marRight w:val="0"/>
      <w:marTop w:val="0"/>
      <w:marBottom w:val="0"/>
      <w:divBdr>
        <w:top w:val="none" w:sz="0" w:space="0" w:color="auto"/>
        <w:left w:val="none" w:sz="0" w:space="0" w:color="auto"/>
        <w:bottom w:val="none" w:sz="0" w:space="0" w:color="auto"/>
        <w:right w:val="none" w:sz="0" w:space="0" w:color="auto"/>
      </w:divBdr>
    </w:div>
    <w:div w:id="298387729">
      <w:bodyDiv w:val="1"/>
      <w:marLeft w:val="0"/>
      <w:marRight w:val="0"/>
      <w:marTop w:val="0"/>
      <w:marBottom w:val="0"/>
      <w:divBdr>
        <w:top w:val="none" w:sz="0" w:space="0" w:color="auto"/>
        <w:left w:val="none" w:sz="0" w:space="0" w:color="auto"/>
        <w:bottom w:val="none" w:sz="0" w:space="0" w:color="auto"/>
        <w:right w:val="none" w:sz="0" w:space="0" w:color="auto"/>
      </w:divBdr>
    </w:div>
    <w:div w:id="299190002">
      <w:bodyDiv w:val="1"/>
      <w:marLeft w:val="0"/>
      <w:marRight w:val="0"/>
      <w:marTop w:val="0"/>
      <w:marBottom w:val="0"/>
      <w:divBdr>
        <w:top w:val="none" w:sz="0" w:space="0" w:color="auto"/>
        <w:left w:val="none" w:sz="0" w:space="0" w:color="auto"/>
        <w:bottom w:val="none" w:sz="0" w:space="0" w:color="auto"/>
        <w:right w:val="none" w:sz="0" w:space="0" w:color="auto"/>
      </w:divBdr>
    </w:div>
    <w:div w:id="301275033">
      <w:bodyDiv w:val="1"/>
      <w:marLeft w:val="0"/>
      <w:marRight w:val="0"/>
      <w:marTop w:val="0"/>
      <w:marBottom w:val="0"/>
      <w:divBdr>
        <w:top w:val="none" w:sz="0" w:space="0" w:color="auto"/>
        <w:left w:val="none" w:sz="0" w:space="0" w:color="auto"/>
        <w:bottom w:val="none" w:sz="0" w:space="0" w:color="auto"/>
        <w:right w:val="none" w:sz="0" w:space="0" w:color="auto"/>
      </w:divBdr>
    </w:div>
    <w:div w:id="303852516">
      <w:bodyDiv w:val="1"/>
      <w:marLeft w:val="0"/>
      <w:marRight w:val="0"/>
      <w:marTop w:val="0"/>
      <w:marBottom w:val="0"/>
      <w:divBdr>
        <w:top w:val="none" w:sz="0" w:space="0" w:color="auto"/>
        <w:left w:val="none" w:sz="0" w:space="0" w:color="auto"/>
        <w:bottom w:val="none" w:sz="0" w:space="0" w:color="auto"/>
        <w:right w:val="none" w:sz="0" w:space="0" w:color="auto"/>
      </w:divBdr>
    </w:div>
    <w:div w:id="304088022">
      <w:bodyDiv w:val="1"/>
      <w:marLeft w:val="0"/>
      <w:marRight w:val="0"/>
      <w:marTop w:val="0"/>
      <w:marBottom w:val="0"/>
      <w:divBdr>
        <w:top w:val="none" w:sz="0" w:space="0" w:color="auto"/>
        <w:left w:val="none" w:sz="0" w:space="0" w:color="auto"/>
        <w:bottom w:val="none" w:sz="0" w:space="0" w:color="auto"/>
        <w:right w:val="none" w:sz="0" w:space="0" w:color="auto"/>
      </w:divBdr>
    </w:div>
    <w:div w:id="304361178">
      <w:bodyDiv w:val="1"/>
      <w:marLeft w:val="0"/>
      <w:marRight w:val="0"/>
      <w:marTop w:val="0"/>
      <w:marBottom w:val="0"/>
      <w:divBdr>
        <w:top w:val="none" w:sz="0" w:space="0" w:color="auto"/>
        <w:left w:val="none" w:sz="0" w:space="0" w:color="auto"/>
        <w:bottom w:val="none" w:sz="0" w:space="0" w:color="auto"/>
        <w:right w:val="none" w:sz="0" w:space="0" w:color="auto"/>
      </w:divBdr>
    </w:div>
    <w:div w:id="305816421">
      <w:bodyDiv w:val="1"/>
      <w:marLeft w:val="0"/>
      <w:marRight w:val="0"/>
      <w:marTop w:val="0"/>
      <w:marBottom w:val="0"/>
      <w:divBdr>
        <w:top w:val="none" w:sz="0" w:space="0" w:color="auto"/>
        <w:left w:val="none" w:sz="0" w:space="0" w:color="auto"/>
        <w:bottom w:val="none" w:sz="0" w:space="0" w:color="auto"/>
        <w:right w:val="none" w:sz="0" w:space="0" w:color="auto"/>
      </w:divBdr>
    </w:div>
    <w:div w:id="306518162">
      <w:bodyDiv w:val="1"/>
      <w:marLeft w:val="0"/>
      <w:marRight w:val="0"/>
      <w:marTop w:val="0"/>
      <w:marBottom w:val="0"/>
      <w:divBdr>
        <w:top w:val="none" w:sz="0" w:space="0" w:color="auto"/>
        <w:left w:val="none" w:sz="0" w:space="0" w:color="auto"/>
        <w:bottom w:val="none" w:sz="0" w:space="0" w:color="auto"/>
        <w:right w:val="none" w:sz="0" w:space="0" w:color="auto"/>
      </w:divBdr>
    </w:div>
    <w:div w:id="307974793">
      <w:bodyDiv w:val="1"/>
      <w:marLeft w:val="0"/>
      <w:marRight w:val="0"/>
      <w:marTop w:val="0"/>
      <w:marBottom w:val="0"/>
      <w:divBdr>
        <w:top w:val="none" w:sz="0" w:space="0" w:color="auto"/>
        <w:left w:val="none" w:sz="0" w:space="0" w:color="auto"/>
        <w:bottom w:val="none" w:sz="0" w:space="0" w:color="auto"/>
        <w:right w:val="none" w:sz="0" w:space="0" w:color="auto"/>
      </w:divBdr>
    </w:div>
    <w:div w:id="308247846">
      <w:bodyDiv w:val="1"/>
      <w:marLeft w:val="0"/>
      <w:marRight w:val="0"/>
      <w:marTop w:val="0"/>
      <w:marBottom w:val="0"/>
      <w:divBdr>
        <w:top w:val="none" w:sz="0" w:space="0" w:color="auto"/>
        <w:left w:val="none" w:sz="0" w:space="0" w:color="auto"/>
        <w:bottom w:val="none" w:sz="0" w:space="0" w:color="auto"/>
        <w:right w:val="none" w:sz="0" w:space="0" w:color="auto"/>
      </w:divBdr>
    </w:div>
    <w:div w:id="308754896">
      <w:bodyDiv w:val="1"/>
      <w:marLeft w:val="0"/>
      <w:marRight w:val="0"/>
      <w:marTop w:val="0"/>
      <w:marBottom w:val="0"/>
      <w:divBdr>
        <w:top w:val="none" w:sz="0" w:space="0" w:color="auto"/>
        <w:left w:val="none" w:sz="0" w:space="0" w:color="auto"/>
        <w:bottom w:val="none" w:sz="0" w:space="0" w:color="auto"/>
        <w:right w:val="none" w:sz="0" w:space="0" w:color="auto"/>
      </w:divBdr>
    </w:div>
    <w:div w:id="309211707">
      <w:bodyDiv w:val="1"/>
      <w:marLeft w:val="0"/>
      <w:marRight w:val="0"/>
      <w:marTop w:val="0"/>
      <w:marBottom w:val="0"/>
      <w:divBdr>
        <w:top w:val="none" w:sz="0" w:space="0" w:color="auto"/>
        <w:left w:val="none" w:sz="0" w:space="0" w:color="auto"/>
        <w:bottom w:val="none" w:sz="0" w:space="0" w:color="auto"/>
        <w:right w:val="none" w:sz="0" w:space="0" w:color="auto"/>
      </w:divBdr>
    </w:div>
    <w:div w:id="311065037">
      <w:bodyDiv w:val="1"/>
      <w:marLeft w:val="0"/>
      <w:marRight w:val="0"/>
      <w:marTop w:val="0"/>
      <w:marBottom w:val="0"/>
      <w:divBdr>
        <w:top w:val="none" w:sz="0" w:space="0" w:color="auto"/>
        <w:left w:val="none" w:sz="0" w:space="0" w:color="auto"/>
        <w:bottom w:val="none" w:sz="0" w:space="0" w:color="auto"/>
        <w:right w:val="none" w:sz="0" w:space="0" w:color="auto"/>
      </w:divBdr>
    </w:div>
    <w:div w:id="323708511">
      <w:bodyDiv w:val="1"/>
      <w:marLeft w:val="0"/>
      <w:marRight w:val="0"/>
      <w:marTop w:val="0"/>
      <w:marBottom w:val="0"/>
      <w:divBdr>
        <w:top w:val="none" w:sz="0" w:space="0" w:color="auto"/>
        <w:left w:val="none" w:sz="0" w:space="0" w:color="auto"/>
        <w:bottom w:val="none" w:sz="0" w:space="0" w:color="auto"/>
        <w:right w:val="none" w:sz="0" w:space="0" w:color="auto"/>
      </w:divBdr>
    </w:div>
    <w:div w:id="323778200">
      <w:bodyDiv w:val="1"/>
      <w:marLeft w:val="0"/>
      <w:marRight w:val="0"/>
      <w:marTop w:val="0"/>
      <w:marBottom w:val="0"/>
      <w:divBdr>
        <w:top w:val="none" w:sz="0" w:space="0" w:color="auto"/>
        <w:left w:val="none" w:sz="0" w:space="0" w:color="auto"/>
        <w:bottom w:val="none" w:sz="0" w:space="0" w:color="auto"/>
        <w:right w:val="none" w:sz="0" w:space="0" w:color="auto"/>
      </w:divBdr>
    </w:div>
    <w:div w:id="329140291">
      <w:bodyDiv w:val="1"/>
      <w:marLeft w:val="0"/>
      <w:marRight w:val="0"/>
      <w:marTop w:val="0"/>
      <w:marBottom w:val="0"/>
      <w:divBdr>
        <w:top w:val="none" w:sz="0" w:space="0" w:color="auto"/>
        <w:left w:val="none" w:sz="0" w:space="0" w:color="auto"/>
        <w:bottom w:val="none" w:sz="0" w:space="0" w:color="auto"/>
        <w:right w:val="none" w:sz="0" w:space="0" w:color="auto"/>
      </w:divBdr>
    </w:div>
    <w:div w:id="330647688">
      <w:bodyDiv w:val="1"/>
      <w:marLeft w:val="0"/>
      <w:marRight w:val="0"/>
      <w:marTop w:val="0"/>
      <w:marBottom w:val="0"/>
      <w:divBdr>
        <w:top w:val="none" w:sz="0" w:space="0" w:color="auto"/>
        <w:left w:val="none" w:sz="0" w:space="0" w:color="auto"/>
        <w:bottom w:val="none" w:sz="0" w:space="0" w:color="auto"/>
        <w:right w:val="none" w:sz="0" w:space="0" w:color="auto"/>
      </w:divBdr>
    </w:div>
    <w:div w:id="332143929">
      <w:bodyDiv w:val="1"/>
      <w:marLeft w:val="0"/>
      <w:marRight w:val="0"/>
      <w:marTop w:val="0"/>
      <w:marBottom w:val="0"/>
      <w:divBdr>
        <w:top w:val="none" w:sz="0" w:space="0" w:color="auto"/>
        <w:left w:val="none" w:sz="0" w:space="0" w:color="auto"/>
        <w:bottom w:val="none" w:sz="0" w:space="0" w:color="auto"/>
        <w:right w:val="none" w:sz="0" w:space="0" w:color="auto"/>
      </w:divBdr>
    </w:div>
    <w:div w:id="336462282">
      <w:bodyDiv w:val="1"/>
      <w:marLeft w:val="0"/>
      <w:marRight w:val="0"/>
      <w:marTop w:val="0"/>
      <w:marBottom w:val="0"/>
      <w:divBdr>
        <w:top w:val="none" w:sz="0" w:space="0" w:color="auto"/>
        <w:left w:val="none" w:sz="0" w:space="0" w:color="auto"/>
        <w:bottom w:val="none" w:sz="0" w:space="0" w:color="auto"/>
        <w:right w:val="none" w:sz="0" w:space="0" w:color="auto"/>
      </w:divBdr>
    </w:div>
    <w:div w:id="336546211">
      <w:bodyDiv w:val="1"/>
      <w:marLeft w:val="0"/>
      <w:marRight w:val="0"/>
      <w:marTop w:val="0"/>
      <w:marBottom w:val="0"/>
      <w:divBdr>
        <w:top w:val="none" w:sz="0" w:space="0" w:color="auto"/>
        <w:left w:val="none" w:sz="0" w:space="0" w:color="auto"/>
        <w:bottom w:val="none" w:sz="0" w:space="0" w:color="auto"/>
        <w:right w:val="none" w:sz="0" w:space="0" w:color="auto"/>
      </w:divBdr>
    </w:div>
    <w:div w:id="336928871">
      <w:bodyDiv w:val="1"/>
      <w:marLeft w:val="0"/>
      <w:marRight w:val="0"/>
      <w:marTop w:val="0"/>
      <w:marBottom w:val="0"/>
      <w:divBdr>
        <w:top w:val="none" w:sz="0" w:space="0" w:color="auto"/>
        <w:left w:val="none" w:sz="0" w:space="0" w:color="auto"/>
        <w:bottom w:val="none" w:sz="0" w:space="0" w:color="auto"/>
        <w:right w:val="none" w:sz="0" w:space="0" w:color="auto"/>
      </w:divBdr>
    </w:div>
    <w:div w:id="337081910">
      <w:bodyDiv w:val="1"/>
      <w:marLeft w:val="0"/>
      <w:marRight w:val="0"/>
      <w:marTop w:val="0"/>
      <w:marBottom w:val="0"/>
      <w:divBdr>
        <w:top w:val="none" w:sz="0" w:space="0" w:color="auto"/>
        <w:left w:val="none" w:sz="0" w:space="0" w:color="auto"/>
        <w:bottom w:val="none" w:sz="0" w:space="0" w:color="auto"/>
        <w:right w:val="none" w:sz="0" w:space="0" w:color="auto"/>
      </w:divBdr>
    </w:div>
    <w:div w:id="337267637">
      <w:bodyDiv w:val="1"/>
      <w:marLeft w:val="0"/>
      <w:marRight w:val="0"/>
      <w:marTop w:val="0"/>
      <w:marBottom w:val="0"/>
      <w:divBdr>
        <w:top w:val="none" w:sz="0" w:space="0" w:color="auto"/>
        <w:left w:val="none" w:sz="0" w:space="0" w:color="auto"/>
        <w:bottom w:val="none" w:sz="0" w:space="0" w:color="auto"/>
        <w:right w:val="none" w:sz="0" w:space="0" w:color="auto"/>
      </w:divBdr>
    </w:div>
    <w:div w:id="337541167">
      <w:bodyDiv w:val="1"/>
      <w:marLeft w:val="0"/>
      <w:marRight w:val="0"/>
      <w:marTop w:val="0"/>
      <w:marBottom w:val="0"/>
      <w:divBdr>
        <w:top w:val="none" w:sz="0" w:space="0" w:color="auto"/>
        <w:left w:val="none" w:sz="0" w:space="0" w:color="auto"/>
        <w:bottom w:val="none" w:sz="0" w:space="0" w:color="auto"/>
        <w:right w:val="none" w:sz="0" w:space="0" w:color="auto"/>
      </w:divBdr>
    </w:div>
    <w:div w:id="337663003">
      <w:bodyDiv w:val="1"/>
      <w:marLeft w:val="0"/>
      <w:marRight w:val="0"/>
      <w:marTop w:val="0"/>
      <w:marBottom w:val="0"/>
      <w:divBdr>
        <w:top w:val="none" w:sz="0" w:space="0" w:color="auto"/>
        <w:left w:val="none" w:sz="0" w:space="0" w:color="auto"/>
        <w:bottom w:val="none" w:sz="0" w:space="0" w:color="auto"/>
        <w:right w:val="none" w:sz="0" w:space="0" w:color="auto"/>
      </w:divBdr>
    </w:div>
    <w:div w:id="338775737">
      <w:bodyDiv w:val="1"/>
      <w:marLeft w:val="0"/>
      <w:marRight w:val="0"/>
      <w:marTop w:val="0"/>
      <w:marBottom w:val="0"/>
      <w:divBdr>
        <w:top w:val="none" w:sz="0" w:space="0" w:color="auto"/>
        <w:left w:val="none" w:sz="0" w:space="0" w:color="auto"/>
        <w:bottom w:val="none" w:sz="0" w:space="0" w:color="auto"/>
        <w:right w:val="none" w:sz="0" w:space="0" w:color="auto"/>
      </w:divBdr>
    </w:div>
    <w:div w:id="344064268">
      <w:bodyDiv w:val="1"/>
      <w:marLeft w:val="0"/>
      <w:marRight w:val="0"/>
      <w:marTop w:val="0"/>
      <w:marBottom w:val="0"/>
      <w:divBdr>
        <w:top w:val="none" w:sz="0" w:space="0" w:color="auto"/>
        <w:left w:val="none" w:sz="0" w:space="0" w:color="auto"/>
        <w:bottom w:val="none" w:sz="0" w:space="0" w:color="auto"/>
        <w:right w:val="none" w:sz="0" w:space="0" w:color="auto"/>
      </w:divBdr>
    </w:div>
    <w:div w:id="344671498">
      <w:bodyDiv w:val="1"/>
      <w:marLeft w:val="0"/>
      <w:marRight w:val="0"/>
      <w:marTop w:val="0"/>
      <w:marBottom w:val="0"/>
      <w:divBdr>
        <w:top w:val="none" w:sz="0" w:space="0" w:color="auto"/>
        <w:left w:val="none" w:sz="0" w:space="0" w:color="auto"/>
        <w:bottom w:val="none" w:sz="0" w:space="0" w:color="auto"/>
        <w:right w:val="none" w:sz="0" w:space="0" w:color="auto"/>
      </w:divBdr>
    </w:div>
    <w:div w:id="344989241">
      <w:bodyDiv w:val="1"/>
      <w:marLeft w:val="0"/>
      <w:marRight w:val="0"/>
      <w:marTop w:val="0"/>
      <w:marBottom w:val="0"/>
      <w:divBdr>
        <w:top w:val="none" w:sz="0" w:space="0" w:color="auto"/>
        <w:left w:val="none" w:sz="0" w:space="0" w:color="auto"/>
        <w:bottom w:val="none" w:sz="0" w:space="0" w:color="auto"/>
        <w:right w:val="none" w:sz="0" w:space="0" w:color="auto"/>
      </w:divBdr>
    </w:div>
    <w:div w:id="345984677">
      <w:bodyDiv w:val="1"/>
      <w:marLeft w:val="0"/>
      <w:marRight w:val="0"/>
      <w:marTop w:val="0"/>
      <w:marBottom w:val="0"/>
      <w:divBdr>
        <w:top w:val="none" w:sz="0" w:space="0" w:color="auto"/>
        <w:left w:val="none" w:sz="0" w:space="0" w:color="auto"/>
        <w:bottom w:val="none" w:sz="0" w:space="0" w:color="auto"/>
        <w:right w:val="none" w:sz="0" w:space="0" w:color="auto"/>
      </w:divBdr>
    </w:div>
    <w:div w:id="346177002">
      <w:bodyDiv w:val="1"/>
      <w:marLeft w:val="0"/>
      <w:marRight w:val="0"/>
      <w:marTop w:val="0"/>
      <w:marBottom w:val="0"/>
      <w:divBdr>
        <w:top w:val="none" w:sz="0" w:space="0" w:color="auto"/>
        <w:left w:val="none" w:sz="0" w:space="0" w:color="auto"/>
        <w:bottom w:val="none" w:sz="0" w:space="0" w:color="auto"/>
        <w:right w:val="none" w:sz="0" w:space="0" w:color="auto"/>
      </w:divBdr>
    </w:div>
    <w:div w:id="346907472">
      <w:bodyDiv w:val="1"/>
      <w:marLeft w:val="0"/>
      <w:marRight w:val="0"/>
      <w:marTop w:val="0"/>
      <w:marBottom w:val="0"/>
      <w:divBdr>
        <w:top w:val="none" w:sz="0" w:space="0" w:color="auto"/>
        <w:left w:val="none" w:sz="0" w:space="0" w:color="auto"/>
        <w:bottom w:val="none" w:sz="0" w:space="0" w:color="auto"/>
        <w:right w:val="none" w:sz="0" w:space="0" w:color="auto"/>
      </w:divBdr>
    </w:div>
    <w:div w:id="347877935">
      <w:bodyDiv w:val="1"/>
      <w:marLeft w:val="0"/>
      <w:marRight w:val="0"/>
      <w:marTop w:val="0"/>
      <w:marBottom w:val="0"/>
      <w:divBdr>
        <w:top w:val="none" w:sz="0" w:space="0" w:color="auto"/>
        <w:left w:val="none" w:sz="0" w:space="0" w:color="auto"/>
        <w:bottom w:val="none" w:sz="0" w:space="0" w:color="auto"/>
        <w:right w:val="none" w:sz="0" w:space="0" w:color="auto"/>
      </w:divBdr>
    </w:div>
    <w:div w:id="348719423">
      <w:bodyDiv w:val="1"/>
      <w:marLeft w:val="0"/>
      <w:marRight w:val="0"/>
      <w:marTop w:val="0"/>
      <w:marBottom w:val="0"/>
      <w:divBdr>
        <w:top w:val="none" w:sz="0" w:space="0" w:color="auto"/>
        <w:left w:val="none" w:sz="0" w:space="0" w:color="auto"/>
        <w:bottom w:val="none" w:sz="0" w:space="0" w:color="auto"/>
        <w:right w:val="none" w:sz="0" w:space="0" w:color="auto"/>
      </w:divBdr>
    </w:div>
    <w:div w:id="350230537">
      <w:bodyDiv w:val="1"/>
      <w:marLeft w:val="0"/>
      <w:marRight w:val="0"/>
      <w:marTop w:val="0"/>
      <w:marBottom w:val="0"/>
      <w:divBdr>
        <w:top w:val="none" w:sz="0" w:space="0" w:color="auto"/>
        <w:left w:val="none" w:sz="0" w:space="0" w:color="auto"/>
        <w:bottom w:val="none" w:sz="0" w:space="0" w:color="auto"/>
        <w:right w:val="none" w:sz="0" w:space="0" w:color="auto"/>
      </w:divBdr>
    </w:div>
    <w:div w:id="351028999">
      <w:bodyDiv w:val="1"/>
      <w:marLeft w:val="0"/>
      <w:marRight w:val="0"/>
      <w:marTop w:val="0"/>
      <w:marBottom w:val="0"/>
      <w:divBdr>
        <w:top w:val="none" w:sz="0" w:space="0" w:color="auto"/>
        <w:left w:val="none" w:sz="0" w:space="0" w:color="auto"/>
        <w:bottom w:val="none" w:sz="0" w:space="0" w:color="auto"/>
        <w:right w:val="none" w:sz="0" w:space="0" w:color="auto"/>
      </w:divBdr>
    </w:div>
    <w:div w:id="352808461">
      <w:bodyDiv w:val="1"/>
      <w:marLeft w:val="0"/>
      <w:marRight w:val="0"/>
      <w:marTop w:val="0"/>
      <w:marBottom w:val="0"/>
      <w:divBdr>
        <w:top w:val="none" w:sz="0" w:space="0" w:color="auto"/>
        <w:left w:val="none" w:sz="0" w:space="0" w:color="auto"/>
        <w:bottom w:val="none" w:sz="0" w:space="0" w:color="auto"/>
        <w:right w:val="none" w:sz="0" w:space="0" w:color="auto"/>
      </w:divBdr>
    </w:div>
    <w:div w:id="355085325">
      <w:bodyDiv w:val="1"/>
      <w:marLeft w:val="0"/>
      <w:marRight w:val="0"/>
      <w:marTop w:val="0"/>
      <w:marBottom w:val="0"/>
      <w:divBdr>
        <w:top w:val="none" w:sz="0" w:space="0" w:color="auto"/>
        <w:left w:val="none" w:sz="0" w:space="0" w:color="auto"/>
        <w:bottom w:val="none" w:sz="0" w:space="0" w:color="auto"/>
        <w:right w:val="none" w:sz="0" w:space="0" w:color="auto"/>
      </w:divBdr>
    </w:div>
    <w:div w:id="355273558">
      <w:bodyDiv w:val="1"/>
      <w:marLeft w:val="0"/>
      <w:marRight w:val="0"/>
      <w:marTop w:val="0"/>
      <w:marBottom w:val="0"/>
      <w:divBdr>
        <w:top w:val="none" w:sz="0" w:space="0" w:color="auto"/>
        <w:left w:val="none" w:sz="0" w:space="0" w:color="auto"/>
        <w:bottom w:val="none" w:sz="0" w:space="0" w:color="auto"/>
        <w:right w:val="none" w:sz="0" w:space="0" w:color="auto"/>
      </w:divBdr>
    </w:div>
    <w:div w:id="356858729">
      <w:bodyDiv w:val="1"/>
      <w:marLeft w:val="0"/>
      <w:marRight w:val="0"/>
      <w:marTop w:val="0"/>
      <w:marBottom w:val="0"/>
      <w:divBdr>
        <w:top w:val="none" w:sz="0" w:space="0" w:color="auto"/>
        <w:left w:val="none" w:sz="0" w:space="0" w:color="auto"/>
        <w:bottom w:val="none" w:sz="0" w:space="0" w:color="auto"/>
        <w:right w:val="none" w:sz="0" w:space="0" w:color="auto"/>
      </w:divBdr>
    </w:div>
    <w:div w:id="360982782">
      <w:bodyDiv w:val="1"/>
      <w:marLeft w:val="0"/>
      <w:marRight w:val="0"/>
      <w:marTop w:val="0"/>
      <w:marBottom w:val="0"/>
      <w:divBdr>
        <w:top w:val="none" w:sz="0" w:space="0" w:color="auto"/>
        <w:left w:val="none" w:sz="0" w:space="0" w:color="auto"/>
        <w:bottom w:val="none" w:sz="0" w:space="0" w:color="auto"/>
        <w:right w:val="none" w:sz="0" w:space="0" w:color="auto"/>
      </w:divBdr>
    </w:div>
    <w:div w:id="361324189">
      <w:bodyDiv w:val="1"/>
      <w:marLeft w:val="0"/>
      <w:marRight w:val="0"/>
      <w:marTop w:val="0"/>
      <w:marBottom w:val="0"/>
      <w:divBdr>
        <w:top w:val="none" w:sz="0" w:space="0" w:color="auto"/>
        <w:left w:val="none" w:sz="0" w:space="0" w:color="auto"/>
        <w:bottom w:val="none" w:sz="0" w:space="0" w:color="auto"/>
        <w:right w:val="none" w:sz="0" w:space="0" w:color="auto"/>
      </w:divBdr>
    </w:div>
    <w:div w:id="363407755">
      <w:bodyDiv w:val="1"/>
      <w:marLeft w:val="0"/>
      <w:marRight w:val="0"/>
      <w:marTop w:val="0"/>
      <w:marBottom w:val="0"/>
      <w:divBdr>
        <w:top w:val="none" w:sz="0" w:space="0" w:color="auto"/>
        <w:left w:val="none" w:sz="0" w:space="0" w:color="auto"/>
        <w:bottom w:val="none" w:sz="0" w:space="0" w:color="auto"/>
        <w:right w:val="none" w:sz="0" w:space="0" w:color="auto"/>
      </w:divBdr>
    </w:div>
    <w:div w:id="364258089">
      <w:bodyDiv w:val="1"/>
      <w:marLeft w:val="0"/>
      <w:marRight w:val="0"/>
      <w:marTop w:val="0"/>
      <w:marBottom w:val="0"/>
      <w:divBdr>
        <w:top w:val="none" w:sz="0" w:space="0" w:color="auto"/>
        <w:left w:val="none" w:sz="0" w:space="0" w:color="auto"/>
        <w:bottom w:val="none" w:sz="0" w:space="0" w:color="auto"/>
        <w:right w:val="none" w:sz="0" w:space="0" w:color="auto"/>
      </w:divBdr>
    </w:div>
    <w:div w:id="365252787">
      <w:bodyDiv w:val="1"/>
      <w:marLeft w:val="0"/>
      <w:marRight w:val="0"/>
      <w:marTop w:val="0"/>
      <w:marBottom w:val="0"/>
      <w:divBdr>
        <w:top w:val="none" w:sz="0" w:space="0" w:color="auto"/>
        <w:left w:val="none" w:sz="0" w:space="0" w:color="auto"/>
        <w:bottom w:val="none" w:sz="0" w:space="0" w:color="auto"/>
        <w:right w:val="none" w:sz="0" w:space="0" w:color="auto"/>
      </w:divBdr>
    </w:div>
    <w:div w:id="366956144">
      <w:bodyDiv w:val="1"/>
      <w:marLeft w:val="0"/>
      <w:marRight w:val="0"/>
      <w:marTop w:val="0"/>
      <w:marBottom w:val="0"/>
      <w:divBdr>
        <w:top w:val="none" w:sz="0" w:space="0" w:color="auto"/>
        <w:left w:val="none" w:sz="0" w:space="0" w:color="auto"/>
        <w:bottom w:val="none" w:sz="0" w:space="0" w:color="auto"/>
        <w:right w:val="none" w:sz="0" w:space="0" w:color="auto"/>
      </w:divBdr>
    </w:div>
    <w:div w:id="368410537">
      <w:bodyDiv w:val="1"/>
      <w:marLeft w:val="0"/>
      <w:marRight w:val="0"/>
      <w:marTop w:val="0"/>
      <w:marBottom w:val="0"/>
      <w:divBdr>
        <w:top w:val="none" w:sz="0" w:space="0" w:color="auto"/>
        <w:left w:val="none" w:sz="0" w:space="0" w:color="auto"/>
        <w:bottom w:val="none" w:sz="0" w:space="0" w:color="auto"/>
        <w:right w:val="none" w:sz="0" w:space="0" w:color="auto"/>
      </w:divBdr>
    </w:div>
    <w:div w:id="369036460">
      <w:bodyDiv w:val="1"/>
      <w:marLeft w:val="0"/>
      <w:marRight w:val="0"/>
      <w:marTop w:val="0"/>
      <w:marBottom w:val="0"/>
      <w:divBdr>
        <w:top w:val="none" w:sz="0" w:space="0" w:color="auto"/>
        <w:left w:val="none" w:sz="0" w:space="0" w:color="auto"/>
        <w:bottom w:val="none" w:sz="0" w:space="0" w:color="auto"/>
        <w:right w:val="none" w:sz="0" w:space="0" w:color="auto"/>
      </w:divBdr>
    </w:div>
    <w:div w:id="372003027">
      <w:bodyDiv w:val="1"/>
      <w:marLeft w:val="0"/>
      <w:marRight w:val="0"/>
      <w:marTop w:val="0"/>
      <w:marBottom w:val="0"/>
      <w:divBdr>
        <w:top w:val="none" w:sz="0" w:space="0" w:color="auto"/>
        <w:left w:val="none" w:sz="0" w:space="0" w:color="auto"/>
        <w:bottom w:val="none" w:sz="0" w:space="0" w:color="auto"/>
        <w:right w:val="none" w:sz="0" w:space="0" w:color="auto"/>
      </w:divBdr>
    </w:div>
    <w:div w:id="373889980">
      <w:bodyDiv w:val="1"/>
      <w:marLeft w:val="0"/>
      <w:marRight w:val="0"/>
      <w:marTop w:val="0"/>
      <w:marBottom w:val="0"/>
      <w:divBdr>
        <w:top w:val="none" w:sz="0" w:space="0" w:color="auto"/>
        <w:left w:val="none" w:sz="0" w:space="0" w:color="auto"/>
        <w:bottom w:val="none" w:sz="0" w:space="0" w:color="auto"/>
        <w:right w:val="none" w:sz="0" w:space="0" w:color="auto"/>
      </w:divBdr>
    </w:div>
    <w:div w:id="376664356">
      <w:bodyDiv w:val="1"/>
      <w:marLeft w:val="0"/>
      <w:marRight w:val="0"/>
      <w:marTop w:val="0"/>
      <w:marBottom w:val="0"/>
      <w:divBdr>
        <w:top w:val="none" w:sz="0" w:space="0" w:color="auto"/>
        <w:left w:val="none" w:sz="0" w:space="0" w:color="auto"/>
        <w:bottom w:val="none" w:sz="0" w:space="0" w:color="auto"/>
        <w:right w:val="none" w:sz="0" w:space="0" w:color="auto"/>
      </w:divBdr>
    </w:div>
    <w:div w:id="379591619">
      <w:bodyDiv w:val="1"/>
      <w:marLeft w:val="0"/>
      <w:marRight w:val="0"/>
      <w:marTop w:val="0"/>
      <w:marBottom w:val="0"/>
      <w:divBdr>
        <w:top w:val="none" w:sz="0" w:space="0" w:color="auto"/>
        <w:left w:val="none" w:sz="0" w:space="0" w:color="auto"/>
        <w:bottom w:val="none" w:sz="0" w:space="0" w:color="auto"/>
        <w:right w:val="none" w:sz="0" w:space="0" w:color="auto"/>
      </w:divBdr>
    </w:div>
    <w:div w:id="382601495">
      <w:bodyDiv w:val="1"/>
      <w:marLeft w:val="0"/>
      <w:marRight w:val="0"/>
      <w:marTop w:val="0"/>
      <w:marBottom w:val="0"/>
      <w:divBdr>
        <w:top w:val="none" w:sz="0" w:space="0" w:color="auto"/>
        <w:left w:val="none" w:sz="0" w:space="0" w:color="auto"/>
        <w:bottom w:val="none" w:sz="0" w:space="0" w:color="auto"/>
        <w:right w:val="none" w:sz="0" w:space="0" w:color="auto"/>
      </w:divBdr>
    </w:div>
    <w:div w:id="384643654">
      <w:bodyDiv w:val="1"/>
      <w:marLeft w:val="0"/>
      <w:marRight w:val="0"/>
      <w:marTop w:val="0"/>
      <w:marBottom w:val="0"/>
      <w:divBdr>
        <w:top w:val="none" w:sz="0" w:space="0" w:color="auto"/>
        <w:left w:val="none" w:sz="0" w:space="0" w:color="auto"/>
        <w:bottom w:val="none" w:sz="0" w:space="0" w:color="auto"/>
        <w:right w:val="none" w:sz="0" w:space="0" w:color="auto"/>
      </w:divBdr>
    </w:div>
    <w:div w:id="384793748">
      <w:bodyDiv w:val="1"/>
      <w:marLeft w:val="0"/>
      <w:marRight w:val="0"/>
      <w:marTop w:val="0"/>
      <w:marBottom w:val="0"/>
      <w:divBdr>
        <w:top w:val="none" w:sz="0" w:space="0" w:color="auto"/>
        <w:left w:val="none" w:sz="0" w:space="0" w:color="auto"/>
        <w:bottom w:val="none" w:sz="0" w:space="0" w:color="auto"/>
        <w:right w:val="none" w:sz="0" w:space="0" w:color="auto"/>
      </w:divBdr>
    </w:div>
    <w:div w:id="386607975">
      <w:bodyDiv w:val="1"/>
      <w:marLeft w:val="0"/>
      <w:marRight w:val="0"/>
      <w:marTop w:val="0"/>
      <w:marBottom w:val="0"/>
      <w:divBdr>
        <w:top w:val="none" w:sz="0" w:space="0" w:color="auto"/>
        <w:left w:val="none" w:sz="0" w:space="0" w:color="auto"/>
        <w:bottom w:val="none" w:sz="0" w:space="0" w:color="auto"/>
        <w:right w:val="none" w:sz="0" w:space="0" w:color="auto"/>
      </w:divBdr>
    </w:div>
    <w:div w:id="388188975">
      <w:bodyDiv w:val="1"/>
      <w:marLeft w:val="0"/>
      <w:marRight w:val="0"/>
      <w:marTop w:val="0"/>
      <w:marBottom w:val="0"/>
      <w:divBdr>
        <w:top w:val="none" w:sz="0" w:space="0" w:color="auto"/>
        <w:left w:val="none" w:sz="0" w:space="0" w:color="auto"/>
        <w:bottom w:val="none" w:sz="0" w:space="0" w:color="auto"/>
        <w:right w:val="none" w:sz="0" w:space="0" w:color="auto"/>
      </w:divBdr>
    </w:div>
    <w:div w:id="388647429">
      <w:bodyDiv w:val="1"/>
      <w:marLeft w:val="0"/>
      <w:marRight w:val="0"/>
      <w:marTop w:val="0"/>
      <w:marBottom w:val="0"/>
      <w:divBdr>
        <w:top w:val="none" w:sz="0" w:space="0" w:color="auto"/>
        <w:left w:val="none" w:sz="0" w:space="0" w:color="auto"/>
        <w:bottom w:val="none" w:sz="0" w:space="0" w:color="auto"/>
        <w:right w:val="none" w:sz="0" w:space="0" w:color="auto"/>
      </w:divBdr>
    </w:div>
    <w:div w:id="388770221">
      <w:bodyDiv w:val="1"/>
      <w:marLeft w:val="0"/>
      <w:marRight w:val="0"/>
      <w:marTop w:val="0"/>
      <w:marBottom w:val="0"/>
      <w:divBdr>
        <w:top w:val="none" w:sz="0" w:space="0" w:color="auto"/>
        <w:left w:val="none" w:sz="0" w:space="0" w:color="auto"/>
        <w:bottom w:val="none" w:sz="0" w:space="0" w:color="auto"/>
        <w:right w:val="none" w:sz="0" w:space="0" w:color="auto"/>
      </w:divBdr>
    </w:div>
    <w:div w:id="392168345">
      <w:bodyDiv w:val="1"/>
      <w:marLeft w:val="0"/>
      <w:marRight w:val="0"/>
      <w:marTop w:val="0"/>
      <w:marBottom w:val="0"/>
      <w:divBdr>
        <w:top w:val="none" w:sz="0" w:space="0" w:color="auto"/>
        <w:left w:val="none" w:sz="0" w:space="0" w:color="auto"/>
        <w:bottom w:val="none" w:sz="0" w:space="0" w:color="auto"/>
        <w:right w:val="none" w:sz="0" w:space="0" w:color="auto"/>
      </w:divBdr>
    </w:div>
    <w:div w:id="392193320">
      <w:bodyDiv w:val="1"/>
      <w:marLeft w:val="0"/>
      <w:marRight w:val="0"/>
      <w:marTop w:val="0"/>
      <w:marBottom w:val="0"/>
      <w:divBdr>
        <w:top w:val="none" w:sz="0" w:space="0" w:color="auto"/>
        <w:left w:val="none" w:sz="0" w:space="0" w:color="auto"/>
        <w:bottom w:val="none" w:sz="0" w:space="0" w:color="auto"/>
        <w:right w:val="none" w:sz="0" w:space="0" w:color="auto"/>
      </w:divBdr>
    </w:div>
    <w:div w:id="395057734">
      <w:bodyDiv w:val="1"/>
      <w:marLeft w:val="0"/>
      <w:marRight w:val="0"/>
      <w:marTop w:val="0"/>
      <w:marBottom w:val="0"/>
      <w:divBdr>
        <w:top w:val="none" w:sz="0" w:space="0" w:color="auto"/>
        <w:left w:val="none" w:sz="0" w:space="0" w:color="auto"/>
        <w:bottom w:val="none" w:sz="0" w:space="0" w:color="auto"/>
        <w:right w:val="none" w:sz="0" w:space="0" w:color="auto"/>
      </w:divBdr>
    </w:div>
    <w:div w:id="397900018">
      <w:bodyDiv w:val="1"/>
      <w:marLeft w:val="0"/>
      <w:marRight w:val="0"/>
      <w:marTop w:val="0"/>
      <w:marBottom w:val="0"/>
      <w:divBdr>
        <w:top w:val="none" w:sz="0" w:space="0" w:color="auto"/>
        <w:left w:val="none" w:sz="0" w:space="0" w:color="auto"/>
        <w:bottom w:val="none" w:sz="0" w:space="0" w:color="auto"/>
        <w:right w:val="none" w:sz="0" w:space="0" w:color="auto"/>
      </w:divBdr>
    </w:div>
    <w:div w:id="399056834">
      <w:bodyDiv w:val="1"/>
      <w:marLeft w:val="0"/>
      <w:marRight w:val="0"/>
      <w:marTop w:val="0"/>
      <w:marBottom w:val="0"/>
      <w:divBdr>
        <w:top w:val="none" w:sz="0" w:space="0" w:color="auto"/>
        <w:left w:val="none" w:sz="0" w:space="0" w:color="auto"/>
        <w:bottom w:val="none" w:sz="0" w:space="0" w:color="auto"/>
        <w:right w:val="none" w:sz="0" w:space="0" w:color="auto"/>
      </w:divBdr>
    </w:div>
    <w:div w:id="399716055">
      <w:bodyDiv w:val="1"/>
      <w:marLeft w:val="0"/>
      <w:marRight w:val="0"/>
      <w:marTop w:val="0"/>
      <w:marBottom w:val="0"/>
      <w:divBdr>
        <w:top w:val="none" w:sz="0" w:space="0" w:color="auto"/>
        <w:left w:val="none" w:sz="0" w:space="0" w:color="auto"/>
        <w:bottom w:val="none" w:sz="0" w:space="0" w:color="auto"/>
        <w:right w:val="none" w:sz="0" w:space="0" w:color="auto"/>
      </w:divBdr>
    </w:div>
    <w:div w:id="402218229">
      <w:bodyDiv w:val="1"/>
      <w:marLeft w:val="0"/>
      <w:marRight w:val="0"/>
      <w:marTop w:val="0"/>
      <w:marBottom w:val="0"/>
      <w:divBdr>
        <w:top w:val="none" w:sz="0" w:space="0" w:color="auto"/>
        <w:left w:val="none" w:sz="0" w:space="0" w:color="auto"/>
        <w:bottom w:val="none" w:sz="0" w:space="0" w:color="auto"/>
        <w:right w:val="none" w:sz="0" w:space="0" w:color="auto"/>
      </w:divBdr>
    </w:div>
    <w:div w:id="403841987">
      <w:bodyDiv w:val="1"/>
      <w:marLeft w:val="0"/>
      <w:marRight w:val="0"/>
      <w:marTop w:val="0"/>
      <w:marBottom w:val="0"/>
      <w:divBdr>
        <w:top w:val="none" w:sz="0" w:space="0" w:color="auto"/>
        <w:left w:val="none" w:sz="0" w:space="0" w:color="auto"/>
        <w:bottom w:val="none" w:sz="0" w:space="0" w:color="auto"/>
        <w:right w:val="none" w:sz="0" w:space="0" w:color="auto"/>
      </w:divBdr>
    </w:div>
    <w:div w:id="414017335">
      <w:bodyDiv w:val="1"/>
      <w:marLeft w:val="0"/>
      <w:marRight w:val="0"/>
      <w:marTop w:val="0"/>
      <w:marBottom w:val="0"/>
      <w:divBdr>
        <w:top w:val="none" w:sz="0" w:space="0" w:color="auto"/>
        <w:left w:val="none" w:sz="0" w:space="0" w:color="auto"/>
        <w:bottom w:val="none" w:sz="0" w:space="0" w:color="auto"/>
        <w:right w:val="none" w:sz="0" w:space="0" w:color="auto"/>
      </w:divBdr>
    </w:div>
    <w:div w:id="414084971">
      <w:bodyDiv w:val="1"/>
      <w:marLeft w:val="0"/>
      <w:marRight w:val="0"/>
      <w:marTop w:val="0"/>
      <w:marBottom w:val="0"/>
      <w:divBdr>
        <w:top w:val="none" w:sz="0" w:space="0" w:color="auto"/>
        <w:left w:val="none" w:sz="0" w:space="0" w:color="auto"/>
        <w:bottom w:val="none" w:sz="0" w:space="0" w:color="auto"/>
        <w:right w:val="none" w:sz="0" w:space="0" w:color="auto"/>
      </w:divBdr>
    </w:div>
    <w:div w:id="414400835">
      <w:bodyDiv w:val="1"/>
      <w:marLeft w:val="0"/>
      <w:marRight w:val="0"/>
      <w:marTop w:val="0"/>
      <w:marBottom w:val="0"/>
      <w:divBdr>
        <w:top w:val="none" w:sz="0" w:space="0" w:color="auto"/>
        <w:left w:val="none" w:sz="0" w:space="0" w:color="auto"/>
        <w:bottom w:val="none" w:sz="0" w:space="0" w:color="auto"/>
        <w:right w:val="none" w:sz="0" w:space="0" w:color="auto"/>
      </w:divBdr>
    </w:div>
    <w:div w:id="415246305">
      <w:bodyDiv w:val="1"/>
      <w:marLeft w:val="0"/>
      <w:marRight w:val="0"/>
      <w:marTop w:val="0"/>
      <w:marBottom w:val="0"/>
      <w:divBdr>
        <w:top w:val="none" w:sz="0" w:space="0" w:color="auto"/>
        <w:left w:val="none" w:sz="0" w:space="0" w:color="auto"/>
        <w:bottom w:val="none" w:sz="0" w:space="0" w:color="auto"/>
        <w:right w:val="none" w:sz="0" w:space="0" w:color="auto"/>
      </w:divBdr>
    </w:div>
    <w:div w:id="416293242">
      <w:bodyDiv w:val="1"/>
      <w:marLeft w:val="0"/>
      <w:marRight w:val="0"/>
      <w:marTop w:val="0"/>
      <w:marBottom w:val="0"/>
      <w:divBdr>
        <w:top w:val="none" w:sz="0" w:space="0" w:color="auto"/>
        <w:left w:val="none" w:sz="0" w:space="0" w:color="auto"/>
        <w:bottom w:val="none" w:sz="0" w:space="0" w:color="auto"/>
        <w:right w:val="none" w:sz="0" w:space="0" w:color="auto"/>
      </w:divBdr>
    </w:div>
    <w:div w:id="416875610">
      <w:bodyDiv w:val="1"/>
      <w:marLeft w:val="0"/>
      <w:marRight w:val="0"/>
      <w:marTop w:val="0"/>
      <w:marBottom w:val="0"/>
      <w:divBdr>
        <w:top w:val="none" w:sz="0" w:space="0" w:color="auto"/>
        <w:left w:val="none" w:sz="0" w:space="0" w:color="auto"/>
        <w:bottom w:val="none" w:sz="0" w:space="0" w:color="auto"/>
        <w:right w:val="none" w:sz="0" w:space="0" w:color="auto"/>
      </w:divBdr>
    </w:div>
    <w:div w:id="420414965">
      <w:bodyDiv w:val="1"/>
      <w:marLeft w:val="0"/>
      <w:marRight w:val="0"/>
      <w:marTop w:val="0"/>
      <w:marBottom w:val="0"/>
      <w:divBdr>
        <w:top w:val="none" w:sz="0" w:space="0" w:color="auto"/>
        <w:left w:val="none" w:sz="0" w:space="0" w:color="auto"/>
        <w:bottom w:val="none" w:sz="0" w:space="0" w:color="auto"/>
        <w:right w:val="none" w:sz="0" w:space="0" w:color="auto"/>
      </w:divBdr>
    </w:div>
    <w:div w:id="425229202">
      <w:bodyDiv w:val="1"/>
      <w:marLeft w:val="0"/>
      <w:marRight w:val="0"/>
      <w:marTop w:val="0"/>
      <w:marBottom w:val="0"/>
      <w:divBdr>
        <w:top w:val="none" w:sz="0" w:space="0" w:color="auto"/>
        <w:left w:val="none" w:sz="0" w:space="0" w:color="auto"/>
        <w:bottom w:val="none" w:sz="0" w:space="0" w:color="auto"/>
        <w:right w:val="none" w:sz="0" w:space="0" w:color="auto"/>
      </w:divBdr>
    </w:div>
    <w:div w:id="425810069">
      <w:bodyDiv w:val="1"/>
      <w:marLeft w:val="0"/>
      <w:marRight w:val="0"/>
      <w:marTop w:val="0"/>
      <w:marBottom w:val="0"/>
      <w:divBdr>
        <w:top w:val="none" w:sz="0" w:space="0" w:color="auto"/>
        <w:left w:val="none" w:sz="0" w:space="0" w:color="auto"/>
        <w:bottom w:val="none" w:sz="0" w:space="0" w:color="auto"/>
        <w:right w:val="none" w:sz="0" w:space="0" w:color="auto"/>
      </w:divBdr>
    </w:div>
    <w:div w:id="426848789">
      <w:bodyDiv w:val="1"/>
      <w:marLeft w:val="0"/>
      <w:marRight w:val="0"/>
      <w:marTop w:val="0"/>
      <w:marBottom w:val="0"/>
      <w:divBdr>
        <w:top w:val="none" w:sz="0" w:space="0" w:color="auto"/>
        <w:left w:val="none" w:sz="0" w:space="0" w:color="auto"/>
        <w:bottom w:val="none" w:sz="0" w:space="0" w:color="auto"/>
        <w:right w:val="none" w:sz="0" w:space="0" w:color="auto"/>
      </w:divBdr>
    </w:div>
    <w:div w:id="438332223">
      <w:bodyDiv w:val="1"/>
      <w:marLeft w:val="0"/>
      <w:marRight w:val="0"/>
      <w:marTop w:val="0"/>
      <w:marBottom w:val="0"/>
      <w:divBdr>
        <w:top w:val="none" w:sz="0" w:space="0" w:color="auto"/>
        <w:left w:val="none" w:sz="0" w:space="0" w:color="auto"/>
        <w:bottom w:val="none" w:sz="0" w:space="0" w:color="auto"/>
        <w:right w:val="none" w:sz="0" w:space="0" w:color="auto"/>
      </w:divBdr>
    </w:div>
    <w:div w:id="438990508">
      <w:bodyDiv w:val="1"/>
      <w:marLeft w:val="0"/>
      <w:marRight w:val="0"/>
      <w:marTop w:val="0"/>
      <w:marBottom w:val="0"/>
      <w:divBdr>
        <w:top w:val="none" w:sz="0" w:space="0" w:color="auto"/>
        <w:left w:val="none" w:sz="0" w:space="0" w:color="auto"/>
        <w:bottom w:val="none" w:sz="0" w:space="0" w:color="auto"/>
        <w:right w:val="none" w:sz="0" w:space="0" w:color="auto"/>
      </w:divBdr>
    </w:div>
    <w:div w:id="443380682">
      <w:bodyDiv w:val="1"/>
      <w:marLeft w:val="0"/>
      <w:marRight w:val="0"/>
      <w:marTop w:val="0"/>
      <w:marBottom w:val="0"/>
      <w:divBdr>
        <w:top w:val="none" w:sz="0" w:space="0" w:color="auto"/>
        <w:left w:val="none" w:sz="0" w:space="0" w:color="auto"/>
        <w:bottom w:val="none" w:sz="0" w:space="0" w:color="auto"/>
        <w:right w:val="none" w:sz="0" w:space="0" w:color="auto"/>
      </w:divBdr>
    </w:div>
    <w:div w:id="444350087">
      <w:bodyDiv w:val="1"/>
      <w:marLeft w:val="0"/>
      <w:marRight w:val="0"/>
      <w:marTop w:val="0"/>
      <w:marBottom w:val="0"/>
      <w:divBdr>
        <w:top w:val="none" w:sz="0" w:space="0" w:color="auto"/>
        <w:left w:val="none" w:sz="0" w:space="0" w:color="auto"/>
        <w:bottom w:val="none" w:sz="0" w:space="0" w:color="auto"/>
        <w:right w:val="none" w:sz="0" w:space="0" w:color="auto"/>
      </w:divBdr>
    </w:div>
    <w:div w:id="446705273">
      <w:bodyDiv w:val="1"/>
      <w:marLeft w:val="0"/>
      <w:marRight w:val="0"/>
      <w:marTop w:val="0"/>
      <w:marBottom w:val="0"/>
      <w:divBdr>
        <w:top w:val="none" w:sz="0" w:space="0" w:color="auto"/>
        <w:left w:val="none" w:sz="0" w:space="0" w:color="auto"/>
        <w:bottom w:val="none" w:sz="0" w:space="0" w:color="auto"/>
        <w:right w:val="none" w:sz="0" w:space="0" w:color="auto"/>
      </w:divBdr>
    </w:div>
    <w:div w:id="453671981">
      <w:bodyDiv w:val="1"/>
      <w:marLeft w:val="0"/>
      <w:marRight w:val="0"/>
      <w:marTop w:val="0"/>
      <w:marBottom w:val="0"/>
      <w:divBdr>
        <w:top w:val="none" w:sz="0" w:space="0" w:color="auto"/>
        <w:left w:val="none" w:sz="0" w:space="0" w:color="auto"/>
        <w:bottom w:val="none" w:sz="0" w:space="0" w:color="auto"/>
        <w:right w:val="none" w:sz="0" w:space="0" w:color="auto"/>
      </w:divBdr>
    </w:div>
    <w:div w:id="455026907">
      <w:bodyDiv w:val="1"/>
      <w:marLeft w:val="0"/>
      <w:marRight w:val="0"/>
      <w:marTop w:val="0"/>
      <w:marBottom w:val="0"/>
      <w:divBdr>
        <w:top w:val="none" w:sz="0" w:space="0" w:color="auto"/>
        <w:left w:val="none" w:sz="0" w:space="0" w:color="auto"/>
        <w:bottom w:val="none" w:sz="0" w:space="0" w:color="auto"/>
        <w:right w:val="none" w:sz="0" w:space="0" w:color="auto"/>
      </w:divBdr>
    </w:div>
    <w:div w:id="458304438">
      <w:bodyDiv w:val="1"/>
      <w:marLeft w:val="0"/>
      <w:marRight w:val="0"/>
      <w:marTop w:val="0"/>
      <w:marBottom w:val="0"/>
      <w:divBdr>
        <w:top w:val="none" w:sz="0" w:space="0" w:color="auto"/>
        <w:left w:val="none" w:sz="0" w:space="0" w:color="auto"/>
        <w:bottom w:val="none" w:sz="0" w:space="0" w:color="auto"/>
        <w:right w:val="none" w:sz="0" w:space="0" w:color="auto"/>
      </w:divBdr>
    </w:div>
    <w:div w:id="460732238">
      <w:bodyDiv w:val="1"/>
      <w:marLeft w:val="0"/>
      <w:marRight w:val="0"/>
      <w:marTop w:val="0"/>
      <w:marBottom w:val="0"/>
      <w:divBdr>
        <w:top w:val="none" w:sz="0" w:space="0" w:color="auto"/>
        <w:left w:val="none" w:sz="0" w:space="0" w:color="auto"/>
        <w:bottom w:val="none" w:sz="0" w:space="0" w:color="auto"/>
        <w:right w:val="none" w:sz="0" w:space="0" w:color="auto"/>
      </w:divBdr>
    </w:div>
    <w:div w:id="462504447">
      <w:bodyDiv w:val="1"/>
      <w:marLeft w:val="0"/>
      <w:marRight w:val="0"/>
      <w:marTop w:val="0"/>
      <w:marBottom w:val="0"/>
      <w:divBdr>
        <w:top w:val="none" w:sz="0" w:space="0" w:color="auto"/>
        <w:left w:val="none" w:sz="0" w:space="0" w:color="auto"/>
        <w:bottom w:val="none" w:sz="0" w:space="0" w:color="auto"/>
        <w:right w:val="none" w:sz="0" w:space="0" w:color="auto"/>
      </w:divBdr>
    </w:div>
    <w:div w:id="463237561">
      <w:bodyDiv w:val="1"/>
      <w:marLeft w:val="0"/>
      <w:marRight w:val="0"/>
      <w:marTop w:val="0"/>
      <w:marBottom w:val="0"/>
      <w:divBdr>
        <w:top w:val="none" w:sz="0" w:space="0" w:color="auto"/>
        <w:left w:val="none" w:sz="0" w:space="0" w:color="auto"/>
        <w:bottom w:val="none" w:sz="0" w:space="0" w:color="auto"/>
        <w:right w:val="none" w:sz="0" w:space="0" w:color="auto"/>
      </w:divBdr>
    </w:div>
    <w:div w:id="466823526">
      <w:bodyDiv w:val="1"/>
      <w:marLeft w:val="0"/>
      <w:marRight w:val="0"/>
      <w:marTop w:val="0"/>
      <w:marBottom w:val="0"/>
      <w:divBdr>
        <w:top w:val="none" w:sz="0" w:space="0" w:color="auto"/>
        <w:left w:val="none" w:sz="0" w:space="0" w:color="auto"/>
        <w:bottom w:val="none" w:sz="0" w:space="0" w:color="auto"/>
        <w:right w:val="none" w:sz="0" w:space="0" w:color="auto"/>
      </w:divBdr>
    </w:div>
    <w:div w:id="467742618">
      <w:bodyDiv w:val="1"/>
      <w:marLeft w:val="0"/>
      <w:marRight w:val="0"/>
      <w:marTop w:val="0"/>
      <w:marBottom w:val="0"/>
      <w:divBdr>
        <w:top w:val="none" w:sz="0" w:space="0" w:color="auto"/>
        <w:left w:val="none" w:sz="0" w:space="0" w:color="auto"/>
        <w:bottom w:val="none" w:sz="0" w:space="0" w:color="auto"/>
        <w:right w:val="none" w:sz="0" w:space="0" w:color="auto"/>
      </w:divBdr>
    </w:div>
    <w:div w:id="468474877">
      <w:bodyDiv w:val="1"/>
      <w:marLeft w:val="0"/>
      <w:marRight w:val="0"/>
      <w:marTop w:val="0"/>
      <w:marBottom w:val="0"/>
      <w:divBdr>
        <w:top w:val="none" w:sz="0" w:space="0" w:color="auto"/>
        <w:left w:val="none" w:sz="0" w:space="0" w:color="auto"/>
        <w:bottom w:val="none" w:sz="0" w:space="0" w:color="auto"/>
        <w:right w:val="none" w:sz="0" w:space="0" w:color="auto"/>
      </w:divBdr>
    </w:div>
    <w:div w:id="468670089">
      <w:bodyDiv w:val="1"/>
      <w:marLeft w:val="0"/>
      <w:marRight w:val="0"/>
      <w:marTop w:val="0"/>
      <w:marBottom w:val="0"/>
      <w:divBdr>
        <w:top w:val="none" w:sz="0" w:space="0" w:color="auto"/>
        <w:left w:val="none" w:sz="0" w:space="0" w:color="auto"/>
        <w:bottom w:val="none" w:sz="0" w:space="0" w:color="auto"/>
        <w:right w:val="none" w:sz="0" w:space="0" w:color="auto"/>
      </w:divBdr>
    </w:div>
    <w:div w:id="469055263">
      <w:bodyDiv w:val="1"/>
      <w:marLeft w:val="0"/>
      <w:marRight w:val="0"/>
      <w:marTop w:val="0"/>
      <w:marBottom w:val="0"/>
      <w:divBdr>
        <w:top w:val="none" w:sz="0" w:space="0" w:color="auto"/>
        <w:left w:val="none" w:sz="0" w:space="0" w:color="auto"/>
        <w:bottom w:val="none" w:sz="0" w:space="0" w:color="auto"/>
        <w:right w:val="none" w:sz="0" w:space="0" w:color="auto"/>
      </w:divBdr>
    </w:div>
    <w:div w:id="469249793">
      <w:bodyDiv w:val="1"/>
      <w:marLeft w:val="0"/>
      <w:marRight w:val="0"/>
      <w:marTop w:val="0"/>
      <w:marBottom w:val="0"/>
      <w:divBdr>
        <w:top w:val="none" w:sz="0" w:space="0" w:color="auto"/>
        <w:left w:val="none" w:sz="0" w:space="0" w:color="auto"/>
        <w:bottom w:val="none" w:sz="0" w:space="0" w:color="auto"/>
        <w:right w:val="none" w:sz="0" w:space="0" w:color="auto"/>
      </w:divBdr>
    </w:div>
    <w:div w:id="470680751">
      <w:bodyDiv w:val="1"/>
      <w:marLeft w:val="0"/>
      <w:marRight w:val="0"/>
      <w:marTop w:val="0"/>
      <w:marBottom w:val="0"/>
      <w:divBdr>
        <w:top w:val="none" w:sz="0" w:space="0" w:color="auto"/>
        <w:left w:val="none" w:sz="0" w:space="0" w:color="auto"/>
        <w:bottom w:val="none" w:sz="0" w:space="0" w:color="auto"/>
        <w:right w:val="none" w:sz="0" w:space="0" w:color="auto"/>
      </w:divBdr>
    </w:div>
    <w:div w:id="472405839">
      <w:bodyDiv w:val="1"/>
      <w:marLeft w:val="0"/>
      <w:marRight w:val="0"/>
      <w:marTop w:val="0"/>
      <w:marBottom w:val="0"/>
      <w:divBdr>
        <w:top w:val="none" w:sz="0" w:space="0" w:color="auto"/>
        <w:left w:val="none" w:sz="0" w:space="0" w:color="auto"/>
        <w:bottom w:val="none" w:sz="0" w:space="0" w:color="auto"/>
        <w:right w:val="none" w:sz="0" w:space="0" w:color="auto"/>
      </w:divBdr>
    </w:div>
    <w:div w:id="475413569">
      <w:bodyDiv w:val="1"/>
      <w:marLeft w:val="0"/>
      <w:marRight w:val="0"/>
      <w:marTop w:val="0"/>
      <w:marBottom w:val="0"/>
      <w:divBdr>
        <w:top w:val="none" w:sz="0" w:space="0" w:color="auto"/>
        <w:left w:val="none" w:sz="0" w:space="0" w:color="auto"/>
        <w:bottom w:val="none" w:sz="0" w:space="0" w:color="auto"/>
        <w:right w:val="none" w:sz="0" w:space="0" w:color="auto"/>
      </w:divBdr>
    </w:div>
    <w:div w:id="479075582">
      <w:bodyDiv w:val="1"/>
      <w:marLeft w:val="0"/>
      <w:marRight w:val="0"/>
      <w:marTop w:val="0"/>
      <w:marBottom w:val="0"/>
      <w:divBdr>
        <w:top w:val="none" w:sz="0" w:space="0" w:color="auto"/>
        <w:left w:val="none" w:sz="0" w:space="0" w:color="auto"/>
        <w:bottom w:val="none" w:sz="0" w:space="0" w:color="auto"/>
        <w:right w:val="none" w:sz="0" w:space="0" w:color="auto"/>
      </w:divBdr>
    </w:div>
    <w:div w:id="479077526">
      <w:bodyDiv w:val="1"/>
      <w:marLeft w:val="0"/>
      <w:marRight w:val="0"/>
      <w:marTop w:val="0"/>
      <w:marBottom w:val="0"/>
      <w:divBdr>
        <w:top w:val="none" w:sz="0" w:space="0" w:color="auto"/>
        <w:left w:val="none" w:sz="0" w:space="0" w:color="auto"/>
        <w:bottom w:val="none" w:sz="0" w:space="0" w:color="auto"/>
        <w:right w:val="none" w:sz="0" w:space="0" w:color="auto"/>
      </w:divBdr>
    </w:div>
    <w:div w:id="481849775">
      <w:bodyDiv w:val="1"/>
      <w:marLeft w:val="0"/>
      <w:marRight w:val="0"/>
      <w:marTop w:val="0"/>
      <w:marBottom w:val="0"/>
      <w:divBdr>
        <w:top w:val="none" w:sz="0" w:space="0" w:color="auto"/>
        <w:left w:val="none" w:sz="0" w:space="0" w:color="auto"/>
        <w:bottom w:val="none" w:sz="0" w:space="0" w:color="auto"/>
        <w:right w:val="none" w:sz="0" w:space="0" w:color="auto"/>
      </w:divBdr>
    </w:div>
    <w:div w:id="483858092">
      <w:bodyDiv w:val="1"/>
      <w:marLeft w:val="0"/>
      <w:marRight w:val="0"/>
      <w:marTop w:val="0"/>
      <w:marBottom w:val="0"/>
      <w:divBdr>
        <w:top w:val="none" w:sz="0" w:space="0" w:color="auto"/>
        <w:left w:val="none" w:sz="0" w:space="0" w:color="auto"/>
        <w:bottom w:val="none" w:sz="0" w:space="0" w:color="auto"/>
        <w:right w:val="none" w:sz="0" w:space="0" w:color="auto"/>
      </w:divBdr>
    </w:div>
    <w:div w:id="485248518">
      <w:bodyDiv w:val="1"/>
      <w:marLeft w:val="0"/>
      <w:marRight w:val="0"/>
      <w:marTop w:val="0"/>
      <w:marBottom w:val="0"/>
      <w:divBdr>
        <w:top w:val="none" w:sz="0" w:space="0" w:color="auto"/>
        <w:left w:val="none" w:sz="0" w:space="0" w:color="auto"/>
        <w:bottom w:val="none" w:sz="0" w:space="0" w:color="auto"/>
        <w:right w:val="none" w:sz="0" w:space="0" w:color="auto"/>
      </w:divBdr>
    </w:div>
    <w:div w:id="485974942">
      <w:bodyDiv w:val="1"/>
      <w:marLeft w:val="0"/>
      <w:marRight w:val="0"/>
      <w:marTop w:val="0"/>
      <w:marBottom w:val="0"/>
      <w:divBdr>
        <w:top w:val="none" w:sz="0" w:space="0" w:color="auto"/>
        <w:left w:val="none" w:sz="0" w:space="0" w:color="auto"/>
        <w:bottom w:val="none" w:sz="0" w:space="0" w:color="auto"/>
        <w:right w:val="none" w:sz="0" w:space="0" w:color="auto"/>
      </w:divBdr>
    </w:div>
    <w:div w:id="487674886">
      <w:bodyDiv w:val="1"/>
      <w:marLeft w:val="0"/>
      <w:marRight w:val="0"/>
      <w:marTop w:val="0"/>
      <w:marBottom w:val="0"/>
      <w:divBdr>
        <w:top w:val="none" w:sz="0" w:space="0" w:color="auto"/>
        <w:left w:val="none" w:sz="0" w:space="0" w:color="auto"/>
        <w:bottom w:val="none" w:sz="0" w:space="0" w:color="auto"/>
        <w:right w:val="none" w:sz="0" w:space="0" w:color="auto"/>
      </w:divBdr>
    </w:div>
    <w:div w:id="489105647">
      <w:bodyDiv w:val="1"/>
      <w:marLeft w:val="0"/>
      <w:marRight w:val="0"/>
      <w:marTop w:val="0"/>
      <w:marBottom w:val="0"/>
      <w:divBdr>
        <w:top w:val="none" w:sz="0" w:space="0" w:color="auto"/>
        <w:left w:val="none" w:sz="0" w:space="0" w:color="auto"/>
        <w:bottom w:val="none" w:sz="0" w:space="0" w:color="auto"/>
        <w:right w:val="none" w:sz="0" w:space="0" w:color="auto"/>
      </w:divBdr>
    </w:div>
    <w:div w:id="489710979">
      <w:bodyDiv w:val="1"/>
      <w:marLeft w:val="0"/>
      <w:marRight w:val="0"/>
      <w:marTop w:val="0"/>
      <w:marBottom w:val="0"/>
      <w:divBdr>
        <w:top w:val="none" w:sz="0" w:space="0" w:color="auto"/>
        <w:left w:val="none" w:sz="0" w:space="0" w:color="auto"/>
        <w:bottom w:val="none" w:sz="0" w:space="0" w:color="auto"/>
        <w:right w:val="none" w:sz="0" w:space="0" w:color="auto"/>
      </w:divBdr>
    </w:div>
    <w:div w:id="491067930">
      <w:bodyDiv w:val="1"/>
      <w:marLeft w:val="0"/>
      <w:marRight w:val="0"/>
      <w:marTop w:val="0"/>
      <w:marBottom w:val="0"/>
      <w:divBdr>
        <w:top w:val="none" w:sz="0" w:space="0" w:color="auto"/>
        <w:left w:val="none" w:sz="0" w:space="0" w:color="auto"/>
        <w:bottom w:val="none" w:sz="0" w:space="0" w:color="auto"/>
        <w:right w:val="none" w:sz="0" w:space="0" w:color="auto"/>
      </w:divBdr>
    </w:div>
    <w:div w:id="496193345">
      <w:bodyDiv w:val="1"/>
      <w:marLeft w:val="0"/>
      <w:marRight w:val="0"/>
      <w:marTop w:val="0"/>
      <w:marBottom w:val="0"/>
      <w:divBdr>
        <w:top w:val="none" w:sz="0" w:space="0" w:color="auto"/>
        <w:left w:val="none" w:sz="0" w:space="0" w:color="auto"/>
        <w:bottom w:val="none" w:sz="0" w:space="0" w:color="auto"/>
        <w:right w:val="none" w:sz="0" w:space="0" w:color="auto"/>
      </w:divBdr>
    </w:div>
    <w:div w:id="496458003">
      <w:bodyDiv w:val="1"/>
      <w:marLeft w:val="0"/>
      <w:marRight w:val="0"/>
      <w:marTop w:val="0"/>
      <w:marBottom w:val="0"/>
      <w:divBdr>
        <w:top w:val="none" w:sz="0" w:space="0" w:color="auto"/>
        <w:left w:val="none" w:sz="0" w:space="0" w:color="auto"/>
        <w:bottom w:val="none" w:sz="0" w:space="0" w:color="auto"/>
        <w:right w:val="none" w:sz="0" w:space="0" w:color="auto"/>
      </w:divBdr>
    </w:div>
    <w:div w:id="502478021">
      <w:bodyDiv w:val="1"/>
      <w:marLeft w:val="0"/>
      <w:marRight w:val="0"/>
      <w:marTop w:val="0"/>
      <w:marBottom w:val="0"/>
      <w:divBdr>
        <w:top w:val="none" w:sz="0" w:space="0" w:color="auto"/>
        <w:left w:val="none" w:sz="0" w:space="0" w:color="auto"/>
        <w:bottom w:val="none" w:sz="0" w:space="0" w:color="auto"/>
        <w:right w:val="none" w:sz="0" w:space="0" w:color="auto"/>
      </w:divBdr>
    </w:div>
    <w:div w:id="504980670">
      <w:bodyDiv w:val="1"/>
      <w:marLeft w:val="0"/>
      <w:marRight w:val="0"/>
      <w:marTop w:val="0"/>
      <w:marBottom w:val="0"/>
      <w:divBdr>
        <w:top w:val="none" w:sz="0" w:space="0" w:color="auto"/>
        <w:left w:val="none" w:sz="0" w:space="0" w:color="auto"/>
        <w:bottom w:val="none" w:sz="0" w:space="0" w:color="auto"/>
        <w:right w:val="none" w:sz="0" w:space="0" w:color="auto"/>
      </w:divBdr>
    </w:div>
    <w:div w:id="506289299">
      <w:bodyDiv w:val="1"/>
      <w:marLeft w:val="0"/>
      <w:marRight w:val="0"/>
      <w:marTop w:val="0"/>
      <w:marBottom w:val="0"/>
      <w:divBdr>
        <w:top w:val="none" w:sz="0" w:space="0" w:color="auto"/>
        <w:left w:val="none" w:sz="0" w:space="0" w:color="auto"/>
        <w:bottom w:val="none" w:sz="0" w:space="0" w:color="auto"/>
        <w:right w:val="none" w:sz="0" w:space="0" w:color="auto"/>
      </w:divBdr>
    </w:div>
    <w:div w:id="506331491">
      <w:bodyDiv w:val="1"/>
      <w:marLeft w:val="0"/>
      <w:marRight w:val="0"/>
      <w:marTop w:val="0"/>
      <w:marBottom w:val="0"/>
      <w:divBdr>
        <w:top w:val="none" w:sz="0" w:space="0" w:color="auto"/>
        <w:left w:val="none" w:sz="0" w:space="0" w:color="auto"/>
        <w:bottom w:val="none" w:sz="0" w:space="0" w:color="auto"/>
        <w:right w:val="none" w:sz="0" w:space="0" w:color="auto"/>
      </w:divBdr>
    </w:div>
    <w:div w:id="506478924">
      <w:bodyDiv w:val="1"/>
      <w:marLeft w:val="0"/>
      <w:marRight w:val="0"/>
      <w:marTop w:val="0"/>
      <w:marBottom w:val="0"/>
      <w:divBdr>
        <w:top w:val="none" w:sz="0" w:space="0" w:color="auto"/>
        <w:left w:val="none" w:sz="0" w:space="0" w:color="auto"/>
        <w:bottom w:val="none" w:sz="0" w:space="0" w:color="auto"/>
        <w:right w:val="none" w:sz="0" w:space="0" w:color="auto"/>
      </w:divBdr>
    </w:div>
    <w:div w:id="506598962">
      <w:bodyDiv w:val="1"/>
      <w:marLeft w:val="0"/>
      <w:marRight w:val="0"/>
      <w:marTop w:val="0"/>
      <w:marBottom w:val="0"/>
      <w:divBdr>
        <w:top w:val="none" w:sz="0" w:space="0" w:color="auto"/>
        <w:left w:val="none" w:sz="0" w:space="0" w:color="auto"/>
        <w:bottom w:val="none" w:sz="0" w:space="0" w:color="auto"/>
        <w:right w:val="none" w:sz="0" w:space="0" w:color="auto"/>
      </w:divBdr>
    </w:div>
    <w:div w:id="506748337">
      <w:bodyDiv w:val="1"/>
      <w:marLeft w:val="0"/>
      <w:marRight w:val="0"/>
      <w:marTop w:val="0"/>
      <w:marBottom w:val="0"/>
      <w:divBdr>
        <w:top w:val="none" w:sz="0" w:space="0" w:color="auto"/>
        <w:left w:val="none" w:sz="0" w:space="0" w:color="auto"/>
        <w:bottom w:val="none" w:sz="0" w:space="0" w:color="auto"/>
        <w:right w:val="none" w:sz="0" w:space="0" w:color="auto"/>
      </w:divBdr>
    </w:div>
    <w:div w:id="507788651">
      <w:bodyDiv w:val="1"/>
      <w:marLeft w:val="0"/>
      <w:marRight w:val="0"/>
      <w:marTop w:val="0"/>
      <w:marBottom w:val="0"/>
      <w:divBdr>
        <w:top w:val="none" w:sz="0" w:space="0" w:color="auto"/>
        <w:left w:val="none" w:sz="0" w:space="0" w:color="auto"/>
        <w:bottom w:val="none" w:sz="0" w:space="0" w:color="auto"/>
        <w:right w:val="none" w:sz="0" w:space="0" w:color="auto"/>
      </w:divBdr>
    </w:div>
    <w:div w:id="511455465">
      <w:bodyDiv w:val="1"/>
      <w:marLeft w:val="0"/>
      <w:marRight w:val="0"/>
      <w:marTop w:val="0"/>
      <w:marBottom w:val="0"/>
      <w:divBdr>
        <w:top w:val="none" w:sz="0" w:space="0" w:color="auto"/>
        <w:left w:val="none" w:sz="0" w:space="0" w:color="auto"/>
        <w:bottom w:val="none" w:sz="0" w:space="0" w:color="auto"/>
        <w:right w:val="none" w:sz="0" w:space="0" w:color="auto"/>
      </w:divBdr>
    </w:div>
    <w:div w:id="511578106">
      <w:bodyDiv w:val="1"/>
      <w:marLeft w:val="0"/>
      <w:marRight w:val="0"/>
      <w:marTop w:val="0"/>
      <w:marBottom w:val="0"/>
      <w:divBdr>
        <w:top w:val="none" w:sz="0" w:space="0" w:color="auto"/>
        <w:left w:val="none" w:sz="0" w:space="0" w:color="auto"/>
        <w:bottom w:val="none" w:sz="0" w:space="0" w:color="auto"/>
        <w:right w:val="none" w:sz="0" w:space="0" w:color="auto"/>
      </w:divBdr>
    </w:div>
    <w:div w:id="512257549">
      <w:bodyDiv w:val="1"/>
      <w:marLeft w:val="0"/>
      <w:marRight w:val="0"/>
      <w:marTop w:val="0"/>
      <w:marBottom w:val="0"/>
      <w:divBdr>
        <w:top w:val="none" w:sz="0" w:space="0" w:color="auto"/>
        <w:left w:val="none" w:sz="0" w:space="0" w:color="auto"/>
        <w:bottom w:val="none" w:sz="0" w:space="0" w:color="auto"/>
        <w:right w:val="none" w:sz="0" w:space="0" w:color="auto"/>
      </w:divBdr>
    </w:div>
    <w:div w:id="516382900">
      <w:bodyDiv w:val="1"/>
      <w:marLeft w:val="0"/>
      <w:marRight w:val="0"/>
      <w:marTop w:val="0"/>
      <w:marBottom w:val="0"/>
      <w:divBdr>
        <w:top w:val="none" w:sz="0" w:space="0" w:color="auto"/>
        <w:left w:val="none" w:sz="0" w:space="0" w:color="auto"/>
        <w:bottom w:val="none" w:sz="0" w:space="0" w:color="auto"/>
        <w:right w:val="none" w:sz="0" w:space="0" w:color="auto"/>
      </w:divBdr>
    </w:div>
    <w:div w:id="517155482">
      <w:bodyDiv w:val="1"/>
      <w:marLeft w:val="0"/>
      <w:marRight w:val="0"/>
      <w:marTop w:val="0"/>
      <w:marBottom w:val="0"/>
      <w:divBdr>
        <w:top w:val="none" w:sz="0" w:space="0" w:color="auto"/>
        <w:left w:val="none" w:sz="0" w:space="0" w:color="auto"/>
        <w:bottom w:val="none" w:sz="0" w:space="0" w:color="auto"/>
        <w:right w:val="none" w:sz="0" w:space="0" w:color="auto"/>
      </w:divBdr>
    </w:div>
    <w:div w:id="521167457">
      <w:bodyDiv w:val="1"/>
      <w:marLeft w:val="0"/>
      <w:marRight w:val="0"/>
      <w:marTop w:val="0"/>
      <w:marBottom w:val="0"/>
      <w:divBdr>
        <w:top w:val="none" w:sz="0" w:space="0" w:color="auto"/>
        <w:left w:val="none" w:sz="0" w:space="0" w:color="auto"/>
        <w:bottom w:val="none" w:sz="0" w:space="0" w:color="auto"/>
        <w:right w:val="none" w:sz="0" w:space="0" w:color="auto"/>
      </w:divBdr>
    </w:div>
    <w:div w:id="522087497">
      <w:bodyDiv w:val="1"/>
      <w:marLeft w:val="0"/>
      <w:marRight w:val="0"/>
      <w:marTop w:val="0"/>
      <w:marBottom w:val="0"/>
      <w:divBdr>
        <w:top w:val="none" w:sz="0" w:space="0" w:color="auto"/>
        <w:left w:val="none" w:sz="0" w:space="0" w:color="auto"/>
        <w:bottom w:val="none" w:sz="0" w:space="0" w:color="auto"/>
        <w:right w:val="none" w:sz="0" w:space="0" w:color="auto"/>
      </w:divBdr>
    </w:div>
    <w:div w:id="524637436">
      <w:bodyDiv w:val="1"/>
      <w:marLeft w:val="0"/>
      <w:marRight w:val="0"/>
      <w:marTop w:val="0"/>
      <w:marBottom w:val="0"/>
      <w:divBdr>
        <w:top w:val="none" w:sz="0" w:space="0" w:color="auto"/>
        <w:left w:val="none" w:sz="0" w:space="0" w:color="auto"/>
        <w:bottom w:val="none" w:sz="0" w:space="0" w:color="auto"/>
        <w:right w:val="none" w:sz="0" w:space="0" w:color="auto"/>
      </w:divBdr>
    </w:div>
    <w:div w:id="524828192">
      <w:bodyDiv w:val="1"/>
      <w:marLeft w:val="0"/>
      <w:marRight w:val="0"/>
      <w:marTop w:val="0"/>
      <w:marBottom w:val="0"/>
      <w:divBdr>
        <w:top w:val="none" w:sz="0" w:space="0" w:color="auto"/>
        <w:left w:val="none" w:sz="0" w:space="0" w:color="auto"/>
        <w:bottom w:val="none" w:sz="0" w:space="0" w:color="auto"/>
        <w:right w:val="none" w:sz="0" w:space="0" w:color="auto"/>
      </w:divBdr>
    </w:div>
    <w:div w:id="525097343">
      <w:bodyDiv w:val="1"/>
      <w:marLeft w:val="0"/>
      <w:marRight w:val="0"/>
      <w:marTop w:val="0"/>
      <w:marBottom w:val="0"/>
      <w:divBdr>
        <w:top w:val="none" w:sz="0" w:space="0" w:color="auto"/>
        <w:left w:val="none" w:sz="0" w:space="0" w:color="auto"/>
        <w:bottom w:val="none" w:sz="0" w:space="0" w:color="auto"/>
        <w:right w:val="none" w:sz="0" w:space="0" w:color="auto"/>
      </w:divBdr>
    </w:div>
    <w:div w:id="526918129">
      <w:bodyDiv w:val="1"/>
      <w:marLeft w:val="0"/>
      <w:marRight w:val="0"/>
      <w:marTop w:val="0"/>
      <w:marBottom w:val="0"/>
      <w:divBdr>
        <w:top w:val="none" w:sz="0" w:space="0" w:color="auto"/>
        <w:left w:val="none" w:sz="0" w:space="0" w:color="auto"/>
        <w:bottom w:val="none" w:sz="0" w:space="0" w:color="auto"/>
        <w:right w:val="none" w:sz="0" w:space="0" w:color="auto"/>
      </w:divBdr>
    </w:div>
    <w:div w:id="529032823">
      <w:bodyDiv w:val="1"/>
      <w:marLeft w:val="0"/>
      <w:marRight w:val="0"/>
      <w:marTop w:val="0"/>
      <w:marBottom w:val="0"/>
      <w:divBdr>
        <w:top w:val="none" w:sz="0" w:space="0" w:color="auto"/>
        <w:left w:val="none" w:sz="0" w:space="0" w:color="auto"/>
        <w:bottom w:val="none" w:sz="0" w:space="0" w:color="auto"/>
        <w:right w:val="none" w:sz="0" w:space="0" w:color="auto"/>
      </w:divBdr>
    </w:div>
    <w:div w:id="537474928">
      <w:bodyDiv w:val="1"/>
      <w:marLeft w:val="0"/>
      <w:marRight w:val="0"/>
      <w:marTop w:val="0"/>
      <w:marBottom w:val="0"/>
      <w:divBdr>
        <w:top w:val="none" w:sz="0" w:space="0" w:color="auto"/>
        <w:left w:val="none" w:sz="0" w:space="0" w:color="auto"/>
        <w:bottom w:val="none" w:sz="0" w:space="0" w:color="auto"/>
        <w:right w:val="none" w:sz="0" w:space="0" w:color="auto"/>
      </w:divBdr>
    </w:div>
    <w:div w:id="537476609">
      <w:bodyDiv w:val="1"/>
      <w:marLeft w:val="0"/>
      <w:marRight w:val="0"/>
      <w:marTop w:val="0"/>
      <w:marBottom w:val="0"/>
      <w:divBdr>
        <w:top w:val="none" w:sz="0" w:space="0" w:color="auto"/>
        <w:left w:val="none" w:sz="0" w:space="0" w:color="auto"/>
        <w:bottom w:val="none" w:sz="0" w:space="0" w:color="auto"/>
        <w:right w:val="none" w:sz="0" w:space="0" w:color="auto"/>
      </w:divBdr>
    </w:div>
    <w:div w:id="539241317">
      <w:bodyDiv w:val="1"/>
      <w:marLeft w:val="0"/>
      <w:marRight w:val="0"/>
      <w:marTop w:val="0"/>
      <w:marBottom w:val="0"/>
      <w:divBdr>
        <w:top w:val="none" w:sz="0" w:space="0" w:color="auto"/>
        <w:left w:val="none" w:sz="0" w:space="0" w:color="auto"/>
        <w:bottom w:val="none" w:sz="0" w:space="0" w:color="auto"/>
        <w:right w:val="none" w:sz="0" w:space="0" w:color="auto"/>
      </w:divBdr>
    </w:div>
    <w:div w:id="540172859">
      <w:bodyDiv w:val="1"/>
      <w:marLeft w:val="0"/>
      <w:marRight w:val="0"/>
      <w:marTop w:val="0"/>
      <w:marBottom w:val="0"/>
      <w:divBdr>
        <w:top w:val="none" w:sz="0" w:space="0" w:color="auto"/>
        <w:left w:val="none" w:sz="0" w:space="0" w:color="auto"/>
        <w:bottom w:val="none" w:sz="0" w:space="0" w:color="auto"/>
        <w:right w:val="none" w:sz="0" w:space="0" w:color="auto"/>
      </w:divBdr>
    </w:div>
    <w:div w:id="541791799">
      <w:bodyDiv w:val="1"/>
      <w:marLeft w:val="0"/>
      <w:marRight w:val="0"/>
      <w:marTop w:val="0"/>
      <w:marBottom w:val="0"/>
      <w:divBdr>
        <w:top w:val="none" w:sz="0" w:space="0" w:color="auto"/>
        <w:left w:val="none" w:sz="0" w:space="0" w:color="auto"/>
        <w:bottom w:val="none" w:sz="0" w:space="0" w:color="auto"/>
        <w:right w:val="none" w:sz="0" w:space="0" w:color="auto"/>
      </w:divBdr>
    </w:div>
    <w:div w:id="547769037">
      <w:bodyDiv w:val="1"/>
      <w:marLeft w:val="0"/>
      <w:marRight w:val="0"/>
      <w:marTop w:val="0"/>
      <w:marBottom w:val="0"/>
      <w:divBdr>
        <w:top w:val="none" w:sz="0" w:space="0" w:color="auto"/>
        <w:left w:val="none" w:sz="0" w:space="0" w:color="auto"/>
        <w:bottom w:val="none" w:sz="0" w:space="0" w:color="auto"/>
        <w:right w:val="none" w:sz="0" w:space="0" w:color="auto"/>
      </w:divBdr>
    </w:div>
    <w:div w:id="550267000">
      <w:bodyDiv w:val="1"/>
      <w:marLeft w:val="0"/>
      <w:marRight w:val="0"/>
      <w:marTop w:val="0"/>
      <w:marBottom w:val="0"/>
      <w:divBdr>
        <w:top w:val="none" w:sz="0" w:space="0" w:color="auto"/>
        <w:left w:val="none" w:sz="0" w:space="0" w:color="auto"/>
        <w:bottom w:val="none" w:sz="0" w:space="0" w:color="auto"/>
        <w:right w:val="none" w:sz="0" w:space="0" w:color="auto"/>
      </w:divBdr>
    </w:div>
    <w:div w:id="552426224">
      <w:bodyDiv w:val="1"/>
      <w:marLeft w:val="0"/>
      <w:marRight w:val="0"/>
      <w:marTop w:val="0"/>
      <w:marBottom w:val="0"/>
      <w:divBdr>
        <w:top w:val="none" w:sz="0" w:space="0" w:color="auto"/>
        <w:left w:val="none" w:sz="0" w:space="0" w:color="auto"/>
        <w:bottom w:val="none" w:sz="0" w:space="0" w:color="auto"/>
        <w:right w:val="none" w:sz="0" w:space="0" w:color="auto"/>
      </w:divBdr>
    </w:div>
    <w:div w:id="553203917">
      <w:bodyDiv w:val="1"/>
      <w:marLeft w:val="0"/>
      <w:marRight w:val="0"/>
      <w:marTop w:val="0"/>
      <w:marBottom w:val="0"/>
      <w:divBdr>
        <w:top w:val="none" w:sz="0" w:space="0" w:color="auto"/>
        <w:left w:val="none" w:sz="0" w:space="0" w:color="auto"/>
        <w:bottom w:val="none" w:sz="0" w:space="0" w:color="auto"/>
        <w:right w:val="none" w:sz="0" w:space="0" w:color="auto"/>
      </w:divBdr>
    </w:div>
    <w:div w:id="565067554">
      <w:bodyDiv w:val="1"/>
      <w:marLeft w:val="0"/>
      <w:marRight w:val="0"/>
      <w:marTop w:val="0"/>
      <w:marBottom w:val="0"/>
      <w:divBdr>
        <w:top w:val="none" w:sz="0" w:space="0" w:color="auto"/>
        <w:left w:val="none" w:sz="0" w:space="0" w:color="auto"/>
        <w:bottom w:val="none" w:sz="0" w:space="0" w:color="auto"/>
        <w:right w:val="none" w:sz="0" w:space="0" w:color="auto"/>
      </w:divBdr>
    </w:div>
    <w:div w:id="565186015">
      <w:bodyDiv w:val="1"/>
      <w:marLeft w:val="0"/>
      <w:marRight w:val="0"/>
      <w:marTop w:val="0"/>
      <w:marBottom w:val="0"/>
      <w:divBdr>
        <w:top w:val="none" w:sz="0" w:space="0" w:color="auto"/>
        <w:left w:val="none" w:sz="0" w:space="0" w:color="auto"/>
        <w:bottom w:val="none" w:sz="0" w:space="0" w:color="auto"/>
        <w:right w:val="none" w:sz="0" w:space="0" w:color="auto"/>
      </w:divBdr>
    </w:div>
    <w:div w:id="572469603">
      <w:bodyDiv w:val="1"/>
      <w:marLeft w:val="0"/>
      <w:marRight w:val="0"/>
      <w:marTop w:val="0"/>
      <w:marBottom w:val="0"/>
      <w:divBdr>
        <w:top w:val="none" w:sz="0" w:space="0" w:color="auto"/>
        <w:left w:val="none" w:sz="0" w:space="0" w:color="auto"/>
        <w:bottom w:val="none" w:sz="0" w:space="0" w:color="auto"/>
        <w:right w:val="none" w:sz="0" w:space="0" w:color="auto"/>
      </w:divBdr>
    </w:div>
    <w:div w:id="572668434">
      <w:bodyDiv w:val="1"/>
      <w:marLeft w:val="0"/>
      <w:marRight w:val="0"/>
      <w:marTop w:val="0"/>
      <w:marBottom w:val="0"/>
      <w:divBdr>
        <w:top w:val="none" w:sz="0" w:space="0" w:color="auto"/>
        <w:left w:val="none" w:sz="0" w:space="0" w:color="auto"/>
        <w:bottom w:val="none" w:sz="0" w:space="0" w:color="auto"/>
        <w:right w:val="none" w:sz="0" w:space="0" w:color="auto"/>
      </w:divBdr>
    </w:div>
    <w:div w:id="573324302">
      <w:bodyDiv w:val="1"/>
      <w:marLeft w:val="0"/>
      <w:marRight w:val="0"/>
      <w:marTop w:val="0"/>
      <w:marBottom w:val="0"/>
      <w:divBdr>
        <w:top w:val="none" w:sz="0" w:space="0" w:color="auto"/>
        <w:left w:val="none" w:sz="0" w:space="0" w:color="auto"/>
        <w:bottom w:val="none" w:sz="0" w:space="0" w:color="auto"/>
        <w:right w:val="none" w:sz="0" w:space="0" w:color="auto"/>
      </w:divBdr>
    </w:div>
    <w:div w:id="574822407">
      <w:bodyDiv w:val="1"/>
      <w:marLeft w:val="0"/>
      <w:marRight w:val="0"/>
      <w:marTop w:val="0"/>
      <w:marBottom w:val="0"/>
      <w:divBdr>
        <w:top w:val="none" w:sz="0" w:space="0" w:color="auto"/>
        <w:left w:val="none" w:sz="0" w:space="0" w:color="auto"/>
        <w:bottom w:val="none" w:sz="0" w:space="0" w:color="auto"/>
        <w:right w:val="none" w:sz="0" w:space="0" w:color="auto"/>
      </w:divBdr>
    </w:div>
    <w:div w:id="575552523">
      <w:bodyDiv w:val="1"/>
      <w:marLeft w:val="0"/>
      <w:marRight w:val="0"/>
      <w:marTop w:val="0"/>
      <w:marBottom w:val="0"/>
      <w:divBdr>
        <w:top w:val="none" w:sz="0" w:space="0" w:color="auto"/>
        <w:left w:val="none" w:sz="0" w:space="0" w:color="auto"/>
        <w:bottom w:val="none" w:sz="0" w:space="0" w:color="auto"/>
        <w:right w:val="none" w:sz="0" w:space="0" w:color="auto"/>
      </w:divBdr>
    </w:div>
    <w:div w:id="577325118">
      <w:bodyDiv w:val="1"/>
      <w:marLeft w:val="0"/>
      <w:marRight w:val="0"/>
      <w:marTop w:val="0"/>
      <w:marBottom w:val="0"/>
      <w:divBdr>
        <w:top w:val="none" w:sz="0" w:space="0" w:color="auto"/>
        <w:left w:val="none" w:sz="0" w:space="0" w:color="auto"/>
        <w:bottom w:val="none" w:sz="0" w:space="0" w:color="auto"/>
        <w:right w:val="none" w:sz="0" w:space="0" w:color="auto"/>
      </w:divBdr>
    </w:div>
    <w:div w:id="577598904">
      <w:bodyDiv w:val="1"/>
      <w:marLeft w:val="0"/>
      <w:marRight w:val="0"/>
      <w:marTop w:val="0"/>
      <w:marBottom w:val="0"/>
      <w:divBdr>
        <w:top w:val="none" w:sz="0" w:space="0" w:color="auto"/>
        <w:left w:val="none" w:sz="0" w:space="0" w:color="auto"/>
        <w:bottom w:val="none" w:sz="0" w:space="0" w:color="auto"/>
        <w:right w:val="none" w:sz="0" w:space="0" w:color="auto"/>
      </w:divBdr>
    </w:div>
    <w:div w:id="579675753">
      <w:bodyDiv w:val="1"/>
      <w:marLeft w:val="0"/>
      <w:marRight w:val="0"/>
      <w:marTop w:val="0"/>
      <w:marBottom w:val="0"/>
      <w:divBdr>
        <w:top w:val="none" w:sz="0" w:space="0" w:color="auto"/>
        <w:left w:val="none" w:sz="0" w:space="0" w:color="auto"/>
        <w:bottom w:val="none" w:sz="0" w:space="0" w:color="auto"/>
        <w:right w:val="none" w:sz="0" w:space="0" w:color="auto"/>
      </w:divBdr>
    </w:div>
    <w:div w:id="582182151">
      <w:bodyDiv w:val="1"/>
      <w:marLeft w:val="0"/>
      <w:marRight w:val="0"/>
      <w:marTop w:val="0"/>
      <w:marBottom w:val="0"/>
      <w:divBdr>
        <w:top w:val="none" w:sz="0" w:space="0" w:color="auto"/>
        <w:left w:val="none" w:sz="0" w:space="0" w:color="auto"/>
        <w:bottom w:val="none" w:sz="0" w:space="0" w:color="auto"/>
        <w:right w:val="none" w:sz="0" w:space="0" w:color="auto"/>
      </w:divBdr>
    </w:div>
    <w:div w:id="582305013">
      <w:bodyDiv w:val="1"/>
      <w:marLeft w:val="0"/>
      <w:marRight w:val="0"/>
      <w:marTop w:val="0"/>
      <w:marBottom w:val="0"/>
      <w:divBdr>
        <w:top w:val="none" w:sz="0" w:space="0" w:color="auto"/>
        <w:left w:val="none" w:sz="0" w:space="0" w:color="auto"/>
        <w:bottom w:val="none" w:sz="0" w:space="0" w:color="auto"/>
        <w:right w:val="none" w:sz="0" w:space="0" w:color="auto"/>
      </w:divBdr>
    </w:div>
    <w:div w:id="583804904">
      <w:bodyDiv w:val="1"/>
      <w:marLeft w:val="0"/>
      <w:marRight w:val="0"/>
      <w:marTop w:val="0"/>
      <w:marBottom w:val="0"/>
      <w:divBdr>
        <w:top w:val="none" w:sz="0" w:space="0" w:color="auto"/>
        <w:left w:val="none" w:sz="0" w:space="0" w:color="auto"/>
        <w:bottom w:val="none" w:sz="0" w:space="0" w:color="auto"/>
        <w:right w:val="none" w:sz="0" w:space="0" w:color="auto"/>
      </w:divBdr>
    </w:div>
    <w:div w:id="588926145">
      <w:bodyDiv w:val="1"/>
      <w:marLeft w:val="0"/>
      <w:marRight w:val="0"/>
      <w:marTop w:val="0"/>
      <w:marBottom w:val="0"/>
      <w:divBdr>
        <w:top w:val="none" w:sz="0" w:space="0" w:color="auto"/>
        <w:left w:val="none" w:sz="0" w:space="0" w:color="auto"/>
        <w:bottom w:val="none" w:sz="0" w:space="0" w:color="auto"/>
        <w:right w:val="none" w:sz="0" w:space="0" w:color="auto"/>
      </w:divBdr>
    </w:div>
    <w:div w:id="589240074">
      <w:bodyDiv w:val="1"/>
      <w:marLeft w:val="0"/>
      <w:marRight w:val="0"/>
      <w:marTop w:val="0"/>
      <w:marBottom w:val="0"/>
      <w:divBdr>
        <w:top w:val="none" w:sz="0" w:space="0" w:color="auto"/>
        <w:left w:val="none" w:sz="0" w:space="0" w:color="auto"/>
        <w:bottom w:val="none" w:sz="0" w:space="0" w:color="auto"/>
        <w:right w:val="none" w:sz="0" w:space="0" w:color="auto"/>
      </w:divBdr>
    </w:div>
    <w:div w:id="589508967">
      <w:bodyDiv w:val="1"/>
      <w:marLeft w:val="0"/>
      <w:marRight w:val="0"/>
      <w:marTop w:val="0"/>
      <w:marBottom w:val="0"/>
      <w:divBdr>
        <w:top w:val="none" w:sz="0" w:space="0" w:color="auto"/>
        <w:left w:val="none" w:sz="0" w:space="0" w:color="auto"/>
        <w:bottom w:val="none" w:sz="0" w:space="0" w:color="auto"/>
        <w:right w:val="none" w:sz="0" w:space="0" w:color="auto"/>
      </w:divBdr>
    </w:div>
    <w:div w:id="594048330">
      <w:bodyDiv w:val="1"/>
      <w:marLeft w:val="0"/>
      <w:marRight w:val="0"/>
      <w:marTop w:val="0"/>
      <w:marBottom w:val="0"/>
      <w:divBdr>
        <w:top w:val="none" w:sz="0" w:space="0" w:color="auto"/>
        <w:left w:val="none" w:sz="0" w:space="0" w:color="auto"/>
        <w:bottom w:val="none" w:sz="0" w:space="0" w:color="auto"/>
        <w:right w:val="none" w:sz="0" w:space="0" w:color="auto"/>
      </w:divBdr>
    </w:div>
    <w:div w:id="595674890">
      <w:bodyDiv w:val="1"/>
      <w:marLeft w:val="0"/>
      <w:marRight w:val="0"/>
      <w:marTop w:val="0"/>
      <w:marBottom w:val="0"/>
      <w:divBdr>
        <w:top w:val="none" w:sz="0" w:space="0" w:color="auto"/>
        <w:left w:val="none" w:sz="0" w:space="0" w:color="auto"/>
        <w:bottom w:val="none" w:sz="0" w:space="0" w:color="auto"/>
        <w:right w:val="none" w:sz="0" w:space="0" w:color="auto"/>
      </w:divBdr>
    </w:div>
    <w:div w:id="596254120">
      <w:bodyDiv w:val="1"/>
      <w:marLeft w:val="0"/>
      <w:marRight w:val="0"/>
      <w:marTop w:val="0"/>
      <w:marBottom w:val="0"/>
      <w:divBdr>
        <w:top w:val="none" w:sz="0" w:space="0" w:color="auto"/>
        <w:left w:val="none" w:sz="0" w:space="0" w:color="auto"/>
        <w:bottom w:val="none" w:sz="0" w:space="0" w:color="auto"/>
        <w:right w:val="none" w:sz="0" w:space="0" w:color="auto"/>
      </w:divBdr>
    </w:div>
    <w:div w:id="599415739">
      <w:bodyDiv w:val="1"/>
      <w:marLeft w:val="0"/>
      <w:marRight w:val="0"/>
      <w:marTop w:val="0"/>
      <w:marBottom w:val="0"/>
      <w:divBdr>
        <w:top w:val="none" w:sz="0" w:space="0" w:color="auto"/>
        <w:left w:val="none" w:sz="0" w:space="0" w:color="auto"/>
        <w:bottom w:val="none" w:sz="0" w:space="0" w:color="auto"/>
        <w:right w:val="none" w:sz="0" w:space="0" w:color="auto"/>
      </w:divBdr>
    </w:div>
    <w:div w:id="601493833">
      <w:bodyDiv w:val="1"/>
      <w:marLeft w:val="0"/>
      <w:marRight w:val="0"/>
      <w:marTop w:val="0"/>
      <w:marBottom w:val="0"/>
      <w:divBdr>
        <w:top w:val="none" w:sz="0" w:space="0" w:color="auto"/>
        <w:left w:val="none" w:sz="0" w:space="0" w:color="auto"/>
        <w:bottom w:val="none" w:sz="0" w:space="0" w:color="auto"/>
        <w:right w:val="none" w:sz="0" w:space="0" w:color="auto"/>
      </w:divBdr>
    </w:div>
    <w:div w:id="603149846">
      <w:bodyDiv w:val="1"/>
      <w:marLeft w:val="0"/>
      <w:marRight w:val="0"/>
      <w:marTop w:val="0"/>
      <w:marBottom w:val="0"/>
      <w:divBdr>
        <w:top w:val="none" w:sz="0" w:space="0" w:color="auto"/>
        <w:left w:val="none" w:sz="0" w:space="0" w:color="auto"/>
        <w:bottom w:val="none" w:sz="0" w:space="0" w:color="auto"/>
        <w:right w:val="none" w:sz="0" w:space="0" w:color="auto"/>
      </w:divBdr>
    </w:div>
    <w:div w:id="603272849">
      <w:bodyDiv w:val="1"/>
      <w:marLeft w:val="0"/>
      <w:marRight w:val="0"/>
      <w:marTop w:val="0"/>
      <w:marBottom w:val="0"/>
      <w:divBdr>
        <w:top w:val="none" w:sz="0" w:space="0" w:color="auto"/>
        <w:left w:val="none" w:sz="0" w:space="0" w:color="auto"/>
        <w:bottom w:val="none" w:sz="0" w:space="0" w:color="auto"/>
        <w:right w:val="none" w:sz="0" w:space="0" w:color="auto"/>
      </w:divBdr>
    </w:div>
    <w:div w:id="607734639">
      <w:bodyDiv w:val="1"/>
      <w:marLeft w:val="0"/>
      <w:marRight w:val="0"/>
      <w:marTop w:val="0"/>
      <w:marBottom w:val="0"/>
      <w:divBdr>
        <w:top w:val="none" w:sz="0" w:space="0" w:color="auto"/>
        <w:left w:val="none" w:sz="0" w:space="0" w:color="auto"/>
        <w:bottom w:val="none" w:sz="0" w:space="0" w:color="auto"/>
        <w:right w:val="none" w:sz="0" w:space="0" w:color="auto"/>
      </w:divBdr>
    </w:div>
    <w:div w:id="607850949">
      <w:bodyDiv w:val="1"/>
      <w:marLeft w:val="0"/>
      <w:marRight w:val="0"/>
      <w:marTop w:val="0"/>
      <w:marBottom w:val="0"/>
      <w:divBdr>
        <w:top w:val="none" w:sz="0" w:space="0" w:color="auto"/>
        <w:left w:val="none" w:sz="0" w:space="0" w:color="auto"/>
        <w:bottom w:val="none" w:sz="0" w:space="0" w:color="auto"/>
        <w:right w:val="none" w:sz="0" w:space="0" w:color="auto"/>
      </w:divBdr>
    </w:div>
    <w:div w:id="609316404">
      <w:bodyDiv w:val="1"/>
      <w:marLeft w:val="0"/>
      <w:marRight w:val="0"/>
      <w:marTop w:val="0"/>
      <w:marBottom w:val="0"/>
      <w:divBdr>
        <w:top w:val="none" w:sz="0" w:space="0" w:color="auto"/>
        <w:left w:val="none" w:sz="0" w:space="0" w:color="auto"/>
        <w:bottom w:val="none" w:sz="0" w:space="0" w:color="auto"/>
        <w:right w:val="none" w:sz="0" w:space="0" w:color="auto"/>
      </w:divBdr>
    </w:div>
    <w:div w:id="611131559">
      <w:bodyDiv w:val="1"/>
      <w:marLeft w:val="0"/>
      <w:marRight w:val="0"/>
      <w:marTop w:val="0"/>
      <w:marBottom w:val="0"/>
      <w:divBdr>
        <w:top w:val="none" w:sz="0" w:space="0" w:color="auto"/>
        <w:left w:val="none" w:sz="0" w:space="0" w:color="auto"/>
        <w:bottom w:val="none" w:sz="0" w:space="0" w:color="auto"/>
        <w:right w:val="none" w:sz="0" w:space="0" w:color="auto"/>
      </w:divBdr>
    </w:div>
    <w:div w:id="611740813">
      <w:bodyDiv w:val="1"/>
      <w:marLeft w:val="0"/>
      <w:marRight w:val="0"/>
      <w:marTop w:val="0"/>
      <w:marBottom w:val="0"/>
      <w:divBdr>
        <w:top w:val="none" w:sz="0" w:space="0" w:color="auto"/>
        <w:left w:val="none" w:sz="0" w:space="0" w:color="auto"/>
        <w:bottom w:val="none" w:sz="0" w:space="0" w:color="auto"/>
        <w:right w:val="none" w:sz="0" w:space="0" w:color="auto"/>
      </w:divBdr>
    </w:div>
    <w:div w:id="613252928">
      <w:bodyDiv w:val="1"/>
      <w:marLeft w:val="0"/>
      <w:marRight w:val="0"/>
      <w:marTop w:val="0"/>
      <w:marBottom w:val="0"/>
      <w:divBdr>
        <w:top w:val="none" w:sz="0" w:space="0" w:color="auto"/>
        <w:left w:val="none" w:sz="0" w:space="0" w:color="auto"/>
        <w:bottom w:val="none" w:sz="0" w:space="0" w:color="auto"/>
        <w:right w:val="none" w:sz="0" w:space="0" w:color="auto"/>
      </w:divBdr>
    </w:div>
    <w:div w:id="614413115">
      <w:bodyDiv w:val="1"/>
      <w:marLeft w:val="0"/>
      <w:marRight w:val="0"/>
      <w:marTop w:val="0"/>
      <w:marBottom w:val="0"/>
      <w:divBdr>
        <w:top w:val="none" w:sz="0" w:space="0" w:color="auto"/>
        <w:left w:val="none" w:sz="0" w:space="0" w:color="auto"/>
        <w:bottom w:val="none" w:sz="0" w:space="0" w:color="auto"/>
        <w:right w:val="none" w:sz="0" w:space="0" w:color="auto"/>
      </w:divBdr>
    </w:div>
    <w:div w:id="617033771">
      <w:bodyDiv w:val="1"/>
      <w:marLeft w:val="0"/>
      <w:marRight w:val="0"/>
      <w:marTop w:val="0"/>
      <w:marBottom w:val="0"/>
      <w:divBdr>
        <w:top w:val="none" w:sz="0" w:space="0" w:color="auto"/>
        <w:left w:val="none" w:sz="0" w:space="0" w:color="auto"/>
        <w:bottom w:val="none" w:sz="0" w:space="0" w:color="auto"/>
        <w:right w:val="none" w:sz="0" w:space="0" w:color="auto"/>
      </w:divBdr>
    </w:div>
    <w:div w:id="617571149">
      <w:bodyDiv w:val="1"/>
      <w:marLeft w:val="0"/>
      <w:marRight w:val="0"/>
      <w:marTop w:val="0"/>
      <w:marBottom w:val="0"/>
      <w:divBdr>
        <w:top w:val="none" w:sz="0" w:space="0" w:color="auto"/>
        <w:left w:val="none" w:sz="0" w:space="0" w:color="auto"/>
        <w:bottom w:val="none" w:sz="0" w:space="0" w:color="auto"/>
        <w:right w:val="none" w:sz="0" w:space="0" w:color="auto"/>
      </w:divBdr>
    </w:div>
    <w:div w:id="618797919">
      <w:bodyDiv w:val="1"/>
      <w:marLeft w:val="0"/>
      <w:marRight w:val="0"/>
      <w:marTop w:val="0"/>
      <w:marBottom w:val="0"/>
      <w:divBdr>
        <w:top w:val="none" w:sz="0" w:space="0" w:color="auto"/>
        <w:left w:val="none" w:sz="0" w:space="0" w:color="auto"/>
        <w:bottom w:val="none" w:sz="0" w:space="0" w:color="auto"/>
        <w:right w:val="none" w:sz="0" w:space="0" w:color="auto"/>
      </w:divBdr>
    </w:div>
    <w:div w:id="622733431">
      <w:bodyDiv w:val="1"/>
      <w:marLeft w:val="0"/>
      <w:marRight w:val="0"/>
      <w:marTop w:val="0"/>
      <w:marBottom w:val="0"/>
      <w:divBdr>
        <w:top w:val="none" w:sz="0" w:space="0" w:color="auto"/>
        <w:left w:val="none" w:sz="0" w:space="0" w:color="auto"/>
        <w:bottom w:val="none" w:sz="0" w:space="0" w:color="auto"/>
        <w:right w:val="none" w:sz="0" w:space="0" w:color="auto"/>
      </w:divBdr>
    </w:div>
    <w:div w:id="623196239">
      <w:bodyDiv w:val="1"/>
      <w:marLeft w:val="0"/>
      <w:marRight w:val="0"/>
      <w:marTop w:val="0"/>
      <w:marBottom w:val="0"/>
      <w:divBdr>
        <w:top w:val="none" w:sz="0" w:space="0" w:color="auto"/>
        <w:left w:val="none" w:sz="0" w:space="0" w:color="auto"/>
        <w:bottom w:val="none" w:sz="0" w:space="0" w:color="auto"/>
        <w:right w:val="none" w:sz="0" w:space="0" w:color="auto"/>
      </w:divBdr>
    </w:div>
    <w:div w:id="625234242">
      <w:bodyDiv w:val="1"/>
      <w:marLeft w:val="0"/>
      <w:marRight w:val="0"/>
      <w:marTop w:val="0"/>
      <w:marBottom w:val="0"/>
      <w:divBdr>
        <w:top w:val="none" w:sz="0" w:space="0" w:color="auto"/>
        <w:left w:val="none" w:sz="0" w:space="0" w:color="auto"/>
        <w:bottom w:val="none" w:sz="0" w:space="0" w:color="auto"/>
        <w:right w:val="none" w:sz="0" w:space="0" w:color="auto"/>
      </w:divBdr>
    </w:div>
    <w:div w:id="625697845">
      <w:bodyDiv w:val="1"/>
      <w:marLeft w:val="0"/>
      <w:marRight w:val="0"/>
      <w:marTop w:val="0"/>
      <w:marBottom w:val="0"/>
      <w:divBdr>
        <w:top w:val="none" w:sz="0" w:space="0" w:color="auto"/>
        <w:left w:val="none" w:sz="0" w:space="0" w:color="auto"/>
        <w:bottom w:val="none" w:sz="0" w:space="0" w:color="auto"/>
        <w:right w:val="none" w:sz="0" w:space="0" w:color="auto"/>
      </w:divBdr>
    </w:div>
    <w:div w:id="626159959">
      <w:bodyDiv w:val="1"/>
      <w:marLeft w:val="0"/>
      <w:marRight w:val="0"/>
      <w:marTop w:val="0"/>
      <w:marBottom w:val="0"/>
      <w:divBdr>
        <w:top w:val="none" w:sz="0" w:space="0" w:color="auto"/>
        <w:left w:val="none" w:sz="0" w:space="0" w:color="auto"/>
        <w:bottom w:val="none" w:sz="0" w:space="0" w:color="auto"/>
        <w:right w:val="none" w:sz="0" w:space="0" w:color="auto"/>
      </w:divBdr>
    </w:div>
    <w:div w:id="626543851">
      <w:bodyDiv w:val="1"/>
      <w:marLeft w:val="0"/>
      <w:marRight w:val="0"/>
      <w:marTop w:val="0"/>
      <w:marBottom w:val="0"/>
      <w:divBdr>
        <w:top w:val="none" w:sz="0" w:space="0" w:color="auto"/>
        <w:left w:val="none" w:sz="0" w:space="0" w:color="auto"/>
        <w:bottom w:val="none" w:sz="0" w:space="0" w:color="auto"/>
        <w:right w:val="none" w:sz="0" w:space="0" w:color="auto"/>
      </w:divBdr>
    </w:div>
    <w:div w:id="627516517">
      <w:bodyDiv w:val="1"/>
      <w:marLeft w:val="0"/>
      <w:marRight w:val="0"/>
      <w:marTop w:val="0"/>
      <w:marBottom w:val="0"/>
      <w:divBdr>
        <w:top w:val="none" w:sz="0" w:space="0" w:color="auto"/>
        <w:left w:val="none" w:sz="0" w:space="0" w:color="auto"/>
        <w:bottom w:val="none" w:sz="0" w:space="0" w:color="auto"/>
        <w:right w:val="none" w:sz="0" w:space="0" w:color="auto"/>
      </w:divBdr>
    </w:div>
    <w:div w:id="634288139">
      <w:bodyDiv w:val="1"/>
      <w:marLeft w:val="0"/>
      <w:marRight w:val="0"/>
      <w:marTop w:val="0"/>
      <w:marBottom w:val="0"/>
      <w:divBdr>
        <w:top w:val="none" w:sz="0" w:space="0" w:color="auto"/>
        <w:left w:val="none" w:sz="0" w:space="0" w:color="auto"/>
        <w:bottom w:val="none" w:sz="0" w:space="0" w:color="auto"/>
        <w:right w:val="none" w:sz="0" w:space="0" w:color="auto"/>
      </w:divBdr>
    </w:div>
    <w:div w:id="634527379">
      <w:bodyDiv w:val="1"/>
      <w:marLeft w:val="0"/>
      <w:marRight w:val="0"/>
      <w:marTop w:val="0"/>
      <w:marBottom w:val="0"/>
      <w:divBdr>
        <w:top w:val="none" w:sz="0" w:space="0" w:color="auto"/>
        <w:left w:val="none" w:sz="0" w:space="0" w:color="auto"/>
        <w:bottom w:val="none" w:sz="0" w:space="0" w:color="auto"/>
        <w:right w:val="none" w:sz="0" w:space="0" w:color="auto"/>
      </w:divBdr>
    </w:div>
    <w:div w:id="635331496">
      <w:bodyDiv w:val="1"/>
      <w:marLeft w:val="0"/>
      <w:marRight w:val="0"/>
      <w:marTop w:val="0"/>
      <w:marBottom w:val="0"/>
      <w:divBdr>
        <w:top w:val="none" w:sz="0" w:space="0" w:color="auto"/>
        <w:left w:val="none" w:sz="0" w:space="0" w:color="auto"/>
        <w:bottom w:val="none" w:sz="0" w:space="0" w:color="auto"/>
        <w:right w:val="none" w:sz="0" w:space="0" w:color="auto"/>
      </w:divBdr>
    </w:div>
    <w:div w:id="637146032">
      <w:bodyDiv w:val="1"/>
      <w:marLeft w:val="0"/>
      <w:marRight w:val="0"/>
      <w:marTop w:val="0"/>
      <w:marBottom w:val="0"/>
      <w:divBdr>
        <w:top w:val="none" w:sz="0" w:space="0" w:color="auto"/>
        <w:left w:val="none" w:sz="0" w:space="0" w:color="auto"/>
        <w:bottom w:val="none" w:sz="0" w:space="0" w:color="auto"/>
        <w:right w:val="none" w:sz="0" w:space="0" w:color="auto"/>
      </w:divBdr>
    </w:div>
    <w:div w:id="637878036">
      <w:bodyDiv w:val="1"/>
      <w:marLeft w:val="0"/>
      <w:marRight w:val="0"/>
      <w:marTop w:val="0"/>
      <w:marBottom w:val="0"/>
      <w:divBdr>
        <w:top w:val="none" w:sz="0" w:space="0" w:color="auto"/>
        <w:left w:val="none" w:sz="0" w:space="0" w:color="auto"/>
        <w:bottom w:val="none" w:sz="0" w:space="0" w:color="auto"/>
        <w:right w:val="none" w:sz="0" w:space="0" w:color="auto"/>
      </w:divBdr>
    </w:div>
    <w:div w:id="639264182">
      <w:bodyDiv w:val="1"/>
      <w:marLeft w:val="0"/>
      <w:marRight w:val="0"/>
      <w:marTop w:val="0"/>
      <w:marBottom w:val="0"/>
      <w:divBdr>
        <w:top w:val="none" w:sz="0" w:space="0" w:color="auto"/>
        <w:left w:val="none" w:sz="0" w:space="0" w:color="auto"/>
        <w:bottom w:val="none" w:sz="0" w:space="0" w:color="auto"/>
        <w:right w:val="none" w:sz="0" w:space="0" w:color="auto"/>
      </w:divBdr>
    </w:div>
    <w:div w:id="640352337">
      <w:bodyDiv w:val="1"/>
      <w:marLeft w:val="0"/>
      <w:marRight w:val="0"/>
      <w:marTop w:val="0"/>
      <w:marBottom w:val="0"/>
      <w:divBdr>
        <w:top w:val="none" w:sz="0" w:space="0" w:color="auto"/>
        <w:left w:val="none" w:sz="0" w:space="0" w:color="auto"/>
        <w:bottom w:val="none" w:sz="0" w:space="0" w:color="auto"/>
        <w:right w:val="none" w:sz="0" w:space="0" w:color="auto"/>
      </w:divBdr>
    </w:div>
    <w:div w:id="641470907">
      <w:bodyDiv w:val="1"/>
      <w:marLeft w:val="0"/>
      <w:marRight w:val="0"/>
      <w:marTop w:val="0"/>
      <w:marBottom w:val="0"/>
      <w:divBdr>
        <w:top w:val="none" w:sz="0" w:space="0" w:color="auto"/>
        <w:left w:val="none" w:sz="0" w:space="0" w:color="auto"/>
        <w:bottom w:val="none" w:sz="0" w:space="0" w:color="auto"/>
        <w:right w:val="none" w:sz="0" w:space="0" w:color="auto"/>
      </w:divBdr>
    </w:div>
    <w:div w:id="643125187">
      <w:bodyDiv w:val="1"/>
      <w:marLeft w:val="0"/>
      <w:marRight w:val="0"/>
      <w:marTop w:val="0"/>
      <w:marBottom w:val="0"/>
      <w:divBdr>
        <w:top w:val="none" w:sz="0" w:space="0" w:color="auto"/>
        <w:left w:val="none" w:sz="0" w:space="0" w:color="auto"/>
        <w:bottom w:val="none" w:sz="0" w:space="0" w:color="auto"/>
        <w:right w:val="none" w:sz="0" w:space="0" w:color="auto"/>
      </w:divBdr>
    </w:div>
    <w:div w:id="643630269">
      <w:bodyDiv w:val="1"/>
      <w:marLeft w:val="0"/>
      <w:marRight w:val="0"/>
      <w:marTop w:val="0"/>
      <w:marBottom w:val="0"/>
      <w:divBdr>
        <w:top w:val="none" w:sz="0" w:space="0" w:color="auto"/>
        <w:left w:val="none" w:sz="0" w:space="0" w:color="auto"/>
        <w:bottom w:val="none" w:sz="0" w:space="0" w:color="auto"/>
        <w:right w:val="none" w:sz="0" w:space="0" w:color="auto"/>
      </w:divBdr>
    </w:div>
    <w:div w:id="653487244">
      <w:bodyDiv w:val="1"/>
      <w:marLeft w:val="0"/>
      <w:marRight w:val="0"/>
      <w:marTop w:val="0"/>
      <w:marBottom w:val="0"/>
      <w:divBdr>
        <w:top w:val="none" w:sz="0" w:space="0" w:color="auto"/>
        <w:left w:val="none" w:sz="0" w:space="0" w:color="auto"/>
        <w:bottom w:val="none" w:sz="0" w:space="0" w:color="auto"/>
        <w:right w:val="none" w:sz="0" w:space="0" w:color="auto"/>
      </w:divBdr>
    </w:div>
    <w:div w:id="656037365">
      <w:bodyDiv w:val="1"/>
      <w:marLeft w:val="0"/>
      <w:marRight w:val="0"/>
      <w:marTop w:val="0"/>
      <w:marBottom w:val="0"/>
      <w:divBdr>
        <w:top w:val="none" w:sz="0" w:space="0" w:color="auto"/>
        <w:left w:val="none" w:sz="0" w:space="0" w:color="auto"/>
        <w:bottom w:val="none" w:sz="0" w:space="0" w:color="auto"/>
        <w:right w:val="none" w:sz="0" w:space="0" w:color="auto"/>
      </w:divBdr>
    </w:div>
    <w:div w:id="658273392">
      <w:bodyDiv w:val="1"/>
      <w:marLeft w:val="0"/>
      <w:marRight w:val="0"/>
      <w:marTop w:val="0"/>
      <w:marBottom w:val="0"/>
      <w:divBdr>
        <w:top w:val="none" w:sz="0" w:space="0" w:color="auto"/>
        <w:left w:val="none" w:sz="0" w:space="0" w:color="auto"/>
        <w:bottom w:val="none" w:sz="0" w:space="0" w:color="auto"/>
        <w:right w:val="none" w:sz="0" w:space="0" w:color="auto"/>
      </w:divBdr>
    </w:div>
    <w:div w:id="660814370">
      <w:bodyDiv w:val="1"/>
      <w:marLeft w:val="0"/>
      <w:marRight w:val="0"/>
      <w:marTop w:val="0"/>
      <w:marBottom w:val="0"/>
      <w:divBdr>
        <w:top w:val="none" w:sz="0" w:space="0" w:color="auto"/>
        <w:left w:val="none" w:sz="0" w:space="0" w:color="auto"/>
        <w:bottom w:val="none" w:sz="0" w:space="0" w:color="auto"/>
        <w:right w:val="none" w:sz="0" w:space="0" w:color="auto"/>
      </w:divBdr>
    </w:div>
    <w:div w:id="669984805">
      <w:bodyDiv w:val="1"/>
      <w:marLeft w:val="0"/>
      <w:marRight w:val="0"/>
      <w:marTop w:val="0"/>
      <w:marBottom w:val="0"/>
      <w:divBdr>
        <w:top w:val="none" w:sz="0" w:space="0" w:color="auto"/>
        <w:left w:val="none" w:sz="0" w:space="0" w:color="auto"/>
        <w:bottom w:val="none" w:sz="0" w:space="0" w:color="auto"/>
        <w:right w:val="none" w:sz="0" w:space="0" w:color="auto"/>
      </w:divBdr>
    </w:div>
    <w:div w:id="673536663">
      <w:bodyDiv w:val="1"/>
      <w:marLeft w:val="0"/>
      <w:marRight w:val="0"/>
      <w:marTop w:val="0"/>
      <w:marBottom w:val="0"/>
      <w:divBdr>
        <w:top w:val="none" w:sz="0" w:space="0" w:color="auto"/>
        <w:left w:val="none" w:sz="0" w:space="0" w:color="auto"/>
        <w:bottom w:val="none" w:sz="0" w:space="0" w:color="auto"/>
        <w:right w:val="none" w:sz="0" w:space="0" w:color="auto"/>
      </w:divBdr>
    </w:div>
    <w:div w:id="676424678">
      <w:bodyDiv w:val="1"/>
      <w:marLeft w:val="0"/>
      <w:marRight w:val="0"/>
      <w:marTop w:val="0"/>
      <w:marBottom w:val="0"/>
      <w:divBdr>
        <w:top w:val="none" w:sz="0" w:space="0" w:color="auto"/>
        <w:left w:val="none" w:sz="0" w:space="0" w:color="auto"/>
        <w:bottom w:val="none" w:sz="0" w:space="0" w:color="auto"/>
        <w:right w:val="none" w:sz="0" w:space="0" w:color="auto"/>
      </w:divBdr>
    </w:div>
    <w:div w:id="679351904">
      <w:bodyDiv w:val="1"/>
      <w:marLeft w:val="0"/>
      <w:marRight w:val="0"/>
      <w:marTop w:val="0"/>
      <w:marBottom w:val="0"/>
      <w:divBdr>
        <w:top w:val="none" w:sz="0" w:space="0" w:color="auto"/>
        <w:left w:val="none" w:sz="0" w:space="0" w:color="auto"/>
        <w:bottom w:val="none" w:sz="0" w:space="0" w:color="auto"/>
        <w:right w:val="none" w:sz="0" w:space="0" w:color="auto"/>
      </w:divBdr>
    </w:div>
    <w:div w:id="680090467">
      <w:bodyDiv w:val="1"/>
      <w:marLeft w:val="0"/>
      <w:marRight w:val="0"/>
      <w:marTop w:val="0"/>
      <w:marBottom w:val="0"/>
      <w:divBdr>
        <w:top w:val="none" w:sz="0" w:space="0" w:color="auto"/>
        <w:left w:val="none" w:sz="0" w:space="0" w:color="auto"/>
        <w:bottom w:val="none" w:sz="0" w:space="0" w:color="auto"/>
        <w:right w:val="none" w:sz="0" w:space="0" w:color="auto"/>
      </w:divBdr>
    </w:div>
    <w:div w:id="681396233">
      <w:bodyDiv w:val="1"/>
      <w:marLeft w:val="0"/>
      <w:marRight w:val="0"/>
      <w:marTop w:val="0"/>
      <w:marBottom w:val="0"/>
      <w:divBdr>
        <w:top w:val="none" w:sz="0" w:space="0" w:color="auto"/>
        <w:left w:val="none" w:sz="0" w:space="0" w:color="auto"/>
        <w:bottom w:val="none" w:sz="0" w:space="0" w:color="auto"/>
        <w:right w:val="none" w:sz="0" w:space="0" w:color="auto"/>
      </w:divBdr>
    </w:div>
    <w:div w:id="681785976">
      <w:bodyDiv w:val="1"/>
      <w:marLeft w:val="0"/>
      <w:marRight w:val="0"/>
      <w:marTop w:val="0"/>
      <w:marBottom w:val="0"/>
      <w:divBdr>
        <w:top w:val="none" w:sz="0" w:space="0" w:color="auto"/>
        <w:left w:val="none" w:sz="0" w:space="0" w:color="auto"/>
        <w:bottom w:val="none" w:sz="0" w:space="0" w:color="auto"/>
        <w:right w:val="none" w:sz="0" w:space="0" w:color="auto"/>
      </w:divBdr>
    </w:div>
    <w:div w:id="683363837">
      <w:bodyDiv w:val="1"/>
      <w:marLeft w:val="0"/>
      <w:marRight w:val="0"/>
      <w:marTop w:val="0"/>
      <w:marBottom w:val="0"/>
      <w:divBdr>
        <w:top w:val="none" w:sz="0" w:space="0" w:color="auto"/>
        <w:left w:val="none" w:sz="0" w:space="0" w:color="auto"/>
        <w:bottom w:val="none" w:sz="0" w:space="0" w:color="auto"/>
        <w:right w:val="none" w:sz="0" w:space="0" w:color="auto"/>
      </w:divBdr>
    </w:div>
    <w:div w:id="684746771">
      <w:bodyDiv w:val="1"/>
      <w:marLeft w:val="0"/>
      <w:marRight w:val="0"/>
      <w:marTop w:val="0"/>
      <w:marBottom w:val="0"/>
      <w:divBdr>
        <w:top w:val="none" w:sz="0" w:space="0" w:color="auto"/>
        <w:left w:val="none" w:sz="0" w:space="0" w:color="auto"/>
        <w:bottom w:val="none" w:sz="0" w:space="0" w:color="auto"/>
        <w:right w:val="none" w:sz="0" w:space="0" w:color="auto"/>
      </w:divBdr>
    </w:div>
    <w:div w:id="685986937">
      <w:bodyDiv w:val="1"/>
      <w:marLeft w:val="0"/>
      <w:marRight w:val="0"/>
      <w:marTop w:val="0"/>
      <w:marBottom w:val="0"/>
      <w:divBdr>
        <w:top w:val="none" w:sz="0" w:space="0" w:color="auto"/>
        <w:left w:val="none" w:sz="0" w:space="0" w:color="auto"/>
        <w:bottom w:val="none" w:sz="0" w:space="0" w:color="auto"/>
        <w:right w:val="none" w:sz="0" w:space="0" w:color="auto"/>
      </w:divBdr>
    </w:div>
    <w:div w:id="687096643">
      <w:bodyDiv w:val="1"/>
      <w:marLeft w:val="0"/>
      <w:marRight w:val="0"/>
      <w:marTop w:val="0"/>
      <w:marBottom w:val="0"/>
      <w:divBdr>
        <w:top w:val="none" w:sz="0" w:space="0" w:color="auto"/>
        <w:left w:val="none" w:sz="0" w:space="0" w:color="auto"/>
        <w:bottom w:val="none" w:sz="0" w:space="0" w:color="auto"/>
        <w:right w:val="none" w:sz="0" w:space="0" w:color="auto"/>
      </w:divBdr>
    </w:div>
    <w:div w:id="687097395">
      <w:bodyDiv w:val="1"/>
      <w:marLeft w:val="0"/>
      <w:marRight w:val="0"/>
      <w:marTop w:val="0"/>
      <w:marBottom w:val="0"/>
      <w:divBdr>
        <w:top w:val="none" w:sz="0" w:space="0" w:color="auto"/>
        <w:left w:val="none" w:sz="0" w:space="0" w:color="auto"/>
        <w:bottom w:val="none" w:sz="0" w:space="0" w:color="auto"/>
        <w:right w:val="none" w:sz="0" w:space="0" w:color="auto"/>
      </w:divBdr>
    </w:div>
    <w:div w:id="688946417">
      <w:bodyDiv w:val="1"/>
      <w:marLeft w:val="0"/>
      <w:marRight w:val="0"/>
      <w:marTop w:val="0"/>
      <w:marBottom w:val="0"/>
      <w:divBdr>
        <w:top w:val="none" w:sz="0" w:space="0" w:color="auto"/>
        <w:left w:val="none" w:sz="0" w:space="0" w:color="auto"/>
        <w:bottom w:val="none" w:sz="0" w:space="0" w:color="auto"/>
        <w:right w:val="none" w:sz="0" w:space="0" w:color="auto"/>
      </w:divBdr>
    </w:div>
    <w:div w:id="689642930">
      <w:bodyDiv w:val="1"/>
      <w:marLeft w:val="0"/>
      <w:marRight w:val="0"/>
      <w:marTop w:val="0"/>
      <w:marBottom w:val="0"/>
      <w:divBdr>
        <w:top w:val="none" w:sz="0" w:space="0" w:color="auto"/>
        <w:left w:val="none" w:sz="0" w:space="0" w:color="auto"/>
        <w:bottom w:val="none" w:sz="0" w:space="0" w:color="auto"/>
        <w:right w:val="none" w:sz="0" w:space="0" w:color="auto"/>
      </w:divBdr>
    </w:div>
    <w:div w:id="698118777">
      <w:bodyDiv w:val="1"/>
      <w:marLeft w:val="0"/>
      <w:marRight w:val="0"/>
      <w:marTop w:val="0"/>
      <w:marBottom w:val="0"/>
      <w:divBdr>
        <w:top w:val="none" w:sz="0" w:space="0" w:color="auto"/>
        <w:left w:val="none" w:sz="0" w:space="0" w:color="auto"/>
        <w:bottom w:val="none" w:sz="0" w:space="0" w:color="auto"/>
        <w:right w:val="none" w:sz="0" w:space="0" w:color="auto"/>
      </w:divBdr>
    </w:div>
    <w:div w:id="700321761">
      <w:bodyDiv w:val="1"/>
      <w:marLeft w:val="0"/>
      <w:marRight w:val="0"/>
      <w:marTop w:val="0"/>
      <w:marBottom w:val="0"/>
      <w:divBdr>
        <w:top w:val="none" w:sz="0" w:space="0" w:color="auto"/>
        <w:left w:val="none" w:sz="0" w:space="0" w:color="auto"/>
        <w:bottom w:val="none" w:sz="0" w:space="0" w:color="auto"/>
        <w:right w:val="none" w:sz="0" w:space="0" w:color="auto"/>
      </w:divBdr>
    </w:div>
    <w:div w:id="710882419">
      <w:bodyDiv w:val="1"/>
      <w:marLeft w:val="0"/>
      <w:marRight w:val="0"/>
      <w:marTop w:val="0"/>
      <w:marBottom w:val="0"/>
      <w:divBdr>
        <w:top w:val="none" w:sz="0" w:space="0" w:color="auto"/>
        <w:left w:val="none" w:sz="0" w:space="0" w:color="auto"/>
        <w:bottom w:val="none" w:sz="0" w:space="0" w:color="auto"/>
        <w:right w:val="none" w:sz="0" w:space="0" w:color="auto"/>
      </w:divBdr>
    </w:div>
    <w:div w:id="711612929">
      <w:bodyDiv w:val="1"/>
      <w:marLeft w:val="0"/>
      <w:marRight w:val="0"/>
      <w:marTop w:val="0"/>
      <w:marBottom w:val="0"/>
      <w:divBdr>
        <w:top w:val="none" w:sz="0" w:space="0" w:color="auto"/>
        <w:left w:val="none" w:sz="0" w:space="0" w:color="auto"/>
        <w:bottom w:val="none" w:sz="0" w:space="0" w:color="auto"/>
        <w:right w:val="none" w:sz="0" w:space="0" w:color="auto"/>
      </w:divBdr>
    </w:div>
    <w:div w:id="712777663">
      <w:bodyDiv w:val="1"/>
      <w:marLeft w:val="0"/>
      <w:marRight w:val="0"/>
      <w:marTop w:val="0"/>
      <w:marBottom w:val="0"/>
      <w:divBdr>
        <w:top w:val="none" w:sz="0" w:space="0" w:color="auto"/>
        <w:left w:val="none" w:sz="0" w:space="0" w:color="auto"/>
        <w:bottom w:val="none" w:sz="0" w:space="0" w:color="auto"/>
        <w:right w:val="none" w:sz="0" w:space="0" w:color="auto"/>
      </w:divBdr>
    </w:div>
    <w:div w:id="713820309">
      <w:bodyDiv w:val="1"/>
      <w:marLeft w:val="0"/>
      <w:marRight w:val="0"/>
      <w:marTop w:val="0"/>
      <w:marBottom w:val="0"/>
      <w:divBdr>
        <w:top w:val="none" w:sz="0" w:space="0" w:color="auto"/>
        <w:left w:val="none" w:sz="0" w:space="0" w:color="auto"/>
        <w:bottom w:val="none" w:sz="0" w:space="0" w:color="auto"/>
        <w:right w:val="none" w:sz="0" w:space="0" w:color="auto"/>
      </w:divBdr>
    </w:div>
    <w:div w:id="714890292">
      <w:bodyDiv w:val="1"/>
      <w:marLeft w:val="0"/>
      <w:marRight w:val="0"/>
      <w:marTop w:val="0"/>
      <w:marBottom w:val="0"/>
      <w:divBdr>
        <w:top w:val="none" w:sz="0" w:space="0" w:color="auto"/>
        <w:left w:val="none" w:sz="0" w:space="0" w:color="auto"/>
        <w:bottom w:val="none" w:sz="0" w:space="0" w:color="auto"/>
        <w:right w:val="none" w:sz="0" w:space="0" w:color="auto"/>
      </w:divBdr>
    </w:div>
    <w:div w:id="715592156">
      <w:bodyDiv w:val="1"/>
      <w:marLeft w:val="0"/>
      <w:marRight w:val="0"/>
      <w:marTop w:val="0"/>
      <w:marBottom w:val="0"/>
      <w:divBdr>
        <w:top w:val="none" w:sz="0" w:space="0" w:color="auto"/>
        <w:left w:val="none" w:sz="0" w:space="0" w:color="auto"/>
        <w:bottom w:val="none" w:sz="0" w:space="0" w:color="auto"/>
        <w:right w:val="none" w:sz="0" w:space="0" w:color="auto"/>
      </w:divBdr>
    </w:div>
    <w:div w:id="716510059">
      <w:bodyDiv w:val="1"/>
      <w:marLeft w:val="0"/>
      <w:marRight w:val="0"/>
      <w:marTop w:val="0"/>
      <w:marBottom w:val="0"/>
      <w:divBdr>
        <w:top w:val="none" w:sz="0" w:space="0" w:color="auto"/>
        <w:left w:val="none" w:sz="0" w:space="0" w:color="auto"/>
        <w:bottom w:val="none" w:sz="0" w:space="0" w:color="auto"/>
        <w:right w:val="none" w:sz="0" w:space="0" w:color="auto"/>
      </w:divBdr>
    </w:div>
    <w:div w:id="717317244">
      <w:bodyDiv w:val="1"/>
      <w:marLeft w:val="0"/>
      <w:marRight w:val="0"/>
      <w:marTop w:val="0"/>
      <w:marBottom w:val="0"/>
      <w:divBdr>
        <w:top w:val="none" w:sz="0" w:space="0" w:color="auto"/>
        <w:left w:val="none" w:sz="0" w:space="0" w:color="auto"/>
        <w:bottom w:val="none" w:sz="0" w:space="0" w:color="auto"/>
        <w:right w:val="none" w:sz="0" w:space="0" w:color="auto"/>
      </w:divBdr>
    </w:div>
    <w:div w:id="723912385">
      <w:bodyDiv w:val="1"/>
      <w:marLeft w:val="0"/>
      <w:marRight w:val="0"/>
      <w:marTop w:val="0"/>
      <w:marBottom w:val="0"/>
      <w:divBdr>
        <w:top w:val="none" w:sz="0" w:space="0" w:color="auto"/>
        <w:left w:val="none" w:sz="0" w:space="0" w:color="auto"/>
        <w:bottom w:val="none" w:sz="0" w:space="0" w:color="auto"/>
        <w:right w:val="none" w:sz="0" w:space="0" w:color="auto"/>
      </w:divBdr>
    </w:div>
    <w:div w:id="725176936">
      <w:bodyDiv w:val="1"/>
      <w:marLeft w:val="0"/>
      <w:marRight w:val="0"/>
      <w:marTop w:val="0"/>
      <w:marBottom w:val="0"/>
      <w:divBdr>
        <w:top w:val="none" w:sz="0" w:space="0" w:color="auto"/>
        <w:left w:val="none" w:sz="0" w:space="0" w:color="auto"/>
        <w:bottom w:val="none" w:sz="0" w:space="0" w:color="auto"/>
        <w:right w:val="none" w:sz="0" w:space="0" w:color="auto"/>
      </w:divBdr>
    </w:div>
    <w:div w:id="727848353">
      <w:bodyDiv w:val="1"/>
      <w:marLeft w:val="0"/>
      <w:marRight w:val="0"/>
      <w:marTop w:val="0"/>
      <w:marBottom w:val="0"/>
      <w:divBdr>
        <w:top w:val="none" w:sz="0" w:space="0" w:color="auto"/>
        <w:left w:val="none" w:sz="0" w:space="0" w:color="auto"/>
        <w:bottom w:val="none" w:sz="0" w:space="0" w:color="auto"/>
        <w:right w:val="none" w:sz="0" w:space="0" w:color="auto"/>
      </w:divBdr>
    </w:div>
    <w:div w:id="727996276">
      <w:bodyDiv w:val="1"/>
      <w:marLeft w:val="0"/>
      <w:marRight w:val="0"/>
      <w:marTop w:val="0"/>
      <w:marBottom w:val="0"/>
      <w:divBdr>
        <w:top w:val="none" w:sz="0" w:space="0" w:color="auto"/>
        <w:left w:val="none" w:sz="0" w:space="0" w:color="auto"/>
        <w:bottom w:val="none" w:sz="0" w:space="0" w:color="auto"/>
        <w:right w:val="none" w:sz="0" w:space="0" w:color="auto"/>
      </w:divBdr>
    </w:div>
    <w:div w:id="728921566">
      <w:bodyDiv w:val="1"/>
      <w:marLeft w:val="0"/>
      <w:marRight w:val="0"/>
      <w:marTop w:val="0"/>
      <w:marBottom w:val="0"/>
      <w:divBdr>
        <w:top w:val="none" w:sz="0" w:space="0" w:color="auto"/>
        <w:left w:val="none" w:sz="0" w:space="0" w:color="auto"/>
        <w:bottom w:val="none" w:sz="0" w:space="0" w:color="auto"/>
        <w:right w:val="none" w:sz="0" w:space="0" w:color="auto"/>
      </w:divBdr>
    </w:div>
    <w:div w:id="729425085">
      <w:bodyDiv w:val="1"/>
      <w:marLeft w:val="0"/>
      <w:marRight w:val="0"/>
      <w:marTop w:val="0"/>
      <w:marBottom w:val="0"/>
      <w:divBdr>
        <w:top w:val="none" w:sz="0" w:space="0" w:color="auto"/>
        <w:left w:val="none" w:sz="0" w:space="0" w:color="auto"/>
        <w:bottom w:val="none" w:sz="0" w:space="0" w:color="auto"/>
        <w:right w:val="none" w:sz="0" w:space="0" w:color="auto"/>
      </w:divBdr>
    </w:div>
    <w:div w:id="729503455">
      <w:bodyDiv w:val="1"/>
      <w:marLeft w:val="0"/>
      <w:marRight w:val="0"/>
      <w:marTop w:val="0"/>
      <w:marBottom w:val="0"/>
      <w:divBdr>
        <w:top w:val="none" w:sz="0" w:space="0" w:color="auto"/>
        <w:left w:val="none" w:sz="0" w:space="0" w:color="auto"/>
        <w:bottom w:val="none" w:sz="0" w:space="0" w:color="auto"/>
        <w:right w:val="none" w:sz="0" w:space="0" w:color="auto"/>
      </w:divBdr>
    </w:div>
    <w:div w:id="732001231">
      <w:bodyDiv w:val="1"/>
      <w:marLeft w:val="0"/>
      <w:marRight w:val="0"/>
      <w:marTop w:val="0"/>
      <w:marBottom w:val="0"/>
      <w:divBdr>
        <w:top w:val="none" w:sz="0" w:space="0" w:color="auto"/>
        <w:left w:val="none" w:sz="0" w:space="0" w:color="auto"/>
        <w:bottom w:val="none" w:sz="0" w:space="0" w:color="auto"/>
        <w:right w:val="none" w:sz="0" w:space="0" w:color="auto"/>
      </w:divBdr>
    </w:div>
    <w:div w:id="733505912">
      <w:bodyDiv w:val="1"/>
      <w:marLeft w:val="0"/>
      <w:marRight w:val="0"/>
      <w:marTop w:val="0"/>
      <w:marBottom w:val="0"/>
      <w:divBdr>
        <w:top w:val="none" w:sz="0" w:space="0" w:color="auto"/>
        <w:left w:val="none" w:sz="0" w:space="0" w:color="auto"/>
        <w:bottom w:val="none" w:sz="0" w:space="0" w:color="auto"/>
        <w:right w:val="none" w:sz="0" w:space="0" w:color="auto"/>
      </w:divBdr>
    </w:div>
    <w:div w:id="735979157">
      <w:bodyDiv w:val="1"/>
      <w:marLeft w:val="0"/>
      <w:marRight w:val="0"/>
      <w:marTop w:val="0"/>
      <w:marBottom w:val="0"/>
      <w:divBdr>
        <w:top w:val="none" w:sz="0" w:space="0" w:color="auto"/>
        <w:left w:val="none" w:sz="0" w:space="0" w:color="auto"/>
        <w:bottom w:val="none" w:sz="0" w:space="0" w:color="auto"/>
        <w:right w:val="none" w:sz="0" w:space="0" w:color="auto"/>
      </w:divBdr>
    </w:div>
    <w:div w:id="739909715">
      <w:bodyDiv w:val="1"/>
      <w:marLeft w:val="0"/>
      <w:marRight w:val="0"/>
      <w:marTop w:val="0"/>
      <w:marBottom w:val="0"/>
      <w:divBdr>
        <w:top w:val="none" w:sz="0" w:space="0" w:color="auto"/>
        <w:left w:val="none" w:sz="0" w:space="0" w:color="auto"/>
        <w:bottom w:val="none" w:sz="0" w:space="0" w:color="auto"/>
        <w:right w:val="none" w:sz="0" w:space="0" w:color="auto"/>
      </w:divBdr>
    </w:div>
    <w:div w:id="741876739">
      <w:bodyDiv w:val="1"/>
      <w:marLeft w:val="0"/>
      <w:marRight w:val="0"/>
      <w:marTop w:val="0"/>
      <w:marBottom w:val="0"/>
      <w:divBdr>
        <w:top w:val="none" w:sz="0" w:space="0" w:color="auto"/>
        <w:left w:val="none" w:sz="0" w:space="0" w:color="auto"/>
        <w:bottom w:val="none" w:sz="0" w:space="0" w:color="auto"/>
        <w:right w:val="none" w:sz="0" w:space="0" w:color="auto"/>
      </w:divBdr>
    </w:div>
    <w:div w:id="746076825">
      <w:bodyDiv w:val="1"/>
      <w:marLeft w:val="0"/>
      <w:marRight w:val="0"/>
      <w:marTop w:val="0"/>
      <w:marBottom w:val="0"/>
      <w:divBdr>
        <w:top w:val="none" w:sz="0" w:space="0" w:color="auto"/>
        <w:left w:val="none" w:sz="0" w:space="0" w:color="auto"/>
        <w:bottom w:val="none" w:sz="0" w:space="0" w:color="auto"/>
        <w:right w:val="none" w:sz="0" w:space="0" w:color="auto"/>
      </w:divBdr>
    </w:div>
    <w:div w:id="746734262">
      <w:bodyDiv w:val="1"/>
      <w:marLeft w:val="0"/>
      <w:marRight w:val="0"/>
      <w:marTop w:val="0"/>
      <w:marBottom w:val="0"/>
      <w:divBdr>
        <w:top w:val="none" w:sz="0" w:space="0" w:color="auto"/>
        <w:left w:val="none" w:sz="0" w:space="0" w:color="auto"/>
        <w:bottom w:val="none" w:sz="0" w:space="0" w:color="auto"/>
        <w:right w:val="none" w:sz="0" w:space="0" w:color="auto"/>
      </w:divBdr>
    </w:div>
    <w:div w:id="746806596">
      <w:bodyDiv w:val="1"/>
      <w:marLeft w:val="0"/>
      <w:marRight w:val="0"/>
      <w:marTop w:val="0"/>
      <w:marBottom w:val="0"/>
      <w:divBdr>
        <w:top w:val="none" w:sz="0" w:space="0" w:color="auto"/>
        <w:left w:val="none" w:sz="0" w:space="0" w:color="auto"/>
        <w:bottom w:val="none" w:sz="0" w:space="0" w:color="auto"/>
        <w:right w:val="none" w:sz="0" w:space="0" w:color="auto"/>
      </w:divBdr>
    </w:div>
    <w:div w:id="750129092">
      <w:bodyDiv w:val="1"/>
      <w:marLeft w:val="0"/>
      <w:marRight w:val="0"/>
      <w:marTop w:val="0"/>
      <w:marBottom w:val="0"/>
      <w:divBdr>
        <w:top w:val="none" w:sz="0" w:space="0" w:color="auto"/>
        <w:left w:val="none" w:sz="0" w:space="0" w:color="auto"/>
        <w:bottom w:val="none" w:sz="0" w:space="0" w:color="auto"/>
        <w:right w:val="none" w:sz="0" w:space="0" w:color="auto"/>
      </w:divBdr>
    </w:div>
    <w:div w:id="753282201">
      <w:bodyDiv w:val="1"/>
      <w:marLeft w:val="0"/>
      <w:marRight w:val="0"/>
      <w:marTop w:val="0"/>
      <w:marBottom w:val="0"/>
      <w:divBdr>
        <w:top w:val="none" w:sz="0" w:space="0" w:color="auto"/>
        <w:left w:val="none" w:sz="0" w:space="0" w:color="auto"/>
        <w:bottom w:val="none" w:sz="0" w:space="0" w:color="auto"/>
        <w:right w:val="none" w:sz="0" w:space="0" w:color="auto"/>
      </w:divBdr>
    </w:div>
    <w:div w:id="753472808">
      <w:bodyDiv w:val="1"/>
      <w:marLeft w:val="0"/>
      <w:marRight w:val="0"/>
      <w:marTop w:val="0"/>
      <w:marBottom w:val="0"/>
      <w:divBdr>
        <w:top w:val="none" w:sz="0" w:space="0" w:color="auto"/>
        <w:left w:val="none" w:sz="0" w:space="0" w:color="auto"/>
        <w:bottom w:val="none" w:sz="0" w:space="0" w:color="auto"/>
        <w:right w:val="none" w:sz="0" w:space="0" w:color="auto"/>
      </w:divBdr>
    </w:div>
    <w:div w:id="754975672">
      <w:bodyDiv w:val="1"/>
      <w:marLeft w:val="0"/>
      <w:marRight w:val="0"/>
      <w:marTop w:val="0"/>
      <w:marBottom w:val="0"/>
      <w:divBdr>
        <w:top w:val="none" w:sz="0" w:space="0" w:color="auto"/>
        <w:left w:val="none" w:sz="0" w:space="0" w:color="auto"/>
        <w:bottom w:val="none" w:sz="0" w:space="0" w:color="auto"/>
        <w:right w:val="none" w:sz="0" w:space="0" w:color="auto"/>
      </w:divBdr>
    </w:div>
    <w:div w:id="755126648">
      <w:bodyDiv w:val="1"/>
      <w:marLeft w:val="0"/>
      <w:marRight w:val="0"/>
      <w:marTop w:val="0"/>
      <w:marBottom w:val="0"/>
      <w:divBdr>
        <w:top w:val="none" w:sz="0" w:space="0" w:color="auto"/>
        <w:left w:val="none" w:sz="0" w:space="0" w:color="auto"/>
        <w:bottom w:val="none" w:sz="0" w:space="0" w:color="auto"/>
        <w:right w:val="none" w:sz="0" w:space="0" w:color="auto"/>
      </w:divBdr>
    </w:div>
    <w:div w:id="756831209">
      <w:bodyDiv w:val="1"/>
      <w:marLeft w:val="0"/>
      <w:marRight w:val="0"/>
      <w:marTop w:val="0"/>
      <w:marBottom w:val="0"/>
      <w:divBdr>
        <w:top w:val="none" w:sz="0" w:space="0" w:color="auto"/>
        <w:left w:val="none" w:sz="0" w:space="0" w:color="auto"/>
        <w:bottom w:val="none" w:sz="0" w:space="0" w:color="auto"/>
        <w:right w:val="none" w:sz="0" w:space="0" w:color="auto"/>
      </w:divBdr>
    </w:div>
    <w:div w:id="757404215">
      <w:bodyDiv w:val="1"/>
      <w:marLeft w:val="0"/>
      <w:marRight w:val="0"/>
      <w:marTop w:val="0"/>
      <w:marBottom w:val="0"/>
      <w:divBdr>
        <w:top w:val="none" w:sz="0" w:space="0" w:color="auto"/>
        <w:left w:val="none" w:sz="0" w:space="0" w:color="auto"/>
        <w:bottom w:val="none" w:sz="0" w:space="0" w:color="auto"/>
        <w:right w:val="none" w:sz="0" w:space="0" w:color="auto"/>
      </w:divBdr>
    </w:div>
    <w:div w:id="757601883">
      <w:bodyDiv w:val="1"/>
      <w:marLeft w:val="0"/>
      <w:marRight w:val="0"/>
      <w:marTop w:val="0"/>
      <w:marBottom w:val="0"/>
      <w:divBdr>
        <w:top w:val="none" w:sz="0" w:space="0" w:color="auto"/>
        <w:left w:val="none" w:sz="0" w:space="0" w:color="auto"/>
        <w:bottom w:val="none" w:sz="0" w:space="0" w:color="auto"/>
        <w:right w:val="none" w:sz="0" w:space="0" w:color="auto"/>
      </w:divBdr>
    </w:div>
    <w:div w:id="758405272">
      <w:bodyDiv w:val="1"/>
      <w:marLeft w:val="0"/>
      <w:marRight w:val="0"/>
      <w:marTop w:val="0"/>
      <w:marBottom w:val="0"/>
      <w:divBdr>
        <w:top w:val="none" w:sz="0" w:space="0" w:color="auto"/>
        <w:left w:val="none" w:sz="0" w:space="0" w:color="auto"/>
        <w:bottom w:val="none" w:sz="0" w:space="0" w:color="auto"/>
        <w:right w:val="none" w:sz="0" w:space="0" w:color="auto"/>
      </w:divBdr>
    </w:div>
    <w:div w:id="759064238">
      <w:bodyDiv w:val="1"/>
      <w:marLeft w:val="0"/>
      <w:marRight w:val="0"/>
      <w:marTop w:val="0"/>
      <w:marBottom w:val="0"/>
      <w:divBdr>
        <w:top w:val="none" w:sz="0" w:space="0" w:color="auto"/>
        <w:left w:val="none" w:sz="0" w:space="0" w:color="auto"/>
        <w:bottom w:val="none" w:sz="0" w:space="0" w:color="auto"/>
        <w:right w:val="none" w:sz="0" w:space="0" w:color="auto"/>
      </w:divBdr>
    </w:div>
    <w:div w:id="759260530">
      <w:bodyDiv w:val="1"/>
      <w:marLeft w:val="0"/>
      <w:marRight w:val="0"/>
      <w:marTop w:val="0"/>
      <w:marBottom w:val="0"/>
      <w:divBdr>
        <w:top w:val="none" w:sz="0" w:space="0" w:color="auto"/>
        <w:left w:val="none" w:sz="0" w:space="0" w:color="auto"/>
        <w:bottom w:val="none" w:sz="0" w:space="0" w:color="auto"/>
        <w:right w:val="none" w:sz="0" w:space="0" w:color="auto"/>
      </w:divBdr>
    </w:div>
    <w:div w:id="762800805">
      <w:bodyDiv w:val="1"/>
      <w:marLeft w:val="0"/>
      <w:marRight w:val="0"/>
      <w:marTop w:val="0"/>
      <w:marBottom w:val="0"/>
      <w:divBdr>
        <w:top w:val="none" w:sz="0" w:space="0" w:color="auto"/>
        <w:left w:val="none" w:sz="0" w:space="0" w:color="auto"/>
        <w:bottom w:val="none" w:sz="0" w:space="0" w:color="auto"/>
        <w:right w:val="none" w:sz="0" w:space="0" w:color="auto"/>
      </w:divBdr>
    </w:div>
    <w:div w:id="762847291">
      <w:bodyDiv w:val="1"/>
      <w:marLeft w:val="0"/>
      <w:marRight w:val="0"/>
      <w:marTop w:val="0"/>
      <w:marBottom w:val="0"/>
      <w:divBdr>
        <w:top w:val="none" w:sz="0" w:space="0" w:color="auto"/>
        <w:left w:val="none" w:sz="0" w:space="0" w:color="auto"/>
        <w:bottom w:val="none" w:sz="0" w:space="0" w:color="auto"/>
        <w:right w:val="none" w:sz="0" w:space="0" w:color="auto"/>
      </w:divBdr>
    </w:div>
    <w:div w:id="763308535">
      <w:bodyDiv w:val="1"/>
      <w:marLeft w:val="0"/>
      <w:marRight w:val="0"/>
      <w:marTop w:val="0"/>
      <w:marBottom w:val="0"/>
      <w:divBdr>
        <w:top w:val="none" w:sz="0" w:space="0" w:color="auto"/>
        <w:left w:val="none" w:sz="0" w:space="0" w:color="auto"/>
        <w:bottom w:val="none" w:sz="0" w:space="0" w:color="auto"/>
        <w:right w:val="none" w:sz="0" w:space="0" w:color="auto"/>
      </w:divBdr>
    </w:div>
    <w:div w:id="763694936">
      <w:bodyDiv w:val="1"/>
      <w:marLeft w:val="0"/>
      <w:marRight w:val="0"/>
      <w:marTop w:val="0"/>
      <w:marBottom w:val="0"/>
      <w:divBdr>
        <w:top w:val="none" w:sz="0" w:space="0" w:color="auto"/>
        <w:left w:val="none" w:sz="0" w:space="0" w:color="auto"/>
        <w:bottom w:val="none" w:sz="0" w:space="0" w:color="auto"/>
        <w:right w:val="none" w:sz="0" w:space="0" w:color="auto"/>
      </w:divBdr>
    </w:div>
    <w:div w:id="765079665">
      <w:bodyDiv w:val="1"/>
      <w:marLeft w:val="0"/>
      <w:marRight w:val="0"/>
      <w:marTop w:val="0"/>
      <w:marBottom w:val="0"/>
      <w:divBdr>
        <w:top w:val="none" w:sz="0" w:space="0" w:color="auto"/>
        <w:left w:val="none" w:sz="0" w:space="0" w:color="auto"/>
        <w:bottom w:val="none" w:sz="0" w:space="0" w:color="auto"/>
        <w:right w:val="none" w:sz="0" w:space="0" w:color="auto"/>
      </w:divBdr>
    </w:div>
    <w:div w:id="765728894">
      <w:bodyDiv w:val="1"/>
      <w:marLeft w:val="0"/>
      <w:marRight w:val="0"/>
      <w:marTop w:val="0"/>
      <w:marBottom w:val="0"/>
      <w:divBdr>
        <w:top w:val="none" w:sz="0" w:space="0" w:color="auto"/>
        <w:left w:val="none" w:sz="0" w:space="0" w:color="auto"/>
        <w:bottom w:val="none" w:sz="0" w:space="0" w:color="auto"/>
        <w:right w:val="none" w:sz="0" w:space="0" w:color="auto"/>
      </w:divBdr>
    </w:div>
    <w:div w:id="766540749">
      <w:bodyDiv w:val="1"/>
      <w:marLeft w:val="0"/>
      <w:marRight w:val="0"/>
      <w:marTop w:val="0"/>
      <w:marBottom w:val="0"/>
      <w:divBdr>
        <w:top w:val="none" w:sz="0" w:space="0" w:color="auto"/>
        <w:left w:val="none" w:sz="0" w:space="0" w:color="auto"/>
        <w:bottom w:val="none" w:sz="0" w:space="0" w:color="auto"/>
        <w:right w:val="none" w:sz="0" w:space="0" w:color="auto"/>
      </w:divBdr>
    </w:div>
    <w:div w:id="769666344">
      <w:bodyDiv w:val="1"/>
      <w:marLeft w:val="0"/>
      <w:marRight w:val="0"/>
      <w:marTop w:val="0"/>
      <w:marBottom w:val="0"/>
      <w:divBdr>
        <w:top w:val="none" w:sz="0" w:space="0" w:color="auto"/>
        <w:left w:val="none" w:sz="0" w:space="0" w:color="auto"/>
        <w:bottom w:val="none" w:sz="0" w:space="0" w:color="auto"/>
        <w:right w:val="none" w:sz="0" w:space="0" w:color="auto"/>
      </w:divBdr>
    </w:div>
    <w:div w:id="773209624">
      <w:bodyDiv w:val="1"/>
      <w:marLeft w:val="0"/>
      <w:marRight w:val="0"/>
      <w:marTop w:val="0"/>
      <w:marBottom w:val="0"/>
      <w:divBdr>
        <w:top w:val="none" w:sz="0" w:space="0" w:color="auto"/>
        <w:left w:val="none" w:sz="0" w:space="0" w:color="auto"/>
        <w:bottom w:val="none" w:sz="0" w:space="0" w:color="auto"/>
        <w:right w:val="none" w:sz="0" w:space="0" w:color="auto"/>
      </w:divBdr>
    </w:div>
    <w:div w:id="774598575">
      <w:bodyDiv w:val="1"/>
      <w:marLeft w:val="0"/>
      <w:marRight w:val="0"/>
      <w:marTop w:val="0"/>
      <w:marBottom w:val="0"/>
      <w:divBdr>
        <w:top w:val="none" w:sz="0" w:space="0" w:color="auto"/>
        <w:left w:val="none" w:sz="0" w:space="0" w:color="auto"/>
        <w:bottom w:val="none" w:sz="0" w:space="0" w:color="auto"/>
        <w:right w:val="none" w:sz="0" w:space="0" w:color="auto"/>
      </w:divBdr>
    </w:div>
    <w:div w:id="775440166">
      <w:bodyDiv w:val="1"/>
      <w:marLeft w:val="0"/>
      <w:marRight w:val="0"/>
      <w:marTop w:val="0"/>
      <w:marBottom w:val="0"/>
      <w:divBdr>
        <w:top w:val="none" w:sz="0" w:space="0" w:color="auto"/>
        <w:left w:val="none" w:sz="0" w:space="0" w:color="auto"/>
        <w:bottom w:val="none" w:sz="0" w:space="0" w:color="auto"/>
        <w:right w:val="none" w:sz="0" w:space="0" w:color="auto"/>
      </w:divBdr>
    </w:div>
    <w:div w:id="776220740">
      <w:bodyDiv w:val="1"/>
      <w:marLeft w:val="0"/>
      <w:marRight w:val="0"/>
      <w:marTop w:val="0"/>
      <w:marBottom w:val="0"/>
      <w:divBdr>
        <w:top w:val="none" w:sz="0" w:space="0" w:color="auto"/>
        <w:left w:val="none" w:sz="0" w:space="0" w:color="auto"/>
        <w:bottom w:val="none" w:sz="0" w:space="0" w:color="auto"/>
        <w:right w:val="none" w:sz="0" w:space="0" w:color="auto"/>
      </w:divBdr>
    </w:div>
    <w:div w:id="776802049">
      <w:bodyDiv w:val="1"/>
      <w:marLeft w:val="0"/>
      <w:marRight w:val="0"/>
      <w:marTop w:val="0"/>
      <w:marBottom w:val="0"/>
      <w:divBdr>
        <w:top w:val="none" w:sz="0" w:space="0" w:color="auto"/>
        <w:left w:val="none" w:sz="0" w:space="0" w:color="auto"/>
        <w:bottom w:val="none" w:sz="0" w:space="0" w:color="auto"/>
        <w:right w:val="none" w:sz="0" w:space="0" w:color="auto"/>
      </w:divBdr>
    </w:div>
    <w:div w:id="778839829">
      <w:bodyDiv w:val="1"/>
      <w:marLeft w:val="0"/>
      <w:marRight w:val="0"/>
      <w:marTop w:val="0"/>
      <w:marBottom w:val="0"/>
      <w:divBdr>
        <w:top w:val="none" w:sz="0" w:space="0" w:color="auto"/>
        <w:left w:val="none" w:sz="0" w:space="0" w:color="auto"/>
        <w:bottom w:val="none" w:sz="0" w:space="0" w:color="auto"/>
        <w:right w:val="none" w:sz="0" w:space="0" w:color="auto"/>
      </w:divBdr>
    </w:div>
    <w:div w:id="783035887">
      <w:bodyDiv w:val="1"/>
      <w:marLeft w:val="0"/>
      <w:marRight w:val="0"/>
      <w:marTop w:val="0"/>
      <w:marBottom w:val="0"/>
      <w:divBdr>
        <w:top w:val="none" w:sz="0" w:space="0" w:color="auto"/>
        <w:left w:val="none" w:sz="0" w:space="0" w:color="auto"/>
        <w:bottom w:val="none" w:sz="0" w:space="0" w:color="auto"/>
        <w:right w:val="none" w:sz="0" w:space="0" w:color="auto"/>
      </w:divBdr>
    </w:div>
    <w:div w:id="784469273">
      <w:bodyDiv w:val="1"/>
      <w:marLeft w:val="0"/>
      <w:marRight w:val="0"/>
      <w:marTop w:val="0"/>
      <w:marBottom w:val="0"/>
      <w:divBdr>
        <w:top w:val="none" w:sz="0" w:space="0" w:color="auto"/>
        <w:left w:val="none" w:sz="0" w:space="0" w:color="auto"/>
        <w:bottom w:val="none" w:sz="0" w:space="0" w:color="auto"/>
        <w:right w:val="none" w:sz="0" w:space="0" w:color="auto"/>
      </w:divBdr>
    </w:div>
    <w:div w:id="784815531">
      <w:bodyDiv w:val="1"/>
      <w:marLeft w:val="0"/>
      <w:marRight w:val="0"/>
      <w:marTop w:val="0"/>
      <w:marBottom w:val="0"/>
      <w:divBdr>
        <w:top w:val="none" w:sz="0" w:space="0" w:color="auto"/>
        <w:left w:val="none" w:sz="0" w:space="0" w:color="auto"/>
        <w:bottom w:val="none" w:sz="0" w:space="0" w:color="auto"/>
        <w:right w:val="none" w:sz="0" w:space="0" w:color="auto"/>
      </w:divBdr>
    </w:div>
    <w:div w:id="785779949">
      <w:bodyDiv w:val="1"/>
      <w:marLeft w:val="0"/>
      <w:marRight w:val="0"/>
      <w:marTop w:val="0"/>
      <w:marBottom w:val="0"/>
      <w:divBdr>
        <w:top w:val="none" w:sz="0" w:space="0" w:color="auto"/>
        <w:left w:val="none" w:sz="0" w:space="0" w:color="auto"/>
        <w:bottom w:val="none" w:sz="0" w:space="0" w:color="auto"/>
        <w:right w:val="none" w:sz="0" w:space="0" w:color="auto"/>
      </w:divBdr>
    </w:div>
    <w:div w:id="787163185">
      <w:bodyDiv w:val="1"/>
      <w:marLeft w:val="0"/>
      <w:marRight w:val="0"/>
      <w:marTop w:val="0"/>
      <w:marBottom w:val="0"/>
      <w:divBdr>
        <w:top w:val="none" w:sz="0" w:space="0" w:color="auto"/>
        <w:left w:val="none" w:sz="0" w:space="0" w:color="auto"/>
        <w:bottom w:val="none" w:sz="0" w:space="0" w:color="auto"/>
        <w:right w:val="none" w:sz="0" w:space="0" w:color="auto"/>
      </w:divBdr>
    </w:div>
    <w:div w:id="788158089">
      <w:bodyDiv w:val="1"/>
      <w:marLeft w:val="0"/>
      <w:marRight w:val="0"/>
      <w:marTop w:val="0"/>
      <w:marBottom w:val="0"/>
      <w:divBdr>
        <w:top w:val="none" w:sz="0" w:space="0" w:color="auto"/>
        <w:left w:val="none" w:sz="0" w:space="0" w:color="auto"/>
        <w:bottom w:val="none" w:sz="0" w:space="0" w:color="auto"/>
        <w:right w:val="none" w:sz="0" w:space="0" w:color="auto"/>
      </w:divBdr>
    </w:div>
    <w:div w:id="795639503">
      <w:bodyDiv w:val="1"/>
      <w:marLeft w:val="0"/>
      <w:marRight w:val="0"/>
      <w:marTop w:val="0"/>
      <w:marBottom w:val="0"/>
      <w:divBdr>
        <w:top w:val="none" w:sz="0" w:space="0" w:color="auto"/>
        <w:left w:val="none" w:sz="0" w:space="0" w:color="auto"/>
        <w:bottom w:val="none" w:sz="0" w:space="0" w:color="auto"/>
        <w:right w:val="none" w:sz="0" w:space="0" w:color="auto"/>
      </w:divBdr>
    </w:div>
    <w:div w:id="799029887">
      <w:bodyDiv w:val="1"/>
      <w:marLeft w:val="0"/>
      <w:marRight w:val="0"/>
      <w:marTop w:val="0"/>
      <w:marBottom w:val="0"/>
      <w:divBdr>
        <w:top w:val="none" w:sz="0" w:space="0" w:color="auto"/>
        <w:left w:val="none" w:sz="0" w:space="0" w:color="auto"/>
        <w:bottom w:val="none" w:sz="0" w:space="0" w:color="auto"/>
        <w:right w:val="none" w:sz="0" w:space="0" w:color="auto"/>
      </w:divBdr>
    </w:div>
    <w:div w:id="801650079">
      <w:bodyDiv w:val="1"/>
      <w:marLeft w:val="0"/>
      <w:marRight w:val="0"/>
      <w:marTop w:val="0"/>
      <w:marBottom w:val="0"/>
      <w:divBdr>
        <w:top w:val="none" w:sz="0" w:space="0" w:color="auto"/>
        <w:left w:val="none" w:sz="0" w:space="0" w:color="auto"/>
        <w:bottom w:val="none" w:sz="0" w:space="0" w:color="auto"/>
        <w:right w:val="none" w:sz="0" w:space="0" w:color="auto"/>
      </w:divBdr>
    </w:div>
    <w:div w:id="802231631">
      <w:bodyDiv w:val="1"/>
      <w:marLeft w:val="0"/>
      <w:marRight w:val="0"/>
      <w:marTop w:val="0"/>
      <w:marBottom w:val="0"/>
      <w:divBdr>
        <w:top w:val="none" w:sz="0" w:space="0" w:color="auto"/>
        <w:left w:val="none" w:sz="0" w:space="0" w:color="auto"/>
        <w:bottom w:val="none" w:sz="0" w:space="0" w:color="auto"/>
        <w:right w:val="none" w:sz="0" w:space="0" w:color="auto"/>
      </w:divBdr>
    </w:div>
    <w:div w:id="802649428">
      <w:bodyDiv w:val="1"/>
      <w:marLeft w:val="0"/>
      <w:marRight w:val="0"/>
      <w:marTop w:val="0"/>
      <w:marBottom w:val="0"/>
      <w:divBdr>
        <w:top w:val="none" w:sz="0" w:space="0" w:color="auto"/>
        <w:left w:val="none" w:sz="0" w:space="0" w:color="auto"/>
        <w:bottom w:val="none" w:sz="0" w:space="0" w:color="auto"/>
        <w:right w:val="none" w:sz="0" w:space="0" w:color="auto"/>
      </w:divBdr>
    </w:div>
    <w:div w:id="806704083">
      <w:bodyDiv w:val="1"/>
      <w:marLeft w:val="0"/>
      <w:marRight w:val="0"/>
      <w:marTop w:val="0"/>
      <w:marBottom w:val="0"/>
      <w:divBdr>
        <w:top w:val="none" w:sz="0" w:space="0" w:color="auto"/>
        <w:left w:val="none" w:sz="0" w:space="0" w:color="auto"/>
        <w:bottom w:val="none" w:sz="0" w:space="0" w:color="auto"/>
        <w:right w:val="none" w:sz="0" w:space="0" w:color="auto"/>
      </w:divBdr>
    </w:div>
    <w:div w:id="808286181">
      <w:bodyDiv w:val="1"/>
      <w:marLeft w:val="0"/>
      <w:marRight w:val="0"/>
      <w:marTop w:val="0"/>
      <w:marBottom w:val="0"/>
      <w:divBdr>
        <w:top w:val="none" w:sz="0" w:space="0" w:color="auto"/>
        <w:left w:val="none" w:sz="0" w:space="0" w:color="auto"/>
        <w:bottom w:val="none" w:sz="0" w:space="0" w:color="auto"/>
        <w:right w:val="none" w:sz="0" w:space="0" w:color="auto"/>
      </w:divBdr>
    </w:div>
    <w:div w:id="808937780">
      <w:bodyDiv w:val="1"/>
      <w:marLeft w:val="0"/>
      <w:marRight w:val="0"/>
      <w:marTop w:val="0"/>
      <w:marBottom w:val="0"/>
      <w:divBdr>
        <w:top w:val="none" w:sz="0" w:space="0" w:color="auto"/>
        <w:left w:val="none" w:sz="0" w:space="0" w:color="auto"/>
        <w:bottom w:val="none" w:sz="0" w:space="0" w:color="auto"/>
        <w:right w:val="none" w:sz="0" w:space="0" w:color="auto"/>
      </w:divBdr>
    </w:div>
    <w:div w:id="808979642">
      <w:bodyDiv w:val="1"/>
      <w:marLeft w:val="0"/>
      <w:marRight w:val="0"/>
      <w:marTop w:val="0"/>
      <w:marBottom w:val="0"/>
      <w:divBdr>
        <w:top w:val="none" w:sz="0" w:space="0" w:color="auto"/>
        <w:left w:val="none" w:sz="0" w:space="0" w:color="auto"/>
        <w:bottom w:val="none" w:sz="0" w:space="0" w:color="auto"/>
        <w:right w:val="none" w:sz="0" w:space="0" w:color="auto"/>
      </w:divBdr>
    </w:div>
    <w:div w:id="810564851">
      <w:bodyDiv w:val="1"/>
      <w:marLeft w:val="0"/>
      <w:marRight w:val="0"/>
      <w:marTop w:val="0"/>
      <w:marBottom w:val="0"/>
      <w:divBdr>
        <w:top w:val="none" w:sz="0" w:space="0" w:color="auto"/>
        <w:left w:val="none" w:sz="0" w:space="0" w:color="auto"/>
        <w:bottom w:val="none" w:sz="0" w:space="0" w:color="auto"/>
        <w:right w:val="none" w:sz="0" w:space="0" w:color="auto"/>
      </w:divBdr>
    </w:div>
    <w:div w:id="813328114">
      <w:bodyDiv w:val="1"/>
      <w:marLeft w:val="0"/>
      <w:marRight w:val="0"/>
      <w:marTop w:val="0"/>
      <w:marBottom w:val="0"/>
      <w:divBdr>
        <w:top w:val="none" w:sz="0" w:space="0" w:color="auto"/>
        <w:left w:val="none" w:sz="0" w:space="0" w:color="auto"/>
        <w:bottom w:val="none" w:sz="0" w:space="0" w:color="auto"/>
        <w:right w:val="none" w:sz="0" w:space="0" w:color="auto"/>
      </w:divBdr>
    </w:div>
    <w:div w:id="813790702">
      <w:bodyDiv w:val="1"/>
      <w:marLeft w:val="0"/>
      <w:marRight w:val="0"/>
      <w:marTop w:val="0"/>
      <w:marBottom w:val="0"/>
      <w:divBdr>
        <w:top w:val="none" w:sz="0" w:space="0" w:color="auto"/>
        <w:left w:val="none" w:sz="0" w:space="0" w:color="auto"/>
        <w:bottom w:val="none" w:sz="0" w:space="0" w:color="auto"/>
        <w:right w:val="none" w:sz="0" w:space="0" w:color="auto"/>
      </w:divBdr>
    </w:div>
    <w:div w:id="816649846">
      <w:bodyDiv w:val="1"/>
      <w:marLeft w:val="0"/>
      <w:marRight w:val="0"/>
      <w:marTop w:val="0"/>
      <w:marBottom w:val="0"/>
      <w:divBdr>
        <w:top w:val="none" w:sz="0" w:space="0" w:color="auto"/>
        <w:left w:val="none" w:sz="0" w:space="0" w:color="auto"/>
        <w:bottom w:val="none" w:sz="0" w:space="0" w:color="auto"/>
        <w:right w:val="none" w:sz="0" w:space="0" w:color="auto"/>
      </w:divBdr>
    </w:div>
    <w:div w:id="818156087">
      <w:bodyDiv w:val="1"/>
      <w:marLeft w:val="0"/>
      <w:marRight w:val="0"/>
      <w:marTop w:val="0"/>
      <w:marBottom w:val="0"/>
      <w:divBdr>
        <w:top w:val="none" w:sz="0" w:space="0" w:color="auto"/>
        <w:left w:val="none" w:sz="0" w:space="0" w:color="auto"/>
        <w:bottom w:val="none" w:sz="0" w:space="0" w:color="auto"/>
        <w:right w:val="none" w:sz="0" w:space="0" w:color="auto"/>
      </w:divBdr>
    </w:div>
    <w:div w:id="821193334">
      <w:bodyDiv w:val="1"/>
      <w:marLeft w:val="0"/>
      <w:marRight w:val="0"/>
      <w:marTop w:val="0"/>
      <w:marBottom w:val="0"/>
      <w:divBdr>
        <w:top w:val="none" w:sz="0" w:space="0" w:color="auto"/>
        <w:left w:val="none" w:sz="0" w:space="0" w:color="auto"/>
        <w:bottom w:val="none" w:sz="0" w:space="0" w:color="auto"/>
        <w:right w:val="none" w:sz="0" w:space="0" w:color="auto"/>
      </w:divBdr>
    </w:div>
    <w:div w:id="822238521">
      <w:bodyDiv w:val="1"/>
      <w:marLeft w:val="0"/>
      <w:marRight w:val="0"/>
      <w:marTop w:val="0"/>
      <w:marBottom w:val="0"/>
      <w:divBdr>
        <w:top w:val="none" w:sz="0" w:space="0" w:color="auto"/>
        <w:left w:val="none" w:sz="0" w:space="0" w:color="auto"/>
        <w:bottom w:val="none" w:sz="0" w:space="0" w:color="auto"/>
        <w:right w:val="none" w:sz="0" w:space="0" w:color="auto"/>
      </w:divBdr>
    </w:div>
    <w:div w:id="825125245">
      <w:bodyDiv w:val="1"/>
      <w:marLeft w:val="0"/>
      <w:marRight w:val="0"/>
      <w:marTop w:val="0"/>
      <w:marBottom w:val="0"/>
      <w:divBdr>
        <w:top w:val="none" w:sz="0" w:space="0" w:color="auto"/>
        <w:left w:val="none" w:sz="0" w:space="0" w:color="auto"/>
        <w:bottom w:val="none" w:sz="0" w:space="0" w:color="auto"/>
        <w:right w:val="none" w:sz="0" w:space="0" w:color="auto"/>
      </w:divBdr>
    </w:div>
    <w:div w:id="825978694">
      <w:bodyDiv w:val="1"/>
      <w:marLeft w:val="0"/>
      <w:marRight w:val="0"/>
      <w:marTop w:val="0"/>
      <w:marBottom w:val="0"/>
      <w:divBdr>
        <w:top w:val="none" w:sz="0" w:space="0" w:color="auto"/>
        <w:left w:val="none" w:sz="0" w:space="0" w:color="auto"/>
        <w:bottom w:val="none" w:sz="0" w:space="0" w:color="auto"/>
        <w:right w:val="none" w:sz="0" w:space="0" w:color="auto"/>
      </w:divBdr>
    </w:div>
    <w:div w:id="832796715">
      <w:bodyDiv w:val="1"/>
      <w:marLeft w:val="0"/>
      <w:marRight w:val="0"/>
      <w:marTop w:val="0"/>
      <w:marBottom w:val="0"/>
      <w:divBdr>
        <w:top w:val="none" w:sz="0" w:space="0" w:color="auto"/>
        <w:left w:val="none" w:sz="0" w:space="0" w:color="auto"/>
        <w:bottom w:val="none" w:sz="0" w:space="0" w:color="auto"/>
        <w:right w:val="none" w:sz="0" w:space="0" w:color="auto"/>
      </w:divBdr>
    </w:div>
    <w:div w:id="835875864">
      <w:bodyDiv w:val="1"/>
      <w:marLeft w:val="0"/>
      <w:marRight w:val="0"/>
      <w:marTop w:val="0"/>
      <w:marBottom w:val="0"/>
      <w:divBdr>
        <w:top w:val="none" w:sz="0" w:space="0" w:color="auto"/>
        <w:left w:val="none" w:sz="0" w:space="0" w:color="auto"/>
        <w:bottom w:val="none" w:sz="0" w:space="0" w:color="auto"/>
        <w:right w:val="none" w:sz="0" w:space="0" w:color="auto"/>
      </w:divBdr>
    </w:div>
    <w:div w:id="839351309">
      <w:bodyDiv w:val="1"/>
      <w:marLeft w:val="0"/>
      <w:marRight w:val="0"/>
      <w:marTop w:val="0"/>
      <w:marBottom w:val="0"/>
      <w:divBdr>
        <w:top w:val="none" w:sz="0" w:space="0" w:color="auto"/>
        <w:left w:val="none" w:sz="0" w:space="0" w:color="auto"/>
        <w:bottom w:val="none" w:sz="0" w:space="0" w:color="auto"/>
        <w:right w:val="none" w:sz="0" w:space="0" w:color="auto"/>
      </w:divBdr>
    </w:div>
    <w:div w:id="839583024">
      <w:bodyDiv w:val="1"/>
      <w:marLeft w:val="0"/>
      <w:marRight w:val="0"/>
      <w:marTop w:val="0"/>
      <w:marBottom w:val="0"/>
      <w:divBdr>
        <w:top w:val="none" w:sz="0" w:space="0" w:color="auto"/>
        <w:left w:val="none" w:sz="0" w:space="0" w:color="auto"/>
        <w:bottom w:val="none" w:sz="0" w:space="0" w:color="auto"/>
        <w:right w:val="none" w:sz="0" w:space="0" w:color="auto"/>
      </w:divBdr>
    </w:div>
    <w:div w:id="841898556">
      <w:bodyDiv w:val="1"/>
      <w:marLeft w:val="0"/>
      <w:marRight w:val="0"/>
      <w:marTop w:val="0"/>
      <w:marBottom w:val="0"/>
      <w:divBdr>
        <w:top w:val="none" w:sz="0" w:space="0" w:color="auto"/>
        <w:left w:val="none" w:sz="0" w:space="0" w:color="auto"/>
        <w:bottom w:val="none" w:sz="0" w:space="0" w:color="auto"/>
        <w:right w:val="none" w:sz="0" w:space="0" w:color="auto"/>
      </w:divBdr>
    </w:div>
    <w:div w:id="843055390">
      <w:bodyDiv w:val="1"/>
      <w:marLeft w:val="0"/>
      <w:marRight w:val="0"/>
      <w:marTop w:val="0"/>
      <w:marBottom w:val="0"/>
      <w:divBdr>
        <w:top w:val="none" w:sz="0" w:space="0" w:color="auto"/>
        <w:left w:val="none" w:sz="0" w:space="0" w:color="auto"/>
        <w:bottom w:val="none" w:sz="0" w:space="0" w:color="auto"/>
        <w:right w:val="none" w:sz="0" w:space="0" w:color="auto"/>
      </w:divBdr>
    </w:div>
    <w:div w:id="847447645">
      <w:bodyDiv w:val="1"/>
      <w:marLeft w:val="0"/>
      <w:marRight w:val="0"/>
      <w:marTop w:val="0"/>
      <w:marBottom w:val="0"/>
      <w:divBdr>
        <w:top w:val="none" w:sz="0" w:space="0" w:color="auto"/>
        <w:left w:val="none" w:sz="0" w:space="0" w:color="auto"/>
        <w:bottom w:val="none" w:sz="0" w:space="0" w:color="auto"/>
        <w:right w:val="none" w:sz="0" w:space="0" w:color="auto"/>
      </w:divBdr>
    </w:div>
    <w:div w:id="849876117">
      <w:bodyDiv w:val="1"/>
      <w:marLeft w:val="0"/>
      <w:marRight w:val="0"/>
      <w:marTop w:val="0"/>
      <w:marBottom w:val="0"/>
      <w:divBdr>
        <w:top w:val="none" w:sz="0" w:space="0" w:color="auto"/>
        <w:left w:val="none" w:sz="0" w:space="0" w:color="auto"/>
        <w:bottom w:val="none" w:sz="0" w:space="0" w:color="auto"/>
        <w:right w:val="none" w:sz="0" w:space="0" w:color="auto"/>
      </w:divBdr>
    </w:div>
    <w:div w:id="853835736">
      <w:bodyDiv w:val="1"/>
      <w:marLeft w:val="0"/>
      <w:marRight w:val="0"/>
      <w:marTop w:val="0"/>
      <w:marBottom w:val="0"/>
      <w:divBdr>
        <w:top w:val="none" w:sz="0" w:space="0" w:color="auto"/>
        <w:left w:val="none" w:sz="0" w:space="0" w:color="auto"/>
        <w:bottom w:val="none" w:sz="0" w:space="0" w:color="auto"/>
        <w:right w:val="none" w:sz="0" w:space="0" w:color="auto"/>
      </w:divBdr>
    </w:div>
    <w:div w:id="855189597">
      <w:bodyDiv w:val="1"/>
      <w:marLeft w:val="0"/>
      <w:marRight w:val="0"/>
      <w:marTop w:val="0"/>
      <w:marBottom w:val="0"/>
      <w:divBdr>
        <w:top w:val="none" w:sz="0" w:space="0" w:color="auto"/>
        <w:left w:val="none" w:sz="0" w:space="0" w:color="auto"/>
        <w:bottom w:val="none" w:sz="0" w:space="0" w:color="auto"/>
        <w:right w:val="none" w:sz="0" w:space="0" w:color="auto"/>
      </w:divBdr>
    </w:div>
    <w:div w:id="856193134">
      <w:bodyDiv w:val="1"/>
      <w:marLeft w:val="0"/>
      <w:marRight w:val="0"/>
      <w:marTop w:val="0"/>
      <w:marBottom w:val="0"/>
      <w:divBdr>
        <w:top w:val="none" w:sz="0" w:space="0" w:color="auto"/>
        <w:left w:val="none" w:sz="0" w:space="0" w:color="auto"/>
        <w:bottom w:val="none" w:sz="0" w:space="0" w:color="auto"/>
        <w:right w:val="none" w:sz="0" w:space="0" w:color="auto"/>
      </w:divBdr>
    </w:div>
    <w:div w:id="860585612">
      <w:bodyDiv w:val="1"/>
      <w:marLeft w:val="0"/>
      <w:marRight w:val="0"/>
      <w:marTop w:val="0"/>
      <w:marBottom w:val="0"/>
      <w:divBdr>
        <w:top w:val="none" w:sz="0" w:space="0" w:color="auto"/>
        <w:left w:val="none" w:sz="0" w:space="0" w:color="auto"/>
        <w:bottom w:val="none" w:sz="0" w:space="0" w:color="auto"/>
        <w:right w:val="none" w:sz="0" w:space="0" w:color="auto"/>
      </w:divBdr>
    </w:div>
    <w:div w:id="862326188">
      <w:bodyDiv w:val="1"/>
      <w:marLeft w:val="0"/>
      <w:marRight w:val="0"/>
      <w:marTop w:val="0"/>
      <w:marBottom w:val="0"/>
      <w:divBdr>
        <w:top w:val="none" w:sz="0" w:space="0" w:color="auto"/>
        <w:left w:val="none" w:sz="0" w:space="0" w:color="auto"/>
        <w:bottom w:val="none" w:sz="0" w:space="0" w:color="auto"/>
        <w:right w:val="none" w:sz="0" w:space="0" w:color="auto"/>
      </w:divBdr>
    </w:div>
    <w:div w:id="863133486">
      <w:bodyDiv w:val="1"/>
      <w:marLeft w:val="0"/>
      <w:marRight w:val="0"/>
      <w:marTop w:val="0"/>
      <w:marBottom w:val="0"/>
      <w:divBdr>
        <w:top w:val="none" w:sz="0" w:space="0" w:color="auto"/>
        <w:left w:val="none" w:sz="0" w:space="0" w:color="auto"/>
        <w:bottom w:val="none" w:sz="0" w:space="0" w:color="auto"/>
        <w:right w:val="none" w:sz="0" w:space="0" w:color="auto"/>
      </w:divBdr>
    </w:div>
    <w:div w:id="864832344">
      <w:bodyDiv w:val="1"/>
      <w:marLeft w:val="0"/>
      <w:marRight w:val="0"/>
      <w:marTop w:val="0"/>
      <w:marBottom w:val="0"/>
      <w:divBdr>
        <w:top w:val="none" w:sz="0" w:space="0" w:color="auto"/>
        <w:left w:val="none" w:sz="0" w:space="0" w:color="auto"/>
        <w:bottom w:val="none" w:sz="0" w:space="0" w:color="auto"/>
        <w:right w:val="none" w:sz="0" w:space="0" w:color="auto"/>
      </w:divBdr>
    </w:div>
    <w:div w:id="865870924">
      <w:bodyDiv w:val="1"/>
      <w:marLeft w:val="0"/>
      <w:marRight w:val="0"/>
      <w:marTop w:val="0"/>
      <w:marBottom w:val="0"/>
      <w:divBdr>
        <w:top w:val="none" w:sz="0" w:space="0" w:color="auto"/>
        <w:left w:val="none" w:sz="0" w:space="0" w:color="auto"/>
        <w:bottom w:val="none" w:sz="0" w:space="0" w:color="auto"/>
        <w:right w:val="none" w:sz="0" w:space="0" w:color="auto"/>
      </w:divBdr>
    </w:div>
    <w:div w:id="866215686">
      <w:bodyDiv w:val="1"/>
      <w:marLeft w:val="0"/>
      <w:marRight w:val="0"/>
      <w:marTop w:val="0"/>
      <w:marBottom w:val="0"/>
      <w:divBdr>
        <w:top w:val="none" w:sz="0" w:space="0" w:color="auto"/>
        <w:left w:val="none" w:sz="0" w:space="0" w:color="auto"/>
        <w:bottom w:val="none" w:sz="0" w:space="0" w:color="auto"/>
        <w:right w:val="none" w:sz="0" w:space="0" w:color="auto"/>
      </w:divBdr>
    </w:div>
    <w:div w:id="866522517">
      <w:bodyDiv w:val="1"/>
      <w:marLeft w:val="0"/>
      <w:marRight w:val="0"/>
      <w:marTop w:val="0"/>
      <w:marBottom w:val="0"/>
      <w:divBdr>
        <w:top w:val="none" w:sz="0" w:space="0" w:color="auto"/>
        <w:left w:val="none" w:sz="0" w:space="0" w:color="auto"/>
        <w:bottom w:val="none" w:sz="0" w:space="0" w:color="auto"/>
        <w:right w:val="none" w:sz="0" w:space="0" w:color="auto"/>
      </w:divBdr>
    </w:div>
    <w:div w:id="868180470">
      <w:bodyDiv w:val="1"/>
      <w:marLeft w:val="0"/>
      <w:marRight w:val="0"/>
      <w:marTop w:val="0"/>
      <w:marBottom w:val="0"/>
      <w:divBdr>
        <w:top w:val="none" w:sz="0" w:space="0" w:color="auto"/>
        <w:left w:val="none" w:sz="0" w:space="0" w:color="auto"/>
        <w:bottom w:val="none" w:sz="0" w:space="0" w:color="auto"/>
        <w:right w:val="none" w:sz="0" w:space="0" w:color="auto"/>
      </w:divBdr>
    </w:div>
    <w:div w:id="869728949">
      <w:bodyDiv w:val="1"/>
      <w:marLeft w:val="0"/>
      <w:marRight w:val="0"/>
      <w:marTop w:val="0"/>
      <w:marBottom w:val="0"/>
      <w:divBdr>
        <w:top w:val="none" w:sz="0" w:space="0" w:color="auto"/>
        <w:left w:val="none" w:sz="0" w:space="0" w:color="auto"/>
        <w:bottom w:val="none" w:sz="0" w:space="0" w:color="auto"/>
        <w:right w:val="none" w:sz="0" w:space="0" w:color="auto"/>
      </w:divBdr>
    </w:div>
    <w:div w:id="869991771">
      <w:bodyDiv w:val="1"/>
      <w:marLeft w:val="0"/>
      <w:marRight w:val="0"/>
      <w:marTop w:val="0"/>
      <w:marBottom w:val="0"/>
      <w:divBdr>
        <w:top w:val="none" w:sz="0" w:space="0" w:color="auto"/>
        <w:left w:val="none" w:sz="0" w:space="0" w:color="auto"/>
        <w:bottom w:val="none" w:sz="0" w:space="0" w:color="auto"/>
        <w:right w:val="none" w:sz="0" w:space="0" w:color="auto"/>
      </w:divBdr>
    </w:div>
    <w:div w:id="870387353">
      <w:bodyDiv w:val="1"/>
      <w:marLeft w:val="0"/>
      <w:marRight w:val="0"/>
      <w:marTop w:val="0"/>
      <w:marBottom w:val="0"/>
      <w:divBdr>
        <w:top w:val="none" w:sz="0" w:space="0" w:color="auto"/>
        <w:left w:val="none" w:sz="0" w:space="0" w:color="auto"/>
        <w:bottom w:val="none" w:sz="0" w:space="0" w:color="auto"/>
        <w:right w:val="none" w:sz="0" w:space="0" w:color="auto"/>
      </w:divBdr>
    </w:div>
    <w:div w:id="871503220">
      <w:bodyDiv w:val="1"/>
      <w:marLeft w:val="0"/>
      <w:marRight w:val="0"/>
      <w:marTop w:val="0"/>
      <w:marBottom w:val="0"/>
      <w:divBdr>
        <w:top w:val="none" w:sz="0" w:space="0" w:color="auto"/>
        <w:left w:val="none" w:sz="0" w:space="0" w:color="auto"/>
        <w:bottom w:val="none" w:sz="0" w:space="0" w:color="auto"/>
        <w:right w:val="none" w:sz="0" w:space="0" w:color="auto"/>
      </w:divBdr>
    </w:div>
    <w:div w:id="874734066">
      <w:bodyDiv w:val="1"/>
      <w:marLeft w:val="0"/>
      <w:marRight w:val="0"/>
      <w:marTop w:val="0"/>
      <w:marBottom w:val="0"/>
      <w:divBdr>
        <w:top w:val="none" w:sz="0" w:space="0" w:color="auto"/>
        <w:left w:val="none" w:sz="0" w:space="0" w:color="auto"/>
        <w:bottom w:val="none" w:sz="0" w:space="0" w:color="auto"/>
        <w:right w:val="none" w:sz="0" w:space="0" w:color="auto"/>
      </w:divBdr>
    </w:div>
    <w:div w:id="876969312">
      <w:bodyDiv w:val="1"/>
      <w:marLeft w:val="0"/>
      <w:marRight w:val="0"/>
      <w:marTop w:val="0"/>
      <w:marBottom w:val="0"/>
      <w:divBdr>
        <w:top w:val="none" w:sz="0" w:space="0" w:color="auto"/>
        <w:left w:val="none" w:sz="0" w:space="0" w:color="auto"/>
        <w:bottom w:val="none" w:sz="0" w:space="0" w:color="auto"/>
        <w:right w:val="none" w:sz="0" w:space="0" w:color="auto"/>
      </w:divBdr>
    </w:div>
    <w:div w:id="877202892">
      <w:bodyDiv w:val="1"/>
      <w:marLeft w:val="0"/>
      <w:marRight w:val="0"/>
      <w:marTop w:val="0"/>
      <w:marBottom w:val="0"/>
      <w:divBdr>
        <w:top w:val="none" w:sz="0" w:space="0" w:color="auto"/>
        <w:left w:val="none" w:sz="0" w:space="0" w:color="auto"/>
        <w:bottom w:val="none" w:sz="0" w:space="0" w:color="auto"/>
        <w:right w:val="none" w:sz="0" w:space="0" w:color="auto"/>
      </w:divBdr>
    </w:div>
    <w:div w:id="879244882">
      <w:bodyDiv w:val="1"/>
      <w:marLeft w:val="0"/>
      <w:marRight w:val="0"/>
      <w:marTop w:val="0"/>
      <w:marBottom w:val="0"/>
      <w:divBdr>
        <w:top w:val="none" w:sz="0" w:space="0" w:color="auto"/>
        <w:left w:val="none" w:sz="0" w:space="0" w:color="auto"/>
        <w:bottom w:val="none" w:sz="0" w:space="0" w:color="auto"/>
        <w:right w:val="none" w:sz="0" w:space="0" w:color="auto"/>
      </w:divBdr>
    </w:div>
    <w:div w:id="881942965">
      <w:bodyDiv w:val="1"/>
      <w:marLeft w:val="0"/>
      <w:marRight w:val="0"/>
      <w:marTop w:val="0"/>
      <w:marBottom w:val="0"/>
      <w:divBdr>
        <w:top w:val="none" w:sz="0" w:space="0" w:color="auto"/>
        <w:left w:val="none" w:sz="0" w:space="0" w:color="auto"/>
        <w:bottom w:val="none" w:sz="0" w:space="0" w:color="auto"/>
        <w:right w:val="none" w:sz="0" w:space="0" w:color="auto"/>
      </w:divBdr>
    </w:div>
    <w:div w:id="883832545">
      <w:bodyDiv w:val="1"/>
      <w:marLeft w:val="0"/>
      <w:marRight w:val="0"/>
      <w:marTop w:val="0"/>
      <w:marBottom w:val="0"/>
      <w:divBdr>
        <w:top w:val="none" w:sz="0" w:space="0" w:color="auto"/>
        <w:left w:val="none" w:sz="0" w:space="0" w:color="auto"/>
        <w:bottom w:val="none" w:sz="0" w:space="0" w:color="auto"/>
        <w:right w:val="none" w:sz="0" w:space="0" w:color="auto"/>
      </w:divBdr>
    </w:div>
    <w:div w:id="885020442">
      <w:bodyDiv w:val="1"/>
      <w:marLeft w:val="0"/>
      <w:marRight w:val="0"/>
      <w:marTop w:val="0"/>
      <w:marBottom w:val="0"/>
      <w:divBdr>
        <w:top w:val="none" w:sz="0" w:space="0" w:color="auto"/>
        <w:left w:val="none" w:sz="0" w:space="0" w:color="auto"/>
        <w:bottom w:val="none" w:sz="0" w:space="0" w:color="auto"/>
        <w:right w:val="none" w:sz="0" w:space="0" w:color="auto"/>
      </w:divBdr>
    </w:div>
    <w:div w:id="885991145">
      <w:bodyDiv w:val="1"/>
      <w:marLeft w:val="0"/>
      <w:marRight w:val="0"/>
      <w:marTop w:val="0"/>
      <w:marBottom w:val="0"/>
      <w:divBdr>
        <w:top w:val="none" w:sz="0" w:space="0" w:color="auto"/>
        <w:left w:val="none" w:sz="0" w:space="0" w:color="auto"/>
        <w:bottom w:val="none" w:sz="0" w:space="0" w:color="auto"/>
        <w:right w:val="none" w:sz="0" w:space="0" w:color="auto"/>
      </w:divBdr>
    </w:div>
    <w:div w:id="886642472">
      <w:bodyDiv w:val="1"/>
      <w:marLeft w:val="0"/>
      <w:marRight w:val="0"/>
      <w:marTop w:val="0"/>
      <w:marBottom w:val="0"/>
      <w:divBdr>
        <w:top w:val="none" w:sz="0" w:space="0" w:color="auto"/>
        <w:left w:val="none" w:sz="0" w:space="0" w:color="auto"/>
        <w:bottom w:val="none" w:sz="0" w:space="0" w:color="auto"/>
        <w:right w:val="none" w:sz="0" w:space="0" w:color="auto"/>
      </w:divBdr>
    </w:div>
    <w:div w:id="890575757">
      <w:bodyDiv w:val="1"/>
      <w:marLeft w:val="0"/>
      <w:marRight w:val="0"/>
      <w:marTop w:val="0"/>
      <w:marBottom w:val="0"/>
      <w:divBdr>
        <w:top w:val="none" w:sz="0" w:space="0" w:color="auto"/>
        <w:left w:val="none" w:sz="0" w:space="0" w:color="auto"/>
        <w:bottom w:val="none" w:sz="0" w:space="0" w:color="auto"/>
        <w:right w:val="none" w:sz="0" w:space="0" w:color="auto"/>
      </w:divBdr>
    </w:div>
    <w:div w:id="890962360">
      <w:bodyDiv w:val="1"/>
      <w:marLeft w:val="0"/>
      <w:marRight w:val="0"/>
      <w:marTop w:val="0"/>
      <w:marBottom w:val="0"/>
      <w:divBdr>
        <w:top w:val="none" w:sz="0" w:space="0" w:color="auto"/>
        <w:left w:val="none" w:sz="0" w:space="0" w:color="auto"/>
        <w:bottom w:val="none" w:sz="0" w:space="0" w:color="auto"/>
        <w:right w:val="none" w:sz="0" w:space="0" w:color="auto"/>
      </w:divBdr>
    </w:div>
    <w:div w:id="891355672">
      <w:bodyDiv w:val="1"/>
      <w:marLeft w:val="0"/>
      <w:marRight w:val="0"/>
      <w:marTop w:val="0"/>
      <w:marBottom w:val="0"/>
      <w:divBdr>
        <w:top w:val="none" w:sz="0" w:space="0" w:color="auto"/>
        <w:left w:val="none" w:sz="0" w:space="0" w:color="auto"/>
        <w:bottom w:val="none" w:sz="0" w:space="0" w:color="auto"/>
        <w:right w:val="none" w:sz="0" w:space="0" w:color="auto"/>
      </w:divBdr>
    </w:div>
    <w:div w:id="893589519">
      <w:bodyDiv w:val="1"/>
      <w:marLeft w:val="0"/>
      <w:marRight w:val="0"/>
      <w:marTop w:val="0"/>
      <w:marBottom w:val="0"/>
      <w:divBdr>
        <w:top w:val="none" w:sz="0" w:space="0" w:color="auto"/>
        <w:left w:val="none" w:sz="0" w:space="0" w:color="auto"/>
        <w:bottom w:val="none" w:sz="0" w:space="0" w:color="auto"/>
        <w:right w:val="none" w:sz="0" w:space="0" w:color="auto"/>
      </w:divBdr>
    </w:div>
    <w:div w:id="894699127">
      <w:bodyDiv w:val="1"/>
      <w:marLeft w:val="0"/>
      <w:marRight w:val="0"/>
      <w:marTop w:val="0"/>
      <w:marBottom w:val="0"/>
      <w:divBdr>
        <w:top w:val="none" w:sz="0" w:space="0" w:color="auto"/>
        <w:left w:val="none" w:sz="0" w:space="0" w:color="auto"/>
        <w:bottom w:val="none" w:sz="0" w:space="0" w:color="auto"/>
        <w:right w:val="none" w:sz="0" w:space="0" w:color="auto"/>
      </w:divBdr>
    </w:div>
    <w:div w:id="895049232">
      <w:bodyDiv w:val="1"/>
      <w:marLeft w:val="0"/>
      <w:marRight w:val="0"/>
      <w:marTop w:val="0"/>
      <w:marBottom w:val="0"/>
      <w:divBdr>
        <w:top w:val="none" w:sz="0" w:space="0" w:color="auto"/>
        <w:left w:val="none" w:sz="0" w:space="0" w:color="auto"/>
        <w:bottom w:val="none" w:sz="0" w:space="0" w:color="auto"/>
        <w:right w:val="none" w:sz="0" w:space="0" w:color="auto"/>
      </w:divBdr>
    </w:div>
    <w:div w:id="896552834">
      <w:bodyDiv w:val="1"/>
      <w:marLeft w:val="0"/>
      <w:marRight w:val="0"/>
      <w:marTop w:val="0"/>
      <w:marBottom w:val="0"/>
      <w:divBdr>
        <w:top w:val="none" w:sz="0" w:space="0" w:color="auto"/>
        <w:left w:val="none" w:sz="0" w:space="0" w:color="auto"/>
        <w:bottom w:val="none" w:sz="0" w:space="0" w:color="auto"/>
        <w:right w:val="none" w:sz="0" w:space="0" w:color="auto"/>
      </w:divBdr>
    </w:div>
    <w:div w:id="896627074">
      <w:bodyDiv w:val="1"/>
      <w:marLeft w:val="0"/>
      <w:marRight w:val="0"/>
      <w:marTop w:val="0"/>
      <w:marBottom w:val="0"/>
      <w:divBdr>
        <w:top w:val="none" w:sz="0" w:space="0" w:color="auto"/>
        <w:left w:val="none" w:sz="0" w:space="0" w:color="auto"/>
        <w:bottom w:val="none" w:sz="0" w:space="0" w:color="auto"/>
        <w:right w:val="none" w:sz="0" w:space="0" w:color="auto"/>
      </w:divBdr>
    </w:div>
    <w:div w:id="898322209">
      <w:bodyDiv w:val="1"/>
      <w:marLeft w:val="0"/>
      <w:marRight w:val="0"/>
      <w:marTop w:val="0"/>
      <w:marBottom w:val="0"/>
      <w:divBdr>
        <w:top w:val="none" w:sz="0" w:space="0" w:color="auto"/>
        <w:left w:val="none" w:sz="0" w:space="0" w:color="auto"/>
        <w:bottom w:val="none" w:sz="0" w:space="0" w:color="auto"/>
        <w:right w:val="none" w:sz="0" w:space="0" w:color="auto"/>
      </w:divBdr>
    </w:div>
    <w:div w:id="900096302">
      <w:bodyDiv w:val="1"/>
      <w:marLeft w:val="0"/>
      <w:marRight w:val="0"/>
      <w:marTop w:val="0"/>
      <w:marBottom w:val="0"/>
      <w:divBdr>
        <w:top w:val="none" w:sz="0" w:space="0" w:color="auto"/>
        <w:left w:val="none" w:sz="0" w:space="0" w:color="auto"/>
        <w:bottom w:val="none" w:sz="0" w:space="0" w:color="auto"/>
        <w:right w:val="none" w:sz="0" w:space="0" w:color="auto"/>
      </w:divBdr>
    </w:div>
    <w:div w:id="903763526">
      <w:bodyDiv w:val="1"/>
      <w:marLeft w:val="0"/>
      <w:marRight w:val="0"/>
      <w:marTop w:val="0"/>
      <w:marBottom w:val="0"/>
      <w:divBdr>
        <w:top w:val="none" w:sz="0" w:space="0" w:color="auto"/>
        <w:left w:val="none" w:sz="0" w:space="0" w:color="auto"/>
        <w:bottom w:val="none" w:sz="0" w:space="0" w:color="auto"/>
        <w:right w:val="none" w:sz="0" w:space="0" w:color="auto"/>
      </w:divBdr>
    </w:div>
    <w:div w:id="904411344">
      <w:bodyDiv w:val="1"/>
      <w:marLeft w:val="0"/>
      <w:marRight w:val="0"/>
      <w:marTop w:val="0"/>
      <w:marBottom w:val="0"/>
      <w:divBdr>
        <w:top w:val="none" w:sz="0" w:space="0" w:color="auto"/>
        <w:left w:val="none" w:sz="0" w:space="0" w:color="auto"/>
        <w:bottom w:val="none" w:sz="0" w:space="0" w:color="auto"/>
        <w:right w:val="none" w:sz="0" w:space="0" w:color="auto"/>
      </w:divBdr>
    </w:div>
    <w:div w:id="906577423">
      <w:bodyDiv w:val="1"/>
      <w:marLeft w:val="0"/>
      <w:marRight w:val="0"/>
      <w:marTop w:val="0"/>
      <w:marBottom w:val="0"/>
      <w:divBdr>
        <w:top w:val="none" w:sz="0" w:space="0" w:color="auto"/>
        <w:left w:val="none" w:sz="0" w:space="0" w:color="auto"/>
        <w:bottom w:val="none" w:sz="0" w:space="0" w:color="auto"/>
        <w:right w:val="none" w:sz="0" w:space="0" w:color="auto"/>
      </w:divBdr>
    </w:div>
    <w:div w:id="908223656">
      <w:bodyDiv w:val="1"/>
      <w:marLeft w:val="0"/>
      <w:marRight w:val="0"/>
      <w:marTop w:val="0"/>
      <w:marBottom w:val="0"/>
      <w:divBdr>
        <w:top w:val="none" w:sz="0" w:space="0" w:color="auto"/>
        <w:left w:val="none" w:sz="0" w:space="0" w:color="auto"/>
        <w:bottom w:val="none" w:sz="0" w:space="0" w:color="auto"/>
        <w:right w:val="none" w:sz="0" w:space="0" w:color="auto"/>
      </w:divBdr>
    </w:div>
    <w:div w:id="908270104">
      <w:bodyDiv w:val="1"/>
      <w:marLeft w:val="0"/>
      <w:marRight w:val="0"/>
      <w:marTop w:val="0"/>
      <w:marBottom w:val="0"/>
      <w:divBdr>
        <w:top w:val="none" w:sz="0" w:space="0" w:color="auto"/>
        <w:left w:val="none" w:sz="0" w:space="0" w:color="auto"/>
        <w:bottom w:val="none" w:sz="0" w:space="0" w:color="auto"/>
        <w:right w:val="none" w:sz="0" w:space="0" w:color="auto"/>
      </w:divBdr>
    </w:div>
    <w:div w:id="909461802">
      <w:bodyDiv w:val="1"/>
      <w:marLeft w:val="0"/>
      <w:marRight w:val="0"/>
      <w:marTop w:val="0"/>
      <w:marBottom w:val="0"/>
      <w:divBdr>
        <w:top w:val="none" w:sz="0" w:space="0" w:color="auto"/>
        <w:left w:val="none" w:sz="0" w:space="0" w:color="auto"/>
        <w:bottom w:val="none" w:sz="0" w:space="0" w:color="auto"/>
        <w:right w:val="none" w:sz="0" w:space="0" w:color="auto"/>
      </w:divBdr>
    </w:div>
    <w:div w:id="914894042">
      <w:bodyDiv w:val="1"/>
      <w:marLeft w:val="0"/>
      <w:marRight w:val="0"/>
      <w:marTop w:val="0"/>
      <w:marBottom w:val="0"/>
      <w:divBdr>
        <w:top w:val="none" w:sz="0" w:space="0" w:color="auto"/>
        <w:left w:val="none" w:sz="0" w:space="0" w:color="auto"/>
        <w:bottom w:val="none" w:sz="0" w:space="0" w:color="auto"/>
        <w:right w:val="none" w:sz="0" w:space="0" w:color="auto"/>
      </w:divBdr>
    </w:div>
    <w:div w:id="914970261">
      <w:bodyDiv w:val="1"/>
      <w:marLeft w:val="0"/>
      <w:marRight w:val="0"/>
      <w:marTop w:val="0"/>
      <w:marBottom w:val="0"/>
      <w:divBdr>
        <w:top w:val="none" w:sz="0" w:space="0" w:color="auto"/>
        <w:left w:val="none" w:sz="0" w:space="0" w:color="auto"/>
        <w:bottom w:val="none" w:sz="0" w:space="0" w:color="auto"/>
        <w:right w:val="none" w:sz="0" w:space="0" w:color="auto"/>
      </w:divBdr>
    </w:div>
    <w:div w:id="916011244">
      <w:bodyDiv w:val="1"/>
      <w:marLeft w:val="0"/>
      <w:marRight w:val="0"/>
      <w:marTop w:val="0"/>
      <w:marBottom w:val="0"/>
      <w:divBdr>
        <w:top w:val="none" w:sz="0" w:space="0" w:color="auto"/>
        <w:left w:val="none" w:sz="0" w:space="0" w:color="auto"/>
        <w:bottom w:val="none" w:sz="0" w:space="0" w:color="auto"/>
        <w:right w:val="none" w:sz="0" w:space="0" w:color="auto"/>
      </w:divBdr>
    </w:div>
    <w:div w:id="916672191">
      <w:bodyDiv w:val="1"/>
      <w:marLeft w:val="0"/>
      <w:marRight w:val="0"/>
      <w:marTop w:val="0"/>
      <w:marBottom w:val="0"/>
      <w:divBdr>
        <w:top w:val="none" w:sz="0" w:space="0" w:color="auto"/>
        <w:left w:val="none" w:sz="0" w:space="0" w:color="auto"/>
        <w:bottom w:val="none" w:sz="0" w:space="0" w:color="auto"/>
        <w:right w:val="none" w:sz="0" w:space="0" w:color="auto"/>
      </w:divBdr>
    </w:div>
    <w:div w:id="921331496">
      <w:bodyDiv w:val="1"/>
      <w:marLeft w:val="0"/>
      <w:marRight w:val="0"/>
      <w:marTop w:val="0"/>
      <w:marBottom w:val="0"/>
      <w:divBdr>
        <w:top w:val="none" w:sz="0" w:space="0" w:color="auto"/>
        <w:left w:val="none" w:sz="0" w:space="0" w:color="auto"/>
        <w:bottom w:val="none" w:sz="0" w:space="0" w:color="auto"/>
        <w:right w:val="none" w:sz="0" w:space="0" w:color="auto"/>
      </w:divBdr>
    </w:div>
    <w:div w:id="930815574">
      <w:bodyDiv w:val="1"/>
      <w:marLeft w:val="0"/>
      <w:marRight w:val="0"/>
      <w:marTop w:val="0"/>
      <w:marBottom w:val="0"/>
      <w:divBdr>
        <w:top w:val="none" w:sz="0" w:space="0" w:color="auto"/>
        <w:left w:val="none" w:sz="0" w:space="0" w:color="auto"/>
        <w:bottom w:val="none" w:sz="0" w:space="0" w:color="auto"/>
        <w:right w:val="none" w:sz="0" w:space="0" w:color="auto"/>
      </w:divBdr>
    </w:div>
    <w:div w:id="931430342">
      <w:bodyDiv w:val="1"/>
      <w:marLeft w:val="0"/>
      <w:marRight w:val="0"/>
      <w:marTop w:val="0"/>
      <w:marBottom w:val="0"/>
      <w:divBdr>
        <w:top w:val="none" w:sz="0" w:space="0" w:color="auto"/>
        <w:left w:val="none" w:sz="0" w:space="0" w:color="auto"/>
        <w:bottom w:val="none" w:sz="0" w:space="0" w:color="auto"/>
        <w:right w:val="none" w:sz="0" w:space="0" w:color="auto"/>
      </w:divBdr>
    </w:div>
    <w:div w:id="932397604">
      <w:bodyDiv w:val="1"/>
      <w:marLeft w:val="0"/>
      <w:marRight w:val="0"/>
      <w:marTop w:val="0"/>
      <w:marBottom w:val="0"/>
      <w:divBdr>
        <w:top w:val="none" w:sz="0" w:space="0" w:color="auto"/>
        <w:left w:val="none" w:sz="0" w:space="0" w:color="auto"/>
        <w:bottom w:val="none" w:sz="0" w:space="0" w:color="auto"/>
        <w:right w:val="none" w:sz="0" w:space="0" w:color="auto"/>
      </w:divBdr>
    </w:div>
    <w:div w:id="937062830">
      <w:bodyDiv w:val="1"/>
      <w:marLeft w:val="0"/>
      <w:marRight w:val="0"/>
      <w:marTop w:val="0"/>
      <w:marBottom w:val="0"/>
      <w:divBdr>
        <w:top w:val="none" w:sz="0" w:space="0" w:color="auto"/>
        <w:left w:val="none" w:sz="0" w:space="0" w:color="auto"/>
        <w:bottom w:val="none" w:sz="0" w:space="0" w:color="auto"/>
        <w:right w:val="none" w:sz="0" w:space="0" w:color="auto"/>
      </w:divBdr>
    </w:div>
    <w:div w:id="941646031">
      <w:bodyDiv w:val="1"/>
      <w:marLeft w:val="0"/>
      <w:marRight w:val="0"/>
      <w:marTop w:val="0"/>
      <w:marBottom w:val="0"/>
      <w:divBdr>
        <w:top w:val="none" w:sz="0" w:space="0" w:color="auto"/>
        <w:left w:val="none" w:sz="0" w:space="0" w:color="auto"/>
        <w:bottom w:val="none" w:sz="0" w:space="0" w:color="auto"/>
        <w:right w:val="none" w:sz="0" w:space="0" w:color="auto"/>
      </w:divBdr>
    </w:div>
    <w:div w:id="942348791">
      <w:bodyDiv w:val="1"/>
      <w:marLeft w:val="0"/>
      <w:marRight w:val="0"/>
      <w:marTop w:val="0"/>
      <w:marBottom w:val="0"/>
      <w:divBdr>
        <w:top w:val="none" w:sz="0" w:space="0" w:color="auto"/>
        <w:left w:val="none" w:sz="0" w:space="0" w:color="auto"/>
        <w:bottom w:val="none" w:sz="0" w:space="0" w:color="auto"/>
        <w:right w:val="none" w:sz="0" w:space="0" w:color="auto"/>
      </w:divBdr>
    </w:div>
    <w:div w:id="942685792">
      <w:bodyDiv w:val="1"/>
      <w:marLeft w:val="0"/>
      <w:marRight w:val="0"/>
      <w:marTop w:val="0"/>
      <w:marBottom w:val="0"/>
      <w:divBdr>
        <w:top w:val="none" w:sz="0" w:space="0" w:color="auto"/>
        <w:left w:val="none" w:sz="0" w:space="0" w:color="auto"/>
        <w:bottom w:val="none" w:sz="0" w:space="0" w:color="auto"/>
        <w:right w:val="none" w:sz="0" w:space="0" w:color="auto"/>
      </w:divBdr>
    </w:div>
    <w:div w:id="942997508">
      <w:bodyDiv w:val="1"/>
      <w:marLeft w:val="0"/>
      <w:marRight w:val="0"/>
      <w:marTop w:val="0"/>
      <w:marBottom w:val="0"/>
      <w:divBdr>
        <w:top w:val="none" w:sz="0" w:space="0" w:color="auto"/>
        <w:left w:val="none" w:sz="0" w:space="0" w:color="auto"/>
        <w:bottom w:val="none" w:sz="0" w:space="0" w:color="auto"/>
        <w:right w:val="none" w:sz="0" w:space="0" w:color="auto"/>
      </w:divBdr>
    </w:div>
    <w:div w:id="944270134">
      <w:bodyDiv w:val="1"/>
      <w:marLeft w:val="0"/>
      <w:marRight w:val="0"/>
      <w:marTop w:val="0"/>
      <w:marBottom w:val="0"/>
      <w:divBdr>
        <w:top w:val="none" w:sz="0" w:space="0" w:color="auto"/>
        <w:left w:val="none" w:sz="0" w:space="0" w:color="auto"/>
        <w:bottom w:val="none" w:sz="0" w:space="0" w:color="auto"/>
        <w:right w:val="none" w:sz="0" w:space="0" w:color="auto"/>
      </w:divBdr>
    </w:div>
    <w:div w:id="944728325">
      <w:bodyDiv w:val="1"/>
      <w:marLeft w:val="0"/>
      <w:marRight w:val="0"/>
      <w:marTop w:val="0"/>
      <w:marBottom w:val="0"/>
      <w:divBdr>
        <w:top w:val="none" w:sz="0" w:space="0" w:color="auto"/>
        <w:left w:val="none" w:sz="0" w:space="0" w:color="auto"/>
        <w:bottom w:val="none" w:sz="0" w:space="0" w:color="auto"/>
        <w:right w:val="none" w:sz="0" w:space="0" w:color="auto"/>
      </w:divBdr>
    </w:div>
    <w:div w:id="946162612">
      <w:bodyDiv w:val="1"/>
      <w:marLeft w:val="0"/>
      <w:marRight w:val="0"/>
      <w:marTop w:val="0"/>
      <w:marBottom w:val="0"/>
      <w:divBdr>
        <w:top w:val="none" w:sz="0" w:space="0" w:color="auto"/>
        <w:left w:val="none" w:sz="0" w:space="0" w:color="auto"/>
        <w:bottom w:val="none" w:sz="0" w:space="0" w:color="auto"/>
        <w:right w:val="none" w:sz="0" w:space="0" w:color="auto"/>
      </w:divBdr>
    </w:div>
    <w:div w:id="947615592">
      <w:bodyDiv w:val="1"/>
      <w:marLeft w:val="0"/>
      <w:marRight w:val="0"/>
      <w:marTop w:val="0"/>
      <w:marBottom w:val="0"/>
      <w:divBdr>
        <w:top w:val="none" w:sz="0" w:space="0" w:color="auto"/>
        <w:left w:val="none" w:sz="0" w:space="0" w:color="auto"/>
        <w:bottom w:val="none" w:sz="0" w:space="0" w:color="auto"/>
        <w:right w:val="none" w:sz="0" w:space="0" w:color="auto"/>
      </w:divBdr>
    </w:div>
    <w:div w:id="949701986">
      <w:bodyDiv w:val="1"/>
      <w:marLeft w:val="0"/>
      <w:marRight w:val="0"/>
      <w:marTop w:val="0"/>
      <w:marBottom w:val="0"/>
      <w:divBdr>
        <w:top w:val="none" w:sz="0" w:space="0" w:color="auto"/>
        <w:left w:val="none" w:sz="0" w:space="0" w:color="auto"/>
        <w:bottom w:val="none" w:sz="0" w:space="0" w:color="auto"/>
        <w:right w:val="none" w:sz="0" w:space="0" w:color="auto"/>
      </w:divBdr>
    </w:div>
    <w:div w:id="951933046">
      <w:bodyDiv w:val="1"/>
      <w:marLeft w:val="0"/>
      <w:marRight w:val="0"/>
      <w:marTop w:val="0"/>
      <w:marBottom w:val="0"/>
      <w:divBdr>
        <w:top w:val="none" w:sz="0" w:space="0" w:color="auto"/>
        <w:left w:val="none" w:sz="0" w:space="0" w:color="auto"/>
        <w:bottom w:val="none" w:sz="0" w:space="0" w:color="auto"/>
        <w:right w:val="none" w:sz="0" w:space="0" w:color="auto"/>
      </w:divBdr>
    </w:div>
    <w:div w:id="955133697">
      <w:bodyDiv w:val="1"/>
      <w:marLeft w:val="0"/>
      <w:marRight w:val="0"/>
      <w:marTop w:val="0"/>
      <w:marBottom w:val="0"/>
      <w:divBdr>
        <w:top w:val="none" w:sz="0" w:space="0" w:color="auto"/>
        <w:left w:val="none" w:sz="0" w:space="0" w:color="auto"/>
        <w:bottom w:val="none" w:sz="0" w:space="0" w:color="auto"/>
        <w:right w:val="none" w:sz="0" w:space="0" w:color="auto"/>
      </w:divBdr>
    </w:div>
    <w:div w:id="955141775">
      <w:bodyDiv w:val="1"/>
      <w:marLeft w:val="0"/>
      <w:marRight w:val="0"/>
      <w:marTop w:val="0"/>
      <w:marBottom w:val="0"/>
      <w:divBdr>
        <w:top w:val="none" w:sz="0" w:space="0" w:color="auto"/>
        <w:left w:val="none" w:sz="0" w:space="0" w:color="auto"/>
        <w:bottom w:val="none" w:sz="0" w:space="0" w:color="auto"/>
        <w:right w:val="none" w:sz="0" w:space="0" w:color="auto"/>
      </w:divBdr>
    </w:div>
    <w:div w:id="955452087">
      <w:bodyDiv w:val="1"/>
      <w:marLeft w:val="0"/>
      <w:marRight w:val="0"/>
      <w:marTop w:val="0"/>
      <w:marBottom w:val="0"/>
      <w:divBdr>
        <w:top w:val="none" w:sz="0" w:space="0" w:color="auto"/>
        <w:left w:val="none" w:sz="0" w:space="0" w:color="auto"/>
        <w:bottom w:val="none" w:sz="0" w:space="0" w:color="auto"/>
        <w:right w:val="none" w:sz="0" w:space="0" w:color="auto"/>
      </w:divBdr>
    </w:div>
    <w:div w:id="956446802">
      <w:bodyDiv w:val="1"/>
      <w:marLeft w:val="0"/>
      <w:marRight w:val="0"/>
      <w:marTop w:val="0"/>
      <w:marBottom w:val="0"/>
      <w:divBdr>
        <w:top w:val="none" w:sz="0" w:space="0" w:color="auto"/>
        <w:left w:val="none" w:sz="0" w:space="0" w:color="auto"/>
        <w:bottom w:val="none" w:sz="0" w:space="0" w:color="auto"/>
        <w:right w:val="none" w:sz="0" w:space="0" w:color="auto"/>
      </w:divBdr>
    </w:div>
    <w:div w:id="958682050">
      <w:bodyDiv w:val="1"/>
      <w:marLeft w:val="0"/>
      <w:marRight w:val="0"/>
      <w:marTop w:val="0"/>
      <w:marBottom w:val="0"/>
      <w:divBdr>
        <w:top w:val="none" w:sz="0" w:space="0" w:color="auto"/>
        <w:left w:val="none" w:sz="0" w:space="0" w:color="auto"/>
        <w:bottom w:val="none" w:sz="0" w:space="0" w:color="auto"/>
        <w:right w:val="none" w:sz="0" w:space="0" w:color="auto"/>
      </w:divBdr>
    </w:div>
    <w:div w:id="958799810">
      <w:bodyDiv w:val="1"/>
      <w:marLeft w:val="0"/>
      <w:marRight w:val="0"/>
      <w:marTop w:val="0"/>
      <w:marBottom w:val="0"/>
      <w:divBdr>
        <w:top w:val="none" w:sz="0" w:space="0" w:color="auto"/>
        <w:left w:val="none" w:sz="0" w:space="0" w:color="auto"/>
        <w:bottom w:val="none" w:sz="0" w:space="0" w:color="auto"/>
        <w:right w:val="none" w:sz="0" w:space="0" w:color="auto"/>
      </w:divBdr>
    </w:div>
    <w:div w:id="959847507">
      <w:bodyDiv w:val="1"/>
      <w:marLeft w:val="0"/>
      <w:marRight w:val="0"/>
      <w:marTop w:val="0"/>
      <w:marBottom w:val="0"/>
      <w:divBdr>
        <w:top w:val="none" w:sz="0" w:space="0" w:color="auto"/>
        <w:left w:val="none" w:sz="0" w:space="0" w:color="auto"/>
        <w:bottom w:val="none" w:sz="0" w:space="0" w:color="auto"/>
        <w:right w:val="none" w:sz="0" w:space="0" w:color="auto"/>
      </w:divBdr>
    </w:div>
    <w:div w:id="960843222">
      <w:bodyDiv w:val="1"/>
      <w:marLeft w:val="0"/>
      <w:marRight w:val="0"/>
      <w:marTop w:val="0"/>
      <w:marBottom w:val="0"/>
      <w:divBdr>
        <w:top w:val="none" w:sz="0" w:space="0" w:color="auto"/>
        <w:left w:val="none" w:sz="0" w:space="0" w:color="auto"/>
        <w:bottom w:val="none" w:sz="0" w:space="0" w:color="auto"/>
        <w:right w:val="none" w:sz="0" w:space="0" w:color="auto"/>
      </w:divBdr>
    </w:div>
    <w:div w:id="961497754">
      <w:bodyDiv w:val="1"/>
      <w:marLeft w:val="0"/>
      <w:marRight w:val="0"/>
      <w:marTop w:val="0"/>
      <w:marBottom w:val="0"/>
      <w:divBdr>
        <w:top w:val="none" w:sz="0" w:space="0" w:color="auto"/>
        <w:left w:val="none" w:sz="0" w:space="0" w:color="auto"/>
        <w:bottom w:val="none" w:sz="0" w:space="0" w:color="auto"/>
        <w:right w:val="none" w:sz="0" w:space="0" w:color="auto"/>
      </w:divBdr>
    </w:div>
    <w:div w:id="963852462">
      <w:bodyDiv w:val="1"/>
      <w:marLeft w:val="0"/>
      <w:marRight w:val="0"/>
      <w:marTop w:val="0"/>
      <w:marBottom w:val="0"/>
      <w:divBdr>
        <w:top w:val="none" w:sz="0" w:space="0" w:color="auto"/>
        <w:left w:val="none" w:sz="0" w:space="0" w:color="auto"/>
        <w:bottom w:val="none" w:sz="0" w:space="0" w:color="auto"/>
        <w:right w:val="none" w:sz="0" w:space="0" w:color="auto"/>
      </w:divBdr>
    </w:div>
    <w:div w:id="964000651">
      <w:bodyDiv w:val="1"/>
      <w:marLeft w:val="0"/>
      <w:marRight w:val="0"/>
      <w:marTop w:val="0"/>
      <w:marBottom w:val="0"/>
      <w:divBdr>
        <w:top w:val="none" w:sz="0" w:space="0" w:color="auto"/>
        <w:left w:val="none" w:sz="0" w:space="0" w:color="auto"/>
        <w:bottom w:val="none" w:sz="0" w:space="0" w:color="auto"/>
        <w:right w:val="none" w:sz="0" w:space="0" w:color="auto"/>
      </w:divBdr>
    </w:div>
    <w:div w:id="967315853">
      <w:bodyDiv w:val="1"/>
      <w:marLeft w:val="0"/>
      <w:marRight w:val="0"/>
      <w:marTop w:val="0"/>
      <w:marBottom w:val="0"/>
      <w:divBdr>
        <w:top w:val="none" w:sz="0" w:space="0" w:color="auto"/>
        <w:left w:val="none" w:sz="0" w:space="0" w:color="auto"/>
        <w:bottom w:val="none" w:sz="0" w:space="0" w:color="auto"/>
        <w:right w:val="none" w:sz="0" w:space="0" w:color="auto"/>
      </w:divBdr>
    </w:div>
    <w:div w:id="974020836">
      <w:bodyDiv w:val="1"/>
      <w:marLeft w:val="0"/>
      <w:marRight w:val="0"/>
      <w:marTop w:val="0"/>
      <w:marBottom w:val="0"/>
      <w:divBdr>
        <w:top w:val="none" w:sz="0" w:space="0" w:color="auto"/>
        <w:left w:val="none" w:sz="0" w:space="0" w:color="auto"/>
        <w:bottom w:val="none" w:sz="0" w:space="0" w:color="auto"/>
        <w:right w:val="none" w:sz="0" w:space="0" w:color="auto"/>
      </w:divBdr>
    </w:div>
    <w:div w:id="975531864">
      <w:bodyDiv w:val="1"/>
      <w:marLeft w:val="0"/>
      <w:marRight w:val="0"/>
      <w:marTop w:val="0"/>
      <w:marBottom w:val="0"/>
      <w:divBdr>
        <w:top w:val="none" w:sz="0" w:space="0" w:color="auto"/>
        <w:left w:val="none" w:sz="0" w:space="0" w:color="auto"/>
        <w:bottom w:val="none" w:sz="0" w:space="0" w:color="auto"/>
        <w:right w:val="none" w:sz="0" w:space="0" w:color="auto"/>
      </w:divBdr>
    </w:div>
    <w:div w:id="980229081">
      <w:bodyDiv w:val="1"/>
      <w:marLeft w:val="0"/>
      <w:marRight w:val="0"/>
      <w:marTop w:val="0"/>
      <w:marBottom w:val="0"/>
      <w:divBdr>
        <w:top w:val="none" w:sz="0" w:space="0" w:color="auto"/>
        <w:left w:val="none" w:sz="0" w:space="0" w:color="auto"/>
        <w:bottom w:val="none" w:sz="0" w:space="0" w:color="auto"/>
        <w:right w:val="none" w:sz="0" w:space="0" w:color="auto"/>
      </w:divBdr>
    </w:div>
    <w:div w:id="981890235">
      <w:bodyDiv w:val="1"/>
      <w:marLeft w:val="0"/>
      <w:marRight w:val="0"/>
      <w:marTop w:val="0"/>
      <w:marBottom w:val="0"/>
      <w:divBdr>
        <w:top w:val="none" w:sz="0" w:space="0" w:color="auto"/>
        <w:left w:val="none" w:sz="0" w:space="0" w:color="auto"/>
        <w:bottom w:val="none" w:sz="0" w:space="0" w:color="auto"/>
        <w:right w:val="none" w:sz="0" w:space="0" w:color="auto"/>
      </w:divBdr>
    </w:div>
    <w:div w:id="982077167">
      <w:bodyDiv w:val="1"/>
      <w:marLeft w:val="0"/>
      <w:marRight w:val="0"/>
      <w:marTop w:val="0"/>
      <w:marBottom w:val="0"/>
      <w:divBdr>
        <w:top w:val="none" w:sz="0" w:space="0" w:color="auto"/>
        <w:left w:val="none" w:sz="0" w:space="0" w:color="auto"/>
        <w:bottom w:val="none" w:sz="0" w:space="0" w:color="auto"/>
        <w:right w:val="none" w:sz="0" w:space="0" w:color="auto"/>
      </w:divBdr>
    </w:div>
    <w:div w:id="988823400">
      <w:bodyDiv w:val="1"/>
      <w:marLeft w:val="0"/>
      <w:marRight w:val="0"/>
      <w:marTop w:val="0"/>
      <w:marBottom w:val="0"/>
      <w:divBdr>
        <w:top w:val="none" w:sz="0" w:space="0" w:color="auto"/>
        <w:left w:val="none" w:sz="0" w:space="0" w:color="auto"/>
        <w:bottom w:val="none" w:sz="0" w:space="0" w:color="auto"/>
        <w:right w:val="none" w:sz="0" w:space="0" w:color="auto"/>
      </w:divBdr>
    </w:div>
    <w:div w:id="988873145">
      <w:bodyDiv w:val="1"/>
      <w:marLeft w:val="0"/>
      <w:marRight w:val="0"/>
      <w:marTop w:val="0"/>
      <w:marBottom w:val="0"/>
      <w:divBdr>
        <w:top w:val="none" w:sz="0" w:space="0" w:color="auto"/>
        <w:left w:val="none" w:sz="0" w:space="0" w:color="auto"/>
        <w:bottom w:val="none" w:sz="0" w:space="0" w:color="auto"/>
        <w:right w:val="none" w:sz="0" w:space="0" w:color="auto"/>
      </w:divBdr>
    </w:div>
    <w:div w:id="990405022">
      <w:bodyDiv w:val="1"/>
      <w:marLeft w:val="0"/>
      <w:marRight w:val="0"/>
      <w:marTop w:val="0"/>
      <w:marBottom w:val="0"/>
      <w:divBdr>
        <w:top w:val="none" w:sz="0" w:space="0" w:color="auto"/>
        <w:left w:val="none" w:sz="0" w:space="0" w:color="auto"/>
        <w:bottom w:val="none" w:sz="0" w:space="0" w:color="auto"/>
        <w:right w:val="none" w:sz="0" w:space="0" w:color="auto"/>
      </w:divBdr>
    </w:div>
    <w:div w:id="994719052">
      <w:bodyDiv w:val="1"/>
      <w:marLeft w:val="0"/>
      <w:marRight w:val="0"/>
      <w:marTop w:val="0"/>
      <w:marBottom w:val="0"/>
      <w:divBdr>
        <w:top w:val="none" w:sz="0" w:space="0" w:color="auto"/>
        <w:left w:val="none" w:sz="0" w:space="0" w:color="auto"/>
        <w:bottom w:val="none" w:sz="0" w:space="0" w:color="auto"/>
        <w:right w:val="none" w:sz="0" w:space="0" w:color="auto"/>
      </w:divBdr>
    </w:div>
    <w:div w:id="997533082">
      <w:bodyDiv w:val="1"/>
      <w:marLeft w:val="0"/>
      <w:marRight w:val="0"/>
      <w:marTop w:val="0"/>
      <w:marBottom w:val="0"/>
      <w:divBdr>
        <w:top w:val="none" w:sz="0" w:space="0" w:color="auto"/>
        <w:left w:val="none" w:sz="0" w:space="0" w:color="auto"/>
        <w:bottom w:val="none" w:sz="0" w:space="0" w:color="auto"/>
        <w:right w:val="none" w:sz="0" w:space="0" w:color="auto"/>
      </w:divBdr>
    </w:div>
    <w:div w:id="998000356">
      <w:bodyDiv w:val="1"/>
      <w:marLeft w:val="0"/>
      <w:marRight w:val="0"/>
      <w:marTop w:val="0"/>
      <w:marBottom w:val="0"/>
      <w:divBdr>
        <w:top w:val="none" w:sz="0" w:space="0" w:color="auto"/>
        <w:left w:val="none" w:sz="0" w:space="0" w:color="auto"/>
        <w:bottom w:val="none" w:sz="0" w:space="0" w:color="auto"/>
        <w:right w:val="none" w:sz="0" w:space="0" w:color="auto"/>
      </w:divBdr>
    </w:div>
    <w:div w:id="998072591">
      <w:bodyDiv w:val="1"/>
      <w:marLeft w:val="0"/>
      <w:marRight w:val="0"/>
      <w:marTop w:val="0"/>
      <w:marBottom w:val="0"/>
      <w:divBdr>
        <w:top w:val="none" w:sz="0" w:space="0" w:color="auto"/>
        <w:left w:val="none" w:sz="0" w:space="0" w:color="auto"/>
        <w:bottom w:val="none" w:sz="0" w:space="0" w:color="auto"/>
        <w:right w:val="none" w:sz="0" w:space="0" w:color="auto"/>
      </w:divBdr>
    </w:div>
    <w:div w:id="998801194">
      <w:bodyDiv w:val="1"/>
      <w:marLeft w:val="0"/>
      <w:marRight w:val="0"/>
      <w:marTop w:val="0"/>
      <w:marBottom w:val="0"/>
      <w:divBdr>
        <w:top w:val="none" w:sz="0" w:space="0" w:color="auto"/>
        <w:left w:val="none" w:sz="0" w:space="0" w:color="auto"/>
        <w:bottom w:val="none" w:sz="0" w:space="0" w:color="auto"/>
        <w:right w:val="none" w:sz="0" w:space="0" w:color="auto"/>
      </w:divBdr>
    </w:div>
    <w:div w:id="1001734449">
      <w:bodyDiv w:val="1"/>
      <w:marLeft w:val="0"/>
      <w:marRight w:val="0"/>
      <w:marTop w:val="0"/>
      <w:marBottom w:val="0"/>
      <w:divBdr>
        <w:top w:val="none" w:sz="0" w:space="0" w:color="auto"/>
        <w:left w:val="none" w:sz="0" w:space="0" w:color="auto"/>
        <w:bottom w:val="none" w:sz="0" w:space="0" w:color="auto"/>
        <w:right w:val="none" w:sz="0" w:space="0" w:color="auto"/>
      </w:divBdr>
    </w:div>
    <w:div w:id="1002588708">
      <w:bodyDiv w:val="1"/>
      <w:marLeft w:val="0"/>
      <w:marRight w:val="0"/>
      <w:marTop w:val="0"/>
      <w:marBottom w:val="0"/>
      <w:divBdr>
        <w:top w:val="none" w:sz="0" w:space="0" w:color="auto"/>
        <w:left w:val="none" w:sz="0" w:space="0" w:color="auto"/>
        <w:bottom w:val="none" w:sz="0" w:space="0" w:color="auto"/>
        <w:right w:val="none" w:sz="0" w:space="0" w:color="auto"/>
      </w:divBdr>
    </w:div>
    <w:div w:id="1003318535">
      <w:bodyDiv w:val="1"/>
      <w:marLeft w:val="0"/>
      <w:marRight w:val="0"/>
      <w:marTop w:val="0"/>
      <w:marBottom w:val="0"/>
      <w:divBdr>
        <w:top w:val="none" w:sz="0" w:space="0" w:color="auto"/>
        <w:left w:val="none" w:sz="0" w:space="0" w:color="auto"/>
        <w:bottom w:val="none" w:sz="0" w:space="0" w:color="auto"/>
        <w:right w:val="none" w:sz="0" w:space="0" w:color="auto"/>
      </w:divBdr>
    </w:div>
    <w:div w:id="1010178753">
      <w:bodyDiv w:val="1"/>
      <w:marLeft w:val="0"/>
      <w:marRight w:val="0"/>
      <w:marTop w:val="0"/>
      <w:marBottom w:val="0"/>
      <w:divBdr>
        <w:top w:val="none" w:sz="0" w:space="0" w:color="auto"/>
        <w:left w:val="none" w:sz="0" w:space="0" w:color="auto"/>
        <w:bottom w:val="none" w:sz="0" w:space="0" w:color="auto"/>
        <w:right w:val="none" w:sz="0" w:space="0" w:color="auto"/>
      </w:divBdr>
    </w:div>
    <w:div w:id="1012680403">
      <w:bodyDiv w:val="1"/>
      <w:marLeft w:val="0"/>
      <w:marRight w:val="0"/>
      <w:marTop w:val="0"/>
      <w:marBottom w:val="0"/>
      <w:divBdr>
        <w:top w:val="none" w:sz="0" w:space="0" w:color="auto"/>
        <w:left w:val="none" w:sz="0" w:space="0" w:color="auto"/>
        <w:bottom w:val="none" w:sz="0" w:space="0" w:color="auto"/>
        <w:right w:val="none" w:sz="0" w:space="0" w:color="auto"/>
      </w:divBdr>
    </w:div>
    <w:div w:id="1014041941">
      <w:bodyDiv w:val="1"/>
      <w:marLeft w:val="0"/>
      <w:marRight w:val="0"/>
      <w:marTop w:val="0"/>
      <w:marBottom w:val="0"/>
      <w:divBdr>
        <w:top w:val="none" w:sz="0" w:space="0" w:color="auto"/>
        <w:left w:val="none" w:sz="0" w:space="0" w:color="auto"/>
        <w:bottom w:val="none" w:sz="0" w:space="0" w:color="auto"/>
        <w:right w:val="none" w:sz="0" w:space="0" w:color="auto"/>
      </w:divBdr>
    </w:div>
    <w:div w:id="1016809515">
      <w:bodyDiv w:val="1"/>
      <w:marLeft w:val="0"/>
      <w:marRight w:val="0"/>
      <w:marTop w:val="0"/>
      <w:marBottom w:val="0"/>
      <w:divBdr>
        <w:top w:val="none" w:sz="0" w:space="0" w:color="auto"/>
        <w:left w:val="none" w:sz="0" w:space="0" w:color="auto"/>
        <w:bottom w:val="none" w:sz="0" w:space="0" w:color="auto"/>
        <w:right w:val="none" w:sz="0" w:space="0" w:color="auto"/>
      </w:divBdr>
    </w:div>
    <w:div w:id="1018895741">
      <w:bodyDiv w:val="1"/>
      <w:marLeft w:val="0"/>
      <w:marRight w:val="0"/>
      <w:marTop w:val="0"/>
      <w:marBottom w:val="0"/>
      <w:divBdr>
        <w:top w:val="none" w:sz="0" w:space="0" w:color="auto"/>
        <w:left w:val="none" w:sz="0" w:space="0" w:color="auto"/>
        <w:bottom w:val="none" w:sz="0" w:space="0" w:color="auto"/>
        <w:right w:val="none" w:sz="0" w:space="0" w:color="auto"/>
      </w:divBdr>
    </w:div>
    <w:div w:id="1020081695">
      <w:bodyDiv w:val="1"/>
      <w:marLeft w:val="0"/>
      <w:marRight w:val="0"/>
      <w:marTop w:val="0"/>
      <w:marBottom w:val="0"/>
      <w:divBdr>
        <w:top w:val="none" w:sz="0" w:space="0" w:color="auto"/>
        <w:left w:val="none" w:sz="0" w:space="0" w:color="auto"/>
        <w:bottom w:val="none" w:sz="0" w:space="0" w:color="auto"/>
        <w:right w:val="none" w:sz="0" w:space="0" w:color="auto"/>
      </w:divBdr>
    </w:div>
    <w:div w:id="1022166574">
      <w:bodyDiv w:val="1"/>
      <w:marLeft w:val="0"/>
      <w:marRight w:val="0"/>
      <w:marTop w:val="0"/>
      <w:marBottom w:val="0"/>
      <w:divBdr>
        <w:top w:val="none" w:sz="0" w:space="0" w:color="auto"/>
        <w:left w:val="none" w:sz="0" w:space="0" w:color="auto"/>
        <w:bottom w:val="none" w:sz="0" w:space="0" w:color="auto"/>
        <w:right w:val="none" w:sz="0" w:space="0" w:color="auto"/>
      </w:divBdr>
    </w:div>
    <w:div w:id="1022827993">
      <w:bodyDiv w:val="1"/>
      <w:marLeft w:val="0"/>
      <w:marRight w:val="0"/>
      <w:marTop w:val="0"/>
      <w:marBottom w:val="0"/>
      <w:divBdr>
        <w:top w:val="none" w:sz="0" w:space="0" w:color="auto"/>
        <w:left w:val="none" w:sz="0" w:space="0" w:color="auto"/>
        <w:bottom w:val="none" w:sz="0" w:space="0" w:color="auto"/>
        <w:right w:val="none" w:sz="0" w:space="0" w:color="auto"/>
      </w:divBdr>
    </w:div>
    <w:div w:id="1028601408">
      <w:bodyDiv w:val="1"/>
      <w:marLeft w:val="0"/>
      <w:marRight w:val="0"/>
      <w:marTop w:val="0"/>
      <w:marBottom w:val="0"/>
      <w:divBdr>
        <w:top w:val="none" w:sz="0" w:space="0" w:color="auto"/>
        <w:left w:val="none" w:sz="0" w:space="0" w:color="auto"/>
        <w:bottom w:val="none" w:sz="0" w:space="0" w:color="auto"/>
        <w:right w:val="none" w:sz="0" w:space="0" w:color="auto"/>
      </w:divBdr>
    </w:div>
    <w:div w:id="1029180805">
      <w:bodyDiv w:val="1"/>
      <w:marLeft w:val="0"/>
      <w:marRight w:val="0"/>
      <w:marTop w:val="0"/>
      <w:marBottom w:val="0"/>
      <w:divBdr>
        <w:top w:val="none" w:sz="0" w:space="0" w:color="auto"/>
        <w:left w:val="none" w:sz="0" w:space="0" w:color="auto"/>
        <w:bottom w:val="none" w:sz="0" w:space="0" w:color="auto"/>
        <w:right w:val="none" w:sz="0" w:space="0" w:color="auto"/>
      </w:divBdr>
    </w:div>
    <w:div w:id="1029918246">
      <w:bodyDiv w:val="1"/>
      <w:marLeft w:val="0"/>
      <w:marRight w:val="0"/>
      <w:marTop w:val="0"/>
      <w:marBottom w:val="0"/>
      <w:divBdr>
        <w:top w:val="none" w:sz="0" w:space="0" w:color="auto"/>
        <w:left w:val="none" w:sz="0" w:space="0" w:color="auto"/>
        <w:bottom w:val="none" w:sz="0" w:space="0" w:color="auto"/>
        <w:right w:val="none" w:sz="0" w:space="0" w:color="auto"/>
      </w:divBdr>
    </w:div>
    <w:div w:id="1033116786">
      <w:bodyDiv w:val="1"/>
      <w:marLeft w:val="0"/>
      <w:marRight w:val="0"/>
      <w:marTop w:val="0"/>
      <w:marBottom w:val="0"/>
      <w:divBdr>
        <w:top w:val="none" w:sz="0" w:space="0" w:color="auto"/>
        <w:left w:val="none" w:sz="0" w:space="0" w:color="auto"/>
        <w:bottom w:val="none" w:sz="0" w:space="0" w:color="auto"/>
        <w:right w:val="none" w:sz="0" w:space="0" w:color="auto"/>
      </w:divBdr>
    </w:div>
    <w:div w:id="1035616486">
      <w:bodyDiv w:val="1"/>
      <w:marLeft w:val="0"/>
      <w:marRight w:val="0"/>
      <w:marTop w:val="0"/>
      <w:marBottom w:val="0"/>
      <w:divBdr>
        <w:top w:val="none" w:sz="0" w:space="0" w:color="auto"/>
        <w:left w:val="none" w:sz="0" w:space="0" w:color="auto"/>
        <w:bottom w:val="none" w:sz="0" w:space="0" w:color="auto"/>
        <w:right w:val="none" w:sz="0" w:space="0" w:color="auto"/>
      </w:divBdr>
    </w:div>
    <w:div w:id="1036809483">
      <w:bodyDiv w:val="1"/>
      <w:marLeft w:val="0"/>
      <w:marRight w:val="0"/>
      <w:marTop w:val="0"/>
      <w:marBottom w:val="0"/>
      <w:divBdr>
        <w:top w:val="none" w:sz="0" w:space="0" w:color="auto"/>
        <w:left w:val="none" w:sz="0" w:space="0" w:color="auto"/>
        <w:bottom w:val="none" w:sz="0" w:space="0" w:color="auto"/>
        <w:right w:val="none" w:sz="0" w:space="0" w:color="auto"/>
      </w:divBdr>
    </w:div>
    <w:div w:id="1039941108">
      <w:bodyDiv w:val="1"/>
      <w:marLeft w:val="0"/>
      <w:marRight w:val="0"/>
      <w:marTop w:val="0"/>
      <w:marBottom w:val="0"/>
      <w:divBdr>
        <w:top w:val="none" w:sz="0" w:space="0" w:color="auto"/>
        <w:left w:val="none" w:sz="0" w:space="0" w:color="auto"/>
        <w:bottom w:val="none" w:sz="0" w:space="0" w:color="auto"/>
        <w:right w:val="none" w:sz="0" w:space="0" w:color="auto"/>
      </w:divBdr>
    </w:div>
    <w:div w:id="1042292340">
      <w:bodyDiv w:val="1"/>
      <w:marLeft w:val="0"/>
      <w:marRight w:val="0"/>
      <w:marTop w:val="0"/>
      <w:marBottom w:val="0"/>
      <w:divBdr>
        <w:top w:val="none" w:sz="0" w:space="0" w:color="auto"/>
        <w:left w:val="none" w:sz="0" w:space="0" w:color="auto"/>
        <w:bottom w:val="none" w:sz="0" w:space="0" w:color="auto"/>
        <w:right w:val="none" w:sz="0" w:space="0" w:color="auto"/>
      </w:divBdr>
    </w:div>
    <w:div w:id="1054961642">
      <w:bodyDiv w:val="1"/>
      <w:marLeft w:val="0"/>
      <w:marRight w:val="0"/>
      <w:marTop w:val="0"/>
      <w:marBottom w:val="0"/>
      <w:divBdr>
        <w:top w:val="none" w:sz="0" w:space="0" w:color="auto"/>
        <w:left w:val="none" w:sz="0" w:space="0" w:color="auto"/>
        <w:bottom w:val="none" w:sz="0" w:space="0" w:color="auto"/>
        <w:right w:val="none" w:sz="0" w:space="0" w:color="auto"/>
      </w:divBdr>
    </w:div>
    <w:div w:id="1056587551">
      <w:bodyDiv w:val="1"/>
      <w:marLeft w:val="0"/>
      <w:marRight w:val="0"/>
      <w:marTop w:val="0"/>
      <w:marBottom w:val="0"/>
      <w:divBdr>
        <w:top w:val="none" w:sz="0" w:space="0" w:color="auto"/>
        <w:left w:val="none" w:sz="0" w:space="0" w:color="auto"/>
        <w:bottom w:val="none" w:sz="0" w:space="0" w:color="auto"/>
        <w:right w:val="none" w:sz="0" w:space="0" w:color="auto"/>
      </w:divBdr>
    </w:div>
    <w:div w:id="1058162024">
      <w:bodyDiv w:val="1"/>
      <w:marLeft w:val="0"/>
      <w:marRight w:val="0"/>
      <w:marTop w:val="0"/>
      <w:marBottom w:val="0"/>
      <w:divBdr>
        <w:top w:val="none" w:sz="0" w:space="0" w:color="auto"/>
        <w:left w:val="none" w:sz="0" w:space="0" w:color="auto"/>
        <w:bottom w:val="none" w:sz="0" w:space="0" w:color="auto"/>
        <w:right w:val="none" w:sz="0" w:space="0" w:color="auto"/>
      </w:divBdr>
    </w:div>
    <w:div w:id="1059591476">
      <w:bodyDiv w:val="1"/>
      <w:marLeft w:val="0"/>
      <w:marRight w:val="0"/>
      <w:marTop w:val="0"/>
      <w:marBottom w:val="0"/>
      <w:divBdr>
        <w:top w:val="none" w:sz="0" w:space="0" w:color="auto"/>
        <w:left w:val="none" w:sz="0" w:space="0" w:color="auto"/>
        <w:bottom w:val="none" w:sz="0" w:space="0" w:color="auto"/>
        <w:right w:val="none" w:sz="0" w:space="0" w:color="auto"/>
      </w:divBdr>
    </w:div>
    <w:div w:id="1061829557">
      <w:bodyDiv w:val="1"/>
      <w:marLeft w:val="0"/>
      <w:marRight w:val="0"/>
      <w:marTop w:val="0"/>
      <w:marBottom w:val="0"/>
      <w:divBdr>
        <w:top w:val="none" w:sz="0" w:space="0" w:color="auto"/>
        <w:left w:val="none" w:sz="0" w:space="0" w:color="auto"/>
        <w:bottom w:val="none" w:sz="0" w:space="0" w:color="auto"/>
        <w:right w:val="none" w:sz="0" w:space="0" w:color="auto"/>
      </w:divBdr>
    </w:div>
    <w:div w:id="1063521772">
      <w:bodyDiv w:val="1"/>
      <w:marLeft w:val="0"/>
      <w:marRight w:val="0"/>
      <w:marTop w:val="0"/>
      <w:marBottom w:val="0"/>
      <w:divBdr>
        <w:top w:val="none" w:sz="0" w:space="0" w:color="auto"/>
        <w:left w:val="none" w:sz="0" w:space="0" w:color="auto"/>
        <w:bottom w:val="none" w:sz="0" w:space="0" w:color="auto"/>
        <w:right w:val="none" w:sz="0" w:space="0" w:color="auto"/>
      </w:divBdr>
    </w:div>
    <w:div w:id="1064186189">
      <w:bodyDiv w:val="1"/>
      <w:marLeft w:val="0"/>
      <w:marRight w:val="0"/>
      <w:marTop w:val="0"/>
      <w:marBottom w:val="0"/>
      <w:divBdr>
        <w:top w:val="none" w:sz="0" w:space="0" w:color="auto"/>
        <w:left w:val="none" w:sz="0" w:space="0" w:color="auto"/>
        <w:bottom w:val="none" w:sz="0" w:space="0" w:color="auto"/>
        <w:right w:val="none" w:sz="0" w:space="0" w:color="auto"/>
      </w:divBdr>
    </w:div>
    <w:div w:id="1065302091">
      <w:bodyDiv w:val="1"/>
      <w:marLeft w:val="0"/>
      <w:marRight w:val="0"/>
      <w:marTop w:val="0"/>
      <w:marBottom w:val="0"/>
      <w:divBdr>
        <w:top w:val="none" w:sz="0" w:space="0" w:color="auto"/>
        <w:left w:val="none" w:sz="0" w:space="0" w:color="auto"/>
        <w:bottom w:val="none" w:sz="0" w:space="0" w:color="auto"/>
        <w:right w:val="none" w:sz="0" w:space="0" w:color="auto"/>
      </w:divBdr>
    </w:div>
    <w:div w:id="1067722130">
      <w:bodyDiv w:val="1"/>
      <w:marLeft w:val="0"/>
      <w:marRight w:val="0"/>
      <w:marTop w:val="0"/>
      <w:marBottom w:val="0"/>
      <w:divBdr>
        <w:top w:val="none" w:sz="0" w:space="0" w:color="auto"/>
        <w:left w:val="none" w:sz="0" w:space="0" w:color="auto"/>
        <w:bottom w:val="none" w:sz="0" w:space="0" w:color="auto"/>
        <w:right w:val="none" w:sz="0" w:space="0" w:color="auto"/>
      </w:divBdr>
    </w:div>
    <w:div w:id="1069427323">
      <w:bodyDiv w:val="1"/>
      <w:marLeft w:val="0"/>
      <w:marRight w:val="0"/>
      <w:marTop w:val="0"/>
      <w:marBottom w:val="0"/>
      <w:divBdr>
        <w:top w:val="none" w:sz="0" w:space="0" w:color="auto"/>
        <w:left w:val="none" w:sz="0" w:space="0" w:color="auto"/>
        <w:bottom w:val="none" w:sz="0" w:space="0" w:color="auto"/>
        <w:right w:val="none" w:sz="0" w:space="0" w:color="auto"/>
      </w:divBdr>
    </w:div>
    <w:div w:id="1069578674">
      <w:bodyDiv w:val="1"/>
      <w:marLeft w:val="0"/>
      <w:marRight w:val="0"/>
      <w:marTop w:val="0"/>
      <w:marBottom w:val="0"/>
      <w:divBdr>
        <w:top w:val="none" w:sz="0" w:space="0" w:color="auto"/>
        <w:left w:val="none" w:sz="0" w:space="0" w:color="auto"/>
        <w:bottom w:val="none" w:sz="0" w:space="0" w:color="auto"/>
        <w:right w:val="none" w:sz="0" w:space="0" w:color="auto"/>
      </w:divBdr>
    </w:div>
    <w:div w:id="1070037913">
      <w:bodyDiv w:val="1"/>
      <w:marLeft w:val="0"/>
      <w:marRight w:val="0"/>
      <w:marTop w:val="0"/>
      <w:marBottom w:val="0"/>
      <w:divBdr>
        <w:top w:val="none" w:sz="0" w:space="0" w:color="auto"/>
        <w:left w:val="none" w:sz="0" w:space="0" w:color="auto"/>
        <w:bottom w:val="none" w:sz="0" w:space="0" w:color="auto"/>
        <w:right w:val="none" w:sz="0" w:space="0" w:color="auto"/>
      </w:divBdr>
    </w:div>
    <w:div w:id="1070231959">
      <w:bodyDiv w:val="1"/>
      <w:marLeft w:val="0"/>
      <w:marRight w:val="0"/>
      <w:marTop w:val="0"/>
      <w:marBottom w:val="0"/>
      <w:divBdr>
        <w:top w:val="none" w:sz="0" w:space="0" w:color="auto"/>
        <w:left w:val="none" w:sz="0" w:space="0" w:color="auto"/>
        <w:bottom w:val="none" w:sz="0" w:space="0" w:color="auto"/>
        <w:right w:val="none" w:sz="0" w:space="0" w:color="auto"/>
      </w:divBdr>
    </w:div>
    <w:div w:id="1071192680">
      <w:bodyDiv w:val="1"/>
      <w:marLeft w:val="0"/>
      <w:marRight w:val="0"/>
      <w:marTop w:val="0"/>
      <w:marBottom w:val="0"/>
      <w:divBdr>
        <w:top w:val="none" w:sz="0" w:space="0" w:color="auto"/>
        <w:left w:val="none" w:sz="0" w:space="0" w:color="auto"/>
        <w:bottom w:val="none" w:sz="0" w:space="0" w:color="auto"/>
        <w:right w:val="none" w:sz="0" w:space="0" w:color="auto"/>
      </w:divBdr>
    </w:div>
    <w:div w:id="1072001780">
      <w:bodyDiv w:val="1"/>
      <w:marLeft w:val="0"/>
      <w:marRight w:val="0"/>
      <w:marTop w:val="0"/>
      <w:marBottom w:val="0"/>
      <w:divBdr>
        <w:top w:val="none" w:sz="0" w:space="0" w:color="auto"/>
        <w:left w:val="none" w:sz="0" w:space="0" w:color="auto"/>
        <w:bottom w:val="none" w:sz="0" w:space="0" w:color="auto"/>
        <w:right w:val="none" w:sz="0" w:space="0" w:color="auto"/>
      </w:divBdr>
    </w:div>
    <w:div w:id="1072854238">
      <w:bodyDiv w:val="1"/>
      <w:marLeft w:val="0"/>
      <w:marRight w:val="0"/>
      <w:marTop w:val="0"/>
      <w:marBottom w:val="0"/>
      <w:divBdr>
        <w:top w:val="none" w:sz="0" w:space="0" w:color="auto"/>
        <w:left w:val="none" w:sz="0" w:space="0" w:color="auto"/>
        <w:bottom w:val="none" w:sz="0" w:space="0" w:color="auto"/>
        <w:right w:val="none" w:sz="0" w:space="0" w:color="auto"/>
      </w:divBdr>
    </w:div>
    <w:div w:id="1072893386">
      <w:bodyDiv w:val="1"/>
      <w:marLeft w:val="0"/>
      <w:marRight w:val="0"/>
      <w:marTop w:val="0"/>
      <w:marBottom w:val="0"/>
      <w:divBdr>
        <w:top w:val="none" w:sz="0" w:space="0" w:color="auto"/>
        <w:left w:val="none" w:sz="0" w:space="0" w:color="auto"/>
        <w:bottom w:val="none" w:sz="0" w:space="0" w:color="auto"/>
        <w:right w:val="none" w:sz="0" w:space="0" w:color="auto"/>
      </w:divBdr>
    </w:div>
    <w:div w:id="1075082837">
      <w:bodyDiv w:val="1"/>
      <w:marLeft w:val="0"/>
      <w:marRight w:val="0"/>
      <w:marTop w:val="0"/>
      <w:marBottom w:val="0"/>
      <w:divBdr>
        <w:top w:val="none" w:sz="0" w:space="0" w:color="auto"/>
        <w:left w:val="none" w:sz="0" w:space="0" w:color="auto"/>
        <w:bottom w:val="none" w:sz="0" w:space="0" w:color="auto"/>
        <w:right w:val="none" w:sz="0" w:space="0" w:color="auto"/>
      </w:divBdr>
    </w:div>
    <w:div w:id="1076318551">
      <w:bodyDiv w:val="1"/>
      <w:marLeft w:val="0"/>
      <w:marRight w:val="0"/>
      <w:marTop w:val="0"/>
      <w:marBottom w:val="0"/>
      <w:divBdr>
        <w:top w:val="none" w:sz="0" w:space="0" w:color="auto"/>
        <w:left w:val="none" w:sz="0" w:space="0" w:color="auto"/>
        <w:bottom w:val="none" w:sz="0" w:space="0" w:color="auto"/>
        <w:right w:val="none" w:sz="0" w:space="0" w:color="auto"/>
      </w:divBdr>
    </w:div>
    <w:div w:id="1077895846">
      <w:bodyDiv w:val="1"/>
      <w:marLeft w:val="0"/>
      <w:marRight w:val="0"/>
      <w:marTop w:val="0"/>
      <w:marBottom w:val="0"/>
      <w:divBdr>
        <w:top w:val="none" w:sz="0" w:space="0" w:color="auto"/>
        <w:left w:val="none" w:sz="0" w:space="0" w:color="auto"/>
        <w:bottom w:val="none" w:sz="0" w:space="0" w:color="auto"/>
        <w:right w:val="none" w:sz="0" w:space="0" w:color="auto"/>
      </w:divBdr>
    </w:div>
    <w:div w:id="1079012660">
      <w:bodyDiv w:val="1"/>
      <w:marLeft w:val="0"/>
      <w:marRight w:val="0"/>
      <w:marTop w:val="0"/>
      <w:marBottom w:val="0"/>
      <w:divBdr>
        <w:top w:val="none" w:sz="0" w:space="0" w:color="auto"/>
        <w:left w:val="none" w:sz="0" w:space="0" w:color="auto"/>
        <w:bottom w:val="none" w:sz="0" w:space="0" w:color="auto"/>
        <w:right w:val="none" w:sz="0" w:space="0" w:color="auto"/>
      </w:divBdr>
    </w:div>
    <w:div w:id="1079913107">
      <w:bodyDiv w:val="1"/>
      <w:marLeft w:val="0"/>
      <w:marRight w:val="0"/>
      <w:marTop w:val="0"/>
      <w:marBottom w:val="0"/>
      <w:divBdr>
        <w:top w:val="none" w:sz="0" w:space="0" w:color="auto"/>
        <w:left w:val="none" w:sz="0" w:space="0" w:color="auto"/>
        <w:bottom w:val="none" w:sz="0" w:space="0" w:color="auto"/>
        <w:right w:val="none" w:sz="0" w:space="0" w:color="auto"/>
      </w:divBdr>
    </w:div>
    <w:div w:id="1080831164">
      <w:bodyDiv w:val="1"/>
      <w:marLeft w:val="0"/>
      <w:marRight w:val="0"/>
      <w:marTop w:val="0"/>
      <w:marBottom w:val="0"/>
      <w:divBdr>
        <w:top w:val="none" w:sz="0" w:space="0" w:color="auto"/>
        <w:left w:val="none" w:sz="0" w:space="0" w:color="auto"/>
        <w:bottom w:val="none" w:sz="0" w:space="0" w:color="auto"/>
        <w:right w:val="none" w:sz="0" w:space="0" w:color="auto"/>
      </w:divBdr>
    </w:div>
    <w:div w:id="1083339576">
      <w:bodyDiv w:val="1"/>
      <w:marLeft w:val="0"/>
      <w:marRight w:val="0"/>
      <w:marTop w:val="0"/>
      <w:marBottom w:val="0"/>
      <w:divBdr>
        <w:top w:val="none" w:sz="0" w:space="0" w:color="auto"/>
        <w:left w:val="none" w:sz="0" w:space="0" w:color="auto"/>
        <w:bottom w:val="none" w:sz="0" w:space="0" w:color="auto"/>
        <w:right w:val="none" w:sz="0" w:space="0" w:color="auto"/>
      </w:divBdr>
    </w:div>
    <w:div w:id="1085151978">
      <w:bodyDiv w:val="1"/>
      <w:marLeft w:val="0"/>
      <w:marRight w:val="0"/>
      <w:marTop w:val="0"/>
      <w:marBottom w:val="0"/>
      <w:divBdr>
        <w:top w:val="none" w:sz="0" w:space="0" w:color="auto"/>
        <w:left w:val="none" w:sz="0" w:space="0" w:color="auto"/>
        <w:bottom w:val="none" w:sz="0" w:space="0" w:color="auto"/>
        <w:right w:val="none" w:sz="0" w:space="0" w:color="auto"/>
      </w:divBdr>
    </w:div>
    <w:div w:id="1087774314">
      <w:bodyDiv w:val="1"/>
      <w:marLeft w:val="0"/>
      <w:marRight w:val="0"/>
      <w:marTop w:val="0"/>
      <w:marBottom w:val="0"/>
      <w:divBdr>
        <w:top w:val="none" w:sz="0" w:space="0" w:color="auto"/>
        <w:left w:val="none" w:sz="0" w:space="0" w:color="auto"/>
        <w:bottom w:val="none" w:sz="0" w:space="0" w:color="auto"/>
        <w:right w:val="none" w:sz="0" w:space="0" w:color="auto"/>
      </w:divBdr>
    </w:div>
    <w:div w:id="1087775364">
      <w:bodyDiv w:val="1"/>
      <w:marLeft w:val="0"/>
      <w:marRight w:val="0"/>
      <w:marTop w:val="0"/>
      <w:marBottom w:val="0"/>
      <w:divBdr>
        <w:top w:val="none" w:sz="0" w:space="0" w:color="auto"/>
        <w:left w:val="none" w:sz="0" w:space="0" w:color="auto"/>
        <w:bottom w:val="none" w:sz="0" w:space="0" w:color="auto"/>
        <w:right w:val="none" w:sz="0" w:space="0" w:color="auto"/>
      </w:divBdr>
    </w:div>
    <w:div w:id="1088423514">
      <w:bodyDiv w:val="1"/>
      <w:marLeft w:val="0"/>
      <w:marRight w:val="0"/>
      <w:marTop w:val="0"/>
      <w:marBottom w:val="0"/>
      <w:divBdr>
        <w:top w:val="none" w:sz="0" w:space="0" w:color="auto"/>
        <w:left w:val="none" w:sz="0" w:space="0" w:color="auto"/>
        <w:bottom w:val="none" w:sz="0" w:space="0" w:color="auto"/>
        <w:right w:val="none" w:sz="0" w:space="0" w:color="auto"/>
      </w:divBdr>
    </w:div>
    <w:div w:id="1091437508">
      <w:bodyDiv w:val="1"/>
      <w:marLeft w:val="0"/>
      <w:marRight w:val="0"/>
      <w:marTop w:val="0"/>
      <w:marBottom w:val="0"/>
      <w:divBdr>
        <w:top w:val="none" w:sz="0" w:space="0" w:color="auto"/>
        <w:left w:val="none" w:sz="0" w:space="0" w:color="auto"/>
        <w:bottom w:val="none" w:sz="0" w:space="0" w:color="auto"/>
        <w:right w:val="none" w:sz="0" w:space="0" w:color="auto"/>
      </w:divBdr>
    </w:div>
    <w:div w:id="1091778695">
      <w:bodyDiv w:val="1"/>
      <w:marLeft w:val="0"/>
      <w:marRight w:val="0"/>
      <w:marTop w:val="0"/>
      <w:marBottom w:val="0"/>
      <w:divBdr>
        <w:top w:val="none" w:sz="0" w:space="0" w:color="auto"/>
        <w:left w:val="none" w:sz="0" w:space="0" w:color="auto"/>
        <w:bottom w:val="none" w:sz="0" w:space="0" w:color="auto"/>
        <w:right w:val="none" w:sz="0" w:space="0" w:color="auto"/>
      </w:divBdr>
    </w:div>
    <w:div w:id="1092895502">
      <w:bodyDiv w:val="1"/>
      <w:marLeft w:val="0"/>
      <w:marRight w:val="0"/>
      <w:marTop w:val="0"/>
      <w:marBottom w:val="0"/>
      <w:divBdr>
        <w:top w:val="none" w:sz="0" w:space="0" w:color="auto"/>
        <w:left w:val="none" w:sz="0" w:space="0" w:color="auto"/>
        <w:bottom w:val="none" w:sz="0" w:space="0" w:color="auto"/>
        <w:right w:val="none" w:sz="0" w:space="0" w:color="auto"/>
      </w:divBdr>
    </w:div>
    <w:div w:id="1097406594">
      <w:bodyDiv w:val="1"/>
      <w:marLeft w:val="0"/>
      <w:marRight w:val="0"/>
      <w:marTop w:val="0"/>
      <w:marBottom w:val="0"/>
      <w:divBdr>
        <w:top w:val="none" w:sz="0" w:space="0" w:color="auto"/>
        <w:left w:val="none" w:sz="0" w:space="0" w:color="auto"/>
        <w:bottom w:val="none" w:sz="0" w:space="0" w:color="auto"/>
        <w:right w:val="none" w:sz="0" w:space="0" w:color="auto"/>
      </w:divBdr>
    </w:div>
    <w:div w:id="1099059258">
      <w:bodyDiv w:val="1"/>
      <w:marLeft w:val="0"/>
      <w:marRight w:val="0"/>
      <w:marTop w:val="0"/>
      <w:marBottom w:val="0"/>
      <w:divBdr>
        <w:top w:val="none" w:sz="0" w:space="0" w:color="auto"/>
        <w:left w:val="none" w:sz="0" w:space="0" w:color="auto"/>
        <w:bottom w:val="none" w:sz="0" w:space="0" w:color="auto"/>
        <w:right w:val="none" w:sz="0" w:space="0" w:color="auto"/>
      </w:divBdr>
    </w:div>
    <w:div w:id="1099568572">
      <w:bodyDiv w:val="1"/>
      <w:marLeft w:val="0"/>
      <w:marRight w:val="0"/>
      <w:marTop w:val="0"/>
      <w:marBottom w:val="0"/>
      <w:divBdr>
        <w:top w:val="none" w:sz="0" w:space="0" w:color="auto"/>
        <w:left w:val="none" w:sz="0" w:space="0" w:color="auto"/>
        <w:bottom w:val="none" w:sz="0" w:space="0" w:color="auto"/>
        <w:right w:val="none" w:sz="0" w:space="0" w:color="auto"/>
      </w:divBdr>
    </w:div>
    <w:div w:id="1101604376">
      <w:bodyDiv w:val="1"/>
      <w:marLeft w:val="0"/>
      <w:marRight w:val="0"/>
      <w:marTop w:val="0"/>
      <w:marBottom w:val="0"/>
      <w:divBdr>
        <w:top w:val="none" w:sz="0" w:space="0" w:color="auto"/>
        <w:left w:val="none" w:sz="0" w:space="0" w:color="auto"/>
        <w:bottom w:val="none" w:sz="0" w:space="0" w:color="auto"/>
        <w:right w:val="none" w:sz="0" w:space="0" w:color="auto"/>
      </w:divBdr>
    </w:div>
    <w:div w:id="1108236086">
      <w:bodyDiv w:val="1"/>
      <w:marLeft w:val="0"/>
      <w:marRight w:val="0"/>
      <w:marTop w:val="0"/>
      <w:marBottom w:val="0"/>
      <w:divBdr>
        <w:top w:val="none" w:sz="0" w:space="0" w:color="auto"/>
        <w:left w:val="none" w:sz="0" w:space="0" w:color="auto"/>
        <w:bottom w:val="none" w:sz="0" w:space="0" w:color="auto"/>
        <w:right w:val="none" w:sz="0" w:space="0" w:color="auto"/>
      </w:divBdr>
    </w:div>
    <w:div w:id="1111700725">
      <w:bodyDiv w:val="1"/>
      <w:marLeft w:val="0"/>
      <w:marRight w:val="0"/>
      <w:marTop w:val="0"/>
      <w:marBottom w:val="0"/>
      <w:divBdr>
        <w:top w:val="none" w:sz="0" w:space="0" w:color="auto"/>
        <w:left w:val="none" w:sz="0" w:space="0" w:color="auto"/>
        <w:bottom w:val="none" w:sz="0" w:space="0" w:color="auto"/>
        <w:right w:val="none" w:sz="0" w:space="0" w:color="auto"/>
      </w:divBdr>
    </w:div>
    <w:div w:id="1115563985">
      <w:bodyDiv w:val="1"/>
      <w:marLeft w:val="0"/>
      <w:marRight w:val="0"/>
      <w:marTop w:val="0"/>
      <w:marBottom w:val="0"/>
      <w:divBdr>
        <w:top w:val="none" w:sz="0" w:space="0" w:color="auto"/>
        <w:left w:val="none" w:sz="0" w:space="0" w:color="auto"/>
        <w:bottom w:val="none" w:sz="0" w:space="0" w:color="auto"/>
        <w:right w:val="none" w:sz="0" w:space="0" w:color="auto"/>
      </w:divBdr>
    </w:div>
    <w:div w:id="1116101934">
      <w:bodyDiv w:val="1"/>
      <w:marLeft w:val="0"/>
      <w:marRight w:val="0"/>
      <w:marTop w:val="0"/>
      <w:marBottom w:val="0"/>
      <w:divBdr>
        <w:top w:val="none" w:sz="0" w:space="0" w:color="auto"/>
        <w:left w:val="none" w:sz="0" w:space="0" w:color="auto"/>
        <w:bottom w:val="none" w:sz="0" w:space="0" w:color="auto"/>
        <w:right w:val="none" w:sz="0" w:space="0" w:color="auto"/>
      </w:divBdr>
    </w:div>
    <w:div w:id="1116607773">
      <w:bodyDiv w:val="1"/>
      <w:marLeft w:val="0"/>
      <w:marRight w:val="0"/>
      <w:marTop w:val="0"/>
      <w:marBottom w:val="0"/>
      <w:divBdr>
        <w:top w:val="none" w:sz="0" w:space="0" w:color="auto"/>
        <w:left w:val="none" w:sz="0" w:space="0" w:color="auto"/>
        <w:bottom w:val="none" w:sz="0" w:space="0" w:color="auto"/>
        <w:right w:val="none" w:sz="0" w:space="0" w:color="auto"/>
      </w:divBdr>
    </w:div>
    <w:div w:id="1117993856">
      <w:bodyDiv w:val="1"/>
      <w:marLeft w:val="0"/>
      <w:marRight w:val="0"/>
      <w:marTop w:val="0"/>
      <w:marBottom w:val="0"/>
      <w:divBdr>
        <w:top w:val="none" w:sz="0" w:space="0" w:color="auto"/>
        <w:left w:val="none" w:sz="0" w:space="0" w:color="auto"/>
        <w:bottom w:val="none" w:sz="0" w:space="0" w:color="auto"/>
        <w:right w:val="none" w:sz="0" w:space="0" w:color="auto"/>
      </w:divBdr>
    </w:div>
    <w:div w:id="1118253927">
      <w:bodyDiv w:val="1"/>
      <w:marLeft w:val="0"/>
      <w:marRight w:val="0"/>
      <w:marTop w:val="0"/>
      <w:marBottom w:val="0"/>
      <w:divBdr>
        <w:top w:val="none" w:sz="0" w:space="0" w:color="auto"/>
        <w:left w:val="none" w:sz="0" w:space="0" w:color="auto"/>
        <w:bottom w:val="none" w:sz="0" w:space="0" w:color="auto"/>
        <w:right w:val="none" w:sz="0" w:space="0" w:color="auto"/>
      </w:divBdr>
    </w:div>
    <w:div w:id="1119224042">
      <w:bodyDiv w:val="1"/>
      <w:marLeft w:val="0"/>
      <w:marRight w:val="0"/>
      <w:marTop w:val="0"/>
      <w:marBottom w:val="0"/>
      <w:divBdr>
        <w:top w:val="none" w:sz="0" w:space="0" w:color="auto"/>
        <w:left w:val="none" w:sz="0" w:space="0" w:color="auto"/>
        <w:bottom w:val="none" w:sz="0" w:space="0" w:color="auto"/>
        <w:right w:val="none" w:sz="0" w:space="0" w:color="auto"/>
      </w:divBdr>
    </w:div>
    <w:div w:id="1119451359">
      <w:bodyDiv w:val="1"/>
      <w:marLeft w:val="0"/>
      <w:marRight w:val="0"/>
      <w:marTop w:val="0"/>
      <w:marBottom w:val="0"/>
      <w:divBdr>
        <w:top w:val="none" w:sz="0" w:space="0" w:color="auto"/>
        <w:left w:val="none" w:sz="0" w:space="0" w:color="auto"/>
        <w:bottom w:val="none" w:sz="0" w:space="0" w:color="auto"/>
        <w:right w:val="none" w:sz="0" w:space="0" w:color="auto"/>
      </w:divBdr>
    </w:div>
    <w:div w:id="1120221790">
      <w:bodyDiv w:val="1"/>
      <w:marLeft w:val="0"/>
      <w:marRight w:val="0"/>
      <w:marTop w:val="0"/>
      <w:marBottom w:val="0"/>
      <w:divBdr>
        <w:top w:val="none" w:sz="0" w:space="0" w:color="auto"/>
        <w:left w:val="none" w:sz="0" w:space="0" w:color="auto"/>
        <w:bottom w:val="none" w:sz="0" w:space="0" w:color="auto"/>
        <w:right w:val="none" w:sz="0" w:space="0" w:color="auto"/>
      </w:divBdr>
    </w:div>
    <w:div w:id="1121411845">
      <w:bodyDiv w:val="1"/>
      <w:marLeft w:val="0"/>
      <w:marRight w:val="0"/>
      <w:marTop w:val="0"/>
      <w:marBottom w:val="0"/>
      <w:divBdr>
        <w:top w:val="none" w:sz="0" w:space="0" w:color="auto"/>
        <w:left w:val="none" w:sz="0" w:space="0" w:color="auto"/>
        <w:bottom w:val="none" w:sz="0" w:space="0" w:color="auto"/>
        <w:right w:val="none" w:sz="0" w:space="0" w:color="auto"/>
      </w:divBdr>
    </w:div>
    <w:div w:id="1121651456">
      <w:bodyDiv w:val="1"/>
      <w:marLeft w:val="0"/>
      <w:marRight w:val="0"/>
      <w:marTop w:val="0"/>
      <w:marBottom w:val="0"/>
      <w:divBdr>
        <w:top w:val="none" w:sz="0" w:space="0" w:color="auto"/>
        <w:left w:val="none" w:sz="0" w:space="0" w:color="auto"/>
        <w:bottom w:val="none" w:sz="0" w:space="0" w:color="auto"/>
        <w:right w:val="none" w:sz="0" w:space="0" w:color="auto"/>
      </w:divBdr>
    </w:div>
    <w:div w:id="1121847522">
      <w:bodyDiv w:val="1"/>
      <w:marLeft w:val="0"/>
      <w:marRight w:val="0"/>
      <w:marTop w:val="0"/>
      <w:marBottom w:val="0"/>
      <w:divBdr>
        <w:top w:val="none" w:sz="0" w:space="0" w:color="auto"/>
        <w:left w:val="none" w:sz="0" w:space="0" w:color="auto"/>
        <w:bottom w:val="none" w:sz="0" w:space="0" w:color="auto"/>
        <w:right w:val="none" w:sz="0" w:space="0" w:color="auto"/>
      </w:divBdr>
    </w:div>
    <w:div w:id="1124929414">
      <w:bodyDiv w:val="1"/>
      <w:marLeft w:val="0"/>
      <w:marRight w:val="0"/>
      <w:marTop w:val="0"/>
      <w:marBottom w:val="0"/>
      <w:divBdr>
        <w:top w:val="none" w:sz="0" w:space="0" w:color="auto"/>
        <w:left w:val="none" w:sz="0" w:space="0" w:color="auto"/>
        <w:bottom w:val="none" w:sz="0" w:space="0" w:color="auto"/>
        <w:right w:val="none" w:sz="0" w:space="0" w:color="auto"/>
      </w:divBdr>
    </w:div>
    <w:div w:id="1126004923">
      <w:bodyDiv w:val="1"/>
      <w:marLeft w:val="0"/>
      <w:marRight w:val="0"/>
      <w:marTop w:val="0"/>
      <w:marBottom w:val="0"/>
      <w:divBdr>
        <w:top w:val="none" w:sz="0" w:space="0" w:color="auto"/>
        <w:left w:val="none" w:sz="0" w:space="0" w:color="auto"/>
        <w:bottom w:val="none" w:sz="0" w:space="0" w:color="auto"/>
        <w:right w:val="none" w:sz="0" w:space="0" w:color="auto"/>
      </w:divBdr>
    </w:div>
    <w:div w:id="1128470487">
      <w:bodyDiv w:val="1"/>
      <w:marLeft w:val="0"/>
      <w:marRight w:val="0"/>
      <w:marTop w:val="0"/>
      <w:marBottom w:val="0"/>
      <w:divBdr>
        <w:top w:val="none" w:sz="0" w:space="0" w:color="auto"/>
        <w:left w:val="none" w:sz="0" w:space="0" w:color="auto"/>
        <w:bottom w:val="none" w:sz="0" w:space="0" w:color="auto"/>
        <w:right w:val="none" w:sz="0" w:space="0" w:color="auto"/>
      </w:divBdr>
    </w:div>
    <w:div w:id="1129400378">
      <w:bodyDiv w:val="1"/>
      <w:marLeft w:val="0"/>
      <w:marRight w:val="0"/>
      <w:marTop w:val="0"/>
      <w:marBottom w:val="0"/>
      <w:divBdr>
        <w:top w:val="none" w:sz="0" w:space="0" w:color="auto"/>
        <w:left w:val="none" w:sz="0" w:space="0" w:color="auto"/>
        <w:bottom w:val="none" w:sz="0" w:space="0" w:color="auto"/>
        <w:right w:val="none" w:sz="0" w:space="0" w:color="auto"/>
      </w:divBdr>
    </w:div>
    <w:div w:id="1133013494">
      <w:bodyDiv w:val="1"/>
      <w:marLeft w:val="0"/>
      <w:marRight w:val="0"/>
      <w:marTop w:val="0"/>
      <w:marBottom w:val="0"/>
      <w:divBdr>
        <w:top w:val="none" w:sz="0" w:space="0" w:color="auto"/>
        <w:left w:val="none" w:sz="0" w:space="0" w:color="auto"/>
        <w:bottom w:val="none" w:sz="0" w:space="0" w:color="auto"/>
        <w:right w:val="none" w:sz="0" w:space="0" w:color="auto"/>
      </w:divBdr>
    </w:div>
    <w:div w:id="1137526378">
      <w:bodyDiv w:val="1"/>
      <w:marLeft w:val="0"/>
      <w:marRight w:val="0"/>
      <w:marTop w:val="0"/>
      <w:marBottom w:val="0"/>
      <w:divBdr>
        <w:top w:val="none" w:sz="0" w:space="0" w:color="auto"/>
        <w:left w:val="none" w:sz="0" w:space="0" w:color="auto"/>
        <w:bottom w:val="none" w:sz="0" w:space="0" w:color="auto"/>
        <w:right w:val="none" w:sz="0" w:space="0" w:color="auto"/>
      </w:divBdr>
    </w:div>
    <w:div w:id="1140263820">
      <w:bodyDiv w:val="1"/>
      <w:marLeft w:val="0"/>
      <w:marRight w:val="0"/>
      <w:marTop w:val="0"/>
      <w:marBottom w:val="0"/>
      <w:divBdr>
        <w:top w:val="none" w:sz="0" w:space="0" w:color="auto"/>
        <w:left w:val="none" w:sz="0" w:space="0" w:color="auto"/>
        <w:bottom w:val="none" w:sz="0" w:space="0" w:color="auto"/>
        <w:right w:val="none" w:sz="0" w:space="0" w:color="auto"/>
      </w:divBdr>
    </w:div>
    <w:div w:id="1142574095">
      <w:bodyDiv w:val="1"/>
      <w:marLeft w:val="0"/>
      <w:marRight w:val="0"/>
      <w:marTop w:val="0"/>
      <w:marBottom w:val="0"/>
      <w:divBdr>
        <w:top w:val="none" w:sz="0" w:space="0" w:color="auto"/>
        <w:left w:val="none" w:sz="0" w:space="0" w:color="auto"/>
        <w:bottom w:val="none" w:sz="0" w:space="0" w:color="auto"/>
        <w:right w:val="none" w:sz="0" w:space="0" w:color="auto"/>
      </w:divBdr>
    </w:div>
    <w:div w:id="1143891731">
      <w:bodyDiv w:val="1"/>
      <w:marLeft w:val="0"/>
      <w:marRight w:val="0"/>
      <w:marTop w:val="0"/>
      <w:marBottom w:val="0"/>
      <w:divBdr>
        <w:top w:val="none" w:sz="0" w:space="0" w:color="auto"/>
        <w:left w:val="none" w:sz="0" w:space="0" w:color="auto"/>
        <w:bottom w:val="none" w:sz="0" w:space="0" w:color="auto"/>
        <w:right w:val="none" w:sz="0" w:space="0" w:color="auto"/>
      </w:divBdr>
    </w:div>
    <w:div w:id="1144078593">
      <w:bodyDiv w:val="1"/>
      <w:marLeft w:val="0"/>
      <w:marRight w:val="0"/>
      <w:marTop w:val="0"/>
      <w:marBottom w:val="0"/>
      <w:divBdr>
        <w:top w:val="none" w:sz="0" w:space="0" w:color="auto"/>
        <w:left w:val="none" w:sz="0" w:space="0" w:color="auto"/>
        <w:bottom w:val="none" w:sz="0" w:space="0" w:color="auto"/>
        <w:right w:val="none" w:sz="0" w:space="0" w:color="auto"/>
      </w:divBdr>
    </w:div>
    <w:div w:id="1144542271">
      <w:bodyDiv w:val="1"/>
      <w:marLeft w:val="0"/>
      <w:marRight w:val="0"/>
      <w:marTop w:val="0"/>
      <w:marBottom w:val="0"/>
      <w:divBdr>
        <w:top w:val="none" w:sz="0" w:space="0" w:color="auto"/>
        <w:left w:val="none" w:sz="0" w:space="0" w:color="auto"/>
        <w:bottom w:val="none" w:sz="0" w:space="0" w:color="auto"/>
        <w:right w:val="none" w:sz="0" w:space="0" w:color="auto"/>
      </w:divBdr>
    </w:div>
    <w:div w:id="1146237581">
      <w:bodyDiv w:val="1"/>
      <w:marLeft w:val="0"/>
      <w:marRight w:val="0"/>
      <w:marTop w:val="0"/>
      <w:marBottom w:val="0"/>
      <w:divBdr>
        <w:top w:val="none" w:sz="0" w:space="0" w:color="auto"/>
        <w:left w:val="none" w:sz="0" w:space="0" w:color="auto"/>
        <w:bottom w:val="none" w:sz="0" w:space="0" w:color="auto"/>
        <w:right w:val="none" w:sz="0" w:space="0" w:color="auto"/>
      </w:divBdr>
    </w:div>
    <w:div w:id="1146241244">
      <w:bodyDiv w:val="1"/>
      <w:marLeft w:val="0"/>
      <w:marRight w:val="0"/>
      <w:marTop w:val="0"/>
      <w:marBottom w:val="0"/>
      <w:divBdr>
        <w:top w:val="none" w:sz="0" w:space="0" w:color="auto"/>
        <w:left w:val="none" w:sz="0" w:space="0" w:color="auto"/>
        <w:bottom w:val="none" w:sz="0" w:space="0" w:color="auto"/>
        <w:right w:val="none" w:sz="0" w:space="0" w:color="auto"/>
      </w:divBdr>
    </w:div>
    <w:div w:id="1146778359">
      <w:bodyDiv w:val="1"/>
      <w:marLeft w:val="0"/>
      <w:marRight w:val="0"/>
      <w:marTop w:val="0"/>
      <w:marBottom w:val="0"/>
      <w:divBdr>
        <w:top w:val="none" w:sz="0" w:space="0" w:color="auto"/>
        <w:left w:val="none" w:sz="0" w:space="0" w:color="auto"/>
        <w:bottom w:val="none" w:sz="0" w:space="0" w:color="auto"/>
        <w:right w:val="none" w:sz="0" w:space="0" w:color="auto"/>
      </w:divBdr>
    </w:div>
    <w:div w:id="1147669593">
      <w:bodyDiv w:val="1"/>
      <w:marLeft w:val="0"/>
      <w:marRight w:val="0"/>
      <w:marTop w:val="0"/>
      <w:marBottom w:val="0"/>
      <w:divBdr>
        <w:top w:val="none" w:sz="0" w:space="0" w:color="auto"/>
        <w:left w:val="none" w:sz="0" w:space="0" w:color="auto"/>
        <w:bottom w:val="none" w:sz="0" w:space="0" w:color="auto"/>
        <w:right w:val="none" w:sz="0" w:space="0" w:color="auto"/>
      </w:divBdr>
    </w:div>
    <w:div w:id="1147892843">
      <w:bodyDiv w:val="1"/>
      <w:marLeft w:val="0"/>
      <w:marRight w:val="0"/>
      <w:marTop w:val="0"/>
      <w:marBottom w:val="0"/>
      <w:divBdr>
        <w:top w:val="none" w:sz="0" w:space="0" w:color="auto"/>
        <w:left w:val="none" w:sz="0" w:space="0" w:color="auto"/>
        <w:bottom w:val="none" w:sz="0" w:space="0" w:color="auto"/>
        <w:right w:val="none" w:sz="0" w:space="0" w:color="auto"/>
      </w:divBdr>
    </w:div>
    <w:div w:id="1150245939">
      <w:bodyDiv w:val="1"/>
      <w:marLeft w:val="0"/>
      <w:marRight w:val="0"/>
      <w:marTop w:val="0"/>
      <w:marBottom w:val="0"/>
      <w:divBdr>
        <w:top w:val="none" w:sz="0" w:space="0" w:color="auto"/>
        <w:left w:val="none" w:sz="0" w:space="0" w:color="auto"/>
        <w:bottom w:val="none" w:sz="0" w:space="0" w:color="auto"/>
        <w:right w:val="none" w:sz="0" w:space="0" w:color="auto"/>
      </w:divBdr>
    </w:div>
    <w:div w:id="1151945307">
      <w:bodyDiv w:val="1"/>
      <w:marLeft w:val="0"/>
      <w:marRight w:val="0"/>
      <w:marTop w:val="0"/>
      <w:marBottom w:val="0"/>
      <w:divBdr>
        <w:top w:val="none" w:sz="0" w:space="0" w:color="auto"/>
        <w:left w:val="none" w:sz="0" w:space="0" w:color="auto"/>
        <w:bottom w:val="none" w:sz="0" w:space="0" w:color="auto"/>
        <w:right w:val="none" w:sz="0" w:space="0" w:color="auto"/>
      </w:divBdr>
    </w:div>
    <w:div w:id="1157958818">
      <w:bodyDiv w:val="1"/>
      <w:marLeft w:val="0"/>
      <w:marRight w:val="0"/>
      <w:marTop w:val="0"/>
      <w:marBottom w:val="0"/>
      <w:divBdr>
        <w:top w:val="none" w:sz="0" w:space="0" w:color="auto"/>
        <w:left w:val="none" w:sz="0" w:space="0" w:color="auto"/>
        <w:bottom w:val="none" w:sz="0" w:space="0" w:color="auto"/>
        <w:right w:val="none" w:sz="0" w:space="0" w:color="auto"/>
      </w:divBdr>
    </w:div>
    <w:div w:id="1158422370">
      <w:bodyDiv w:val="1"/>
      <w:marLeft w:val="0"/>
      <w:marRight w:val="0"/>
      <w:marTop w:val="0"/>
      <w:marBottom w:val="0"/>
      <w:divBdr>
        <w:top w:val="none" w:sz="0" w:space="0" w:color="auto"/>
        <w:left w:val="none" w:sz="0" w:space="0" w:color="auto"/>
        <w:bottom w:val="none" w:sz="0" w:space="0" w:color="auto"/>
        <w:right w:val="none" w:sz="0" w:space="0" w:color="auto"/>
      </w:divBdr>
    </w:div>
    <w:div w:id="1162239988">
      <w:bodyDiv w:val="1"/>
      <w:marLeft w:val="0"/>
      <w:marRight w:val="0"/>
      <w:marTop w:val="0"/>
      <w:marBottom w:val="0"/>
      <w:divBdr>
        <w:top w:val="none" w:sz="0" w:space="0" w:color="auto"/>
        <w:left w:val="none" w:sz="0" w:space="0" w:color="auto"/>
        <w:bottom w:val="none" w:sz="0" w:space="0" w:color="auto"/>
        <w:right w:val="none" w:sz="0" w:space="0" w:color="auto"/>
      </w:divBdr>
    </w:div>
    <w:div w:id="1162938050">
      <w:bodyDiv w:val="1"/>
      <w:marLeft w:val="0"/>
      <w:marRight w:val="0"/>
      <w:marTop w:val="0"/>
      <w:marBottom w:val="0"/>
      <w:divBdr>
        <w:top w:val="none" w:sz="0" w:space="0" w:color="auto"/>
        <w:left w:val="none" w:sz="0" w:space="0" w:color="auto"/>
        <w:bottom w:val="none" w:sz="0" w:space="0" w:color="auto"/>
        <w:right w:val="none" w:sz="0" w:space="0" w:color="auto"/>
      </w:divBdr>
    </w:div>
    <w:div w:id="1163004673">
      <w:bodyDiv w:val="1"/>
      <w:marLeft w:val="0"/>
      <w:marRight w:val="0"/>
      <w:marTop w:val="0"/>
      <w:marBottom w:val="0"/>
      <w:divBdr>
        <w:top w:val="none" w:sz="0" w:space="0" w:color="auto"/>
        <w:left w:val="none" w:sz="0" w:space="0" w:color="auto"/>
        <w:bottom w:val="none" w:sz="0" w:space="0" w:color="auto"/>
        <w:right w:val="none" w:sz="0" w:space="0" w:color="auto"/>
      </w:divBdr>
    </w:div>
    <w:div w:id="1164395322">
      <w:bodyDiv w:val="1"/>
      <w:marLeft w:val="0"/>
      <w:marRight w:val="0"/>
      <w:marTop w:val="0"/>
      <w:marBottom w:val="0"/>
      <w:divBdr>
        <w:top w:val="none" w:sz="0" w:space="0" w:color="auto"/>
        <w:left w:val="none" w:sz="0" w:space="0" w:color="auto"/>
        <w:bottom w:val="none" w:sz="0" w:space="0" w:color="auto"/>
        <w:right w:val="none" w:sz="0" w:space="0" w:color="auto"/>
      </w:divBdr>
    </w:div>
    <w:div w:id="1164933996">
      <w:bodyDiv w:val="1"/>
      <w:marLeft w:val="0"/>
      <w:marRight w:val="0"/>
      <w:marTop w:val="0"/>
      <w:marBottom w:val="0"/>
      <w:divBdr>
        <w:top w:val="none" w:sz="0" w:space="0" w:color="auto"/>
        <w:left w:val="none" w:sz="0" w:space="0" w:color="auto"/>
        <w:bottom w:val="none" w:sz="0" w:space="0" w:color="auto"/>
        <w:right w:val="none" w:sz="0" w:space="0" w:color="auto"/>
      </w:divBdr>
    </w:div>
    <w:div w:id="1166170694">
      <w:bodyDiv w:val="1"/>
      <w:marLeft w:val="0"/>
      <w:marRight w:val="0"/>
      <w:marTop w:val="0"/>
      <w:marBottom w:val="0"/>
      <w:divBdr>
        <w:top w:val="none" w:sz="0" w:space="0" w:color="auto"/>
        <w:left w:val="none" w:sz="0" w:space="0" w:color="auto"/>
        <w:bottom w:val="none" w:sz="0" w:space="0" w:color="auto"/>
        <w:right w:val="none" w:sz="0" w:space="0" w:color="auto"/>
      </w:divBdr>
    </w:div>
    <w:div w:id="1167287858">
      <w:bodyDiv w:val="1"/>
      <w:marLeft w:val="0"/>
      <w:marRight w:val="0"/>
      <w:marTop w:val="0"/>
      <w:marBottom w:val="0"/>
      <w:divBdr>
        <w:top w:val="none" w:sz="0" w:space="0" w:color="auto"/>
        <w:left w:val="none" w:sz="0" w:space="0" w:color="auto"/>
        <w:bottom w:val="none" w:sz="0" w:space="0" w:color="auto"/>
        <w:right w:val="none" w:sz="0" w:space="0" w:color="auto"/>
      </w:divBdr>
    </w:div>
    <w:div w:id="1170373036">
      <w:bodyDiv w:val="1"/>
      <w:marLeft w:val="0"/>
      <w:marRight w:val="0"/>
      <w:marTop w:val="0"/>
      <w:marBottom w:val="0"/>
      <w:divBdr>
        <w:top w:val="none" w:sz="0" w:space="0" w:color="auto"/>
        <w:left w:val="none" w:sz="0" w:space="0" w:color="auto"/>
        <w:bottom w:val="none" w:sz="0" w:space="0" w:color="auto"/>
        <w:right w:val="none" w:sz="0" w:space="0" w:color="auto"/>
      </w:divBdr>
    </w:div>
    <w:div w:id="1171750210">
      <w:bodyDiv w:val="1"/>
      <w:marLeft w:val="0"/>
      <w:marRight w:val="0"/>
      <w:marTop w:val="0"/>
      <w:marBottom w:val="0"/>
      <w:divBdr>
        <w:top w:val="none" w:sz="0" w:space="0" w:color="auto"/>
        <w:left w:val="none" w:sz="0" w:space="0" w:color="auto"/>
        <w:bottom w:val="none" w:sz="0" w:space="0" w:color="auto"/>
        <w:right w:val="none" w:sz="0" w:space="0" w:color="auto"/>
      </w:divBdr>
    </w:div>
    <w:div w:id="1176577416">
      <w:bodyDiv w:val="1"/>
      <w:marLeft w:val="0"/>
      <w:marRight w:val="0"/>
      <w:marTop w:val="0"/>
      <w:marBottom w:val="0"/>
      <w:divBdr>
        <w:top w:val="none" w:sz="0" w:space="0" w:color="auto"/>
        <w:left w:val="none" w:sz="0" w:space="0" w:color="auto"/>
        <w:bottom w:val="none" w:sz="0" w:space="0" w:color="auto"/>
        <w:right w:val="none" w:sz="0" w:space="0" w:color="auto"/>
      </w:divBdr>
    </w:div>
    <w:div w:id="1179658507">
      <w:bodyDiv w:val="1"/>
      <w:marLeft w:val="0"/>
      <w:marRight w:val="0"/>
      <w:marTop w:val="0"/>
      <w:marBottom w:val="0"/>
      <w:divBdr>
        <w:top w:val="none" w:sz="0" w:space="0" w:color="auto"/>
        <w:left w:val="none" w:sz="0" w:space="0" w:color="auto"/>
        <w:bottom w:val="none" w:sz="0" w:space="0" w:color="auto"/>
        <w:right w:val="none" w:sz="0" w:space="0" w:color="auto"/>
      </w:divBdr>
    </w:div>
    <w:div w:id="1179664046">
      <w:bodyDiv w:val="1"/>
      <w:marLeft w:val="0"/>
      <w:marRight w:val="0"/>
      <w:marTop w:val="0"/>
      <w:marBottom w:val="0"/>
      <w:divBdr>
        <w:top w:val="none" w:sz="0" w:space="0" w:color="auto"/>
        <w:left w:val="none" w:sz="0" w:space="0" w:color="auto"/>
        <w:bottom w:val="none" w:sz="0" w:space="0" w:color="auto"/>
        <w:right w:val="none" w:sz="0" w:space="0" w:color="auto"/>
      </w:divBdr>
    </w:div>
    <w:div w:id="1180119507">
      <w:bodyDiv w:val="1"/>
      <w:marLeft w:val="0"/>
      <w:marRight w:val="0"/>
      <w:marTop w:val="0"/>
      <w:marBottom w:val="0"/>
      <w:divBdr>
        <w:top w:val="none" w:sz="0" w:space="0" w:color="auto"/>
        <w:left w:val="none" w:sz="0" w:space="0" w:color="auto"/>
        <w:bottom w:val="none" w:sz="0" w:space="0" w:color="auto"/>
        <w:right w:val="none" w:sz="0" w:space="0" w:color="auto"/>
      </w:divBdr>
    </w:div>
    <w:div w:id="1181161609">
      <w:bodyDiv w:val="1"/>
      <w:marLeft w:val="0"/>
      <w:marRight w:val="0"/>
      <w:marTop w:val="0"/>
      <w:marBottom w:val="0"/>
      <w:divBdr>
        <w:top w:val="none" w:sz="0" w:space="0" w:color="auto"/>
        <w:left w:val="none" w:sz="0" w:space="0" w:color="auto"/>
        <w:bottom w:val="none" w:sz="0" w:space="0" w:color="auto"/>
        <w:right w:val="none" w:sz="0" w:space="0" w:color="auto"/>
      </w:divBdr>
    </w:div>
    <w:div w:id="1181239269">
      <w:bodyDiv w:val="1"/>
      <w:marLeft w:val="0"/>
      <w:marRight w:val="0"/>
      <w:marTop w:val="0"/>
      <w:marBottom w:val="0"/>
      <w:divBdr>
        <w:top w:val="none" w:sz="0" w:space="0" w:color="auto"/>
        <w:left w:val="none" w:sz="0" w:space="0" w:color="auto"/>
        <w:bottom w:val="none" w:sz="0" w:space="0" w:color="auto"/>
        <w:right w:val="none" w:sz="0" w:space="0" w:color="auto"/>
      </w:divBdr>
    </w:div>
    <w:div w:id="1181313999">
      <w:bodyDiv w:val="1"/>
      <w:marLeft w:val="0"/>
      <w:marRight w:val="0"/>
      <w:marTop w:val="0"/>
      <w:marBottom w:val="0"/>
      <w:divBdr>
        <w:top w:val="none" w:sz="0" w:space="0" w:color="auto"/>
        <w:left w:val="none" w:sz="0" w:space="0" w:color="auto"/>
        <w:bottom w:val="none" w:sz="0" w:space="0" w:color="auto"/>
        <w:right w:val="none" w:sz="0" w:space="0" w:color="auto"/>
      </w:divBdr>
    </w:div>
    <w:div w:id="1186989273">
      <w:bodyDiv w:val="1"/>
      <w:marLeft w:val="0"/>
      <w:marRight w:val="0"/>
      <w:marTop w:val="0"/>
      <w:marBottom w:val="0"/>
      <w:divBdr>
        <w:top w:val="none" w:sz="0" w:space="0" w:color="auto"/>
        <w:left w:val="none" w:sz="0" w:space="0" w:color="auto"/>
        <w:bottom w:val="none" w:sz="0" w:space="0" w:color="auto"/>
        <w:right w:val="none" w:sz="0" w:space="0" w:color="auto"/>
      </w:divBdr>
    </w:div>
    <w:div w:id="1188640620">
      <w:bodyDiv w:val="1"/>
      <w:marLeft w:val="0"/>
      <w:marRight w:val="0"/>
      <w:marTop w:val="0"/>
      <w:marBottom w:val="0"/>
      <w:divBdr>
        <w:top w:val="none" w:sz="0" w:space="0" w:color="auto"/>
        <w:left w:val="none" w:sz="0" w:space="0" w:color="auto"/>
        <w:bottom w:val="none" w:sz="0" w:space="0" w:color="auto"/>
        <w:right w:val="none" w:sz="0" w:space="0" w:color="auto"/>
      </w:divBdr>
    </w:div>
    <w:div w:id="1190295655">
      <w:bodyDiv w:val="1"/>
      <w:marLeft w:val="0"/>
      <w:marRight w:val="0"/>
      <w:marTop w:val="0"/>
      <w:marBottom w:val="0"/>
      <w:divBdr>
        <w:top w:val="none" w:sz="0" w:space="0" w:color="auto"/>
        <w:left w:val="none" w:sz="0" w:space="0" w:color="auto"/>
        <w:bottom w:val="none" w:sz="0" w:space="0" w:color="auto"/>
        <w:right w:val="none" w:sz="0" w:space="0" w:color="auto"/>
      </w:divBdr>
    </w:div>
    <w:div w:id="1192114037">
      <w:bodyDiv w:val="1"/>
      <w:marLeft w:val="0"/>
      <w:marRight w:val="0"/>
      <w:marTop w:val="0"/>
      <w:marBottom w:val="0"/>
      <w:divBdr>
        <w:top w:val="none" w:sz="0" w:space="0" w:color="auto"/>
        <w:left w:val="none" w:sz="0" w:space="0" w:color="auto"/>
        <w:bottom w:val="none" w:sz="0" w:space="0" w:color="auto"/>
        <w:right w:val="none" w:sz="0" w:space="0" w:color="auto"/>
      </w:divBdr>
    </w:div>
    <w:div w:id="1193347061">
      <w:bodyDiv w:val="1"/>
      <w:marLeft w:val="0"/>
      <w:marRight w:val="0"/>
      <w:marTop w:val="0"/>
      <w:marBottom w:val="0"/>
      <w:divBdr>
        <w:top w:val="none" w:sz="0" w:space="0" w:color="auto"/>
        <w:left w:val="none" w:sz="0" w:space="0" w:color="auto"/>
        <w:bottom w:val="none" w:sz="0" w:space="0" w:color="auto"/>
        <w:right w:val="none" w:sz="0" w:space="0" w:color="auto"/>
      </w:divBdr>
    </w:div>
    <w:div w:id="1194995112">
      <w:bodyDiv w:val="1"/>
      <w:marLeft w:val="0"/>
      <w:marRight w:val="0"/>
      <w:marTop w:val="0"/>
      <w:marBottom w:val="0"/>
      <w:divBdr>
        <w:top w:val="none" w:sz="0" w:space="0" w:color="auto"/>
        <w:left w:val="none" w:sz="0" w:space="0" w:color="auto"/>
        <w:bottom w:val="none" w:sz="0" w:space="0" w:color="auto"/>
        <w:right w:val="none" w:sz="0" w:space="0" w:color="auto"/>
      </w:divBdr>
    </w:div>
    <w:div w:id="1195576694">
      <w:bodyDiv w:val="1"/>
      <w:marLeft w:val="0"/>
      <w:marRight w:val="0"/>
      <w:marTop w:val="0"/>
      <w:marBottom w:val="0"/>
      <w:divBdr>
        <w:top w:val="none" w:sz="0" w:space="0" w:color="auto"/>
        <w:left w:val="none" w:sz="0" w:space="0" w:color="auto"/>
        <w:bottom w:val="none" w:sz="0" w:space="0" w:color="auto"/>
        <w:right w:val="none" w:sz="0" w:space="0" w:color="auto"/>
      </w:divBdr>
    </w:div>
    <w:div w:id="1202133480">
      <w:bodyDiv w:val="1"/>
      <w:marLeft w:val="0"/>
      <w:marRight w:val="0"/>
      <w:marTop w:val="0"/>
      <w:marBottom w:val="0"/>
      <w:divBdr>
        <w:top w:val="none" w:sz="0" w:space="0" w:color="auto"/>
        <w:left w:val="none" w:sz="0" w:space="0" w:color="auto"/>
        <w:bottom w:val="none" w:sz="0" w:space="0" w:color="auto"/>
        <w:right w:val="none" w:sz="0" w:space="0" w:color="auto"/>
      </w:divBdr>
    </w:div>
    <w:div w:id="1205757202">
      <w:bodyDiv w:val="1"/>
      <w:marLeft w:val="0"/>
      <w:marRight w:val="0"/>
      <w:marTop w:val="0"/>
      <w:marBottom w:val="0"/>
      <w:divBdr>
        <w:top w:val="none" w:sz="0" w:space="0" w:color="auto"/>
        <w:left w:val="none" w:sz="0" w:space="0" w:color="auto"/>
        <w:bottom w:val="none" w:sz="0" w:space="0" w:color="auto"/>
        <w:right w:val="none" w:sz="0" w:space="0" w:color="auto"/>
      </w:divBdr>
    </w:div>
    <w:div w:id="1205942911">
      <w:bodyDiv w:val="1"/>
      <w:marLeft w:val="0"/>
      <w:marRight w:val="0"/>
      <w:marTop w:val="0"/>
      <w:marBottom w:val="0"/>
      <w:divBdr>
        <w:top w:val="none" w:sz="0" w:space="0" w:color="auto"/>
        <w:left w:val="none" w:sz="0" w:space="0" w:color="auto"/>
        <w:bottom w:val="none" w:sz="0" w:space="0" w:color="auto"/>
        <w:right w:val="none" w:sz="0" w:space="0" w:color="auto"/>
      </w:divBdr>
    </w:div>
    <w:div w:id="1207647796">
      <w:bodyDiv w:val="1"/>
      <w:marLeft w:val="0"/>
      <w:marRight w:val="0"/>
      <w:marTop w:val="0"/>
      <w:marBottom w:val="0"/>
      <w:divBdr>
        <w:top w:val="none" w:sz="0" w:space="0" w:color="auto"/>
        <w:left w:val="none" w:sz="0" w:space="0" w:color="auto"/>
        <w:bottom w:val="none" w:sz="0" w:space="0" w:color="auto"/>
        <w:right w:val="none" w:sz="0" w:space="0" w:color="auto"/>
      </w:divBdr>
    </w:div>
    <w:div w:id="1211958862">
      <w:bodyDiv w:val="1"/>
      <w:marLeft w:val="0"/>
      <w:marRight w:val="0"/>
      <w:marTop w:val="0"/>
      <w:marBottom w:val="0"/>
      <w:divBdr>
        <w:top w:val="none" w:sz="0" w:space="0" w:color="auto"/>
        <w:left w:val="none" w:sz="0" w:space="0" w:color="auto"/>
        <w:bottom w:val="none" w:sz="0" w:space="0" w:color="auto"/>
        <w:right w:val="none" w:sz="0" w:space="0" w:color="auto"/>
      </w:divBdr>
    </w:div>
    <w:div w:id="1215432823">
      <w:bodyDiv w:val="1"/>
      <w:marLeft w:val="0"/>
      <w:marRight w:val="0"/>
      <w:marTop w:val="0"/>
      <w:marBottom w:val="0"/>
      <w:divBdr>
        <w:top w:val="none" w:sz="0" w:space="0" w:color="auto"/>
        <w:left w:val="none" w:sz="0" w:space="0" w:color="auto"/>
        <w:bottom w:val="none" w:sz="0" w:space="0" w:color="auto"/>
        <w:right w:val="none" w:sz="0" w:space="0" w:color="auto"/>
      </w:divBdr>
    </w:div>
    <w:div w:id="1218204923">
      <w:bodyDiv w:val="1"/>
      <w:marLeft w:val="0"/>
      <w:marRight w:val="0"/>
      <w:marTop w:val="0"/>
      <w:marBottom w:val="0"/>
      <w:divBdr>
        <w:top w:val="none" w:sz="0" w:space="0" w:color="auto"/>
        <w:left w:val="none" w:sz="0" w:space="0" w:color="auto"/>
        <w:bottom w:val="none" w:sz="0" w:space="0" w:color="auto"/>
        <w:right w:val="none" w:sz="0" w:space="0" w:color="auto"/>
      </w:divBdr>
    </w:div>
    <w:div w:id="1218323342">
      <w:bodyDiv w:val="1"/>
      <w:marLeft w:val="0"/>
      <w:marRight w:val="0"/>
      <w:marTop w:val="0"/>
      <w:marBottom w:val="0"/>
      <w:divBdr>
        <w:top w:val="none" w:sz="0" w:space="0" w:color="auto"/>
        <w:left w:val="none" w:sz="0" w:space="0" w:color="auto"/>
        <w:bottom w:val="none" w:sz="0" w:space="0" w:color="auto"/>
        <w:right w:val="none" w:sz="0" w:space="0" w:color="auto"/>
      </w:divBdr>
    </w:div>
    <w:div w:id="1219559722">
      <w:bodyDiv w:val="1"/>
      <w:marLeft w:val="0"/>
      <w:marRight w:val="0"/>
      <w:marTop w:val="0"/>
      <w:marBottom w:val="0"/>
      <w:divBdr>
        <w:top w:val="none" w:sz="0" w:space="0" w:color="auto"/>
        <w:left w:val="none" w:sz="0" w:space="0" w:color="auto"/>
        <w:bottom w:val="none" w:sz="0" w:space="0" w:color="auto"/>
        <w:right w:val="none" w:sz="0" w:space="0" w:color="auto"/>
      </w:divBdr>
    </w:div>
    <w:div w:id="1219587313">
      <w:bodyDiv w:val="1"/>
      <w:marLeft w:val="0"/>
      <w:marRight w:val="0"/>
      <w:marTop w:val="0"/>
      <w:marBottom w:val="0"/>
      <w:divBdr>
        <w:top w:val="none" w:sz="0" w:space="0" w:color="auto"/>
        <w:left w:val="none" w:sz="0" w:space="0" w:color="auto"/>
        <w:bottom w:val="none" w:sz="0" w:space="0" w:color="auto"/>
        <w:right w:val="none" w:sz="0" w:space="0" w:color="auto"/>
      </w:divBdr>
    </w:div>
    <w:div w:id="1221089681">
      <w:bodyDiv w:val="1"/>
      <w:marLeft w:val="0"/>
      <w:marRight w:val="0"/>
      <w:marTop w:val="0"/>
      <w:marBottom w:val="0"/>
      <w:divBdr>
        <w:top w:val="none" w:sz="0" w:space="0" w:color="auto"/>
        <w:left w:val="none" w:sz="0" w:space="0" w:color="auto"/>
        <w:bottom w:val="none" w:sz="0" w:space="0" w:color="auto"/>
        <w:right w:val="none" w:sz="0" w:space="0" w:color="auto"/>
      </w:divBdr>
    </w:div>
    <w:div w:id="1222063702">
      <w:bodyDiv w:val="1"/>
      <w:marLeft w:val="0"/>
      <w:marRight w:val="0"/>
      <w:marTop w:val="0"/>
      <w:marBottom w:val="0"/>
      <w:divBdr>
        <w:top w:val="none" w:sz="0" w:space="0" w:color="auto"/>
        <w:left w:val="none" w:sz="0" w:space="0" w:color="auto"/>
        <w:bottom w:val="none" w:sz="0" w:space="0" w:color="auto"/>
        <w:right w:val="none" w:sz="0" w:space="0" w:color="auto"/>
      </w:divBdr>
    </w:div>
    <w:div w:id="1223902637">
      <w:bodyDiv w:val="1"/>
      <w:marLeft w:val="0"/>
      <w:marRight w:val="0"/>
      <w:marTop w:val="0"/>
      <w:marBottom w:val="0"/>
      <w:divBdr>
        <w:top w:val="none" w:sz="0" w:space="0" w:color="auto"/>
        <w:left w:val="none" w:sz="0" w:space="0" w:color="auto"/>
        <w:bottom w:val="none" w:sz="0" w:space="0" w:color="auto"/>
        <w:right w:val="none" w:sz="0" w:space="0" w:color="auto"/>
      </w:divBdr>
    </w:div>
    <w:div w:id="1227449627">
      <w:bodyDiv w:val="1"/>
      <w:marLeft w:val="0"/>
      <w:marRight w:val="0"/>
      <w:marTop w:val="0"/>
      <w:marBottom w:val="0"/>
      <w:divBdr>
        <w:top w:val="none" w:sz="0" w:space="0" w:color="auto"/>
        <w:left w:val="none" w:sz="0" w:space="0" w:color="auto"/>
        <w:bottom w:val="none" w:sz="0" w:space="0" w:color="auto"/>
        <w:right w:val="none" w:sz="0" w:space="0" w:color="auto"/>
      </w:divBdr>
    </w:div>
    <w:div w:id="1227643480">
      <w:bodyDiv w:val="1"/>
      <w:marLeft w:val="0"/>
      <w:marRight w:val="0"/>
      <w:marTop w:val="0"/>
      <w:marBottom w:val="0"/>
      <w:divBdr>
        <w:top w:val="none" w:sz="0" w:space="0" w:color="auto"/>
        <w:left w:val="none" w:sz="0" w:space="0" w:color="auto"/>
        <w:bottom w:val="none" w:sz="0" w:space="0" w:color="auto"/>
        <w:right w:val="none" w:sz="0" w:space="0" w:color="auto"/>
      </w:divBdr>
    </w:div>
    <w:div w:id="1229150967">
      <w:bodyDiv w:val="1"/>
      <w:marLeft w:val="0"/>
      <w:marRight w:val="0"/>
      <w:marTop w:val="0"/>
      <w:marBottom w:val="0"/>
      <w:divBdr>
        <w:top w:val="none" w:sz="0" w:space="0" w:color="auto"/>
        <w:left w:val="none" w:sz="0" w:space="0" w:color="auto"/>
        <w:bottom w:val="none" w:sz="0" w:space="0" w:color="auto"/>
        <w:right w:val="none" w:sz="0" w:space="0" w:color="auto"/>
      </w:divBdr>
    </w:div>
    <w:div w:id="1229727264">
      <w:bodyDiv w:val="1"/>
      <w:marLeft w:val="0"/>
      <w:marRight w:val="0"/>
      <w:marTop w:val="0"/>
      <w:marBottom w:val="0"/>
      <w:divBdr>
        <w:top w:val="none" w:sz="0" w:space="0" w:color="auto"/>
        <w:left w:val="none" w:sz="0" w:space="0" w:color="auto"/>
        <w:bottom w:val="none" w:sz="0" w:space="0" w:color="auto"/>
        <w:right w:val="none" w:sz="0" w:space="0" w:color="auto"/>
      </w:divBdr>
    </w:div>
    <w:div w:id="1229799800">
      <w:bodyDiv w:val="1"/>
      <w:marLeft w:val="0"/>
      <w:marRight w:val="0"/>
      <w:marTop w:val="0"/>
      <w:marBottom w:val="0"/>
      <w:divBdr>
        <w:top w:val="none" w:sz="0" w:space="0" w:color="auto"/>
        <w:left w:val="none" w:sz="0" w:space="0" w:color="auto"/>
        <w:bottom w:val="none" w:sz="0" w:space="0" w:color="auto"/>
        <w:right w:val="none" w:sz="0" w:space="0" w:color="auto"/>
      </w:divBdr>
    </w:div>
    <w:div w:id="1232815292">
      <w:bodyDiv w:val="1"/>
      <w:marLeft w:val="0"/>
      <w:marRight w:val="0"/>
      <w:marTop w:val="0"/>
      <w:marBottom w:val="0"/>
      <w:divBdr>
        <w:top w:val="none" w:sz="0" w:space="0" w:color="auto"/>
        <w:left w:val="none" w:sz="0" w:space="0" w:color="auto"/>
        <w:bottom w:val="none" w:sz="0" w:space="0" w:color="auto"/>
        <w:right w:val="none" w:sz="0" w:space="0" w:color="auto"/>
      </w:divBdr>
    </w:div>
    <w:div w:id="1234126826">
      <w:bodyDiv w:val="1"/>
      <w:marLeft w:val="0"/>
      <w:marRight w:val="0"/>
      <w:marTop w:val="0"/>
      <w:marBottom w:val="0"/>
      <w:divBdr>
        <w:top w:val="none" w:sz="0" w:space="0" w:color="auto"/>
        <w:left w:val="none" w:sz="0" w:space="0" w:color="auto"/>
        <w:bottom w:val="none" w:sz="0" w:space="0" w:color="auto"/>
        <w:right w:val="none" w:sz="0" w:space="0" w:color="auto"/>
      </w:divBdr>
    </w:div>
    <w:div w:id="1236361453">
      <w:bodyDiv w:val="1"/>
      <w:marLeft w:val="0"/>
      <w:marRight w:val="0"/>
      <w:marTop w:val="0"/>
      <w:marBottom w:val="0"/>
      <w:divBdr>
        <w:top w:val="none" w:sz="0" w:space="0" w:color="auto"/>
        <w:left w:val="none" w:sz="0" w:space="0" w:color="auto"/>
        <w:bottom w:val="none" w:sz="0" w:space="0" w:color="auto"/>
        <w:right w:val="none" w:sz="0" w:space="0" w:color="auto"/>
      </w:divBdr>
    </w:div>
    <w:div w:id="1237013168">
      <w:bodyDiv w:val="1"/>
      <w:marLeft w:val="0"/>
      <w:marRight w:val="0"/>
      <w:marTop w:val="0"/>
      <w:marBottom w:val="0"/>
      <w:divBdr>
        <w:top w:val="none" w:sz="0" w:space="0" w:color="auto"/>
        <w:left w:val="none" w:sz="0" w:space="0" w:color="auto"/>
        <w:bottom w:val="none" w:sz="0" w:space="0" w:color="auto"/>
        <w:right w:val="none" w:sz="0" w:space="0" w:color="auto"/>
      </w:divBdr>
    </w:div>
    <w:div w:id="1237863432">
      <w:bodyDiv w:val="1"/>
      <w:marLeft w:val="0"/>
      <w:marRight w:val="0"/>
      <w:marTop w:val="0"/>
      <w:marBottom w:val="0"/>
      <w:divBdr>
        <w:top w:val="none" w:sz="0" w:space="0" w:color="auto"/>
        <w:left w:val="none" w:sz="0" w:space="0" w:color="auto"/>
        <w:bottom w:val="none" w:sz="0" w:space="0" w:color="auto"/>
        <w:right w:val="none" w:sz="0" w:space="0" w:color="auto"/>
      </w:divBdr>
    </w:div>
    <w:div w:id="1240166241">
      <w:bodyDiv w:val="1"/>
      <w:marLeft w:val="0"/>
      <w:marRight w:val="0"/>
      <w:marTop w:val="0"/>
      <w:marBottom w:val="0"/>
      <w:divBdr>
        <w:top w:val="none" w:sz="0" w:space="0" w:color="auto"/>
        <w:left w:val="none" w:sz="0" w:space="0" w:color="auto"/>
        <w:bottom w:val="none" w:sz="0" w:space="0" w:color="auto"/>
        <w:right w:val="none" w:sz="0" w:space="0" w:color="auto"/>
      </w:divBdr>
    </w:div>
    <w:div w:id="1240598308">
      <w:bodyDiv w:val="1"/>
      <w:marLeft w:val="0"/>
      <w:marRight w:val="0"/>
      <w:marTop w:val="0"/>
      <w:marBottom w:val="0"/>
      <w:divBdr>
        <w:top w:val="none" w:sz="0" w:space="0" w:color="auto"/>
        <w:left w:val="none" w:sz="0" w:space="0" w:color="auto"/>
        <w:bottom w:val="none" w:sz="0" w:space="0" w:color="auto"/>
        <w:right w:val="none" w:sz="0" w:space="0" w:color="auto"/>
      </w:divBdr>
    </w:div>
    <w:div w:id="1241334759">
      <w:bodyDiv w:val="1"/>
      <w:marLeft w:val="0"/>
      <w:marRight w:val="0"/>
      <w:marTop w:val="0"/>
      <w:marBottom w:val="0"/>
      <w:divBdr>
        <w:top w:val="none" w:sz="0" w:space="0" w:color="auto"/>
        <w:left w:val="none" w:sz="0" w:space="0" w:color="auto"/>
        <w:bottom w:val="none" w:sz="0" w:space="0" w:color="auto"/>
        <w:right w:val="none" w:sz="0" w:space="0" w:color="auto"/>
      </w:divBdr>
    </w:div>
    <w:div w:id="1241872064">
      <w:bodyDiv w:val="1"/>
      <w:marLeft w:val="0"/>
      <w:marRight w:val="0"/>
      <w:marTop w:val="0"/>
      <w:marBottom w:val="0"/>
      <w:divBdr>
        <w:top w:val="none" w:sz="0" w:space="0" w:color="auto"/>
        <w:left w:val="none" w:sz="0" w:space="0" w:color="auto"/>
        <w:bottom w:val="none" w:sz="0" w:space="0" w:color="auto"/>
        <w:right w:val="none" w:sz="0" w:space="0" w:color="auto"/>
      </w:divBdr>
    </w:div>
    <w:div w:id="1241908362">
      <w:bodyDiv w:val="1"/>
      <w:marLeft w:val="0"/>
      <w:marRight w:val="0"/>
      <w:marTop w:val="0"/>
      <w:marBottom w:val="0"/>
      <w:divBdr>
        <w:top w:val="none" w:sz="0" w:space="0" w:color="auto"/>
        <w:left w:val="none" w:sz="0" w:space="0" w:color="auto"/>
        <w:bottom w:val="none" w:sz="0" w:space="0" w:color="auto"/>
        <w:right w:val="none" w:sz="0" w:space="0" w:color="auto"/>
      </w:divBdr>
    </w:div>
    <w:div w:id="1242520600">
      <w:bodyDiv w:val="1"/>
      <w:marLeft w:val="0"/>
      <w:marRight w:val="0"/>
      <w:marTop w:val="0"/>
      <w:marBottom w:val="0"/>
      <w:divBdr>
        <w:top w:val="none" w:sz="0" w:space="0" w:color="auto"/>
        <w:left w:val="none" w:sz="0" w:space="0" w:color="auto"/>
        <w:bottom w:val="none" w:sz="0" w:space="0" w:color="auto"/>
        <w:right w:val="none" w:sz="0" w:space="0" w:color="auto"/>
      </w:divBdr>
    </w:div>
    <w:div w:id="1243107382">
      <w:bodyDiv w:val="1"/>
      <w:marLeft w:val="0"/>
      <w:marRight w:val="0"/>
      <w:marTop w:val="0"/>
      <w:marBottom w:val="0"/>
      <w:divBdr>
        <w:top w:val="none" w:sz="0" w:space="0" w:color="auto"/>
        <w:left w:val="none" w:sz="0" w:space="0" w:color="auto"/>
        <w:bottom w:val="none" w:sz="0" w:space="0" w:color="auto"/>
        <w:right w:val="none" w:sz="0" w:space="0" w:color="auto"/>
      </w:divBdr>
    </w:div>
    <w:div w:id="1244146311">
      <w:bodyDiv w:val="1"/>
      <w:marLeft w:val="0"/>
      <w:marRight w:val="0"/>
      <w:marTop w:val="0"/>
      <w:marBottom w:val="0"/>
      <w:divBdr>
        <w:top w:val="none" w:sz="0" w:space="0" w:color="auto"/>
        <w:left w:val="none" w:sz="0" w:space="0" w:color="auto"/>
        <w:bottom w:val="none" w:sz="0" w:space="0" w:color="auto"/>
        <w:right w:val="none" w:sz="0" w:space="0" w:color="auto"/>
      </w:divBdr>
    </w:div>
    <w:div w:id="1249146281">
      <w:bodyDiv w:val="1"/>
      <w:marLeft w:val="0"/>
      <w:marRight w:val="0"/>
      <w:marTop w:val="0"/>
      <w:marBottom w:val="0"/>
      <w:divBdr>
        <w:top w:val="none" w:sz="0" w:space="0" w:color="auto"/>
        <w:left w:val="none" w:sz="0" w:space="0" w:color="auto"/>
        <w:bottom w:val="none" w:sz="0" w:space="0" w:color="auto"/>
        <w:right w:val="none" w:sz="0" w:space="0" w:color="auto"/>
      </w:divBdr>
    </w:div>
    <w:div w:id="1250894623">
      <w:bodyDiv w:val="1"/>
      <w:marLeft w:val="0"/>
      <w:marRight w:val="0"/>
      <w:marTop w:val="0"/>
      <w:marBottom w:val="0"/>
      <w:divBdr>
        <w:top w:val="none" w:sz="0" w:space="0" w:color="auto"/>
        <w:left w:val="none" w:sz="0" w:space="0" w:color="auto"/>
        <w:bottom w:val="none" w:sz="0" w:space="0" w:color="auto"/>
        <w:right w:val="none" w:sz="0" w:space="0" w:color="auto"/>
      </w:divBdr>
    </w:div>
    <w:div w:id="1253199454">
      <w:bodyDiv w:val="1"/>
      <w:marLeft w:val="0"/>
      <w:marRight w:val="0"/>
      <w:marTop w:val="0"/>
      <w:marBottom w:val="0"/>
      <w:divBdr>
        <w:top w:val="none" w:sz="0" w:space="0" w:color="auto"/>
        <w:left w:val="none" w:sz="0" w:space="0" w:color="auto"/>
        <w:bottom w:val="none" w:sz="0" w:space="0" w:color="auto"/>
        <w:right w:val="none" w:sz="0" w:space="0" w:color="auto"/>
      </w:divBdr>
    </w:div>
    <w:div w:id="1253314897">
      <w:bodyDiv w:val="1"/>
      <w:marLeft w:val="0"/>
      <w:marRight w:val="0"/>
      <w:marTop w:val="0"/>
      <w:marBottom w:val="0"/>
      <w:divBdr>
        <w:top w:val="none" w:sz="0" w:space="0" w:color="auto"/>
        <w:left w:val="none" w:sz="0" w:space="0" w:color="auto"/>
        <w:bottom w:val="none" w:sz="0" w:space="0" w:color="auto"/>
        <w:right w:val="none" w:sz="0" w:space="0" w:color="auto"/>
      </w:divBdr>
    </w:div>
    <w:div w:id="1254128978">
      <w:bodyDiv w:val="1"/>
      <w:marLeft w:val="0"/>
      <w:marRight w:val="0"/>
      <w:marTop w:val="0"/>
      <w:marBottom w:val="0"/>
      <w:divBdr>
        <w:top w:val="none" w:sz="0" w:space="0" w:color="auto"/>
        <w:left w:val="none" w:sz="0" w:space="0" w:color="auto"/>
        <w:bottom w:val="none" w:sz="0" w:space="0" w:color="auto"/>
        <w:right w:val="none" w:sz="0" w:space="0" w:color="auto"/>
      </w:divBdr>
    </w:div>
    <w:div w:id="1256161158">
      <w:bodyDiv w:val="1"/>
      <w:marLeft w:val="0"/>
      <w:marRight w:val="0"/>
      <w:marTop w:val="0"/>
      <w:marBottom w:val="0"/>
      <w:divBdr>
        <w:top w:val="none" w:sz="0" w:space="0" w:color="auto"/>
        <w:left w:val="none" w:sz="0" w:space="0" w:color="auto"/>
        <w:bottom w:val="none" w:sz="0" w:space="0" w:color="auto"/>
        <w:right w:val="none" w:sz="0" w:space="0" w:color="auto"/>
      </w:divBdr>
    </w:div>
    <w:div w:id="1260479360">
      <w:bodyDiv w:val="1"/>
      <w:marLeft w:val="0"/>
      <w:marRight w:val="0"/>
      <w:marTop w:val="0"/>
      <w:marBottom w:val="0"/>
      <w:divBdr>
        <w:top w:val="none" w:sz="0" w:space="0" w:color="auto"/>
        <w:left w:val="none" w:sz="0" w:space="0" w:color="auto"/>
        <w:bottom w:val="none" w:sz="0" w:space="0" w:color="auto"/>
        <w:right w:val="none" w:sz="0" w:space="0" w:color="auto"/>
      </w:divBdr>
    </w:div>
    <w:div w:id="1262497227">
      <w:bodyDiv w:val="1"/>
      <w:marLeft w:val="0"/>
      <w:marRight w:val="0"/>
      <w:marTop w:val="0"/>
      <w:marBottom w:val="0"/>
      <w:divBdr>
        <w:top w:val="none" w:sz="0" w:space="0" w:color="auto"/>
        <w:left w:val="none" w:sz="0" w:space="0" w:color="auto"/>
        <w:bottom w:val="none" w:sz="0" w:space="0" w:color="auto"/>
        <w:right w:val="none" w:sz="0" w:space="0" w:color="auto"/>
      </w:divBdr>
    </w:div>
    <w:div w:id="1269970698">
      <w:bodyDiv w:val="1"/>
      <w:marLeft w:val="0"/>
      <w:marRight w:val="0"/>
      <w:marTop w:val="0"/>
      <w:marBottom w:val="0"/>
      <w:divBdr>
        <w:top w:val="none" w:sz="0" w:space="0" w:color="auto"/>
        <w:left w:val="none" w:sz="0" w:space="0" w:color="auto"/>
        <w:bottom w:val="none" w:sz="0" w:space="0" w:color="auto"/>
        <w:right w:val="none" w:sz="0" w:space="0" w:color="auto"/>
      </w:divBdr>
    </w:div>
    <w:div w:id="1270039685">
      <w:bodyDiv w:val="1"/>
      <w:marLeft w:val="0"/>
      <w:marRight w:val="0"/>
      <w:marTop w:val="0"/>
      <w:marBottom w:val="0"/>
      <w:divBdr>
        <w:top w:val="none" w:sz="0" w:space="0" w:color="auto"/>
        <w:left w:val="none" w:sz="0" w:space="0" w:color="auto"/>
        <w:bottom w:val="none" w:sz="0" w:space="0" w:color="auto"/>
        <w:right w:val="none" w:sz="0" w:space="0" w:color="auto"/>
      </w:divBdr>
    </w:div>
    <w:div w:id="1270627317">
      <w:bodyDiv w:val="1"/>
      <w:marLeft w:val="0"/>
      <w:marRight w:val="0"/>
      <w:marTop w:val="0"/>
      <w:marBottom w:val="0"/>
      <w:divBdr>
        <w:top w:val="none" w:sz="0" w:space="0" w:color="auto"/>
        <w:left w:val="none" w:sz="0" w:space="0" w:color="auto"/>
        <w:bottom w:val="none" w:sz="0" w:space="0" w:color="auto"/>
        <w:right w:val="none" w:sz="0" w:space="0" w:color="auto"/>
      </w:divBdr>
    </w:div>
    <w:div w:id="1271085636">
      <w:bodyDiv w:val="1"/>
      <w:marLeft w:val="0"/>
      <w:marRight w:val="0"/>
      <w:marTop w:val="0"/>
      <w:marBottom w:val="0"/>
      <w:divBdr>
        <w:top w:val="none" w:sz="0" w:space="0" w:color="auto"/>
        <w:left w:val="none" w:sz="0" w:space="0" w:color="auto"/>
        <w:bottom w:val="none" w:sz="0" w:space="0" w:color="auto"/>
        <w:right w:val="none" w:sz="0" w:space="0" w:color="auto"/>
      </w:divBdr>
    </w:div>
    <w:div w:id="1271161395">
      <w:bodyDiv w:val="1"/>
      <w:marLeft w:val="0"/>
      <w:marRight w:val="0"/>
      <w:marTop w:val="0"/>
      <w:marBottom w:val="0"/>
      <w:divBdr>
        <w:top w:val="none" w:sz="0" w:space="0" w:color="auto"/>
        <w:left w:val="none" w:sz="0" w:space="0" w:color="auto"/>
        <w:bottom w:val="none" w:sz="0" w:space="0" w:color="auto"/>
        <w:right w:val="none" w:sz="0" w:space="0" w:color="auto"/>
      </w:divBdr>
    </w:div>
    <w:div w:id="1272202904">
      <w:bodyDiv w:val="1"/>
      <w:marLeft w:val="0"/>
      <w:marRight w:val="0"/>
      <w:marTop w:val="0"/>
      <w:marBottom w:val="0"/>
      <w:divBdr>
        <w:top w:val="none" w:sz="0" w:space="0" w:color="auto"/>
        <w:left w:val="none" w:sz="0" w:space="0" w:color="auto"/>
        <w:bottom w:val="none" w:sz="0" w:space="0" w:color="auto"/>
        <w:right w:val="none" w:sz="0" w:space="0" w:color="auto"/>
      </w:divBdr>
    </w:div>
    <w:div w:id="1278292209">
      <w:bodyDiv w:val="1"/>
      <w:marLeft w:val="0"/>
      <w:marRight w:val="0"/>
      <w:marTop w:val="0"/>
      <w:marBottom w:val="0"/>
      <w:divBdr>
        <w:top w:val="none" w:sz="0" w:space="0" w:color="auto"/>
        <w:left w:val="none" w:sz="0" w:space="0" w:color="auto"/>
        <w:bottom w:val="none" w:sz="0" w:space="0" w:color="auto"/>
        <w:right w:val="none" w:sz="0" w:space="0" w:color="auto"/>
      </w:divBdr>
    </w:div>
    <w:div w:id="1279801177">
      <w:bodyDiv w:val="1"/>
      <w:marLeft w:val="0"/>
      <w:marRight w:val="0"/>
      <w:marTop w:val="0"/>
      <w:marBottom w:val="0"/>
      <w:divBdr>
        <w:top w:val="none" w:sz="0" w:space="0" w:color="auto"/>
        <w:left w:val="none" w:sz="0" w:space="0" w:color="auto"/>
        <w:bottom w:val="none" w:sz="0" w:space="0" w:color="auto"/>
        <w:right w:val="none" w:sz="0" w:space="0" w:color="auto"/>
      </w:divBdr>
    </w:div>
    <w:div w:id="1283000088">
      <w:bodyDiv w:val="1"/>
      <w:marLeft w:val="0"/>
      <w:marRight w:val="0"/>
      <w:marTop w:val="0"/>
      <w:marBottom w:val="0"/>
      <w:divBdr>
        <w:top w:val="none" w:sz="0" w:space="0" w:color="auto"/>
        <w:left w:val="none" w:sz="0" w:space="0" w:color="auto"/>
        <w:bottom w:val="none" w:sz="0" w:space="0" w:color="auto"/>
        <w:right w:val="none" w:sz="0" w:space="0" w:color="auto"/>
      </w:divBdr>
    </w:div>
    <w:div w:id="1285312606">
      <w:bodyDiv w:val="1"/>
      <w:marLeft w:val="0"/>
      <w:marRight w:val="0"/>
      <w:marTop w:val="0"/>
      <w:marBottom w:val="0"/>
      <w:divBdr>
        <w:top w:val="none" w:sz="0" w:space="0" w:color="auto"/>
        <w:left w:val="none" w:sz="0" w:space="0" w:color="auto"/>
        <w:bottom w:val="none" w:sz="0" w:space="0" w:color="auto"/>
        <w:right w:val="none" w:sz="0" w:space="0" w:color="auto"/>
      </w:divBdr>
    </w:div>
    <w:div w:id="1289430516">
      <w:bodyDiv w:val="1"/>
      <w:marLeft w:val="0"/>
      <w:marRight w:val="0"/>
      <w:marTop w:val="0"/>
      <w:marBottom w:val="0"/>
      <w:divBdr>
        <w:top w:val="none" w:sz="0" w:space="0" w:color="auto"/>
        <w:left w:val="none" w:sz="0" w:space="0" w:color="auto"/>
        <w:bottom w:val="none" w:sz="0" w:space="0" w:color="auto"/>
        <w:right w:val="none" w:sz="0" w:space="0" w:color="auto"/>
      </w:divBdr>
    </w:div>
    <w:div w:id="1290893626">
      <w:bodyDiv w:val="1"/>
      <w:marLeft w:val="0"/>
      <w:marRight w:val="0"/>
      <w:marTop w:val="0"/>
      <w:marBottom w:val="0"/>
      <w:divBdr>
        <w:top w:val="none" w:sz="0" w:space="0" w:color="auto"/>
        <w:left w:val="none" w:sz="0" w:space="0" w:color="auto"/>
        <w:bottom w:val="none" w:sz="0" w:space="0" w:color="auto"/>
        <w:right w:val="none" w:sz="0" w:space="0" w:color="auto"/>
      </w:divBdr>
    </w:div>
    <w:div w:id="1293681306">
      <w:bodyDiv w:val="1"/>
      <w:marLeft w:val="0"/>
      <w:marRight w:val="0"/>
      <w:marTop w:val="0"/>
      <w:marBottom w:val="0"/>
      <w:divBdr>
        <w:top w:val="none" w:sz="0" w:space="0" w:color="auto"/>
        <w:left w:val="none" w:sz="0" w:space="0" w:color="auto"/>
        <w:bottom w:val="none" w:sz="0" w:space="0" w:color="auto"/>
        <w:right w:val="none" w:sz="0" w:space="0" w:color="auto"/>
      </w:divBdr>
    </w:div>
    <w:div w:id="1294553795">
      <w:bodyDiv w:val="1"/>
      <w:marLeft w:val="0"/>
      <w:marRight w:val="0"/>
      <w:marTop w:val="0"/>
      <w:marBottom w:val="0"/>
      <w:divBdr>
        <w:top w:val="none" w:sz="0" w:space="0" w:color="auto"/>
        <w:left w:val="none" w:sz="0" w:space="0" w:color="auto"/>
        <w:bottom w:val="none" w:sz="0" w:space="0" w:color="auto"/>
        <w:right w:val="none" w:sz="0" w:space="0" w:color="auto"/>
      </w:divBdr>
    </w:div>
    <w:div w:id="1294675906">
      <w:bodyDiv w:val="1"/>
      <w:marLeft w:val="0"/>
      <w:marRight w:val="0"/>
      <w:marTop w:val="0"/>
      <w:marBottom w:val="0"/>
      <w:divBdr>
        <w:top w:val="none" w:sz="0" w:space="0" w:color="auto"/>
        <w:left w:val="none" w:sz="0" w:space="0" w:color="auto"/>
        <w:bottom w:val="none" w:sz="0" w:space="0" w:color="auto"/>
        <w:right w:val="none" w:sz="0" w:space="0" w:color="auto"/>
      </w:divBdr>
    </w:div>
    <w:div w:id="1298142385">
      <w:bodyDiv w:val="1"/>
      <w:marLeft w:val="0"/>
      <w:marRight w:val="0"/>
      <w:marTop w:val="0"/>
      <w:marBottom w:val="0"/>
      <w:divBdr>
        <w:top w:val="none" w:sz="0" w:space="0" w:color="auto"/>
        <w:left w:val="none" w:sz="0" w:space="0" w:color="auto"/>
        <w:bottom w:val="none" w:sz="0" w:space="0" w:color="auto"/>
        <w:right w:val="none" w:sz="0" w:space="0" w:color="auto"/>
      </w:divBdr>
    </w:div>
    <w:div w:id="1298294489">
      <w:bodyDiv w:val="1"/>
      <w:marLeft w:val="0"/>
      <w:marRight w:val="0"/>
      <w:marTop w:val="0"/>
      <w:marBottom w:val="0"/>
      <w:divBdr>
        <w:top w:val="none" w:sz="0" w:space="0" w:color="auto"/>
        <w:left w:val="none" w:sz="0" w:space="0" w:color="auto"/>
        <w:bottom w:val="none" w:sz="0" w:space="0" w:color="auto"/>
        <w:right w:val="none" w:sz="0" w:space="0" w:color="auto"/>
      </w:divBdr>
    </w:div>
    <w:div w:id="1304583837">
      <w:bodyDiv w:val="1"/>
      <w:marLeft w:val="0"/>
      <w:marRight w:val="0"/>
      <w:marTop w:val="0"/>
      <w:marBottom w:val="0"/>
      <w:divBdr>
        <w:top w:val="none" w:sz="0" w:space="0" w:color="auto"/>
        <w:left w:val="none" w:sz="0" w:space="0" w:color="auto"/>
        <w:bottom w:val="none" w:sz="0" w:space="0" w:color="auto"/>
        <w:right w:val="none" w:sz="0" w:space="0" w:color="auto"/>
      </w:divBdr>
    </w:div>
    <w:div w:id="1304963666">
      <w:bodyDiv w:val="1"/>
      <w:marLeft w:val="0"/>
      <w:marRight w:val="0"/>
      <w:marTop w:val="0"/>
      <w:marBottom w:val="0"/>
      <w:divBdr>
        <w:top w:val="none" w:sz="0" w:space="0" w:color="auto"/>
        <w:left w:val="none" w:sz="0" w:space="0" w:color="auto"/>
        <w:bottom w:val="none" w:sz="0" w:space="0" w:color="auto"/>
        <w:right w:val="none" w:sz="0" w:space="0" w:color="auto"/>
      </w:divBdr>
    </w:div>
    <w:div w:id="1305428638">
      <w:bodyDiv w:val="1"/>
      <w:marLeft w:val="0"/>
      <w:marRight w:val="0"/>
      <w:marTop w:val="0"/>
      <w:marBottom w:val="0"/>
      <w:divBdr>
        <w:top w:val="none" w:sz="0" w:space="0" w:color="auto"/>
        <w:left w:val="none" w:sz="0" w:space="0" w:color="auto"/>
        <w:bottom w:val="none" w:sz="0" w:space="0" w:color="auto"/>
        <w:right w:val="none" w:sz="0" w:space="0" w:color="auto"/>
      </w:divBdr>
    </w:div>
    <w:div w:id="1306929889">
      <w:bodyDiv w:val="1"/>
      <w:marLeft w:val="0"/>
      <w:marRight w:val="0"/>
      <w:marTop w:val="0"/>
      <w:marBottom w:val="0"/>
      <w:divBdr>
        <w:top w:val="none" w:sz="0" w:space="0" w:color="auto"/>
        <w:left w:val="none" w:sz="0" w:space="0" w:color="auto"/>
        <w:bottom w:val="none" w:sz="0" w:space="0" w:color="auto"/>
        <w:right w:val="none" w:sz="0" w:space="0" w:color="auto"/>
      </w:divBdr>
    </w:div>
    <w:div w:id="1310208664">
      <w:bodyDiv w:val="1"/>
      <w:marLeft w:val="0"/>
      <w:marRight w:val="0"/>
      <w:marTop w:val="0"/>
      <w:marBottom w:val="0"/>
      <w:divBdr>
        <w:top w:val="none" w:sz="0" w:space="0" w:color="auto"/>
        <w:left w:val="none" w:sz="0" w:space="0" w:color="auto"/>
        <w:bottom w:val="none" w:sz="0" w:space="0" w:color="auto"/>
        <w:right w:val="none" w:sz="0" w:space="0" w:color="auto"/>
      </w:divBdr>
    </w:div>
    <w:div w:id="1312324603">
      <w:bodyDiv w:val="1"/>
      <w:marLeft w:val="0"/>
      <w:marRight w:val="0"/>
      <w:marTop w:val="0"/>
      <w:marBottom w:val="0"/>
      <w:divBdr>
        <w:top w:val="none" w:sz="0" w:space="0" w:color="auto"/>
        <w:left w:val="none" w:sz="0" w:space="0" w:color="auto"/>
        <w:bottom w:val="none" w:sz="0" w:space="0" w:color="auto"/>
        <w:right w:val="none" w:sz="0" w:space="0" w:color="auto"/>
      </w:divBdr>
    </w:div>
    <w:div w:id="1323043486">
      <w:bodyDiv w:val="1"/>
      <w:marLeft w:val="0"/>
      <w:marRight w:val="0"/>
      <w:marTop w:val="0"/>
      <w:marBottom w:val="0"/>
      <w:divBdr>
        <w:top w:val="none" w:sz="0" w:space="0" w:color="auto"/>
        <w:left w:val="none" w:sz="0" w:space="0" w:color="auto"/>
        <w:bottom w:val="none" w:sz="0" w:space="0" w:color="auto"/>
        <w:right w:val="none" w:sz="0" w:space="0" w:color="auto"/>
      </w:divBdr>
    </w:div>
    <w:div w:id="1325668634">
      <w:bodyDiv w:val="1"/>
      <w:marLeft w:val="0"/>
      <w:marRight w:val="0"/>
      <w:marTop w:val="0"/>
      <w:marBottom w:val="0"/>
      <w:divBdr>
        <w:top w:val="none" w:sz="0" w:space="0" w:color="auto"/>
        <w:left w:val="none" w:sz="0" w:space="0" w:color="auto"/>
        <w:bottom w:val="none" w:sz="0" w:space="0" w:color="auto"/>
        <w:right w:val="none" w:sz="0" w:space="0" w:color="auto"/>
      </w:divBdr>
    </w:div>
    <w:div w:id="1326132606">
      <w:bodyDiv w:val="1"/>
      <w:marLeft w:val="0"/>
      <w:marRight w:val="0"/>
      <w:marTop w:val="0"/>
      <w:marBottom w:val="0"/>
      <w:divBdr>
        <w:top w:val="none" w:sz="0" w:space="0" w:color="auto"/>
        <w:left w:val="none" w:sz="0" w:space="0" w:color="auto"/>
        <w:bottom w:val="none" w:sz="0" w:space="0" w:color="auto"/>
        <w:right w:val="none" w:sz="0" w:space="0" w:color="auto"/>
      </w:divBdr>
    </w:div>
    <w:div w:id="1327320165">
      <w:bodyDiv w:val="1"/>
      <w:marLeft w:val="0"/>
      <w:marRight w:val="0"/>
      <w:marTop w:val="0"/>
      <w:marBottom w:val="0"/>
      <w:divBdr>
        <w:top w:val="none" w:sz="0" w:space="0" w:color="auto"/>
        <w:left w:val="none" w:sz="0" w:space="0" w:color="auto"/>
        <w:bottom w:val="none" w:sz="0" w:space="0" w:color="auto"/>
        <w:right w:val="none" w:sz="0" w:space="0" w:color="auto"/>
      </w:divBdr>
    </w:div>
    <w:div w:id="1328023575">
      <w:bodyDiv w:val="1"/>
      <w:marLeft w:val="0"/>
      <w:marRight w:val="0"/>
      <w:marTop w:val="0"/>
      <w:marBottom w:val="0"/>
      <w:divBdr>
        <w:top w:val="none" w:sz="0" w:space="0" w:color="auto"/>
        <w:left w:val="none" w:sz="0" w:space="0" w:color="auto"/>
        <w:bottom w:val="none" w:sz="0" w:space="0" w:color="auto"/>
        <w:right w:val="none" w:sz="0" w:space="0" w:color="auto"/>
      </w:divBdr>
    </w:div>
    <w:div w:id="1328632609">
      <w:bodyDiv w:val="1"/>
      <w:marLeft w:val="0"/>
      <w:marRight w:val="0"/>
      <w:marTop w:val="0"/>
      <w:marBottom w:val="0"/>
      <w:divBdr>
        <w:top w:val="none" w:sz="0" w:space="0" w:color="auto"/>
        <w:left w:val="none" w:sz="0" w:space="0" w:color="auto"/>
        <w:bottom w:val="none" w:sz="0" w:space="0" w:color="auto"/>
        <w:right w:val="none" w:sz="0" w:space="0" w:color="auto"/>
      </w:divBdr>
    </w:div>
    <w:div w:id="1329669814">
      <w:bodyDiv w:val="1"/>
      <w:marLeft w:val="0"/>
      <w:marRight w:val="0"/>
      <w:marTop w:val="0"/>
      <w:marBottom w:val="0"/>
      <w:divBdr>
        <w:top w:val="none" w:sz="0" w:space="0" w:color="auto"/>
        <w:left w:val="none" w:sz="0" w:space="0" w:color="auto"/>
        <w:bottom w:val="none" w:sz="0" w:space="0" w:color="auto"/>
        <w:right w:val="none" w:sz="0" w:space="0" w:color="auto"/>
      </w:divBdr>
    </w:div>
    <w:div w:id="1330132767">
      <w:bodyDiv w:val="1"/>
      <w:marLeft w:val="0"/>
      <w:marRight w:val="0"/>
      <w:marTop w:val="0"/>
      <w:marBottom w:val="0"/>
      <w:divBdr>
        <w:top w:val="none" w:sz="0" w:space="0" w:color="auto"/>
        <w:left w:val="none" w:sz="0" w:space="0" w:color="auto"/>
        <w:bottom w:val="none" w:sz="0" w:space="0" w:color="auto"/>
        <w:right w:val="none" w:sz="0" w:space="0" w:color="auto"/>
      </w:divBdr>
    </w:div>
    <w:div w:id="1330644207">
      <w:bodyDiv w:val="1"/>
      <w:marLeft w:val="0"/>
      <w:marRight w:val="0"/>
      <w:marTop w:val="0"/>
      <w:marBottom w:val="0"/>
      <w:divBdr>
        <w:top w:val="none" w:sz="0" w:space="0" w:color="auto"/>
        <w:left w:val="none" w:sz="0" w:space="0" w:color="auto"/>
        <w:bottom w:val="none" w:sz="0" w:space="0" w:color="auto"/>
        <w:right w:val="none" w:sz="0" w:space="0" w:color="auto"/>
      </w:divBdr>
    </w:div>
    <w:div w:id="1336960770">
      <w:bodyDiv w:val="1"/>
      <w:marLeft w:val="0"/>
      <w:marRight w:val="0"/>
      <w:marTop w:val="0"/>
      <w:marBottom w:val="0"/>
      <w:divBdr>
        <w:top w:val="none" w:sz="0" w:space="0" w:color="auto"/>
        <w:left w:val="none" w:sz="0" w:space="0" w:color="auto"/>
        <w:bottom w:val="none" w:sz="0" w:space="0" w:color="auto"/>
        <w:right w:val="none" w:sz="0" w:space="0" w:color="auto"/>
      </w:divBdr>
    </w:div>
    <w:div w:id="1338652683">
      <w:bodyDiv w:val="1"/>
      <w:marLeft w:val="0"/>
      <w:marRight w:val="0"/>
      <w:marTop w:val="0"/>
      <w:marBottom w:val="0"/>
      <w:divBdr>
        <w:top w:val="none" w:sz="0" w:space="0" w:color="auto"/>
        <w:left w:val="none" w:sz="0" w:space="0" w:color="auto"/>
        <w:bottom w:val="none" w:sz="0" w:space="0" w:color="auto"/>
        <w:right w:val="none" w:sz="0" w:space="0" w:color="auto"/>
      </w:divBdr>
    </w:div>
    <w:div w:id="1339388335">
      <w:bodyDiv w:val="1"/>
      <w:marLeft w:val="0"/>
      <w:marRight w:val="0"/>
      <w:marTop w:val="0"/>
      <w:marBottom w:val="0"/>
      <w:divBdr>
        <w:top w:val="none" w:sz="0" w:space="0" w:color="auto"/>
        <w:left w:val="none" w:sz="0" w:space="0" w:color="auto"/>
        <w:bottom w:val="none" w:sz="0" w:space="0" w:color="auto"/>
        <w:right w:val="none" w:sz="0" w:space="0" w:color="auto"/>
      </w:divBdr>
    </w:div>
    <w:div w:id="1343625677">
      <w:bodyDiv w:val="1"/>
      <w:marLeft w:val="0"/>
      <w:marRight w:val="0"/>
      <w:marTop w:val="0"/>
      <w:marBottom w:val="0"/>
      <w:divBdr>
        <w:top w:val="none" w:sz="0" w:space="0" w:color="auto"/>
        <w:left w:val="none" w:sz="0" w:space="0" w:color="auto"/>
        <w:bottom w:val="none" w:sz="0" w:space="0" w:color="auto"/>
        <w:right w:val="none" w:sz="0" w:space="0" w:color="auto"/>
      </w:divBdr>
    </w:div>
    <w:div w:id="1344166485">
      <w:bodyDiv w:val="1"/>
      <w:marLeft w:val="0"/>
      <w:marRight w:val="0"/>
      <w:marTop w:val="0"/>
      <w:marBottom w:val="0"/>
      <w:divBdr>
        <w:top w:val="none" w:sz="0" w:space="0" w:color="auto"/>
        <w:left w:val="none" w:sz="0" w:space="0" w:color="auto"/>
        <w:bottom w:val="none" w:sz="0" w:space="0" w:color="auto"/>
        <w:right w:val="none" w:sz="0" w:space="0" w:color="auto"/>
      </w:divBdr>
    </w:div>
    <w:div w:id="1344279647">
      <w:bodyDiv w:val="1"/>
      <w:marLeft w:val="0"/>
      <w:marRight w:val="0"/>
      <w:marTop w:val="0"/>
      <w:marBottom w:val="0"/>
      <w:divBdr>
        <w:top w:val="none" w:sz="0" w:space="0" w:color="auto"/>
        <w:left w:val="none" w:sz="0" w:space="0" w:color="auto"/>
        <w:bottom w:val="none" w:sz="0" w:space="0" w:color="auto"/>
        <w:right w:val="none" w:sz="0" w:space="0" w:color="auto"/>
      </w:divBdr>
    </w:div>
    <w:div w:id="1346058508">
      <w:bodyDiv w:val="1"/>
      <w:marLeft w:val="0"/>
      <w:marRight w:val="0"/>
      <w:marTop w:val="0"/>
      <w:marBottom w:val="0"/>
      <w:divBdr>
        <w:top w:val="none" w:sz="0" w:space="0" w:color="auto"/>
        <w:left w:val="none" w:sz="0" w:space="0" w:color="auto"/>
        <w:bottom w:val="none" w:sz="0" w:space="0" w:color="auto"/>
        <w:right w:val="none" w:sz="0" w:space="0" w:color="auto"/>
      </w:divBdr>
    </w:div>
    <w:div w:id="1346128779">
      <w:bodyDiv w:val="1"/>
      <w:marLeft w:val="0"/>
      <w:marRight w:val="0"/>
      <w:marTop w:val="0"/>
      <w:marBottom w:val="0"/>
      <w:divBdr>
        <w:top w:val="none" w:sz="0" w:space="0" w:color="auto"/>
        <w:left w:val="none" w:sz="0" w:space="0" w:color="auto"/>
        <w:bottom w:val="none" w:sz="0" w:space="0" w:color="auto"/>
        <w:right w:val="none" w:sz="0" w:space="0" w:color="auto"/>
      </w:divBdr>
    </w:div>
    <w:div w:id="1347318750">
      <w:bodyDiv w:val="1"/>
      <w:marLeft w:val="0"/>
      <w:marRight w:val="0"/>
      <w:marTop w:val="0"/>
      <w:marBottom w:val="0"/>
      <w:divBdr>
        <w:top w:val="none" w:sz="0" w:space="0" w:color="auto"/>
        <w:left w:val="none" w:sz="0" w:space="0" w:color="auto"/>
        <w:bottom w:val="none" w:sz="0" w:space="0" w:color="auto"/>
        <w:right w:val="none" w:sz="0" w:space="0" w:color="auto"/>
      </w:divBdr>
    </w:div>
    <w:div w:id="1349987719">
      <w:bodyDiv w:val="1"/>
      <w:marLeft w:val="0"/>
      <w:marRight w:val="0"/>
      <w:marTop w:val="0"/>
      <w:marBottom w:val="0"/>
      <w:divBdr>
        <w:top w:val="none" w:sz="0" w:space="0" w:color="auto"/>
        <w:left w:val="none" w:sz="0" w:space="0" w:color="auto"/>
        <w:bottom w:val="none" w:sz="0" w:space="0" w:color="auto"/>
        <w:right w:val="none" w:sz="0" w:space="0" w:color="auto"/>
      </w:divBdr>
    </w:div>
    <w:div w:id="1350453496">
      <w:bodyDiv w:val="1"/>
      <w:marLeft w:val="0"/>
      <w:marRight w:val="0"/>
      <w:marTop w:val="0"/>
      <w:marBottom w:val="0"/>
      <w:divBdr>
        <w:top w:val="none" w:sz="0" w:space="0" w:color="auto"/>
        <w:left w:val="none" w:sz="0" w:space="0" w:color="auto"/>
        <w:bottom w:val="none" w:sz="0" w:space="0" w:color="auto"/>
        <w:right w:val="none" w:sz="0" w:space="0" w:color="auto"/>
      </w:divBdr>
    </w:div>
    <w:div w:id="1359895149">
      <w:bodyDiv w:val="1"/>
      <w:marLeft w:val="0"/>
      <w:marRight w:val="0"/>
      <w:marTop w:val="0"/>
      <w:marBottom w:val="0"/>
      <w:divBdr>
        <w:top w:val="none" w:sz="0" w:space="0" w:color="auto"/>
        <w:left w:val="none" w:sz="0" w:space="0" w:color="auto"/>
        <w:bottom w:val="none" w:sz="0" w:space="0" w:color="auto"/>
        <w:right w:val="none" w:sz="0" w:space="0" w:color="auto"/>
      </w:divBdr>
    </w:div>
    <w:div w:id="1361197861">
      <w:bodyDiv w:val="1"/>
      <w:marLeft w:val="0"/>
      <w:marRight w:val="0"/>
      <w:marTop w:val="0"/>
      <w:marBottom w:val="0"/>
      <w:divBdr>
        <w:top w:val="none" w:sz="0" w:space="0" w:color="auto"/>
        <w:left w:val="none" w:sz="0" w:space="0" w:color="auto"/>
        <w:bottom w:val="none" w:sz="0" w:space="0" w:color="auto"/>
        <w:right w:val="none" w:sz="0" w:space="0" w:color="auto"/>
      </w:divBdr>
    </w:div>
    <w:div w:id="1362126467">
      <w:bodyDiv w:val="1"/>
      <w:marLeft w:val="0"/>
      <w:marRight w:val="0"/>
      <w:marTop w:val="0"/>
      <w:marBottom w:val="0"/>
      <w:divBdr>
        <w:top w:val="none" w:sz="0" w:space="0" w:color="auto"/>
        <w:left w:val="none" w:sz="0" w:space="0" w:color="auto"/>
        <w:bottom w:val="none" w:sz="0" w:space="0" w:color="auto"/>
        <w:right w:val="none" w:sz="0" w:space="0" w:color="auto"/>
      </w:divBdr>
    </w:div>
    <w:div w:id="1362633128">
      <w:bodyDiv w:val="1"/>
      <w:marLeft w:val="0"/>
      <w:marRight w:val="0"/>
      <w:marTop w:val="0"/>
      <w:marBottom w:val="0"/>
      <w:divBdr>
        <w:top w:val="none" w:sz="0" w:space="0" w:color="auto"/>
        <w:left w:val="none" w:sz="0" w:space="0" w:color="auto"/>
        <w:bottom w:val="none" w:sz="0" w:space="0" w:color="auto"/>
        <w:right w:val="none" w:sz="0" w:space="0" w:color="auto"/>
      </w:divBdr>
    </w:div>
    <w:div w:id="1363440346">
      <w:bodyDiv w:val="1"/>
      <w:marLeft w:val="0"/>
      <w:marRight w:val="0"/>
      <w:marTop w:val="0"/>
      <w:marBottom w:val="0"/>
      <w:divBdr>
        <w:top w:val="none" w:sz="0" w:space="0" w:color="auto"/>
        <w:left w:val="none" w:sz="0" w:space="0" w:color="auto"/>
        <w:bottom w:val="none" w:sz="0" w:space="0" w:color="auto"/>
        <w:right w:val="none" w:sz="0" w:space="0" w:color="auto"/>
      </w:divBdr>
    </w:div>
    <w:div w:id="1363701111">
      <w:bodyDiv w:val="1"/>
      <w:marLeft w:val="0"/>
      <w:marRight w:val="0"/>
      <w:marTop w:val="0"/>
      <w:marBottom w:val="0"/>
      <w:divBdr>
        <w:top w:val="none" w:sz="0" w:space="0" w:color="auto"/>
        <w:left w:val="none" w:sz="0" w:space="0" w:color="auto"/>
        <w:bottom w:val="none" w:sz="0" w:space="0" w:color="auto"/>
        <w:right w:val="none" w:sz="0" w:space="0" w:color="auto"/>
      </w:divBdr>
    </w:div>
    <w:div w:id="1363743270">
      <w:bodyDiv w:val="1"/>
      <w:marLeft w:val="0"/>
      <w:marRight w:val="0"/>
      <w:marTop w:val="0"/>
      <w:marBottom w:val="0"/>
      <w:divBdr>
        <w:top w:val="none" w:sz="0" w:space="0" w:color="auto"/>
        <w:left w:val="none" w:sz="0" w:space="0" w:color="auto"/>
        <w:bottom w:val="none" w:sz="0" w:space="0" w:color="auto"/>
        <w:right w:val="none" w:sz="0" w:space="0" w:color="auto"/>
      </w:divBdr>
    </w:div>
    <w:div w:id="1365977984">
      <w:bodyDiv w:val="1"/>
      <w:marLeft w:val="0"/>
      <w:marRight w:val="0"/>
      <w:marTop w:val="0"/>
      <w:marBottom w:val="0"/>
      <w:divBdr>
        <w:top w:val="none" w:sz="0" w:space="0" w:color="auto"/>
        <w:left w:val="none" w:sz="0" w:space="0" w:color="auto"/>
        <w:bottom w:val="none" w:sz="0" w:space="0" w:color="auto"/>
        <w:right w:val="none" w:sz="0" w:space="0" w:color="auto"/>
      </w:divBdr>
    </w:div>
    <w:div w:id="1366711257">
      <w:bodyDiv w:val="1"/>
      <w:marLeft w:val="0"/>
      <w:marRight w:val="0"/>
      <w:marTop w:val="0"/>
      <w:marBottom w:val="0"/>
      <w:divBdr>
        <w:top w:val="none" w:sz="0" w:space="0" w:color="auto"/>
        <w:left w:val="none" w:sz="0" w:space="0" w:color="auto"/>
        <w:bottom w:val="none" w:sz="0" w:space="0" w:color="auto"/>
        <w:right w:val="none" w:sz="0" w:space="0" w:color="auto"/>
      </w:divBdr>
    </w:div>
    <w:div w:id="1366953750">
      <w:bodyDiv w:val="1"/>
      <w:marLeft w:val="0"/>
      <w:marRight w:val="0"/>
      <w:marTop w:val="0"/>
      <w:marBottom w:val="0"/>
      <w:divBdr>
        <w:top w:val="none" w:sz="0" w:space="0" w:color="auto"/>
        <w:left w:val="none" w:sz="0" w:space="0" w:color="auto"/>
        <w:bottom w:val="none" w:sz="0" w:space="0" w:color="auto"/>
        <w:right w:val="none" w:sz="0" w:space="0" w:color="auto"/>
      </w:divBdr>
    </w:div>
    <w:div w:id="1370378998">
      <w:bodyDiv w:val="1"/>
      <w:marLeft w:val="0"/>
      <w:marRight w:val="0"/>
      <w:marTop w:val="0"/>
      <w:marBottom w:val="0"/>
      <w:divBdr>
        <w:top w:val="none" w:sz="0" w:space="0" w:color="auto"/>
        <w:left w:val="none" w:sz="0" w:space="0" w:color="auto"/>
        <w:bottom w:val="none" w:sz="0" w:space="0" w:color="auto"/>
        <w:right w:val="none" w:sz="0" w:space="0" w:color="auto"/>
      </w:divBdr>
    </w:div>
    <w:div w:id="1373112192">
      <w:bodyDiv w:val="1"/>
      <w:marLeft w:val="0"/>
      <w:marRight w:val="0"/>
      <w:marTop w:val="0"/>
      <w:marBottom w:val="0"/>
      <w:divBdr>
        <w:top w:val="none" w:sz="0" w:space="0" w:color="auto"/>
        <w:left w:val="none" w:sz="0" w:space="0" w:color="auto"/>
        <w:bottom w:val="none" w:sz="0" w:space="0" w:color="auto"/>
        <w:right w:val="none" w:sz="0" w:space="0" w:color="auto"/>
      </w:divBdr>
    </w:div>
    <w:div w:id="1374621953">
      <w:bodyDiv w:val="1"/>
      <w:marLeft w:val="0"/>
      <w:marRight w:val="0"/>
      <w:marTop w:val="0"/>
      <w:marBottom w:val="0"/>
      <w:divBdr>
        <w:top w:val="none" w:sz="0" w:space="0" w:color="auto"/>
        <w:left w:val="none" w:sz="0" w:space="0" w:color="auto"/>
        <w:bottom w:val="none" w:sz="0" w:space="0" w:color="auto"/>
        <w:right w:val="none" w:sz="0" w:space="0" w:color="auto"/>
      </w:divBdr>
    </w:div>
    <w:div w:id="1374888226">
      <w:bodyDiv w:val="1"/>
      <w:marLeft w:val="0"/>
      <w:marRight w:val="0"/>
      <w:marTop w:val="0"/>
      <w:marBottom w:val="0"/>
      <w:divBdr>
        <w:top w:val="none" w:sz="0" w:space="0" w:color="auto"/>
        <w:left w:val="none" w:sz="0" w:space="0" w:color="auto"/>
        <w:bottom w:val="none" w:sz="0" w:space="0" w:color="auto"/>
        <w:right w:val="none" w:sz="0" w:space="0" w:color="auto"/>
      </w:divBdr>
    </w:div>
    <w:div w:id="1377008811">
      <w:bodyDiv w:val="1"/>
      <w:marLeft w:val="0"/>
      <w:marRight w:val="0"/>
      <w:marTop w:val="0"/>
      <w:marBottom w:val="0"/>
      <w:divBdr>
        <w:top w:val="none" w:sz="0" w:space="0" w:color="auto"/>
        <w:left w:val="none" w:sz="0" w:space="0" w:color="auto"/>
        <w:bottom w:val="none" w:sz="0" w:space="0" w:color="auto"/>
        <w:right w:val="none" w:sz="0" w:space="0" w:color="auto"/>
      </w:divBdr>
    </w:div>
    <w:div w:id="1377468249">
      <w:bodyDiv w:val="1"/>
      <w:marLeft w:val="0"/>
      <w:marRight w:val="0"/>
      <w:marTop w:val="0"/>
      <w:marBottom w:val="0"/>
      <w:divBdr>
        <w:top w:val="none" w:sz="0" w:space="0" w:color="auto"/>
        <w:left w:val="none" w:sz="0" w:space="0" w:color="auto"/>
        <w:bottom w:val="none" w:sz="0" w:space="0" w:color="auto"/>
        <w:right w:val="none" w:sz="0" w:space="0" w:color="auto"/>
      </w:divBdr>
    </w:div>
    <w:div w:id="1378432749">
      <w:bodyDiv w:val="1"/>
      <w:marLeft w:val="0"/>
      <w:marRight w:val="0"/>
      <w:marTop w:val="0"/>
      <w:marBottom w:val="0"/>
      <w:divBdr>
        <w:top w:val="none" w:sz="0" w:space="0" w:color="auto"/>
        <w:left w:val="none" w:sz="0" w:space="0" w:color="auto"/>
        <w:bottom w:val="none" w:sz="0" w:space="0" w:color="auto"/>
        <w:right w:val="none" w:sz="0" w:space="0" w:color="auto"/>
      </w:divBdr>
    </w:div>
    <w:div w:id="1378822850">
      <w:bodyDiv w:val="1"/>
      <w:marLeft w:val="0"/>
      <w:marRight w:val="0"/>
      <w:marTop w:val="0"/>
      <w:marBottom w:val="0"/>
      <w:divBdr>
        <w:top w:val="none" w:sz="0" w:space="0" w:color="auto"/>
        <w:left w:val="none" w:sz="0" w:space="0" w:color="auto"/>
        <w:bottom w:val="none" w:sz="0" w:space="0" w:color="auto"/>
        <w:right w:val="none" w:sz="0" w:space="0" w:color="auto"/>
      </w:divBdr>
    </w:div>
    <w:div w:id="1380670988">
      <w:bodyDiv w:val="1"/>
      <w:marLeft w:val="0"/>
      <w:marRight w:val="0"/>
      <w:marTop w:val="0"/>
      <w:marBottom w:val="0"/>
      <w:divBdr>
        <w:top w:val="none" w:sz="0" w:space="0" w:color="auto"/>
        <w:left w:val="none" w:sz="0" w:space="0" w:color="auto"/>
        <w:bottom w:val="none" w:sz="0" w:space="0" w:color="auto"/>
        <w:right w:val="none" w:sz="0" w:space="0" w:color="auto"/>
      </w:divBdr>
    </w:div>
    <w:div w:id="1381444797">
      <w:bodyDiv w:val="1"/>
      <w:marLeft w:val="0"/>
      <w:marRight w:val="0"/>
      <w:marTop w:val="0"/>
      <w:marBottom w:val="0"/>
      <w:divBdr>
        <w:top w:val="none" w:sz="0" w:space="0" w:color="auto"/>
        <w:left w:val="none" w:sz="0" w:space="0" w:color="auto"/>
        <w:bottom w:val="none" w:sz="0" w:space="0" w:color="auto"/>
        <w:right w:val="none" w:sz="0" w:space="0" w:color="auto"/>
      </w:divBdr>
    </w:div>
    <w:div w:id="1382359377">
      <w:bodyDiv w:val="1"/>
      <w:marLeft w:val="0"/>
      <w:marRight w:val="0"/>
      <w:marTop w:val="0"/>
      <w:marBottom w:val="0"/>
      <w:divBdr>
        <w:top w:val="none" w:sz="0" w:space="0" w:color="auto"/>
        <w:left w:val="none" w:sz="0" w:space="0" w:color="auto"/>
        <w:bottom w:val="none" w:sz="0" w:space="0" w:color="auto"/>
        <w:right w:val="none" w:sz="0" w:space="0" w:color="auto"/>
      </w:divBdr>
    </w:div>
    <w:div w:id="1382512852">
      <w:bodyDiv w:val="1"/>
      <w:marLeft w:val="0"/>
      <w:marRight w:val="0"/>
      <w:marTop w:val="0"/>
      <w:marBottom w:val="0"/>
      <w:divBdr>
        <w:top w:val="none" w:sz="0" w:space="0" w:color="auto"/>
        <w:left w:val="none" w:sz="0" w:space="0" w:color="auto"/>
        <w:bottom w:val="none" w:sz="0" w:space="0" w:color="auto"/>
        <w:right w:val="none" w:sz="0" w:space="0" w:color="auto"/>
      </w:divBdr>
    </w:div>
    <w:div w:id="1383287567">
      <w:bodyDiv w:val="1"/>
      <w:marLeft w:val="0"/>
      <w:marRight w:val="0"/>
      <w:marTop w:val="0"/>
      <w:marBottom w:val="0"/>
      <w:divBdr>
        <w:top w:val="none" w:sz="0" w:space="0" w:color="auto"/>
        <w:left w:val="none" w:sz="0" w:space="0" w:color="auto"/>
        <w:bottom w:val="none" w:sz="0" w:space="0" w:color="auto"/>
        <w:right w:val="none" w:sz="0" w:space="0" w:color="auto"/>
      </w:divBdr>
    </w:div>
    <w:div w:id="1384407586">
      <w:bodyDiv w:val="1"/>
      <w:marLeft w:val="0"/>
      <w:marRight w:val="0"/>
      <w:marTop w:val="0"/>
      <w:marBottom w:val="0"/>
      <w:divBdr>
        <w:top w:val="none" w:sz="0" w:space="0" w:color="auto"/>
        <w:left w:val="none" w:sz="0" w:space="0" w:color="auto"/>
        <w:bottom w:val="none" w:sz="0" w:space="0" w:color="auto"/>
        <w:right w:val="none" w:sz="0" w:space="0" w:color="auto"/>
      </w:divBdr>
    </w:div>
    <w:div w:id="1384987490">
      <w:bodyDiv w:val="1"/>
      <w:marLeft w:val="0"/>
      <w:marRight w:val="0"/>
      <w:marTop w:val="0"/>
      <w:marBottom w:val="0"/>
      <w:divBdr>
        <w:top w:val="none" w:sz="0" w:space="0" w:color="auto"/>
        <w:left w:val="none" w:sz="0" w:space="0" w:color="auto"/>
        <w:bottom w:val="none" w:sz="0" w:space="0" w:color="auto"/>
        <w:right w:val="none" w:sz="0" w:space="0" w:color="auto"/>
      </w:divBdr>
    </w:div>
    <w:div w:id="1386250178">
      <w:bodyDiv w:val="1"/>
      <w:marLeft w:val="0"/>
      <w:marRight w:val="0"/>
      <w:marTop w:val="0"/>
      <w:marBottom w:val="0"/>
      <w:divBdr>
        <w:top w:val="none" w:sz="0" w:space="0" w:color="auto"/>
        <w:left w:val="none" w:sz="0" w:space="0" w:color="auto"/>
        <w:bottom w:val="none" w:sz="0" w:space="0" w:color="auto"/>
        <w:right w:val="none" w:sz="0" w:space="0" w:color="auto"/>
      </w:divBdr>
    </w:div>
    <w:div w:id="1386873696">
      <w:bodyDiv w:val="1"/>
      <w:marLeft w:val="0"/>
      <w:marRight w:val="0"/>
      <w:marTop w:val="0"/>
      <w:marBottom w:val="0"/>
      <w:divBdr>
        <w:top w:val="none" w:sz="0" w:space="0" w:color="auto"/>
        <w:left w:val="none" w:sz="0" w:space="0" w:color="auto"/>
        <w:bottom w:val="none" w:sz="0" w:space="0" w:color="auto"/>
        <w:right w:val="none" w:sz="0" w:space="0" w:color="auto"/>
      </w:divBdr>
    </w:div>
    <w:div w:id="1388141854">
      <w:bodyDiv w:val="1"/>
      <w:marLeft w:val="0"/>
      <w:marRight w:val="0"/>
      <w:marTop w:val="0"/>
      <w:marBottom w:val="0"/>
      <w:divBdr>
        <w:top w:val="none" w:sz="0" w:space="0" w:color="auto"/>
        <w:left w:val="none" w:sz="0" w:space="0" w:color="auto"/>
        <w:bottom w:val="none" w:sz="0" w:space="0" w:color="auto"/>
        <w:right w:val="none" w:sz="0" w:space="0" w:color="auto"/>
      </w:divBdr>
    </w:div>
    <w:div w:id="1388456634">
      <w:bodyDiv w:val="1"/>
      <w:marLeft w:val="0"/>
      <w:marRight w:val="0"/>
      <w:marTop w:val="0"/>
      <w:marBottom w:val="0"/>
      <w:divBdr>
        <w:top w:val="none" w:sz="0" w:space="0" w:color="auto"/>
        <w:left w:val="none" w:sz="0" w:space="0" w:color="auto"/>
        <w:bottom w:val="none" w:sz="0" w:space="0" w:color="auto"/>
        <w:right w:val="none" w:sz="0" w:space="0" w:color="auto"/>
      </w:divBdr>
    </w:div>
    <w:div w:id="1388648988">
      <w:bodyDiv w:val="1"/>
      <w:marLeft w:val="0"/>
      <w:marRight w:val="0"/>
      <w:marTop w:val="0"/>
      <w:marBottom w:val="0"/>
      <w:divBdr>
        <w:top w:val="none" w:sz="0" w:space="0" w:color="auto"/>
        <w:left w:val="none" w:sz="0" w:space="0" w:color="auto"/>
        <w:bottom w:val="none" w:sz="0" w:space="0" w:color="auto"/>
        <w:right w:val="none" w:sz="0" w:space="0" w:color="auto"/>
      </w:divBdr>
    </w:div>
    <w:div w:id="1391342840">
      <w:bodyDiv w:val="1"/>
      <w:marLeft w:val="0"/>
      <w:marRight w:val="0"/>
      <w:marTop w:val="0"/>
      <w:marBottom w:val="0"/>
      <w:divBdr>
        <w:top w:val="none" w:sz="0" w:space="0" w:color="auto"/>
        <w:left w:val="none" w:sz="0" w:space="0" w:color="auto"/>
        <w:bottom w:val="none" w:sz="0" w:space="0" w:color="auto"/>
        <w:right w:val="none" w:sz="0" w:space="0" w:color="auto"/>
      </w:divBdr>
    </w:div>
    <w:div w:id="1394622095">
      <w:bodyDiv w:val="1"/>
      <w:marLeft w:val="0"/>
      <w:marRight w:val="0"/>
      <w:marTop w:val="0"/>
      <w:marBottom w:val="0"/>
      <w:divBdr>
        <w:top w:val="none" w:sz="0" w:space="0" w:color="auto"/>
        <w:left w:val="none" w:sz="0" w:space="0" w:color="auto"/>
        <w:bottom w:val="none" w:sz="0" w:space="0" w:color="auto"/>
        <w:right w:val="none" w:sz="0" w:space="0" w:color="auto"/>
      </w:divBdr>
    </w:div>
    <w:div w:id="1395008953">
      <w:bodyDiv w:val="1"/>
      <w:marLeft w:val="0"/>
      <w:marRight w:val="0"/>
      <w:marTop w:val="0"/>
      <w:marBottom w:val="0"/>
      <w:divBdr>
        <w:top w:val="none" w:sz="0" w:space="0" w:color="auto"/>
        <w:left w:val="none" w:sz="0" w:space="0" w:color="auto"/>
        <w:bottom w:val="none" w:sz="0" w:space="0" w:color="auto"/>
        <w:right w:val="none" w:sz="0" w:space="0" w:color="auto"/>
      </w:divBdr>
    </w:div>
    <w:div w:id="1395202285">
      <w:bodyDiv w:val="1"/>
      <w:marLeft w:val="0"/>
      <w:marRight w:val="0"/>
      <w:marTop w:val="0"/>
      <w:marBottom w:val="0"/>
      <w:divBdr>
        <w:top w:val="none" w:sz="0" w:space="0" w:color="auto"/>
        <w:left w:val="none" w:sz="0" w:space="0" w:color="auto"/>
        <w:bottom w:val="none" w:sz="0" w:space="0" w:color="auto"/>
        <w:right w:val="none" w:sz="0" w:space="0" w:color="auto"/>
      </w:divBdr>
    </w:div>
    <w:div w:id="1401950658">
      <w:bodyDiv w:val="1"/>
      <w:marLeft w:val="0"/>
      <w:marRight w:val="0"/>
      <w:marTop w:val="0"/>
      <w:marBottom w:val="0"/>
      <w:divBdr>
        <w:top w:val="none" w:sz="0" w:space="0" w:color="auto"/>
        <w:left w:val="none" w:sz="0" w:space="0" w:color="auto"/>
        <w:bottom w:val="none" w:sz="0" w:space="0" w:color="auto"/>
        <w:right w:val="none" w:sz="0" w:space="0" w:color="auto"/>
      </w:divBdr>
    </w:div>
    <w:div w:id="1402674398">
      <w:bodyDiv w:val="1"/>
      <w:marLeft w:val="0"/>
      <w:marRight w:val="0"/>
      <w:marTop w:val="0"/>
      <w:marBottom w:val="0"/>
      <w:divBdr>
        <w:top w:val="none" w:sz="0" w:space="0" w:color="auto"/>
        <w:left w:val="none" w:sz="0" w:space="0" w:color="auto"/>
        <w:bottom w:val="none" w:sz="0" w:space="0" w:color="auto"/>
        <w:right w:val="none" w:sz="0" w:space="0" w:color="auto"/>
      </w:divBdr>
    </w:div>
    <w:div w:id="1408457979">
      <w:bodyDiv w:val="1"/>
      <w:marLeft w:val="0"/>
      <w:marRight w:val="0"/>
      <w:marTop w:val="0"/>
      <w:marBottom w:val="0"/>
      <w:divBdr>
        <w:top w:val="none" w:sz="0" w:space="0" w:color="auto"/>
        <w:left w:val="none" w:sz="0" w:space="0" w:color="auto"/>
        <w:bottom w:val="none" w:sz="0" w:space="0" w:color="auto"/>
        <w:right w:val="none" w:sz="0" w:space="0" w:color="auto"/>
      </w:divBdr>
    </w:div>
    <w:div w:id="1415857840">
      <w:bodyDiv w:val="1"/>
      <w:marLeft w:val="0"/>
      <w:marRight w:val="0"/>
      <w:marTop w:val="0"/>
      <w:marBottom w:val="0"/>
      <w:divBdr>
        <w:top w:val="none" w:sz="0" w:space="0" w:color="auto"/>
        <w:left w:val="none" w:sz="0" w:space="0" w:color="auto"/>
        <w:bottom w:val="none" w:sz="0" w:space="0" w:color="auto"/>
        <w:right w:val="none" w:sz="0" w:space="0" w:color="auto"/>
      </w:divBdr>
    </w:div>
    <w:div w:id="1416391149">
      <w:bodyDiv w:val="1"/>
      <w:marLeft w:val="0"/>
      <w:marRight w:val="0"/>
      <w:marTop w:val="0"/>
      <w:marBottom w:val="0"/>
      <w:divBdr>
        <w:top w:val="none" w:sz="0" w:space="0" w:color="auto"/>
        <w:left w:val="none" w:sz="0" w:space="0" w:color="auto"/>
        <w:bottom w:val="none" w:sz="0" w:space="0" w:color="auto"/>
        <w:right w:val="none" w:sz="0" w:space="0" w:color="auto"/>
      </w:divBdr>
    </w:div>
    <w:div w:id="1418020121">
      <w:bodyDiv w:val="1"/>
      <w:marLeft w:val="0"/>
      <w:marRight w:val="0"/>
      <w:marTop w:val="0"/>
      <w:marBottom w:val="0"/>
      <w:divBdr>
        <w:top w:val="none" w:sz="0" w:space="0" w:color="auto"/>
        <w:left w:val="none" w:sz="0" w:space="0" w:color="auto"/>
        <w:bottom w:val="none" w:sz="0" w:space="0" w:color="auto"/>
        <w:right w:val="none" w:sz="0" w:space="0" w:color="auto"/>
      </w:divBdr>
    </w:div>
    <w:div w:id="1420520454">
      <w:bodyDiv w:val="1"/>
      <w:marLeft w:val="0"/>
      <w:marRight w:val="0"/>
      <w:marTop w:val="0"/>
      <w:marBottom w:val="0"/>
      <w:divBdr>
        <w:top w:val="none" w:sz="0" w:space="0" w:color="auto"/>
        <w:left w:val="none" w:sz="0" w:space="0" w:color="auto"/>
        <w:bottom w:val="none" w:sz="0" w:space="0" w:color="auto"/>
        <w:right w:val="none" w:sz="0" w:space="0" w:color="auto"/>
      </w:divBdr>
    </w:div>
    <w:div w:id="1427068429">
      <w:bodyDiv w:val="1"/>
      <w:marLeft w:val="0"/>
      <w:marRight w:val="0"/>
      <w:marTop w:val="0"/>
      <w:marBottom w:val="0"/>
      <w:divBdr>
        <w:top w:val="none" w:sz="0" w:space="0" w:color="auto"/>
        <w:left w:val="none" w:sz="0" w:space="0" w:color="auto"/>
        <w:bottom w:val="none" w:sz="0" w:space="0" w:color="auto"/>
        <w:right w:val="none" w:sz="0" w:space="0" w:color="auto"/>
      </w:divBdr>
    </w:div>
    <w:div w:id="1427723960">
      <w:bodyDiv w:val="1"/>
      <w:marLeft w:val="0"/>
      <w:marRight w:val="0"/>
      <w:marTop w:val="0"/>
      <w:marBottom w:val="0"/>
      <w:divBdr>
        <w:top w:val="none" w:sz="0" w:space="0" w:color="auto"/>
        <w:left w:val="none" w:sz="0" w:space="0" w:color="auto"/>
        <w:bottom w:val="none" w:sz="0" w:space="0" w:color="auto"/>
        <w:right w:val="none" w:sz="0" w:space="0" w:color="auto"/>
      </w:divBdr>
    </w:div>
    <w:div w:id="1430466524">
      <w:bodyDiv w:val="1"/>
      <w:marLeft w:val="0"/>
      <w:marRight w:val="0"/>
      <w:marTop w:val="0"/>
      <w:marBottom w:val="0"/>
      <w:divBdr>
        <w:top w:val="none" w:sz="0" w:space="0" w:color="auto"/>
        <w:left w:val="none" w:sz="0" w:space="0" w:color="auto"/>
        <w:bottom w:val="none" w:sz="0" w:space="0" w:color="auto"/>
        <w:right w:val="none" w:sz="0" w:space="0" w:color="auto"/>
      </w:divBdr>
    </w:div>
    <w:div w:id="1430618093">
      <w:bodyDiv w:val="1"/>
      <w:marLeft w:val="0"/>
      <w:marRight w:val="0"/>
      <w:marTop w:val="0"/>
      <w:marBottom w:val="0"/>
      <w:divBdr>
        <w:top w:val="none" w:sz="0" w:space="0" w:color="auto"/>
        <w:left w:val="none" w:sz="0" w:space="0" w:color="auto"/>
        <w:bottom w:val="none" w:sz="0" w:space="0" w:color="auto"/>
        <w:right w:val="none" w:sz="0" w:space="0" w:color="auto"/>
      </w:divBdr>
    </w:div>
    <w:div w:id="1431319620">
      <w:bodyDiv w:val="1"/>
      <w:marLeft w:val="0"/>
      <w:marRight w:val="0"/>
      <w:marTop w:val="0"/>
      <w:marBottom w:val="0"/>
      <w:divBdr>
        <w:top w:val="none" w:sz="0" w:space="0" w:color="auto"/>
        <w:left w:val="none" w:sz="0" w:space="0" w:color="auto"/>
        <w:bottom w:val="none" w:sz="0" w:space="0" w:color="auto"/>
        <w:right w:val="none" w:sz="0" w:space="0" w:color="auto"/>
      </w:divBdr>
    </w:div>
    <w:div w:id="1436632315">
      <w:bodyDiv w:val="1"/>
      <w:marLeft w:val="0"/>
      <w:marRight w:val="0"/>
      <w:marTop w:val="0"/>
      <w:marBottom w:val="0"/>
      <w:divBdr>
        <w:top w:val="none" w:sz="0" w:space="0" w:color="auto"/>
        <w:left w:val="none" w:sz="0" w:space="0" w:color="auto"/>
        <w:bottom w:val="none" w:sz="0" w:space="0" w:color="auto"/>
        <w:right w:val="none" w:sz="0" w:space="0" w:color="auto"/>
      </w:divBdr>
    </w:div>
    <w:div w:id="1439792323">
      <w:bodyDiv w:val="1"/>
      <w:marLeft w:val="0"/>
      <w:marRight w:val="0"/>
      <w:marTop w:val="0"/>
      <w:marBottom w:val="0"/>
      <w:divBdr>
        <w:top w:val="none" w:sz="0" w:space="0" w:color="auto"/>
        <w:left w:val="none" w:sz="0" w:space="0" w:color="auto"/>
        <w:bottom w:val="none" w:sz="0" w:space="0" w:color="auto"/>
        <w:right w:val="none" w:sz="0" w:space="0" w:color="auto"/>
      </w:divBdr>
    </w:div>
    <w:div w:id="1440371900">
      <w:bodyDiv w:val="1"/>
      <w:marLeft w:val="0"/>
      <w:marRight w:val="0"/>
      <w:marTop w:val="0"/>
      <w:marBottom w:val="0"/>
      <w:divBdr>
        <w:top w:val="none" w:sz="0" w:space="0" w:color="auto"/>
        <w:left w:val="none" w:sz="0" w:space="0" w:color="auto"/>
        <w:bottom w:val="none" w:sz="0" w:space="0" w:color="auto"/>
        <w:right w:val="none" w:sz="0" w:space="0" w:color="auto"/>
      </w:divBdr>
    </w:div>
    <w:div w:id="1440829004">
      <w:bodyDiv w:val="1"/>
      <w:marLeft w:val="0"/>
      <w:marRight w:val="0"/>
      <w:marTop w:val="0"/>
      <w:marBottom w:val="0"/>
      <w:divBdr>
        <w:top w:val="none" w:sz="0" w:space="0" w:color="auto"/>
        <w:left w:val="none" w:sz="0" w:space="0" w:color="auto"/>
        <w:bottom w:val="none" w:sz="0" w:space="0" w:color="auto"/>
        <w:right w:val="none" w:sz="0" w:space="0" w:color="auto"/>
      </w:divBdr>
    </w:div>
    <w:div w:id="1442266302">
      <w:bodyDiv w:val="1"/>
      <w:marLeft w:val="0"/>
      <w:marRight w:val="0"/>
      <w:marTop w:val="0"/>
      <w:marBottom w:val="0"/>
      <w:divBdr>
        <w:top w:val="none" w:sz="0" w:space="0" w:color="auto"/>
        <w:left w:val="none" w:sz="0" w:space="0" w:color="auto"/>
        <w:bottom w:val="none" w:sz="0" w:space="0" w:color="auto"/>
        <w:right w:val="none" w:sz="0" w:space="0" w:color="auto"/>
      </w:divBdr>
    </w:div>
    <w:div w:id="1446801923">
      <w:bodyDiv w:val="1"/>
      <w:marLeft w:val="0"/>
      <w:marRight w:val="0"/>
      <w:marTop w:val="0"/>
      <w:marBottom w:val="0"/>
      <w:divBdr>
        <w:top w:val="none" w:sz="0" w:space="0" w:color="auto"/>
        <w:left w:val="none" w:sz="0" w:space="0" w:color="auto"/>
        <w:bottom w:val="none" w:sz="0" w:space="0" w:color="auto"/>
        <w:right w:val="none" w:sz="0" w:space="0" w:color="auto"/>
      </w:divBdr>
    </w:div>
    <w:div w:id="1447041207">
      <w:bodyDiv w:val="1"/>
      <w:marLeft w:val="0"/>
      <w:marRight w:val="0"/>
      <w:marTop w:val="0"/>
      <w:marBottom w:val="0"/>
      <w:divBdr>
        <w:top w:val="none" w:sz="0" w:space="0" w:color="auto"/>
        <w:left w:val="none" w:sz="0" w:space="0" w:color="auto"/>
        <w:bottom w:val="none" w:sz="0" w:space="0" w:color="auto"/>
        <w:right w:val="none" w:sz="0" w:space="0" w:color="auto"/>
      </w:divBdr>
    </w:div>
    <w:div w:id="1447895348">
      <w:bodyDiv w:val="1"/>
      <w:marLeft w:val="0"/>
      <w:marRight w:val="0"/>
      <w:marTop w:val="0"/>
      <w:marBottom w:val="0"/>
      <w:divBdr>
        <w:top w:val="none" w:sz="0" w:space="0" w:color="auto"/>
        <w:left w:val="none" w:sz="0" w:space="0" w:color="auto"/>
        <w:bottom w:val="none" w:sz="0" w:space="0" w:color="auto"/>
        <w:right w:val="none" w:sz="0" w:space="0" w:color="auto"/>
      </w:divBdr>
    </w:div>
    <w:div w:id="1450396063">
      <w:bodyDiv w:val="1"/>
      <w:marLeft w:val="0"/>
      <w:marRight w:val="0"/>
      <w:marTop w:val="0"/>
      <w:marBottom w:val="0"/>
      <w:divBdr>
        <w:top w:val="none" w:sz="0" w:space="0" w:color="auto"/>
        <w:left w:val="none" w:sz="0" w:space="0" w:color="auto"/>
        <w:bottom w:val="none" w:sz="0" w:space="0" w:color="auto"/>
        <w:right w:val="none" w:sz="0" w:space="0" w:color="auto"/>
      </w:divBdr>
    </w:div>
    <w:div w:id="1450860837">
      <w:bodyDiv w:val="1"/>
      <w:marLeft w:val="0"/>
      <w:marRight w:val="0"/>
      <w:marTop w:val="0"/>
      <w:marBottom w:val="0"/>
      <w:divBdr>
        <w:top w:val="none" w:sz="0" w:space="0" w:color="auto"/>
        <w:left w:val="none" w:sz="0" w:space="0" w:color="auto"/>
        <w:bottom w:val="none" w:sz="0" w:space="0" w:color="auto"/>
        <w:right w:val="none" w:sz="0" w:space="0" w:color="auto"/>
      </w:divBdr>
    </w:div>
    <w:div w:id="1454057723">
      <w:bodyDiv w:val="1"/>
      <w:marLeft w:val="0"/>
      <w:marRight w:val="0"/>
      <w:marTop w:val="0"/>
      <w:marBottom w:val="0"/>
      <w:divBdr>
        <w:top w:val="none" w:sz="0" w:space="0" w:color="auto"/>
        <w:left w:val="none" w:sz="0" w:space="0" w:color="auto"/>
        <w:bottom w:val="none" w:sz="0" w:space="0" w:color="auto"/>
        <w:right w:val="none" w:sz="0" w:space="0" w:color="auto"/>
      </w:divBdr>
    </w:div>
    <w:div w:id="1454133810">
      <w:bodyDiv w:val="1"/>
      <w:marLeft w:val="0"/>
      <w:marRight w:val="0"/>
      <w:marTop w:val="0"/>
      <w:marBottom w:val="0"/>
      <w:divBdr>
        <w:top w:val="none" w:sz="0" w:space="0" w:color="auto"/>
        <w:left w:val="none" w:sz="0" w:space="0" w:color="auto"/>
        <w:bottom w:val="none" w:sz="0" w:space="0" w:color="auto"/>
        <w:right w:val="none" w:sz="0" w:space="0" w:color="auto"/>
      </w:divBdr>
    </w:div>
    <w:div w:id="1455950023">
      <w:bodyDiv w:val="1"/>
      <w:marLeft w:val="0"/>
      <w:marRight w:val="0"/>
      <w:marTop w:val="0"/>
      <w:marBottom w:val="0"/>
      <w:divBdr>
        <w:top w:val="none" w:sz="0" w:space="0" w:color="auto"/>
        <w:left w:val="none" w:sz="0" w:space="0" w:color="auto"/>
        <w:bottom w:val="none" w:sz="0" w:space="0" w:color="auto"/>
        <w:right w:val="none" w:sz="0" w:space="0" w:color="auto"/>
      </w:divBdr>
    </w:div>
    <w:div w:id="1456219619">
      <w:bodyDiv w:val="1"/>
      <w:marLeft w:val="0"/>
      <w:marRight w:val="0"/>
      <w:marTop w:val="0"/>
      <w:marBottom w:val="0"/>
      <w:divBdr>
        <w:top w:val="none" w:sz="0" w:space="0" w:color="auto"/>
        <w:left w:val="none" w:sz="0" w:space="0" w:color="auto"/>
        <w:bottom w:val="none" w:sz="0" w:space="0" w:color="auto"/>
        <w:right w:val="none" w:sz="0" w:space="0" w:color="auto"/>
      </w:divBdr>
    </w:div>
    <w:div w:id="1456943324">
      <w:bodyDiv w:val="1"/>
      <w:marLeft w:val="0"/>
      <w:marRight w:val="0"/>
      <w:marTop w:val="0"/>
      <w:marBottom w:val="0"/>
      <w:divBdr>
        <w:top w:val="none" w:sz="0" w:space="0" w:color="auto"/>
        <w:left w:val="none" w:sz="0" w:space="0" w:color="auto"/>
        <w:bottom w:val="none" w:sz="0" w:space="0" w:color="auto"/>
        <w:right w:val="none" w:sz="0" w:space="0" w:color="auto"/>
      </w:divBdr>
    </w:div>
    <w:div w:id="1460684075">
      <w:bodyDiv w:val="1"/>
      <w:marLeft w:val="0"/>
      <w:marRight w:val="0"/>
      <w:marTop w:val="0"/>
      <w:marBottom w:val="0"/>
      <w:divBdr>
        <w:top w:val="none" w:sz="0" w:space="0" w:color="auto"/>
        <w:left w:val="none" w:sz="0" w:space="0" w:color="auto"/>
        <w:bottom w:val="none" w:sz="0" w:space="0" w:color="auto"/>
        <w:right w:val="none" w:sz="0" w:space="0" w:color="auto"/>
      </w:divBdr>
    </w:div>
    <w:div w:id="1461916179">
      <w:bodyDiv w:val="1"/>
      <w:marLeft w:val="0"/>
      <w:marRight w:val="0"/>
      <w:marTop w:val="0"/>
      <w:marBottom w:val="0"/>
      <w:divBdr>
        <w:top w:val="none" w:sz="0" w:space="0" w:color="auto"/>
        <w:left w:val="none" w:sz="0" w:space="0" w:color="auto"/>
        <w:bottom w:val="none" w:sz="0" w:space="0" w:color="auto"/>
        <w:right w:val="none" w:sz="0" w:space="0" w:color="auto"/>
      </w:divBdr>
    </w:div>
    <w:div w:id="1464232812">
      <w:bodyDiv w:val="1"/>
      <w:marLeft w:val="0"/>
      <w:marRight w:val="0"/>
      <w:marTop w:val="0"/>
      <w:marBottom w:val="0"/>
      <w:divBdr>
        <w:top w:val="none" w:sz="0" w:space="0" w:color="auto"/>
        <w:left w:val="none" w:sz="0" w:space="0" w:color="auto"/>
        <w:bottom w:val="none" w:sz="0" w:space="0" w:color="auto"/>
        <w:right w:val="none" w:sz="0" w:space="0" w:color="auto"/>
      </w:divBdr>
    </w:div>
    <w:div w:id="1466894631">
      <w:bodyDiv w:val="1"/>
      <w:marLeft w:val="0"/>
      <w:marRight w:val="0"/>
      <w:marTop w:val="0"/>
      <w:marBottom w:val="0"/>
      <w:divBdr>
        <w:top w:val="none" w:sz="0" w:space="0" w:color="auto"/>
        <w:left w:val="none" w:sz="0" w:space="0" w:color="auto"/>
        <w:bottom w:val="none" w:sz="0" w:space="0" w:color="auto"/>
        <w:right w:val="none" w:sz="0" w:space="0" w:color="auto"/>
      </w:divBdr>
    </w:div>
    <w:div w:id="1467317931">
      <w:bodyDiv w:val="1"/>
      <w:marLeft w:val="0"/>
      <w:marRight w:val="0"/>
      <w:marTop w:val="0"/>
      <w:marBottom w:val="0"/>
      <w:divBdr>
        <w:top w:val="none" w:sz="0" w:space="0" w:color="auto"/>
        <w:left w:val="none" w:sz="0" w:space="0" w:color="auto"/>
        <w:bottom w:val="none" w:sz="0" w:space="0" w:color="auto"/>
        <w:right w:val="none" w:sz="0" w:space="0" w:color="auto"/>
      </w:divBdr>
    </w:div>
    <w:div w:id="1469856730">
      <w:bodyDiv w:val="1"/>
      <w:marLeft w:val="0"/>
      <w:marRight w:val="0"/>
      <w:marTop w:val="0"/>
      <w:marBottom w:val="0"/>
      <w:divBdr>
        <w:top w:val="none" w:sz="0" w:space="0" w:color="auto"/>
        <w:left w:val="none" w:sz="0" w:space="0" w:color="auto"/>
        <w:bottom w:val="none" w:sz="0" w:space="0" w:color="auto"/>
        <w:right w:val="none" w:sz="0" w:space="0" w:color="auto"/>
      </w:divBdr>
    </w:div>
    <w:div w:id="1471895499">
      <w:bodyDiv w:val="1"/>
      <w:marLeft w:val="0"/>
      <w:marRight w:val="0"/>
      <w:marTop w:val="0"/>
      <w:marBottom w:val="0"/>
      <w:divBdr>
        <w:top w:val="none" w:sz="0" w:space="0" w:color="auto"/>
        <w:left w:val="none" w:sz="0" w:space="0" w:color="auto"/>
        <w:bottom w:val="none" w:sz="0" w:space="0" w:color="auto"/>
        <w:right w:val="none" w:sz="0" w:space="0" w:color="auto"/>
      </w:divBdr>
    </w:div>
    <w:div w:id="1473714709">
      <w:bodyDiv w:val="1"/>
      <w:marLeft w:val="0"/>
      <w:marRight w:val="0"/>
      <w:marTop w:val="0"/>
      <w:marBottom w:val="0"/>
      <w:divBdr>
        <w:top w:val="none" w:sz="0" w:space="0" w:color="auto"/>
        <w:left w:val="none" w:sz="0" w:space="0" w:color="auto"/>
        <w:bottom w:val="none" w:sz="0" w:space="0" w:color="auto"/>
        <w:right w:val="none" w:sz="0" w:space="0" w:color="auto"/>
      </w:divBdr>
    </w:div>
    <w:div w:id="1474253434">
      <w:bodyDiv w:val="1"/>
      <w:marLeft w:val="0"/>
      <w:marRight w:val="0"/>
      <w:marTop w:val="0"/>
      <w:marBottom w:val="0"/>
      <w:divBdr>
        <w:top w:val="none" w:sz="0" w:space="0" w:color="auto"/>
        <w:left w:val="none" w:sz="0" w:space="0" w:color="auto"/>
        <w:bottom w:val="none" w:sz="0" w:space="0" w:color="auto"/>
        <w:right w:val="none" w:sz="0" w:space="0" w:color="auto"/>
      </w:divBdr>
    </w:div>
    <w:div w:id="1475292271">
      <w:bodyDiv w:val="1"/>
      <w:marLeft w:val="0"/>
      <w:marRight w:val="0"/>
      <w:marTop w:val="0"/>
      <w:marBottom w:val="0"/>
      <w:divBdr>
        <w:top w:val="none" w:sz="0" w:space="0" w:color="auto"/>
        <w:left w:val="none" w:sz="0" w:space="0" w:color="auto"/>
        <w:bottom w:val="none" w:sz="0" w:space="0" w:color="auto"/>
        <w:right w:val="none" w:sz="0" w:space="0" w:color="auto"/>
      </w:divBdr>
    </w:div>
    <w:div w:id="1475373861">
      <w:bodyDiv w:val="1"/>
      <w:marLeft w:val="0"/>
      <w:marRight w:val="0"/>
      <w:marTop w:val="0"/>
      <w:marBottom w:val="0"/>
      <w:divBdr>
        <w:top w:val="none" w:sz="0" w:space="0" w:color="auto"/>
        <w:left w:val="none" w:sz="0" w:space="0" w:color="auto"/>
        <w:bottom w:val="none" w:sz="0" w:space="0" w:color="auto"/>
        <w:right w:val="none" w:sz="0" w:space="0" w:color="auto"/>
      </w:divBdr>
    </w:div>
    <w:div w:id="1476099300">
      <w:bodyDiv w:val="1"/>
      <w:marLeft w:val="0"/>
      <w:marRight w:val="0"/>
      <w:marTop w:val="0"/>
      <w:marBottom w:val="0"/>
      <w:divBdr>
        <w:top w:val="none" w:sz="0" w:space="0" w:color="auto"/>
        <w:left w:val="none" w:sz="0" w:space="0" w:color="auto"/>
        <w:bottom w:val="none" w:sz="0" w:space="0" w:color="auto"/>
        <w:right w:val="none" w:sz="0" w:space="0" w:color="auto"/>
      </w:divBdr>
    </w:div>
    <w:div w:id="1476873952">
      <w:bodyDiv w:val="1"/>
      <w:marLeft w:val="0"/>
      <w:marRight w:val="0"/>
      <w:marTop w:val="0"/>
      <w:marBottom w:val="0"/>
      <w:divBdr>
        <w:top w:val="none" w:sz="0" w:space="0" w:color="auto"/>
        <w:left w:val="none" w:sz="0" w:space="0" w:color="auto"/>
        <w:bottom w:val="none" w:sz="0" w:space="0" w:color="auto"/>
        <w:right w:val="none" w:sz="0" w:space="0" w:color="auto"/>
      </w:divBdr>
    </w:div>
    <w:div w:id="1480224592">
      <w:bodyDiv w:val="1"/>
      <w:marLeft w:val="0"/>
      <w:marRight w:val="0"/>
      <w:marTop w:val="0"/>
      <w:marBottom w:val="0"/>
      <w:divBdr>
        <w:top w:val="none" w:sz="0" w:space="0" w:color="auto"/>
        <w:left w:val="none" w:sz="0" w:space="0" w:color="auto"/>
        <w:bottom w:val="none" w:sz="0" w:space="0" w:color="auto"/>
        <w:right w:val="none" w:sz="0" w:space="0" w:color="auto"/>
      </w:divBdr>
    </w:div>
    <w:div w:id="1480346587">
      <w:bodyDiv w:val="1"/>
      <w:marLeft w:val="0"/>
      <w:marRight w:val="0"/>
      <w:marTop w:val="0"/>
      <w:marBottom w:val="0"/>
      <w:divBdr>
        <w:top w:val="none" w:sz="0" w:space="0" w:color="auto"/>
        <w:left w:val="none" w:sz="0" w:space="0" w:color="auto"/>
        <w:bottom w:val="none" w:sz="0" w:space="0" w:color="auto"/>
        <w:right w:val="none" w:sz="0" w:space="0" w:color="auto"/>
      </w:divBdr>
    </w:div>
    <w:div w:id="1480804765">
      <w:bodyDiv w:val="1"/>
      <w:marLeft w:val="0"/>
      <w:marRight w:val="0"/>
      <w:marTop w:val="0"/>
      <w:marBottom w:val="0"/>
      <w:divBdr>
        <w:top w:val="none" w:sz="0" w:space="0" w:color="auto"/>
        <w:left w:val="none" w:sz="0" w:space="0" w:color="auto"/>
        <w:bottom w:val="none" w:sz="0" w:space="0" w:color="auto"/>
        <w:right w:val="none" w:sz="0" w:space="0" w:color="auto"/>
      </w:divBdr>
    </w:div>
    <w:div w:id="1480875981">
      <w:bodyDiv w:val="1"/>
      <w:marLeft w:val="0"/>
      <w:marRight w:val="0"/>
      <w:marTop w:val="0"/>
      <w:marBottom w:val="0"/>
      <w:divBdr>
        <w:top w:val="none" w:sz="0" w:space="0" w:color="auto"/>
        <w:left w:val="none" w:sz="0" w:space="0" w:color="auto"/>
        <w:bottom w:val="none" w:sz="0" w:space="0" w:color="auto"/>
        <w:right w:val="none" w:sz="0" w:space="0" w:color="auto"/>
      </w:divBdr>
    </w:div>
    <w:div w:id="1480994033">
      <w:bodyDiv w:val="1"/>
      <w:marLeft w:val="0"/>
      <w:marRight w:val="0"/>
      <w:marTop w:val="0"/>
      <w:marBottom w:val="0"/>
      <w:divBdr>
        <w:top w:val="none" w:sz="0" w:space="0" w:color="auto"/>
        <w:left w:val="none" w:sz="0" w:space="0" w:color="auto"/>
        <w:bottom w:val="none" w:sz="0" w:space="0" w:color="auto"/>
        <w:right w:val="none" w:sz="0" w:space="0" w:color="auto"/>
      </w:divBdr>
    </w:div>
    <w:div w:id="1485273501">
      <w:bodyDiv w:val="1"/>
      <w:marLeft w:val="0"/>
      <w:marRight w:val="0"/>
      <w:marTop w:val="0"/>
      <w:marBottom w:val="0"/>
      <w:divBdr>
        <w:top w:val="none" w:sz="0" w:space="0" w:color="auto"/>
        <w:left w:val="none" w:sz="0" w:space="0" w:color="auto"/>
        <w:bottom w:val="none" w:sz="0" w:space="0" w:color="auto"/>
        <w:right w:val="none" w:sz="0" w:space="0" w:color="auto"/>
      </w:divBdr>
    </w:div>
    <w:div w:id="1485511147">
      <w:bodyDiv w:val="1"/>
      <w:marLeft w:val="0"/>
      <w:marRight w:val="0"/>
      <w:marTop w:val="0"/>
      <w:marBottom w:val="0"/>
      <w:divBdr>
        <w:top w:val="none" w:sz="0" w:space="0" w:color="auto"/>
        <w:left w:val="none" w:sz="0" w:space="0" w:color="auto"/>
        <w:bottom w:val="none" w:sz="0" w:space="0" w:color="auto"/>
        <w:right w:val="none" w:sz="0" w:space="0" w:color="auto"/>
      </w:divBdr>
    </w:div>
    <w:div w:id="1486431343">
      <w:bodyDiv w:val="1"/>
      <w:marLeft w:val="0"/>
      <w:marRight w:val="0"/>
      <w:marTop w:val="0"/>
      <w:marBottom w:val="0"/>
      <w:divBdr>
        <w:top w:val="none" w:sz="0" w:space="0" w:color="auto"/>
        <w:left w:val="none" w:sz="0" w:space="0" w:color="auto"/>
        <w:bottom w:val="none" w:sz="0" w:space="0" w:color="auto"/>
        <w:right w:val="none" w:sz="0" w:space="0" w:color="auto"/>
      </w:divBdr>
    </w:div>
    <w:div w:id="1487163117">
      <w:bodyDiv w:val="1"/>
      <w:marLeft w:val="0"/>
      <w:marRight w:val="0"/>
      <w:marTop w:val="0"/>
      <w:marBottom w:val="0"/>
      <w:divBdr>
        <w:top w:val="none" w:sz="0" w:space="0" w:color="auto"/>
        <w:left w:val="none" w:sz="0" w:space="0" w:color="auto"/>
        <w:bottom w:val="none" w:sz="0" w:space="0" w:color="auto"/>
        <w:right w:val="none" w:sz="0" w:space="0" w:color="auto"/>
      </w:divBdr>
    </w:div>
    <w:div w:id="1492480522">
      <w:bodyDiv w:val="1"/>
      <w:marLeft w:val="0"/>
      <w:marRight w:val="0"/>
      <w:marTop w:val="0"/>
      <w:marBottom w:val="0"/>
      <w:divBdr>
        <w:top w:val="none" w:sz="0" w:space="0" w:color="auto"/>
        <w:left w:val="none" w:sz="0" w:space="0" w:color="auto"/>
        <w:bottom w:val="none" w:sz="0" w:space="0" w:color="auto"/>
        <w:right w:val="none" w:sz="0" w:space="0" w:color="auto"/>
      </w:divBdr>
    </w:div>
    <w:div w:id="1495491790">
      <w:bodyDiv w:val="1"/>
      <w:marLeft w:val="0"/>
      <w:marRight w:val="0"/>
      <w:marTop w:val="0"/>
      <w:marBottom w:val="0"/>
      <w:divBdr>
        <w:top w:val="none" w:sz="0" w:space="0" w:color="auto"/>
        <w:left w:val="none" w:sz="0" w:space="0" w:color="auto"/>
        <w:bottom w:val="none" w:sz="0" w:space="0" w:color="auto"/>
        <w:right w:val="none" w:sz="0" w:space="0" w:color="auto"/>
      </w:divBdr>
    </w:div>
    <w:div w:id="1495610383">
      <w:bodyDiv w:val="1"/>
      <w:marLeft w:val="0"/>
      <w:marRight w:val="0"/>
      <w:marTop w:val="0"/>
      <w:marBottom w:val="0"/>
      <w:divBdr>
        <w:top w:val="none" w:sz="0" w:space="0" w:color="auto"/>
        <w:left w:val="none" w:sz="0" w:space="0" w:color="auto"/>
        <w:bottom w:val="none" w:sz="0" w:space="0" w:color="auto"/>
        <w:right w:val="none" w:sz="0" w:space="0" w:color="auto"/>
      </w:divBdr>
    </w:div>
    <w:div w:id="1495679725">
      <w:bodyDiv w:val="1"/>
      <w:marLeft w:val="0"/>
      <w:marRight w:val="0"/>
      <w:marTop w:val="0"/>
      <w:marBottom w:val="0"/>
      <w:divBdr>
        <w:top w:val="none" w:sz="0" w:space="0" w:color="auto"/>
        <w:left w:val="none" w:sz="0" w:space="0" w:color="auto"/>
        <w:bottom w:val="none" w:sz="0" w:space="0" w:color="auto"/>
        <w:right w:val="none" w:sz="0" w:space="0" w:color="auto"/>
      </w:divBdr>
    </w:div>
    <w:div w:id="1498111730">
      <w:bodyDiv w:val="1"/>
      <w:marLeft w:val="0"/>
      <w:marRight w:val="0"/>
      <w:marTop w:val="0"/>
      <w:marBottom w:val="0"/>
      <w:divBdr>
        <w:top w:val="none" w:sz="0" w:space="0" w:color="auto"/>
        <w:left w:val="none" w:sz="0" w:space="0" w:color="auto"/>
        <w:bottom w:val="none" w:sz="0" w:space="0" w:color="auto"/>
        <w:right w:val="none" w:sz="0" w:space="0" w:color="auto"/>
      </w:divBdr>
    </w:div>
    <w:div w:id="1498761831">
      <w:bodyDiv w:val="1"/>
      <w:marLeft w:val="0"/>
      <w:marRight w:val="0"/>
      <w:marTop w:val="0"/>
      <w:marBottom w:val="0"/>
      <w:divBdr>
        <w:top w:val="none" w:sz="0" w:space="0" w:color="auto"/>
        <w:left w:val="none" w:sz="0" w:space="0" w:color="auto"/>
        <w:bottom w:val="none" w:sz="0" w:space="0" w:color="auto"/>
        <w:right w:val="none" w:sz="0" w:space="0" w:color="auto"/>
      </w:divBdr>
    </w:div>
    <w:div w:id="1502117821">
      <w:bodyDiv w:val="1"/>
      <w:marLeft w:val="0"/>
      <w:marRight w:val="0"/>
      <w:marTop w:val="0"/>
      <w:marBottom w:val="0"/>
      <w:divBdr>
        <w:top w:val="none" w:sz="0" w:space="0" w:color="auto"/>
        <w:left w:val="none" w:sz="0" w:space="0" w:color="auto"/>
        <w:bottom w:val="none" w:sz="0" w:space="0" w:color="auto"/>
        <w:right w:val="none" w:sz="0" w:space="0" w:color="auto"/>
      </w:divBdr>
    </w:div>
    <w:div w:id="1504542565">
      <w:bodyDiv w:val="1"/>
      <w:marLeft w:val="0"/>
      <w:marRight w:val="0"/>
      <w:marTop w:val="0"/>
      <w:marBottom w:val="0"/>
      <w:divBdr>
        <w:top w:val="none" w:sz="0" w:space="0" w:color="auto"/>
        <w:left w:val="none" w:sz="0" w:space="0" w:color="auto"/>
        <w:bottom w:val="none" w:sz="0" w:space="0" w:color="auto"/>
        <w:right w:val="none" w:sz="0" w:space="0" w:color="auto"/>
      </w:divBdr>
    </w:div>
    <w:div w:id="1505632106">
      <w:bodyDiv w:val="1"/>
      <w:marLeft w:val="0"/>
      <w:marRight w:val="0"/>
      <w:marTop w:val="0"/>
      <w:marBottom w:val="0"/>
      <w:divBdr>
        <w:top w:val="none" w:sz="0" w:space="0" w:color="auto"/>
        <w:left w:val="none" w:sz="0" w:space="0" w:color="auto"/>
        <w:bottom w:val="none" w:sz="0" w:space="0" w:color="auto"/>
        <w:right w:val="none" w:sz="0" w:space="0" w:color="auto"/>
      </w:divBdr>
    </w:div>
    <w:div w:id="1506435171">
      <w:bodyDiv w:val="1"/>
      <w:marLeft w:val="0"/>
      <w:marRight w:val="0"/>
      <w:marTop w:val="0"/>
      <w:marBottom w:val="0"/>
      <w:divBdr>
        <w:top w:val="none" w:sz="0" w:space="0" w:color="auto"/>
        <w:left w:val="none" w:sz="0" w:space="0" w:color="auto"/>
        <w:bottom w:val="none" w:sz="0" w:space="0" w:color="auto"/>
        <w:right w:val="none" w:sz="0" w:space="0" w:color="auto"/>
      </w:divBdr>
    </w:div>
    <w:div w:id="1506750118">
      <w:bodyDiv w:val="1"/>
      <w:marLeft w:val="0"/>
      <w:marRight w:val="0"/>
      <w:marTop w:val="0"/>
      <w:marBottom w:val="0"/>
      <w:divBdr>
        <w:top w:val="none" w:sz="0" w:space="0" w:color="auto"/>
        <w:left w:val="none" w:sz="0" w:space="0" w:color="auto"/>
        <w:bottom w:val="none" w:sz="0" w:space="0" w:color="auto"/>
        <w:right w:val="none" w:sz="0" w:space="0" w:color="auto"/>
      </w:divBdr>
    </w:div>
    <w:div w:id="1508909529">
      <w:bodyDiv w:val="1"/>
      <w:marLeft w:val="0"/>
      <w:marRight w:val="0"/>
      <w:marTop w:val="0"/>
      <w:marBottom w:val="0"/>
      <w:divBdr>
        <w:top w:val="none" w:sz="0" w:space="0" w:color="auto"/>
        <w:left w:val="none" w:sz="0" w:space="0" w:color="auto"/>
        <w:bottom w:val="none" w:sz="0" w:space="0" w:color="auto"/>
        <w:right w:val="none" w:sz="0" w:space="0" w:color="auto"/>
      </w:divBdr>
    </w:div>
    <w:div w:id="1511214649">
      <w:bodyDiv w:val="1"/>
      <w:marLeft w:val="0"/>
      <w:marRight w:val="0"/>
      <w:marTop w:val="0"/>
      <w:marBottom w:val="0"/>
      <w:divBdr>
        <w:top w:val="none" w:sz="0" w:space="0" w:color="auto"/>
        <w:left w:val="none" w:sz="0" w:space="0" w:color="auto"/>
        <w:bottom w:val="none" w:sz="0" w:space="0" w:color="auto"/>
        <w:right w:val="none" w:sz="0" w:space="0" w:color="auto"/>
      </w:divBdr>
    </w:div>
    <w:div w:id="1512138913">
      <w:bodyDiv w:val="1"/>
      <w:marLeft w:val="0"/>
      <w:marRight w:val="0"/>
      <w:marTop w:val="0"/>
      <w:marBottom w:val="0"/>
      <w:divBdr>
        <w:top w:val="none" w:sz="0" w:space="0" w:color="auto"/>
        <w:left w:val="none" w:sz="0" w:space="0" w:color="auto"/>
        <w:bottom w:val="none" w:sz="0" w:space="0" w:color="auto"/>
        <w:right w:val="none" w:sz="0" w:space="0" w:color="auto"/>
      </w:divBdr>
    </w:div>
    <w:div w:id="1512836092">
      <w:bodyDiv w:val="1"/>
      <w:marLeft w:val="0"/>
      <w:marRight w:val="0"/>
      <w:marTop w:val="0"/>
      <w:marBottom w:val="0"/>
      <w:divBdr>
        <w:top w:val="none" w:sz="0" w:space="0" w:color="auto"/>
        <w:left w:val="none" w:sz="0" w:space="0" w:color="auto"/>
        <w:bottom w:val="none" w:sz="0" w:space="0" w:color="auto"/>
        <w:right w:val="none" w:sz="0" w:space="0" w:color="auto"/>
      </w:divBdr>
    </w:div>
    <w:div w:id="1515923101">
      <w:bodyDiv w:val="1"/>
      <w:marLeft w:val="0"/>
      <w:marRight w:val="0"/>
      <w:marTop w:val="0"/>
      <w:marBottom w:val="0"/>
      <w:divBdr>
        <w:top w:val="none" w:sz="0" w:space="0" w:color="auto"/>
        <w:left w:val="none" w:sz="0" w:space="0" w:color="auto"/>
        <w:bottom w:val="none" w:sz="0" w:space="0" w:color="auto"/>
        <w:right w:val="none" w:sz="0" w:space="0" w:color="auto"/>
      </w:divBdr>
    </w:div>
    <w:div w:id="1523855270">
      <w:bodyDiv w:val="1"/>
      <w:marLeft w:val="0"/>
      <w:marRight w:val="0"/>
      <w:marTop w:val="0"/>
      <w:marBottom w:val="0"/>
      <w:divBdr>
        <w:top w:val="none" w:sz="0" w:space="0" w:color="auto"/>
        <w:left w:val="none" w:sz="0" w:space="0" w:color="auto"/>
        <w:bottom w:val="none" w:sz="0" w:space="0" w:color="auto"/>
        <w:right w:val="none" w:sz="0" w:space="0" w:color="auto"/>
      </w:divBdr>
    </w:div>
    <w:div w:id="1532956470">
      <w:bodyDiv w:val="1"/>
      <w:marLeft w:val="0"/>
      <w:marRight w:val="0"/>
      <w:marTop w:val="0"/>
      <w:marBottom w:val="0"/>
      <w:divBdr>
        <w:top w:val="none" w:sz="0" w:space="0" w:color="auto"/>
        <w:left w:val="none" w:sz="0" w:space="0" w:color="auto"/>
        <w:bottom w:val="none" w:sz="0" w:space="0" w:color="auto"/>
        <w:right w:val="none" w:sz="0" w:space="0" w:color="auto"/>
      </w:divBdr>
    </w:div>
    <w:div w:id="1534229477">
      <w:bodyDiv w:val="1"/>
      <w:marLeft w:val="0"/>
      <w:marRight w:val="0"/>
      <w:marTop w:val="0"/>
      <w:marBottom w:val="0"/>
      <w:divBdr>
        <w:top w:val="none" w:sz="0" w:space="0" w:color="auto"/>
        <w:left w:val="none" w:sz="0" w:space="0" w:color="auto"/>
        <w:bottom w:val="none" w:sz="0" w:space="0" w:color="auto"/>
        <w:right w:val="none" w:sz="0" w:space="0" w:color="auto"/>
      </w:divBdr>
    </w:div>
    <w:div w:id="1535381970">
      <w:bodyDiv w:val="1"/>
      <w:marLeft w:val="0"/>
      <w:marRight w:val="0"/>
      <w:marTop w:val="0"/>
      <w:marBottom w:val="0"/>
      <w:divBdr>
        <w:top w:val="none" w:sz="0" w:space="0" w:color="auto"/>
        <w:left w:val="none" w:sz="0" w:space="0" w:color="auto"/>
        <w:bottom w:val="none" w:sz="0" w:space="0" w:color="auto"/>
        <w:right w:val="none" w:sz="0" w:space="0" w:color="auto"/>
      </w:divBdr>
    </w:div>
    <w:div w:id="1537546808">
      <w:bodyDiv w:val="1"/>
      <w:marLeft w:val="0"/>
      <w:marRight w:val="0"/>
      <w:marTop w:val="0"/>
      <w:marBottom w:val="0"/>
      <w:divBdr>
        <w:top w:val="none" w:sz="0" w:space="0" w:color="auto"/>
        <w:left w:val="none" w:sz="0" w:space="0" w:color="auto"/>
        <w:bottom w:val="none" w:sz="0" w:space="0" w:color="auto"/>
        <w:right w:val="none" w:sz="0" w:space="0" w:color="auto"/>
      </w:divBdr>
    </w:div>
    <w:div w:id="1539662009">
      <w:bodyDiv w:val="1"/>
      <w:marLeft w:val="0"/>
      <w:marRight w:val="0"/>
      <w:marTop w:val="0"/>
      <w:marBottom w:val="0"/>
      <w:divBdr>
        <w:top w:val="none" w:sz="0" w:space="0" w:color="auto"/>
        <w:left w:val="none" w:sz="0" w:space="0" w:color="auto"/>
        <w:bottom w:val="none" w:sz="0" w:space="0" w:color="auto"/>
        <w:right w:val="none" w:sz="0" w:space="0" w:color="auto"/>
      </w:divBdr>
    </w:div>
    <w:div w:id="1542326998">
      <w:bodyDiv w:val="1"/>
      <w:marLeft w:val="0"/>
      <w:marRight w:val="0"/>
      <w:marTop w:val="0"/>
      <w:marBottom w:val="0"/>
      <w:divBdr>
        <w:top w:val="none" w:sz="0" w:space="0" w:color="auto"/>
        <w:left w:val="none" w:sz="0" w:space="0" w:color="auto"/>
        <w:bottom w:val="none" w:sz="0" w:space="0" w:color="auto"/>
        <w:right w:val="none" w:sz="0" w:space="0" w:color="auto"/>
      </w:divBdr>
    </w:div>
    <w:div w:id="1546866201">
      <w:bodyDiv w:val="1"/>
      <w:marLeft w:val="0"/>
      <w:marRight w:val="0"/>
      <w:marTop w:val="0"/>
      <w:marBottom w:val="0"/>
      <w:divBdr>
        <w:top w:val="none" w:sz="0" w:space="0" w:color="auto"/>
        <w:left w:val="none" w:sz="0" w:space="0" w:color="auto"/>
        <w:bottom w:val="none" w:sz="0" w:space="0" w:color="auto"/>
        <w:right w:val="none" w:sz="0" w:space="0" w:color="auto"/>
      </w:divBdr>
    </w:div>
    <w:div w:id="1547839806">
      <w:bodyDiv w:val="1"/>
      <w:marLeft w:val="0"/>
      <w:marRight w:val="0"/>
      <w:marTop w:val="0"/>
      <w:marBottom w:val="0"/>
      <w:divBdr>
        <w:top w:val="none" w:sz="0" w:space="0" w:color="auto"/>
        <w:left w:val="none" w:sz="0" w:space="0" w:color="auto"/>
        <w:bottom w:val="none" w:sz="0" w:space="0" w:color="auto"/>
        <w:right w:val="none" w:sz="0" w:space="0" w:color="auto"/>
      </w:divBdr>
    </w:div>
    <w:div w:id="1547989442">
      <w:bodyDiv w:val="1"/>
      <w:marLeft w:val="0"/>
      <w:marRight w:val="0"/>
      <w:marTop w:val="0"/>
      <w:marBottom w:val="0"/>
      <w:divBdr>
        <w:top w:val="none" w:sz="0" w:space="0" w:color="auto"/>
        <w:left w:val="none" w:sz="0" w:space="0" w:color="auto"/>
        <w:bottom w:val="none" w:sz="0" w:space="0" w:color="auto"/>
        <w:right w:val="none" w:sz="0" w:space="0" w:color="auto"/>
      </w:divBdr>
    </w:div>
    <w:div w:id="1548030301">
      <w:bodyDiv w:val="1"/>
      <w:marLeft w:val="0"/>
      <w:marRight w:val="0"/>
      <w:marTop w:val="0"/>
      <w:marBottom w:val="0"/>
      <w:divBdr>
        <w:top w:val="none" w:sz="0" w:space="0" w:color="auto"/>
        <w:left w:val="none" w:sz="0" w:space="0" w:color="auto"/>
        <w:bottom w:val="none" w:sz="0" w:space="0" w:color="auto"/>
        <w:right w:val="none" w:sz="0" w:space="0" w:color="auto"/>
      </w:divBdr>
    </w:div>
    <w:div w:id="1550341464">
      <w:bodyDiv w:val="1"/>
      <w:marLeft w:val="0"/>
      <w:marRight w:val="0"/>
      <w:marTop w:val="0"/>
      <w:marBottom w:val="0"/>
      <w:divBdr>
        <w:top w:val="none" w:sz="0" w:space="0" w:color="auto"/>
        <w:left w:val="none" w:sz="0" w:space="0" w:color="auto"/>
        <w:bottom w:val="none" w:sz="0" w:space="0" w:color="auto"/>
        <w:right w:val="none" w:sz="0" w:space="0" w:color="auto"/>
      </w:divBdr>
    </w:div>
    <w:div w:id="1552186519">
      <w:bodyDiv w:val="1"/>
      <w:marLeft w:val="0"/>
      <w:marRight w:val="0"/>
      <w:marTop w:val="0"/>
      <w:marBottom w:val="0"/>
      <w:divBdr>
        <w:top w:val="none" w:sz="0" w:space="0" w:color="auto"/>
        <w:left w:val="none" w:sz="0" w:space="0" w:color="auto"/>
        <w:bottom w:val="none" w:sz="0" w:space="0" w:color="auto"/>
        <w:right w:val="none" w:sz="0" w:space="0" w:color="auto"/>
      </w:divBdr>
    </w:div>
    <w:div w:id="1556619316">
      <w:bodyDiv w:val="1"/>
      <w:marLeft w:val="0"/>
      <w:marRight w:val="0"/>
      <w:marTop w:val="0"/>
      <w:marBottom w:val="0"/>
      <w:divBdr>
        <w:top w:val="none" w:sz="0" w:space="0" w:color="auto"/>
        <w:left w:val="none" w:sz="0" w:space="0" w:color="auto"/>
        <w:bottom w:val="none" w:sz="0" w:space="0" w:color="auto"/>
        <w:right w:val="none" w:sz="0" w:space="0" w:color="auto"/>
      </w:divBdr>
    </w:div>
    <w:div w:id="1558004765">
      <w:bodyDiv w:val="1"/>
      <w:marLeft w:val="0"/>
      <w:marRight w:val="0"/>
      <w:marTop w:val="0"/>
      <w:marBottom w:val="0"/>
      <w:divBdr>
        <w:top w:val="none" w:sz="0" w:space="0" w:color="auto"/>
        <w:left w:val="none" w:sz="0" w:space="0" w:color="auto"/>
        <w:bottom w:val="none" w:sz="0" w:space="0" w:color="auto"/>
        <w:right w:val="none" w:sz="0" w:space="0" w:color="auto"/>
      </w:divBdr>
    </w:div>
    <w:div w:id="1559978651">
      <w:bodyDiv w:val="1"/>
      <w:marLeft w:val="0"/>
      <w:marRight w:val="0"/>
      <w:marTop w:val="0"/>
      <w:marBottom w:val="0"/>
      <w:divBdr>
        <w:top w:val="none" w:sz="0" w:space="0" w:color="auto"/>
        <w:left w:val="none" w:sz="0" w:space="0" w:color="auto"/>
        <w:bottom w:val="none" w:sz="0" w:space="0" w:color="auto"/>
        <w:right w:val="none" w:sz="0" w:space="0" w:color="auto"/>
      </w:divBdr>
    </w:div>
    <w:div w:id="1561555428">
      <w:bodyDiv w:val="1"/>
      <w:marLeft w:val="0"/>
      <w:marRight w:val="0"/>
      <w:marTop w:val="0"/>
      <w:marBottom w:val="0"/>
      <w:divBdr>
        <w:top w:val="none" w:sz="0" w:space="0" w:color="auto"/>
        <w:left w:val="none" w:sz="0" w:space="0" w:color="auto"/>
        <w:bottom w:val="none" w:sz="0" w:space="0" w:color="auto"/>
        <w:right w:val="none" w:sz="0" w:space="0" w:color="auto"/>
      </w:divBdr>
    </w:div>
    <w:div w:id="1563060940">
      <w:bodyDiv w:val="1"/>
      <w:marLeft w:val="0"/>
      <w:marRight w:val="0"/>
      <w:marTop w:val="0"/>
      <w:marBottom w:val="0"/>
      <w:divBdr>
        <w:top w:val="none" w:sz="0" w:space="0" w:color="auto"/>
        <w:left w:val="none" w:sz="0" w:space="0" w:color="auto"/>
        <w:bottom w:val="none" w:sz="0" w:space="0" w:color="auto"/>
        <w:right w:val="none" w:sz="0" w:space="0" w:color="auto"/>
      </w:divBdr>
    </w:div>
    <w:div w:id="1564565346">
      <w:bodyDiv w:val="1"/>
      <w:marLeft w:val="0"/>
      <w:marRight w:val="0"/>
      <w:marTop w:val="0"/>
      <w:marBottom w:val="0"/>
      <w:divBdr>
        <w:top w:val="none" w:sz="0" w:space="0" w:color="auto"/>
        <w:left w:val="none" w:sz="0" w:space="0" w:color="auto"/>
        <w:bottom w:val="none" w:sz="0" w:space="0" w:color="auto"/>
        <w:right w:val="none" w:sz="0" w:space="0" w:color="auto"/>
      </w:divBdr>
    </w:div>
    <w:div w:id="1565141722">
      <w:bodyDiv w:val="1"/>
      <w:marLeft w:val="0"/>
      <w:marRight w:val="0"/>
      <w:marTop w:val="0"/>
      <w:marBottom w:val="0"/>
      <w:divBdr>
        <w:top w:val="none" w:sz="0" w:space="0" w:color="auto"/>
        <w:left w:val="none" w:sz="0" w:space="0" w:color="auto"/>
        <w:bottom w:val="none" w:sz="0" w:space="0" w:color="auto"/>
        <w:right w:val="none" w:sz="0" w:space="0" w:color="auto"/>
      </w:divBdr>
    </w:div>
    <w:div w:id="1565867272">
      <w:bodyDiv w:val="1"/>
      <w:marLeft w:val="0"/>
      <w:marRight w:val="0"/>
      <w:marTop w:val="0"/>
      <w:marBottom w:val="0"/>
      <w:divBdr>
        <w:top w:val="none" w:sz="0" w:space="0" w:color="auto"/>
        <w:left w:val="none" w:sz="0" w:space="0" w:color="auto"/>
        <w:bottom w:val="none" w:sz="0" w:space="0" w:color="auto"/>
        <w:right w:val="none" w:sz="0" w:space="0" w:color="auto"/>
      </w:divBdr>
    </w:div>
    <w:div w:id="1565943911">
      <w:bodyDiv w:val="1"/>
      <w:marLeft w:val="0"/>
      <w:marRight w:val="0"/>
      <w:marTop w:val="0"/>
      <w:marBottom w:val="0"/>
      <w:divBdr>
        <w:top w:val="none" w:sz="0" w:space="0" w:color="auto"/>
        <w:left w:val="none" w:sz="0" w:space="0" w:color="auto"/>
        <w:bottom w:val="none" w:sz="0" w:space="0" w:color="auto"/>
        <w:right w:val="none" w:sz="0" w:space="0" w:color="auto"/>
      </w:divBdr>
    </w:div>
    <w:div w:id="1567838378">
      <w:bodyDiv w:val="1"/>
      <w:marLeft w:val="0"/>
      <w:marRight w:val="0"/>
      <w:marTop w:val="0"/>
      <w:marBottom w:val="0"/>
      <w:divBdr>
        <w:top w:val="none" w:sz="0" w:space="0" w:color="auto"/>
        <w:left w:val="none" w:sz="0" w:space="0" w:color="auto"/>
        <w:bottom w:val="none" w:sz="0" w:space="0" w:color="auto"/>
        <w:right w:val="none" w:sz="0" w:space="0" w:color="auto"/>
      </w:divBdr>
    </w:div>
    <w:div w:id="1572690819">
      <w:bodyDiv w:val="1"/>
      <w:marLeft w:val="0"/>
      <w:marRight w:val="0"/>
      <w:marTop w:val="0"/>
      <w:marBottom w:val="0"/>
      <w:divBdr>
        <w:top w:val="none" w:sz="0" w:space="0" w:color="auto"/>
        <w:left w:val="none" w:sz="0" w:space="0" w:color="auto"/>
        <w:bottom w:val="none" w:sz="0" w:space="0" w:color="auto"/>
        <w:right w:val="none" w:sz="0" w:space="0" w:color="auto"/>
      </w:divBdr>
    </w:div>
    <w:div w:id="1576280584">
      <w:bodyDiv w:val="1"/>
      <w:marLeft w:val="0"/>
      <w:marRight w:val="0"/>
      <w:marTop w:val="0"/>
      <w:marBottom w:val="0"/>
      <w:divBdr>
        <w:top w:val="none" w:sz="0" w:space="0" w:color="auto"/>
        <w:left w:val="none" w:sz="0" w:space="0" w:color="auto"/>
        <w:bottom w:val="none" w:sz="0" w:space="0" w:color="auto"/>
        <w:right w:val="none" w:sz="0" w:space="0" w:color="auto"/>
      </w:divBdr>
    </w:div>
    <w:div w:id="1576891278">
      <w:bodyDiv w:val="1"/>
      <w:marLeft w:val="0"/>
      <w:marRight w:val="0"/>
      <w:marTop w:val="0"/>
      <w:marBottom w:val="0"/>
      <w:divBdr>
        <w:top w:val="none" w:sz="0" w:space="0" w:color="auto"/>
        <w:left w:val="none" w:sz="0" w:space="0" w:color="auto"/>
        <w:bottom w:val="none" w:sz="0" w:space="0" w:color="auto"/>
        <w:right w:val="none" w:sz="0" w:space="0" w:color="auto"/>
      </w:divBdr>
    </w:div>
    <w:div w:id="1578975142">
      <w:bodyDiv w:val="1"/>
      <w:marLeft w:val="0"/>
      <w:marRight w:val="0"/>
      <w:marTop w:val="0"/>
      <w:marBottom w:val="0"/>
      <w:divBdr>
        <w:top w:val="none" w:sz="0" w:space="0" w:color="auto"/>
        <w:left w:val="none" w:sz="0" w:space="0" w:color="auto"/>
        <w:bottom w:val="none" w:sz="0" w:space="0" w:color="auto"/>
        <w:right w:val="none" w:sz="0" w:space="0" w:color="auto"/>
      </w:divBdr>
    </w:div>
    <w:div w:id="1584485283">
      <w:bodyDiv w:val="1"/>
      <w:marLeft w:val="0"/>
      <w:marRight w:val="0"/>
      <w:marTop w:val="0"/>
      <w:marBottom w:val="0"/>
      <w:divBdr>
        <w:top w:val="none" w:sz="0" w:space="0" w:color="auto"/>
        <w:left w:val="none" w:sz="0" w:space="0" w:color="auto"/>
        <w:bottom w:val="none" w:sz="0" w:space="0" w:color="auto"/>
        <w:right w:val="none" w:sz="0" w:space="0" w:color="auto"/>
      </w:divBdr>
    </w:div>
    <w:div w:id="1584992814">
      <w:bodyDiv w:val="1"/>
      <w:marLeft w:val="0"/>
      <w:marRight w:val="0"/>
      <w:marTop w:val="0"/>
      <w:marBottom w:val="0"/>
      <w:divBdr>
        <w:top w:val="none" w:sz="0" w:space="0" w:color="auto"/>
        <w:left w:val="none" w:sz="0" w:space="0" w:color="auto"/>
        <w:bottom w:val="none" w:sz="0" w:space="0" w:color="auto"/>
        <w:right w:val="none" w:sz="0" w:space="0" w:color="auto"/>
      </w:divBdr>
    </w:div>
    <w:div w:id="1585650728">
      <w:bodyDiv w:val="1"/>
      <w:marLeft w:val="0"/>
      <w:marRight w:val="0"/>
      <w:marTop w:val="0"/>
      <w:marBottom w:val="0"/>
      <w:divBdr>
        <w:top w:val="none" w:sz="0" w:space="0" w:color="auto"/>
        <w:left w:val="none" w:sz="0" w:space="0" w:color="auto"/>
        <w:bottom w:val="none" w:sz="0" w:space="0" w:color="auto"/>
        <w:right w:val="none" w:sz="0" w:space="0" w:color="auto"/>
      </w:divBdr>
    </w:div>
    <w:div w:id="1586380849">
      <w:bodyDiv w:val="1"/>
      <w:marLeft w:val="0"/>
      <w:marRight w:val="0"/>
      <w:marTop w:val="0"/>
      <w:marBottom w:val="0"/>
      <w:divBdr>
        <w:top w:val="none" w:sz="0" w:space="0" w:color="auto"/>
        <w:left w:val="none" w:sz="0" w:space="0" w:color="auto"/>
        <w:bottom w:val="none" w:sz="0" w:space="0" w:color="auto"/>
        <w:right w:val="none" w:sz="0" w:space="0" w:color="auto"/>
      </w:divBdr>
    </w:div>
    <w:div w:id="1586382537">
      <w:bodyDiv w:val="1"/>
      <w:marLeft w:val="0"/>
      <w:marRight w:val="0"/>
      <w:marTop w:val="0"/>
      <w:marBottom w:val="0"/>
      <w:divBdr>
        <w:top w:val="none" w:sz="0" w:space="0" w:color="auto"/>
        <w:left w:val="none" w:sz="0" w:space="0" w:color="auto"/>
        <w:bottom w:val="none" w:sz="0" w:space="0" w:color="auto"/>
        <w:right w:val="none" w:sz="0" w:space="0" w:color="auto"/>
      </w:divBdr>
    </w:div>
    <w:div w:id="1586570448">
      <w:bodyDiv w:val="1"/>
      <w:marLeft w:val="0"/>
      <w:marRight w:val="0"/>
      <w:marTop w:val="0"/>
      <w:marBottom w:val="0"/>
      <w:divBdr>
        <w:top w:val="none" w:sz="0" w:space="0" w:color="auto"/>
        <w:left w:val="none" w:sz="0" w:space="0" w:color="auto"/>
        <w:bottom w:val="none" w:sz="0" w:space="0" w:color="auto"/>
        <w:right w:val="none" w:sz="0" w:space="0" w:color="auto"/>
      </w:divBdr>
    </w:div>
    <w:div w:id="1590575153">
      <w:bodyDiv w:val="1"/>
      <w:marLeft w:val="0"/>
      <w:marRight w:val="0"/>
      <w:marTop w:val="0"/>
      <w:marBottom w:val="0"/>
      <w:divBdr>
        <w:top w:val="none" w:sz="0" w:space="0" w:color="auto"/>
        <w:left w:val="none" w:sz="0" w:space="0" w:color="auto"/>
        <w:bottom w:val="none" w:sz="0" w:space="0" w:color="auto"/>
        <w:right w:val="none" w:sz="0" w:space="0" w:color="auto"/>
      </w:divBdr>
    </w:div>
    <w:div w:id="1590968317">
      <w:bodyDiv w:val="1"/>
      <w:marLeft w:val="0"/>
      <w:marRight w:val="0"/>
      <w:marTop w:val="0"/>
      <w:marBottom w:val="0"/>
      <w:divBdr>
        <w:top w:val="none" w:sz="0" w:space="0" w:color="auto"/>
        <w:left w:val="none" w:sz="0" w:space="0" w:color="auto"/>
        <w:bottom w:val="none" w:sz="0" w:space="0" w:color="auto"/>
        <w:right w:val="none" w:sz="0" w:space="0" w:color="auto"/>
      </w:divBdr>
    </w:div>
    <w:div w:id="1595044740">
      <w:bodyDiv w:val="1"/>
      <w:marLeft w:val="0"/>
      <w:marRight w:val="0"/>
      <w:marTop w:val="0"/>
      <w:marBottom w:val="0"/>
      <w:divBdr>
        <w:top w:val="none" w:sz="0" w:space="0" w:color="auto"/>
        <w:left w:val="none" w:sz="0" w:space="0" w:color="auto"/>
        <w:bottom w:val="none" w:sz="0" w:space="0" w:color="auto"/>
        <w:right w:val="none" w:sz="0" w:space="0" w:color="auto"/>
      </w:divBdr>
    </w:div>
    <w:div w:id="1599096657">
      <w:bodyDiv w:val="1"/>
      <w:marLeft w:val="0"/>
      <w:marRight w:val="0"/>
      <w:marTop w:val="0"/>
      <w:marBottom w:val="0"/>
      <w:divBdr>
        <w:top w:val="none" w:sz="0" w:space="0" w:color="auto"/>
        <w:left w:val="none" w:sz="0" w:space="0" w:color="auto"/>
        <w:bottom w:val="none" w:sz="0" w:space="0" w:color="auto"/>
        <w:right w:val="none" w:sz="0" w:space="0" w:color="auto"/>
      </w:divBdr>
    </w:div>
    <w:div w:id="1601184975">
      <w:bodyDiv w:val="1"/>
      <w:marLeft w:val="0"/>
      <w:marRight w:val="0"/>
      <w:marTop w:val="0"/>
      <w:marBottom w:val="0"/>
      <w:divBdr>
        <w:top w:val="none" w:sz="0" w:space="0" w:color="auto"/>
        <w:left w:val="none" w:sz="0" w:space="0" w:color="auto"/>
        <w:bottom w:val="none" w:sz="0" w:space="0" w:color="auto"/>
        <w:right w:val="none" w:sz="0" w:space="0" w:color="auto"/>
      </w:divBdr>
    </w:div>
    <w:div w:id="1601789452">
      <w:bodyDiv w:val="1"/>
      <w:marLeft w:val="0"/>
      <w:marRight w:val="0"/>
      <w:marTop w:val="0"/>
      <w:marBottom w:val="0"/>
      <w:divBdr>
        <w:top w:val="none" w:sz="0" w:space="0" w:color="auto"/>
        <w:left w:val="none" w:sz="0" w:space="0" w:color="auto"/>
        <w:bottom w:val="none" w:sz="0" w:space="0" w:color="auto"/>
        <w:right w:val="none" w:sz="0" w:space="0" w:color="auto"/>
      </w:divBdr>
    </w:div>
    <w:div w:id="1602184662">
      <w:bodyDiv w:val="1"/>
      <w:marLeft w:val="0"/>
      <w:marRight w:val="0"/>
      <w:marTop w:val="0"/>
      <w:marBottom w:val="0"/>
      <w:divBdr>
        <w:top w:val="none" w:sz="0" w:space="0" w:color="auto"/>
        <w:left w:val="none" w:sz="0" w:space="0" w:color="auto"/>
        <w:bottom w:val="none" w:sz="0" w:space="0" w:color="auto"/>
        <w:right w:val="none" w:sz="0" w:space="0" w:color="auto"/>
      </w:divBdr>
    </w:div>
    <w:div w:id="1607545588">
      <w:bodyDiv w:val="1"/>
      <w:marLeft w:val="0"/>
      <w:marRight w:val="0"/>
      <w:marTop w:val="0"/>
      <w:marBottom w:val="0"/>
      <w:divBdr>
        <w:top w:val="none" w:sz="0" w:space="0" w:color="auto"/>
        <w:left w:val="none" w:sz="0" w:space="0" w:color="auto"/>
        <w:bottom w:val="none" w:sz="0" w:space="0" w:color="auto"/>
        <w:right w:val="none" w:sz="0" w:space="0" w:color="auto"/>
      </w:divBdr>
    </w:div>
    <w:div w:id="1611817493">
      <w:bodyDiv w:val="1"/>
      <w:marLeft w:val="0"/>
      <w:marRight w:val="0"/>
      <w:marTop w:val="0"/>
      <w:marBottom w:val="0"/>
      <w:divBdr>
        <w:top w:val="none" w:sz="0" w:space="0" w:color="auto"/>
        <w:left w:val="none" w:sz="0" w:space="0" w:color="auto"/>
        <w:bottom w:val="none" w:sz="0" w:space="0" w:color="auto"/>
        <w:right w:val="none" w:sz="0" w:space="0" w:color="auto"/>
      </w:divBdr>
    </w:div>
    <w:div w:id="1612976076">
      <w:bodyDiv w:val="1"/>
      <w:marLeft w:val="0"/>
      <w:marRight w:val="0"/>
      <w:marTop w:val="0"/>
      <w:marBottom w:val="0"/>
      <w:divBdr>
        <w:top w:val="none" w:sz="0" w:space="0" w:color="auto"/>
        <w:left w:val="none" w:sz="0" w:space="0" w:color="auto"/>
        <w:bottom w:val="none" w:sz="0" w:space="0" w:color="auto"/>
        <w:right w:val="none" w:sz="0" w:space="0" w:color="auto"/>
      </w:divBdr>
    </w:div>
    <w:div w:id="1613172734">
      <w:bodyDiv w:val="1"/>
      <w:marLeft w:val="0"/>
      <w:marRight w:val="0"/>
      <w:marTop w:val="0"/>
      <w:marBottom w:val="0"/>
      <w:divBdr>
        <w:top w:val="none" w:sz="0" w:space="0" w:color="auto"/>
        <w:left w:val="none" w:sz="0" w:space="0" w:color="auto"/>
        <w:bottom w:val="none" w:sz="0" w:space="0" w:color="auto"/>
        <w:right w:val="none" w:sz="0" w:space="0" w:color="auto"/>
      </w:divBdr>
    </w:div>
    <w:div w:id="1618367052">
      <w:bodyDiv w:val="1"/>
      <w:marLeft w:val="0"/>
      <w:marRight w:val="0"/>
      <w:marTop w:val="0"/>
      <w:marBottom w:val="0"/>
      <w:divBdr>
        <w:top w:val="none" w:sz="0" w:space="0" w:color="auto"/>
        <w:left w:val="none" w:sz="0" w:space="0" w:color="auto"/>
        <w:bottom w:val="none" w:sz="0" w:space="0" w:color="auto"/>
        <w:right w:val="none" w:sz="0" w:space="0" w:color="auto"/>
      </w:divBdr>
    </w:div>
    <w:div w:id="1618416299">
      <w:bodyDiv w:val="1"/>
      <w:marLeft w:val="0"/>
      <w:marRight w:val="0"/>
      <w:marTop w:val="0"/>
      <w:marBottom w:val="0"/>
      <w:divBdr>
        <w:top w:val="none" w:sz="0" w:space="0" w:color="auto"/>
        <w:left w:val="none" w:sz="0" w:space="0" w:color="auto"/>
        <w:bottom w:val="none" w:sz="0" w:space="0" w:color="auto"/>
        <w:right w:val="none" w:sz="0" w:space="0" w:color="auto"/>
      </w:divBdr>
    </w:div>
    <w:div w:id="1621568939">
      <w:bodyDiv w:val="1"/>
      <w:marLeft w:val="0"/>
      <w:marRight w:val="0"/>
      <w:marTop w:val="0"/>
      <w:marBottom w:val="0"/>
      <w:divBdr>
        <w:top w:val="none" w:sz="0" w:space="0" w:color="auto"/>
        <w:left w:val="none" w:sz="0" w:space="0" w:color="auto"/>
        <w:bottom w:val="none" w:sz="0" w:space="0" w:color="auto"/>
        <w:right w:val="none" w:sz="0" w:space="0" w:color="auto"/>
      </w:divBdr>
    </w:div>
    <w:div w:id="1621956725">
      <w:bodyDiv w:val="1"/>
      <w:marLeft w:val="0"/>
      <w:marRight w:val="0"/>
      <w:marTop w:val="0"/>
      <w:marBottom w:val="0"/>
      <w:divBdr>
        <w:top w:val="none" w:sz="0" w:space="0" w:color="auto"/>
        <w:left w:val="none" w:sz="0" w:space="0" w:color="auto"/>
        <w:bottom w:val="none" w:sz="0" w:space="0" w:color="auto"/>
        <w:right w:val="none" w:sz="0" w:space="0" w:color="auto"/>
      </w:divBdr>
    </w:div>
    <w:div w:id="1625114274">
      <w:bodyDiv w:val="1"/>
      <w:marLeft w:val="0"/>
      <w:marRight w:val="0"/>
      <w:marTop w:val="0"/>
      <w:marBottom w:val="0"/>
      <w:divBdr>
        <w:top w:val="none" w:sz="0" w:space="0" w:color="auto"/>
        <w:left w:val="none" w:sz="0" w:space="0" w:color="auto"/>
        <w:bottom w:val="none" w:sz="0" w:space="0" w:color="auto"/>
        <w:right w:val="none" w:sz="0" w:space="0" w:color="auto"/>
      </w:divBdr>
    </w:div>
    <w:div w:id="1626348327">
      <w:bodyDiv w:val="1"/>
      <w:marLeft w:val="0"/>
      <w:marRight w:val="0"/>
      <w:marTop w:val="0"/>
      <w:marBottom w:val="0"/>
      <w:divBdr>
        <w:top w:val="none" w:sz="0" w:space="0" w:color="auto"/>
        <w:left w:val="none" w:sz="0" w:space="0" w:color="auto"/>
        <w:bottom w:val="none" w:sz="0" w:space="0" w:color="auto"/>
        <w:right w:val="none" w:sz="0" w:space="0" w:color="auto"/>
      </w:divBdr>
    </w:div>
    <w:div w:id="1626932126">
      <w:bodyDiv w:val="1"/>
      <w:marLeft w:val="0"/>
      <w:marRight w:val="0"/>
      <w:marTop w:val="0"/>
      <w:marBottom w:val="0"/>
      <w:divBdr>
        <w:top w:val="none" w:sz="0" w:space="0" w:color="auto"/>
        <w:left w:val="none" w:sz="0" w:space="0" w:color="auto"/>
        <w:bottom w:val="none" w:sz="0" w:space="0" w:color="auto"/>
        <w:right w:val="none" w:sz="0" w:space="0" w:color="auto"/>
      </w:divBdr>
    </w:div>
    <w:div w:id="1627854167">
      <w:bodyDiv w:val="1"/>
      <w:marLeft w:val="0"/>
      <w:marRight w:val="0"/>
      <w:marTop w:val="0"/>
      <w:marBottom w:val="0"/>
      <w:divBdr>
        <w:top w:val="none" w:sz="0" w:space="0" w:color="auto"/>
        <w:left w:val="none" w:sz="0" w:space="0" w:color="auto"/>
        <w:bottom w:val="none" w:sz="0" w:space="0" w:color="auto"/>
        <w:right w:val="none" w:sz="0" w:space="0" w:color="auto"/>
      </w:divBdr>
    </w:div>
    <w:div w:id="1628051274">
      <w:bodyDiv w:val="1"/>
      <w:marLeft w:val="0"/>
      <w:marRight w:val="0"/>
      <w:marTop w:val="0"/>
      <w:marBottom w:val="0"/>
      <w:divBdr>
        <w:top w:val="none" w:sz="0" w:space="0" w:color="auto"/>
        <w:left w:val="none" w:sz="0" w:space="0" w:color="auto"/>
        <w:bottom w:val="none" w:sz="0" w:space="0" w:color="auto"/>
        <w:right w:val="none" w:sz="0" w:space="0" w:color="auto"/>
      </w:divBdr>
    </w:div>
    <w:div w:id="1629428477">
      <w:bodyDiv w:val="1"/>
      <w:marLeft w:val="0"/>
      <w:marRight w:val="0"/>
      <w:marTop w:val="0"/>
      <w:marBottom w:val="0"/>
      <w:divBdr>
        <w:top w:val="none" w:sz="0" w:space="0" w:color="auto"/>
        <w:left w:val="none" w:sz="0" w:space="0" w:color="auto"/>
        <w:bottom w:val="none" w:sz="0" w:space="0" w:color="auto"/>
        <w:right w:val="none" w:sz="0" w:space="0" w:color="auto"/>
      </w:divBdr>
    </w:div>
    <w:div w:id="1635528377">
      <w:bodyDiv w:val="1"/>
      <w:marLeft w:val="0"/>
      <w:marRight w:val="0"/>
      <w:marTop w:val="0"/>
      <w:marBottom w:val="0"/>
      <w:divBdr>
        <w:top w:val="none" w:sz="0" w:space="0" w:color="auto"/>
        <w:left w:val="none" w:sz="0" w:space="0" w:color="auto"/>
        <w:bottom w:val="none" w:sz="0" w:space="0" w:color="auto"/>
        <w:right w:val="none" w:sz="0" w:space="0" w:color="auto"/>
      </w:divBdr>
    </w:div>
    <w:div w:id="1636174565">
      <w:bodyDiv w:val="1"/>
      <w:marLeft w:val="0"/>
      <w:marRight w:val="0"/>
      <w:marTop w:val="0"/>
      <w:marBottom w:val="0"/>
      <w:divBdr>
        <w:top w:val="none" w:sz="0" w:space="0" w:color="auto"/>
        <w:left w:val="none" w:sz="0" w:space="0" w:color="auto"/>
        <w:bottom w:val="none" w:sz="0" w:space="0" w:color="auto"/>
        <w:right w:val="none" w:sz="0" w:space="0" w:color="auto"/>
      </w:divBdr>
    </w:div>
    <w:div w:id="1638098159">
      <w:bodyDiv w:val="1"/>
      <w:marLeft w:val="0"/>
      <w:marRight w:val="0"/>
      <w:marTop w:val="0"/>
      <w:marBottom w:val="0"/>
      <w:divBdr>
        <w:top w:val="none" w:sz="0" w:space="0" w:color="auto"/>
        <w:left w:val="none" w:sz="0" w:space="0" w:color="auto"/>
        <w:bottom w:val="none" w:sz="0" w:space="0" w:color="auto"/>
        <w:right w:val="none" w:sz="0" w:space="0" w:color="auto"/>
      </w:divBdr>
    </w:div>
    <w:div w:id="1649438931">
      <w:bodyDiv w:val="1"/>
      <w:marLeft w:val="0"/>
      <w:marRight w:val="0"/>
      <w:marTop w:val="0"/>
      <w:marBottom w:val="0"/>
      <w:divBdr>
        <w:top w:val="none" w:sz="0" w:space="0" w:color="auto"/>
        <w:left w:val="none" w:sz="0" w:space="0" w:color="auto"/>
        <w:bottom w:val="none" w:sz="0" w:space="0" w:color="auto"/>
        <w:right w:val="none" w:sz="0" w:space="0" w:color="auto"/>
      </w:divBdr>
    </w:div>
    <w:div w:id="1652632992">
      <w:bodyDiv w:val="1"/>
      <w:marLeft w:val="0"/>
      <w:marRight w:val="0"/>
      <w:marTop w:val="0"/>
      <w:marBottom w:val="0"/>
      <w:divBdr>
        <w:top w:val="none" w:sz="0" w:space="0" w:color="auto"/>
        <w:left w:val="none" w:sz="0" w:space="0" w:color="auto"/>
        <w:bottom w:val="none" w:sz="0" w:space="0" w:color="auto"/>
        <w:right w:val="none" w:sz="0" w:space="0" w:color="auto"/>
      </w:divBdr>
    </w:div>
    <w:div w:id="1653943505">
      <w:bodyDiv w:val="1"/>
      <w:marLeft w:val="0"/>
      <w:marRight w:val="0"/>
      <w:marTop w:val="0"/>
      <w:marBottom w:val="0"/>
      <w:divBdr>
        <w:top w:val="none" w:sz="0" w:space="0" w:color="auto"/>
        <w:left w:val="none" w:sz="0" w:space="0" w:color="auto"/>
        <w:bottom w:val="none" w:sz="0" w:space="0" w:color="auto"/>
        <w:right w:val="none" w:sz="0" w:space="0" w:color="auto"/>
      </w:divBdr>
    </w:div>
    <w:div w:id="1654531140">
      <w:bodyDiv w:val="1"/>
      <w:marLeft w:val="0"/>
      <w:marRight w:val="0"/>
      <w:marTop w:val="0"/>
      <w:marBottom w:val="0"/>
      <w:divBdr>
        <w:top w:val="none" w:sz="0" w:space="0" w:color="auto"/>
        <w:left w:val="none" w:sz="0" w:space="0" w:color="auto"/>
        <w:bottom w:val="none" w:sz="0" w:space="0" w:color="auto"/>
        <w:right w:val="none" w:sz="0" w:space="0" w:color="auto"/>
      </w:divBdr>
    </w:div>
    <w:div w:id="1655530646">
      <w:bodyDiv w:val="1"/>
      <w:marLeft w:val="0"/>
      <w:marRight w:val="0"/>
      <w:marTop w:val="0"/>
      <w:marBottom w:val="0"/>
      <w:divBdr>
        <w:top w:val="none" w:sz="0" w:space="0" w:color="auto"/>
        <w:left w:val="none" w:sz="0" w:space="0" w:color="auto"/>
        <w:bottom w:val="none" w:sz="0" w:space="0" w:color="auto"/>
        <w:right w:val="none" w:sz="0" w:space="0" w:color="auto"/>
      </w:divBdr>
    </w:div>
    <w:div w:id="1657996121">
      <w:bodyDiv w:val="1"/>
      <w:marLeft w:val="0"/>
      <w:marRight w:val="0"/>
      <w:marTop w:val="0"/>
      <w:marBottom w:val="0"/>
      <w:divBdr>
        <w:top w:val="none" w:sz="0" w:space="0" w:color="auto"/>
        <w:left w:val="none" w:sz="0" w:space="0" w:color="auto"/>
        <w:bottom w:val="none" w:sz="0" w:space="0" w:color="auto"/>
        <w:right w:val="none" w:sz="0" w:space="0" w:color="auto"/>
      </w:divBdr>
    </w:div>
    <w:div w:id="1662198601">
      <w:bodyDiv w:val="1"/>
      <w:marLeft w:val="0"/>
      <w:marRight w:val="0"/>
      <w:marTop w:val="0"/>
      <w:marBottom w:val="0"/>
      <w:divBdr>
        <w:top w:val="none" w:sz="0" w:space="0" w:color="auto"/>
        <w:left w:val="none" w:sz="0" w:space="0" w:color="auto"/>
        <w:bottom w:val="none" w:sz="0" w:space="0" w:color="auto"/>
        <w:right w:val="none" w:sz="0" w:space="0" w:color="auto"/>
      </w:divBdr>
    </w:div>
    <w:div w:id="1663239627">
      <w:bodyDiv w:val="1"/>
      <w:marLeft w:val="0"/>
      <w:marRight w:val="0"/>
      <w:marTop w:val="0"/>
      <w:marBottom w:val="0"/>
      <w:divBdr>
        <w:top w:val="none" w:sz="0" w:space="0" w:color="auto"/>
        <w:left w:val="none" w:sz="0" w:space="0" w:color="auto"/>
        <w:bottom w:val="none" w:sz="0" w:space="0" w:color="auto"/>
        <w:right w:val="none" w:sz="0" w:space="0" w:color="auto"/>
      </w:divBdr>
    </w:div>
    <w:div w:id="1664043819">
      <w:bodyDiv w:val="1"/>
      <w:marLeft w:val="0"/>
      <w:marRight w:val="0"/>
      <w:marTop w:val="0"/>
      <w:marBottom w:val="0"/>
      <w:divBdr>
        <w:top w:val="none" w:sz="0" w:space="0" w:color="auto"/>
        <w:left w:val="none" w:sz="0" w:space="0" w:color="auto"/>
        <w:bottom w:val="none" w:sz="0" w:space="0" w:color="auto"/>
        <w:right w:val="none" w:sz="0" w:space="0" w:color="auto"/>
      </w:divBdr>
    </w:div>
    <w:div w:id="1666543419">
      <w:bodyDiv w:val="1"/>
      <w:marLeft w:val="0"/>
      <w:marRight w:val="0"/>
      <w:marTop w:val="0"/>
      <w:marBottom w:val="0"/>
      <w:divBdr>
        <w:top w:val="none" w:sz="0" w:space="0" w:color="auto"/>
        <w:left w:val="none" w:sz="0" w:space="0" w:color="auto"/>
        <w:bottom w:val="none" w:sz="0" w:space="0" w:color="auto"/>
        <w:right w:val="none" w:sz="0" w:space="0" w:color="auto"/>
      </w:divBdr>
    </w:div>
    <w:div w:id="1667246173">
      <w:bodyDiv w:val="1"/>
      <w:marLeft w:val="0"/>
      <w:marRight w:val="0"/>
      <w:marTop w:val="0"/>
      <w:marBottom w:val="0"/>
      <w:divBdr>
        <w:top w:val="none" w:sz="0" w:space="0" w:color="auto"/>
        <w:left w:val="none" w:sz="0" w:space="0" w:color="auto"/>
        <w:bottom w:val="none" w:sz="0" w:space="0" w:color="auto"/>
        <w:right w:val="none" w:sz="0" w:space="0" w:color="auto"/>
      </w:divBdr>
    </w:div>
    <w:div w:id="1672415115">
      <w:bodyDiv w:val="1"/>
      <w:marLeft w:val="0"/>
      <w:marRight w:val="0"/>
      <w:marTop w:val="0"/>
      <w:marBottom w:val="0"/>
      <w:divBdr>
        <w:top w:val="none" w:sz="0" w:space="0" w:color="auto"/>
        <w:left w:val="none" w:sz="0" w:space="0" w:color="auto"/>
        <w:bottom w:val="none" w:sz="0" w:space="0" w:color="auto"/>
        <w:right w:val="none" w:sz="0" w:space="0" w:color="auto"/>
      </w:divBdr>
    </w:div>
    <w:div w:id="1677729790">
      <w:bodyDiv w:val="1"/>
      <w:marLeft w:val="0"/>
      <w:marRight w:val="0"/>
      <w:marTop w:val="0"/>
      <w:marBottom w:val="0"/>
      <w:divBdr>
        <w:top w:val="none" w:sz="0" w:space="0" w:color="auto"/>
        <w:left w:val="none" w:sz="0" w:space="0" w:color="auto"/>
        <w:bottom w:val="none" w:sz="0" w:space="0" w:color="auto"/>
        <w:right w:val="none" w:sz="0" w:space="0" w:color="auto"/>
      </w:divBdr>
    </w:div>
    <w:div w:id="1679113379">
      <w:bodyDiv w:val="1"/>
      <w:marLeft w:val="0"/>
      <w:marRight w:val="0"/>
      <w:marTop w:val="0"/>
      <w:marBottom w:val="0"/>
      <w:divBdr>
        <w:top w:val="none" w:sz="0" w:space="0" w:color="auto"/>
        <w:left w:val="none" w:sz="0" w:space="0" w:color="auto"/>
        <w:bottom w:val="none" w:sz="0" w:space="0" w:color="auto"/>
        <w:right w:val="none" w:sz="0" w:space="0" w:color="auto"/>
      </w:divBdr>
    </w:div>
    <w:div w:id="1679427686">
      <w:bodyDiv w:val="1"/>
      <w:marLeft w:val="0"/>
      <w:marRight w:val="0"/>
      <w:marTop w:val="0"/>
      <w:marBottom w:val="0"/>
      <w:divBdr>
        <w:top w:val="none" w:sz="0" w:space="0" w:color="auto"/>
        <w:left w:val="none" w:sz="0" w:space="0" w:color="auto"/>
        <w:bottom w:val="none" w:sz="0" w:space="0" w:color="auto"/>
        <w:right w:val="none" w:sz="0" w:space="0" w:color="auto"/>
      </w:divBdr>
    </w:div>
    <w:div w:id="1683581677">
      <w:bodyDiv w:val="1"/>
      <w:marLeft w:val="0"/>
      <w:marRight w:val="0"/>
      <w:marTop w:val="0"/>
      <w:marBottom w:val="0"/>
      <w:divBdr>
        <w:top w:val="none" w:sz="0" w:space="0" w:color="auto"/>
        <w:left w:val="none" w:sz="0" w:space="0" w:color="auto"/>
        <w:bottom w:val="none" w:sz="0" w:space="0" w:color="auto"/>
        <w:right w:val="none" w:sz="0" w:space="0" w:color="auto"/>
      </w:divBdr>
    </w:div>
    <w:div w:id="1684474956">
      <w:bodyDiv w:val="1"/>
      <w:marLeft w:val="0"/>
      <w:marRight w:val="0"/>
      <w:marTop w:val="0"/>
      <w:marBottom w:val="0"/>
      <w:divBdr>
        <w:top w:val="none" w:sz="0" w:space="0" w:color="auto"/>
        <w:left w:val="none" w:sz="0" w:space="0" w:color="auto"/>
        <w:bottom w:val="none" w:sz="0" w:space="0" w:color="auto"/>
        <w:right w:val="none" w:sz="0" w:space="0" w:color="auto"/>
      </w:divBdr>
    </w:div>
    <w:div w:id="1685473244">
      <w:bodyDiv w:val="1"/>
      <w:marLeft w:val="0"/>
      <w:marRight w:val="0"/>
      <w:marTop w:val="0"/>
      <w:marBottom w:val="0"/>
      <w:divBdr>
        <w:top w:val="none" w:sz="0" w:space="0" w:color="auto"/>
        <w:left w:val="none" w:sz="0" w:space="0" w:color="auto"/>
        <w:bottom w:val="none" w:sz="0" w:space="0" w:color="auto"/>
        <w:right w:val="none" w:sz="0" w:space="0" w:color="auto"/>
      </w:divBdr>
    </w:div>
    <w:div w:id="1685864555">
      <w:bodyDiv w:val="1"/>
      <w:marLeft w:val="0"/>
      <w:marRight w:val="0"/>
      <w:marTop w:val="0"/>
      <w:marBottom w:val="0"/>
      <w:divBdr>
        <w:top w:val="none" w:sz="0" w:space="0" w:color="auto"/>
        <w:left w:val="none" w:sz="0" w:space="0" w:color="auto"/>
        <w:bottom w:val="none" w:sz="0" w:space="0" w:color="auto"/>
        <w:right w:val="none" w:sz="0" w:space="0" w:color="auto"/>
      </w:divBdr>
    </w:div>
    <w:div w:id="1687629485">
      <w:bodyDiv w:val="1"/>
      <w:marLeft w:val="0"/>
      <w:marRight w:val="0"/>
      <w:marTop w:val="0"/>
      <w:marBottom w:val="0"/>
      <w:divBdr>
        <w:top w:val="none" w:sz="0" w:space="0" w:color="auto"/>
        <w:left w:val="none" w:sz="0" w:space="0" w:color="auto"/>
        <w:bottom w:val="none" w:sz="0" w:space="0" w:color="auto"/>
        <w:right w:val="none" w:sz="0" w:space="0" w:color="auto"/>
      </w:divBdr>
    </w:div>
    <w:div w:id="1689328475">
      <w:bodyDiv w:val="1"/>
      <w:marLeft w:val="0"/>
      <w:marRight w:val="0"/>
      <w:marTop w:val="0"/>
      <w:marBottom w:val="0"/>
      <w:divBdr>
        <w:top w:val="none" w:sz="0" w:space="0" w:color="auto"/>
        <w:left w:val="none" w:sz="0" w:space="0" w:color="auto"/>
        <w:bottom w:val="none" w:sz="0" w:space="0" w:color="auto"/>
        <w:right w:val="none" w:sz="0" w:space="0" w:color="auto"/>
      </w:divBdr>
    </w:div>
    <w:div w:id="1690329922">
      <w:bodyDiv w:val="1"/>
      <w:marLeft w:val="0"/>
      <w:marRight w:val="0"/>
      <w:marTop w:val="0"/>
      <w:marBottom w:val="0"/>
      <w:divBdr>
        <w:top w:val="none" w:sz="0" w:space="0" w:color="auto"/>
        <w:left w:val="none" w:sz="0" w:space="0" w:color="auto"/>
        <w:bottom w:val="none" w:sz="0" w:space="0" w:color="auto"/>
        <w:right w:val="none" w:sz="0" w:space="0" w:color="auto"/>
      </w:divBdr>
    </w:div>
    <w:div w:id="1690330465">
      <w:bodyDiv w:val="1"/>
      <w:marLeft w:val="0"/>
      <w:marRight w:val="0"/>
      <w:marTop w:val="0"/>
      <w:marBottom w:val="0"/>
      <w:divBdr>
        <w:top w:val="none" w:sz="0" w:space="0" w:color="auto"/>
        <w:left w:val="none" w:sz="0" w:space="0" w:color="auto"/>
        <w:bottom w:val="none" w:sz="0" w:space="0" w:color="auto"/>
        <w:right w:val="none" w:sz="0" w:space="0" w:color="auto"/>
      </w:divBdr>
    </w:div>
    <w:div w:id="1695114432">
      <w:bodyDiv w:val="1"/>
      <w:marLeft w:val="0"/>
      <w:marRight w:val="0"/>
      <w:marTop w:val="0"/>
      <w:marBottom w:val="0"/>
      <w:divBdr>
        <w:top w:val="none" w:sz="0" w:space="0" w:color="auto"/>
        <w:left w:val="none" w:sz="0" w:space="0" w:color="auto"/>
        <w:bottom w:val="none" w:sz="0" w:space="0" w:color="auto"/>
        <w:right w:val="none" w:sz="0" w:space="0" w:color="auto"/>
      </w:divBdr>
    </w:div>
    <w:div w:id="1695692416">
      <w:bodyDiv w:val="1"/>
      <w:marLeft w:val="0"/>
      <w:marRight w:val="0"/>
      <w:marTop w:val="0"/>
      <w:marBottom w:val="0"/>
      <w:divBdr>
        <w:top w:val="none" w:sz="0" w:space="0" w:color="auto"/>
        <w:left w:val="none" w:sz="0" w:space="0" w:color="auto"/>
        <w:bottom w:val="none" w:sz="0" w:space="0" w:color="auto"/>
        <w:right w:val="none" w:sz="0" w:space="0" w:color="auto"/>
      </w:divBdr>
    </w:div>
    <w:div w:id="1695956553">
      <w:bodyDiv w:val="1"/>
      <w:marLeft w:val="0"/>
      <w:marRight w:val="0"/>
      <w:marTop w:val="0"/>
      <w:marBottom w:val="0"/>
      <w:divBdr>
        <w:top w:val="none" w:sz="0" w:space="0" w:color="auto"/>
        <w:left w:val="none" w:sz="0" w:space="0" w:color="auto"/>
        <w:bottom w:val="none" w:sz="0" w:space="0" w:color="auto"/>
        <w:right w:val="none" w:sz="0" w:space="0" w:color="auto"/>
      </w:divBdr>
    </w:div>
    <w:div w:id="1698659796">
      <w:bodyDiv w:val="1"/>
      <w:marLeft w:val="0"/>
      <w:marRight w:val="0"/>
      <w:marTop w:val="0"/>
      <w:marBottom w:val="0"/>
      <w:divBdr>
        <w:top w:val="none" w:sz="0" w:space="0" w:color="auto"/>
        <w:left w:val="none" w:sz="0" w:space="0" w:color="auto"/>
        <w:bottom w:val="none" w:sz="0" w:space="0" w:color="auto"/>
        <w:right w:val="none" w:sz="0" w:space="0" w:color="auto"/>
      </w:divBdr>
    </w:div>
    <w:div w:id="1699500102">
      <w:bodyDiv w:val="1"/>
      <w:marLeft w:val="0"/>
      <w:marRight w:val="0"/>
      <w:marTop w:val="0"/>
      <w:marBottom w:val="0"/>
      <w:divBdr>
        <w:top w:val="none" w:sz="0" w:space="0" w:color="auto"/>
        <w:left w:val="none" w:sz="0" w:space="0" w:color="auto"/>
        <w:bottom w:val="none" w:sz="0" w:space="0" w:color="auto"/>
        <w:right w:val="none" w:sz="0" w:space="0" w:color="auto"/>
      </w:divBdr>
    </w:div>
    <w:div w:id="1700936424">
      <w:bodyDiv w:val="1"/>
      <w:marLeft w:val="0"/>
      <w:marRight w:val="0"/>
      <w:marTop w:val="0"/>
      <w:marBottom w:val="0"/>
      <w:divBdr>
        <w:top w:val="none" w:sz="0" w:space="0" w:color="auto"/>
        <w:left w:val="none" w:sz="0" w:space="0" w:color="auto"/>
        <w:bottom w:val="none" w:sz="0" w:space="0" w:color="auto"/>
        <w:right w:val="none" w:sz="0" w:space="0" w:color="auto"/>
      </w:divBdr>
    </w:div>
    <w:div w:id="1701735686">
      <w:bodyDiv w:val="1"/>
      <w:marLeft w:val="0"/>
      <w:marRight w:val="0"/>
      <w:marTop w:val="0"/>
      <w:marBottom w:val="0"/>
      <w:divBdr>
        <w:top w:val="none" w:sz="0" w:space="0" w:color="auto"/>
        <w:left w:val="none" w:sz="0" w:space="0" w:color="auto"/>
        <w:bottom w:val="none" w:sz="0" w:space="0" w:color="auto"/>
        <w:right w:val="none" w:sz="0" w:space="0" w:color="auto"/>
      </w:divBdr>
    </w:div>
    <w:div w:id="1703047865">
      <w:bodyDiv w:val="1"/>
      <w:marLeft w:val="0"/>
      <w:marRight w:val="0"/>
      <w:marTop w:val="0"/>
      <w:marBottom w:val="0"/>
      <w:divBdr>
        <w:top w:val="none" w:sz="0" w:space="0" w:color="auto"/>
        <w:left w:val="none" w:sz="0" w:space="0" w:color="auto"/>
        <w:bottom w:val="none" w:sz="0" w:space="0" w:color="auto"/>
        <w:right w:val="none" w:sz="0" w:space="0" w:color="auto"/>
      </w:divBdr>
    </w:div>
    <w:div w:id="1705861997">
      <w:bodyDiv w:val="1"/>
      <w:marLeft w:val="0"/>
      <w:marRight w:val="0"/>
      <w:marTop w:val="0"/>
      <w:marBottom w:val="0"/>
      <w:divBdr>
        <w:top w:val="none" w:sz="0" w:space="0" w:color="auto"/>
        <w:left w:val="none" w:sz="0" w:space="0" w:color="auto"/>
        <w:bottom w:val="none" w:sz="0" w:space="0" w:color="auto"/>
        <w:right w:val="none" w:sz="0" w:space="0" w:color="auto"/>
      </w:divBdr>
    </w:div>
    <w:div w:id="1708138291">
      <w:bodyDiv w:val="1"/>
      <w:marLeft w:val="0"/>
      <w:marRight w:val="0"/>
      <w:marTop w:val="0"/>
      <w:marBottom w:val="0"/>
      <w:divBdr>
        <w:top w:val="none" w:sz="0" w:space="0" w:color="auto"/>
        <w:left w:val="none" w:sz="0" w:space="0" w:color="auto"/>
        <w:bottom w:val="none" w:sz="0" w:space="0" w:color="auto"/>
        <w:right w:val="none" w:sz="0" w:space="0" w:color="auto"/>
      </w:divBdr>
    </w:div>
    <w:div w:id="1709835267">
      <w:bodyDiv w:val="1"/>
      <w:marLeft w:val="0"/>
      <w:marRight w:val="0"/>
      <w:marTop w:val="0"/>
      <w:marBottom w:val="0"/>
      <w:divBdr>
        <w:top w:val="none" w:sz="0" w:space="0" w:color="auto"/>
        <w:left w:val="none" w:sz="0" w:space="0" w:color="auto"/>
        <w:bottom w:val="none" w:sz="0" w:space="0" w:color="auto"/>
        <w:right w:val="none" w:sz="0" w:space="0" w:color="auto"/>
      </w:divBdr>
    </w:div>
    <w:div w:id="1710062369">
      <w:bodyDiv w:val="1"/>
      <w:marLeft w:val="0"/>
      <w:marRight w:val="0"/>
      <w:marTop w:val="0"/>
      <w:marBottom w:val="0"/>
      <w:divBdr>
        <w:top w:val="none" w:sz="0" w:space="0" w:color="auto"/>
        <w:left w:val="none" w:sz="0" w:space="0" w:color="auto"/>
        <w:bottom w:val="none" w:sz="0" w:space="0" w:color="auto"/>
        <w:right w:val="none" w:sz="0" w:space="0" w:color="auto"/>
      </w:divBdr>
    </w:div>
    <w:div w:id="1710956177">
      <w:bodyDiv w:val="1"/>
      <w:marLeft w:val="0"/>
      <w:marRight w:val="0"/>
      <w:marTop w:val="0"/>
      <w:marBottom w:val="0"/>
      <w:divBdr>
        <w:top w:val="none" w:sz="0" w:space="0" w:color="auto"/>
        <w:left w:val="none" w:sz="0" w:space="0" w:color="auto"/>
        <w:bottom w:val="none" w:sz="0" w:space="0" w:color="auto"/>
        <w:right w:val="none" w:sz="0" w:space="0" w:color="auto"/>
      </w:divBdr>
    </w:div>
    <w:div w:id="1712656352">
      <w:bodyDiv w:val="1"/>
      <w:marLeft w:val="0"/>
      <w:marRight w:val="0"/>
      <w:marTop w:val="0"/>
      <w:marBottom w:val="0"/>
      <w:divBdr>
        <w:top w:val="none" w:sz="0" w:space="0" w:color="auto"/>
        <w:left w:val="none" w:sz="0" w:space="0" w:color="auto"/>
        <w:bottom w:val="none" w:sz="0" w:space="0" w:color="auto"/>
        <w:right w:val="none" w:sz="0" w:space="0" w:color="auto"/>
      </w:divBdr>
    </w:div>
    <w:div w:id="1716269486">
      <w:bodyDiv w:val="1"/>
      <w:marLeft w:val="0"/>
      <w:marRight w:val="0"/>
      <w:marTop w:val="0"/>
      <w:marBottom w:val="0"/>
      <w:divBdr>
        <w:top w:val="none" w:sz="0" w:space="0" w:color="auto"/>
        <w:left w:val="none" w:sz="0" w:space="0" w:color="auto"/>
        <w:bottom w:val="none" w:sz="0" w:space="0" w:color="auto"/>
        <w:right w:val="none" w:sz="0" w:space="0" w:color="auto"/>
      </w:divBdr>
    </w:div>
    <w:div w:id="1717580716">
      <w:bodyDiv w:val="1"/>
      <w:marLeft w:val="0"/>
      <w:marRight w:val="0"/>
      <w:marTop w:val="0"/>
      <w:marBottom w:val="0"/>
      <w:divBdr>
        <w:top w:val="none" w:sz="0" w:space="0" w:color="auto"/>
        <w:left w:val="none" w:sz="0" w:space="0" w:color="auto"/>
        <w:bottom w:val="none" w:sz="0" w:space="0" w:color="auto"/>
        <w:right w:val="none" w:sz="0" w:space="0" w:color="auto"/>
      </w:divBdr>
    </w:div>
    <w:div w:id="1719207953">
      <w:bodyDiv w:val="1"/>
      <w:marLeft w:val="0"/>
      <w:marRight w:val="0"/>
      <w:marTop w:val="0"/>
      <w:marBottom w:val="0"/>
      <w:divBdr>
        <w:top w:val="none" w:sz="0" w:space="0" w:color="auto"/>
        <w:left w:val="none" w:sz="0" w:space="0" w:color="auto"/>
        <w:bottom w:val="none" w:sz="0" w:space="0" w:color="auto"/>
        <w:right w:val="none" w:sz="0" w:space="0" w:color="auto"/>
      </w:divBdr>
    </w:div>
    <w:div w:id="1723285636">
      <w:bodyDiv w:val="1"/>
      <w:marLeft w:val="0"/>
      <w:marRight w:val="0"/>
      <w:marTop w:val="0"/>
      <w:marBottom w:val="0"/>
      <w:divBdr>
        <w:top w:val="none" w:sz="0" w:space="0" w:color="auto"/>
        <w:left w:val="none" w:sz="0" w:space="0" w:color="auto"/>
        <w:bottom w:val="none" w:sz="0" w:space="0" w:color="auto"/>
        <w:right w:val="none" w:sz="0" w:space="0" w:color="auto"/>
      </w:divBdr>
    </w:div>
    <w:div w:id="1729760751">
      <w:bodyDiv w:val="1"/>
      <w:marLeft w:val="0"/>
      <w:marRight w:val="0"/>
      <w:marTop w:val="0"/>
      <w:marBottom w:val="0"/>
      <w:divBdr>
        <w:top w:val="none" w:sz="0" w:space="0" w:color="auto"/>
        <w:left w:val="none" w:sz="0" w:space="0" w:color="auto"/>
        <w:bottom w:val="none" w:sz="0" w:space="0" w:color="auto"/>
        <w:right w:val="none" w:sz="0" w:space="0" w:color="auto"/>
      </w:divBdr>
    </w:div>
    <w:div w:id="1731491991">
      <w:bodyDiv w:val="1"/>
      <w:marLeft w:val="0"/>
      <w:marRight w:val="0"/>
      <w:marTop w:val="0"/>
      <w:marBottom w:val="0"/>
      <w:divBdr>
        <w:top w:val="none" w:sz="0" w:space="0" w:color="auto"/>
        <w:left w:val="none" w:sz="0" w:space="0" w:color="auto"/>
        <w:bottom w:val="none" w:sz="0" w:space="0" w:color="auto"/>
        <w:right w:val="none" w:sz="0" w:space="0" w:color="auto"/>
      </w:divBdr>
    </w:div>
    <w:div w:id="1734767012">
      <w:bodyDiv w:val="1"/>
      <w:marLeft w:val="0"/>
      <w:marRight w:val="0"/>
      <w:marTop w:val="0"/>
      <w:marBottom w:val="0"/>
      <w:divBdr>
        <w:top w:val="none" w:sz="0" w:space="0" w:color="auto"/>
        <w:left w:val="none" w:sz="0" w:space="0" w:color="auto"/>
        <w:bottom w:val="none" w:sz="0" w:space="0" w:color="auto"/>
        <w:right w:val="none" w:sz="0" w:space="0" w:color="auto"/>
      </w:divBdr>
    </w:div>
    <w:div w:id="1738671559">
      <w:bodyDiv w:val="1"/>
      <w:marLeft w:val="0"/>
      <w:marRight w:val="0"/>
      <w:marTop w:val="0"/>
      <w:marBottom w:val="0"/>
      <w:divBdr>
        <w:top w:val="none" w:sz="0" w:space="0" w:color="auto"/>
        <w:left w:val="none" w:sz="0" w:space="0" w:color="auto"/>
        <w:bottom w:val="none" w:sz="0" w:space="0" w:color="auto"/>
        <w:right w:val="none" w:sz="0" w:space="0" w:color="auto"/>
      </w:divBdr>
    </w:div>
    <w:div w:id="1742480375">
      <w:bodyDiv w:val="1"/>
      <w:marLeft w:val="0"/>
      <w:marRight w:val="0"/>
      <w:marTop w:val="0"/>
      <w:marBottom w:val="0"/>
      <w:divBdr>
        <w:top w:val="none" w:sz="0" w:space="0" w:color="auto"/>
        <w:left w:val="none" w:sz="0" w:space="0" w:color="auto"/>
        <w:bottom w:val="none" w:sz="0" w:space="0" w:color="auto"/>
        <w:right w:val="none" w:sz="0" w:space="0" w:color="auto"/>
      </w:divBdr>
    </w:div>
    <w:div w:id="1744140051">
      <w:bodyDiv w:val="1"/>
      <w:marLeft w:val="0"/>
      <w:marRight w:val="0"/>
      <w:marTop w:val="0"/>
      <w:marBottom w:val="0"/>
      <w:divBdr>
        <w:top w:val="none" w:sz="0" w:space="0" w:color="auto"/>
        <w:left w:val="none" w:sz="0" w:space="0" w:color="auto"/>
        <w:bottom w:val="none" w:sz="0" w:space="0" w:color="auto"/>
        <w:right w:val="none" w:sz="0" w:space="0" w:color="auto"/>
      </w:divBdr>
    </w:div>
    <w:div w:id="1745757802">
      <w:bodyDiv w:val="1"/>
      <w:marLeft w:val="0"/>
      <w:marRight w:val="0"/>
      <w:marTop w:val="0"/>
      <w:marBottom w:val="0"/>
      <w:divBdr>
        <w:top w:val="none" w:sz="0" w:space="0" w:color="auto"/>
        <w:left w:val="none" w:sz="0" w:space="0" w:color="auto"/>
        <w:bottom w:val="none" w:sz="0" w:space="0" w:color="auto"/>
        <w:right w:val="none" w:sz="0" w:space="0" w:color="auto"/>
      </w:divBdr>
    </w:div>
    <w:div w:id="1746024078">
      <w:bodyDiv w:val="1"/>
      <w:marLeft w:val="0"/>
      <w:marRight w:val="0"/>
      <w:marTop w:val="0"/>
      <w:marBottom w:val="0"/>
      <w:divBdr>
        <w:top w:val="none" w:sz="0" w:space="0" w:color="auto"/>
        <w:left w:val="none" w:sz="0" w:space="0" w:color="auto"/>
        <w:bottom w:val="none" w:sz="0" w:space="0" w:color="auto"/>
        <w:right w:val="none" w:sz="0" w:space="0" w:color="auto"/>
      </w:divBdr>
    </w:div>
    <w:div w:id="1748989804">
      <w:bodyDiv w:val="1"/>
      <w:marLeft w:val="0"/>
      <w:marRight w:val="0"/>
      <w:marTop w:val="0"/>
      <w:marBottom w:val="0"/>
      <w:divBdr>
        <w:top w:val="none" w:sz="0" w:space="0" w:color="auto"/>
        <w:left w:val="none" w:sz="0" w:space="0" w:color="auto"/>
        <w:bottom w:val="none" w:sz="0" w:space="0" w:color="auto"/>
        <w:right w:val="none" w:sz="0" w:space="0" w:color="auto"/>
      </w:divBdr>
    </w:div>
    <w:div w:id="1749570613">
      <w:bodyDiv w:val="1"/>
      <w:marLeft w:val="0"/>
      <w:marRight w:val="0"/>
      <w:marTop w:val="0"/>
      <w:marBottom w:val="0"/>
      <w:divBdr>
        <w:top w:val="none" w:sz="0" w:space="0" w:color="auto"/>
        <w:left w:val="none" w:sz="0" w:space="0" w:color="auto"/>
        <w:bottom w:val="none" w:sz="0" w:space="0" w:color="auto"/>
        <w:right w:val="none" w:sz="0" w:space="0" w:color="auto"/>
      </w:divBdr>
    </w:div>
    <w:div w:id="1751000084">
      <w:bodyDiv w:val="1"/>
      <w:marLeft w:val="0"/>
      <w:marRight w:val="0"/>
      <w:marTop w:val="0"/>
      <w:marBottom w:val="0"/>
      <w:divBdr>
        <w:top w:val="none" w:sz="0" w:space="0" w:color="auto"/>
        <w:left w:val="none" w:sz="0" w:space="0" w:color="auto"/>
        <w:bottom w:val="none" w:sz="0" w:space="0" w:color="auto"/>
        <w:right w:val="none" w:sz="0" w:space="0" w:color="auto"/>
      </w:divBdr>
    </w:div>
    <w:div w:id="1752963772">
      <w:bodyDiv w:val="1"/>
      <w:marLeft w:val="0"/>
      <w:marRight w:val="0"/>
      <w:marTop w:val="0"/>
      <w:marBottom w:val="0"/>
      <w:divBdr>
        <w:top w:val="none" w:sz="0" w:space="0" w:color="auto"/>
        <w:left w:val="none" w:sz="0" w:space="0" w:color="auto"/>
        <w:bottom w:val="none" w:sz="0" w:space="0" w:color="auto"/>
        <w:right w:val="none" w:sz="0" w:space="0" w:color="auto"/>
      </w:divBdr>
    </w:div>
    <w:div w:id="1753964655">
      <w:bodyDiv w:val="1"/>
      <w:marLeft w:val="0"/>
      <w:marRight w:val="0"/>
      <w:marTop w:val="0"/>
      <w:marBottom w:val="0"/>
      <w:divBdr>
        <w:top w:val="none" w:sz="0" w:space="0" w:color="auto"/>
        <w:left w:val="none" w:sz="0" w:space="0" w:color="auto"/>
        <w:bottom w:val="none" w:sz="0" w:space="0" w:color="auto"/>
        <w:right w:val="none" w:sz="0" w:space="0" w:color="auto"/>
      </w:divBdr>
    </w:div>
    <w:div w:id="1754936342">
      <w:bodyDiv w:val="1"/>
      <w:marLeft w:val="0"/>
      <w:marRight w:val="0"/>
      <w:marTop w:val="0"/>
      <w:marBottom w:val="0"/>
      <w:divBdr>
        <w:top w:val="none" w:sz="0" w:space="0" w:color="auto"/>
        <w:left w:val="none" w:sz="0" w:space="0" w:color="auto"/>
        <w:bottom w:val="none" w:sz="0" w:space="0" w:color="auto"/>
        <w:right w:val="none" w:sz="0" w:space="0" w:color="auto"/>
      </w:divBdr>
    </w:div>
    <w:div w:id="1755665541">
      <w:bodyDiv w:val="1"/>
      <w:marLeft w:val="0"/>
      <w:marRight w:val="0"/>
      <w:marTop w:val="0"/>
      <w:marBottom w:val="0"/>
      <w:divBdr>
        <w:top w:val="none" w:sz="0" w:space="0" w:color="auto"/>
        <w:left w:val="none" w:sz="0" w:space="0" w:color="auto"/>
        <w:bottom w:val="none" w:sz="0" w:space="0" w:color="auto"/>
        <w:right w:val="none" w:sz="0" w:space="0" w:color="auto"/>
      </w:divBdr>
    </w:div>
    <w:div w:id="1756854720">
      <w:bodyDiv w:val="1"/>
      <w:marLeft w:val="0"/>
      <w:marRight w:val="0"/>
      <w:marTop w:val="0"/>
      <w:marBottom w:val="0"/>
      <w:divBdr>
        <w:top w:val="none" w:sz="0" w:space="0" w:color="auto"/>
        <w:left w:val="none" w:sz="0" w:space="0" w:color="auto"/>
        <w:bottom w:val="none" w:sz="0" w:space="0" w:color="auto"/>
        <w:right w:val="none" w:sz="0" w:space="0" w:color="auto"/>
      </w:divBdr>
    </w:div>
    <w:div w:id="1758087764">
      <w:bodyDiv w:val="1"/>
      <w:marLeft w:val="0"/>
      <w:marRight w:val="0"/>
      <w:marTop w:val="0"/>
      <w:marBottom w:val="0"/>
      <w:divBdr>
        <w:top w:val="none" w:sz="0" w:space="0" w:color="auto"/>
        <w:left w:val="none" w:sz="0" w:space="0" w:color="auto"/>
        <w:bottom w:val="none" w:sz="0" w:space="0" w:color="auto"/>
        <w:right w:val="none" w:sz="0" w:space="0" w:color="auto"/>
      </w:divBdr>
    </w:div>
    <w:div w:id="1765540530">
      <w:bodyDiv w:val="1"/>
      <w:marLeft w:val="0"/>
      <w:marRight w:val="0"/>
      <w:marTop w:val="0"/>
      <w:marBottom w:val="0"/>
      <w:divBdr>
        <w:top w:val="none" w:sz="0" w:space="0" w:color="auto"/>
        <w:left w:val="none" w:sz="0" w:space="0" w:color="auto"/>
        <w:bottom w:val="none" w:sz="0" w:space="0" w:color="auto"/>
        <w:right w:val="none" w:sz="0" w:space="0" w:color="auto"/>
      </w:divBdr>
    </w:div>
    <w:div w:id="1766534677">
      <w:bodyDiv w:val="1"/>
      <w:marLeft w:val="0"/>
      <w:marRight w:val="0"/>
      <w:marTop w:val="0"/>
      <w:marBottom w:val="0"/>
      <w:divBdr>
        <w:top w:val="none" w:sz="0" w:space="0" w:color="auto"/>
        <w:left w:val="none" w:sz="0" w:space="0" w:color="auto"/>
        <w:bottom w:val="none" w:sz="0" w:space="0" w:color="auto"/>
        <w:right w:val="none" w:sz="0" w:space="0" w:color="auto"/>
      </w:divBdr>
    </w:div>
    <w:div w:id="1766802878">
      <w:bodyDiv w:val="1"/>
      <w:marLeft w:val="0"/>
      <w:marRight w:val="0"/>
      <w:marTop w:val="0"/>
      <w:marBottom w:val="0"/>
      <w:divBdr>
        <w:top w:val="none" w:sz="0" w:space="0" w:color="auto"/>
        <w:left w:val="none" w:sz="0" w:space="0" w:color="auto"/>
        <w:bottom w:val="none" w:sz="0" w:space="0" w:color="auto"/>
        <w:right w:val="none" w:sz="0" w:space="0" w:color="auto"/>
      </w:divBdr>
    </w:div>
    <w:div w:id="1767455484">
      <w:bodyDiv w:val="1"/>
      <w:marLeft w:val="0"/>
      <w:marRight w:val="0"/>
      <w:marTop w:val="0"/>
      <w:marBottom w:val="0"/>
      <w:divBdr>
        <w:top w:val="none" w:sz="0" w:space="0" w:color="auto"/>
        <w:left w:val="none" w:sz="0" w:space="0" w:color="auto"/>
        <w:bottom w:val="none" w:sz="0" w:space="0" w:color="auto"/>
        <w:right w:val="none" w:sz="0" w:space="0" w:color="auto"/>
      </w:divBdr>
    </w:div>
    <w:div w:id="1768885158">
      <w:bodyDiv w:val="1"/>
      <w:marLeft w:val="0"/>
      <w:marRight w:val="0"/>
      <w:marTop w:val="0"/>
      <w:marBottom w:val="0"/>
      <w:divBdr>
        <w:top w:val="none" w:sz="0" w:space="0" w:color="auto"/>
        <w:left w:val="none" w:sz="0" w:space="0" w:color="auto"/>
        <w:bottom w:val="none" w:sz="0" w:space="0" w:color="auto"/>
        <w:right w:val="none" w:sz="0" w:space="0" w:color="auto"/>
      </w:divBdr>
    </w:div>
    <w:div w:id="1770082546">
      <w:bodyDiv w:val="1"/>
      <w:marLeft w:val="0"/>
      <w:marRight w:val="0"/>
      <w:marTop w:val="0"/>
      <w:marBottom w:val="0"/>
      <w:divBdr>
        <w:top w:val="none" w:sz="0" w:space="0" w:color="auto"/>
        <w:left w:val="none" w:sz="0" w:space="0" w:color="auto"/>
        <w:bottom w:val="none" w:sz="0" w:space="0" w:color="auto"/>
        <w:right w:val="none" w:sz="0" w:space="0" w:color="auto"/>
      </w:divBdr>
    </w:div>
    <w:div w:id="1773864518">
      <w:bodyDiv w:val="1"/>
      <w:marLeft w:val="0"/>
      <w:marRight w:val="0"/>
      <w:marTop w:val="0"/>
      <w:marBottom w:val="0"/>
      <w:divBdr>
        <w:top w:val="none" w:sz="0" w:space="0" w:color="auto"/>
        <w:left w:val="none" w:sz="0" w:space="0" w:color="auto"/>
        <w:bottom w:val="none" w:sz="0" w:space="0" w:color="auto"/>
        <w:right w:val="none" w:sz="0" w:space="0" w:color="auto"/>
      </w:divBdr>
    </w:div>
    <w:div w:id="1774936668">
      <w:bodyDiv w:val="1"/>
      <w:marLeft w:val="0"/>
      <w:marRight w:val="0"/>
      <w:marTop w:val="0"/>
      <w:marBottom w:val="0"/>
      <w:divBdr>
        <w:top w:val="none" w:sz="0" w:space="0" w:color="auto"/>
        <w:left w:val="none" w:sz="0" w:space="0" w:color="auto"/>
        <w:bottom w:val="none" w:sz="0" w:space="0" w:color="auto"/>
        <w:right w:val="none" w:sz="0" w:space="0" w:color="auto"/>
      </w:divBdr>
    </w:div>
    <w:div w:id="1777213177">
      <w:bodyDiv w:val="1"/>
      <w:marLeft w:val="0"/>
      <w:marRight w:val="0"/>
      <w:marTop w:val="0"/>
      <w:marBottom w:val="0"/>
      <w:divBdr>
        <w:top w:val="none" w:sz="0" w:space="0" w:color="auto"/>
        <w:left w:val="none" w:sz="0" w:space="0" w:color="auto"/>
        <w:bottom w:val="none" w:sz="0" w:space="0" w:color="auto"/>
        <w:right w:val="none" w:sz="0" w:space="0" w:color="auto"/>
      </w:divBdr>
    </w:div>
    <w:div w:id="1778600915">
      <w:bodyDiv w:val="1"/>
      <w:marLeft w:val="0"/>
      <w:marRight w:val="0"/>
      <w:marTop w:val="0"/>
      <w:marBottom w:val="0"/>
      <w:divBdr>
        <w:top w:val="none" w:sz="0" w:space="0" w:color="auto"/>
        <w:left w:val="none" w:sz="0" w:space="0" w:color="auto"/>
        <w:bottom w:val="none" w:sz="0" w:space="0" w:color="auto"/>
        <w:right w:val="none" w:sz="0" w:space="0" w:color="auto"/>
      </w:divBdr>
    </w:div>
    <w:div w:id="1779183284">
      <w:bodyDiv w:val="1"/>
      <w:marLeft w:val="0"/>
      <w:marRight w:val="0"/>
      <w:marTop w:val="0"/>
      <w:marBottom w:val="0"/>
      <w:divBdr>
        <w:top w:val="none" w:sz="0" w:space="0" w:color="auto"/>
        <w:left w:val="none" w:sz="0" w:space="0" w:color="auto"/>
        <w:bottom w:val="none" w:sz="0" w:space="0" w:color="auto"/>
        <w:right w:val="none" w:sz="0" w:space="0" w:color="auto"/>
      </w:divBdr>
    </w:div>
    <w:div w:id="1779253194">
      <w:bodyDiv w:val="1"/>
      <w:marLeft w:val="0"/>
      <w:marRight w:val="0"/>
      <w:marTop w:val="0"/>
      <w:marBottom w:val="0"/>
      <w:divBdr>
        <w:top w:val="none" w:sz="0" w:space="0" w:color="auto"/>
        <w:left w:val="none" w:sz="0" w:space="0" w:color="auto"/>
        <w:bottom w:val="none" w:sz="0" w:space="0" w:color="auto"/>
        <w:right w:val="none" w:sz="0" w:space="0" w:color="auto"/>
      </w:divBdr>
    </w:div>
    <w:div w:id="1779331372">
      <w:bodyDiv w:val="1"/>
      <w:marLeft w:val="0"/>
      <w:marRight w:val="0"/>
      <w:marTop w:val="0"/>
      <w:marBottom w:val="0"/>
      <w:divBdr>
        <w:top w:val="none" w:sz="0" w:space="0" w:color="auto"/>
        <w:left w:val="none" w:sz="0" w:space="0" w:color="auto"/>
        <w:bottom w:val="none" w:sz="0" w:space="0" w:color="auto"/>
        <w:right w:val="none" w:sz="0" w:space="0" w:color="auto"/>
      </w:divBdr>
    </w:div>
    <w:div w:id="1781800649">
      <w:bodyDiv w:val="1"/>
      <w:marLeft w:val="0"/>
      <w:marRight w:val="0"/>
      <w:marTop w:val="0"/>
      <w:marBottom w:val="0"/>
      <w:divBdr>
        <w:top w:val="none" w:sz="0" w:space="0" w:color="auto"/>
        <w:left w:val="none" w:sz="0" w:space="0" w:color="auto"/>
        <w:bottom w:val="none" w:sz="0" w:space="0" w:color="auto"/>
        <w:right w:val="none" w:sz="0" w:space="0" w:color="auto"/>
      </w:divBdr>
    </w:div>
    <w:div w:id="1785953922">
      <w:bodyDiv w:val="1"/>
      <w:marLeft w:val="0"/>
      <w:marRight w:val="0"/>
      <w:marTop w:val="0"/>
      <w:marBottom w:val="0"/>
      <w:divBdr>
        <w:top w:val="none" w:sz="0" w:space="0" w:color="auto"/>
        <w:left w:val="none" w:sz="0" w:space="0" w:color="auto"/>
        <w:bottom w:val="none" w:sz="0" w:space="0" w:color="auto"/>
        <w:right w:val="none" w:sz="0" w:space="0" w:color="auto"/>
      </w:divBdr>
    </w:div>
    <w:div w:id="1786389081">
      <w:bodyDiv w:val="1"/>
      <w:marLeft w:val="0"/>
      <w:marRight w:val="0"/>
      <w:marTop w:val="0"/>
      <w:marBottom w:val="0"/>
      <w:divBdr>
        <w:top w:val="none" w:sz="0" w:space="0" w:color="auto"/>
        <w:left w:val="none" w:sz="0" w:space="0" w:color="auto"/>
        <w:bottom w:val="none" w:sz="0" w:space="0" w:color="auto"/>
        <w:right w:val="none" w:sz="0" w:space="0" w:color="auto"/>
      </w:divBdr>
    </w:div>
    <w:div w:id="1788237174">
      <w:bodyDiv w:val="1"/>
      <w:marLeft w:val="0"/>
      <w:marRight w:val="0"/>
      <w:marTop w:val="0"/>
      <w:marBottom w:val="0"/>
      <w:divBdr>
        <w:top w:val="none" w:sz="0" w:space="0" w:color="auto"/>
        <w:left w:val="none" w:sz="0" w:space="0" w:color="auto"/>
        <w:bottom w:val="none" w:sz="0" w:space="0" w:color="auto"/>
        <w:right w:val="none" w:sz="0" w:space="0" w:color="auto"/>
      </w:divBdr>
    </w:div>
    <w:div w:id="1790052996">
      <w:bodyDiv w:val="1"/>
      <w:marLeft w:val="0"/>
      <w:marRight w:val="0"/>
      <w:marTop w:val="0"/>
      <w:marBottom w:val="0"/>
      <w:divBdr>
        <w:top w:val="none" w:sz="0" w:space="0" w:color="auto"/>
        <w:left w:val="none" w:sz="0" w:space="0" w:color="auto"/>
        <w:bottom w:val="none" w:sz="0" w:space="0" w:color="auto"/>
        <w:right w:val="none" w:sz="0" w:space="0" w:color="auto"/>
      </w:divBdr>
    </w:div>
    <w:div w:id="1791702104">
      <w:bodyDiv w:val="1"/>
      <w:marLeft w:val="0"/>
      <w:marRight w:val="0"/>
      <w:marTop w:val="0"/>
      <w:marBottom w:val="0"/>
      <w:divBdr>
        <w:top w:val="none" w:sz="0" w:space="0" w:color="auto"/>
        <w:left w:val="none" w:sz="0" w:space="0" w:color="auto"/>
        <w:bottom w:val="none" w:sz="0" w:space="0" w:color="auto"/>
        <w:right w:val="none" w:sz="0" w:space="0" w:color="auto"/>
      </w:divBdr>
    </w:div>
    <w:div w:id="1792702812">
      <w:bodyDiv w:val="1"/>
      <w:marLeft w:val="0"/>
      <w:marRight w:val="0"/>
      <w:marTop w:val="0"/>
      <w:marBottom w:val="0"/>
      <w:divBdr>
        <w:top w:val="none" w:sz="0" w:space="0" w:color="auto"/>
        <w:left w:val="none" w:sz="0" w:space="0" w:color="auto"/>
        <w:bottom w:val="none" w:sz="0" w:space="0" w:color="auto"/>
        <w:right w:val="none" w:sz="0" w:space="0" w:color="auto"/>
      </w:divBdr>
    </w:div>
    <w:div w:id="1799453803">
      <w:bodyDiv w:val="1"/>
      <w:marLeft w:val="0"/>
      <w:marRight w:val="0"/>
      <w:marTop w:val="0"/>
      <w:marBottom w:val="0"/>
      <w:divBdr>
        <w:top w:val="none" w:sz="0" w:space="0" w:color="auto"/>
        <w:left w:val="none" w:sz="0" w:space="0" w:color="auto"/>
        <w:bottom w:val="none" w:sz="0" w:space="0" w:color="auto"/>
        <w:right w:val="none" w:sz="0" w:space="0" w:color="auto"/>
      </w:divBdr>
    </w:div>
    <w:div w:id="1800146870">
      <w:bodyDiv w:val="1"/>
      <w:marLeft w:val="0"/>
      <w:marRight w:val="0"/>
      <w:marTop w:val="0"/>
      <w:marBottom w:val="0"/>
      <w:divBdr>
        <w:top w:val="none" w:sz="0" w:space="0" w:color="auto"/>
        <w:left w:val="none" w:sz="0" w:space="0" w:color="auto"/>
        <w:bottom w:val="none" w:sz="0" w:space="0" w:color="auto"/>
        <w:right w:val="none" w:sz="0" w:space="0" w:color="auto"/>
      </w:divBdr>
    </w:div>
    <w:div w:id="1802648870">
      <w:bodyDiv w:val="1"/>
      <w:marLeft w:val="0"/>
      <w:marRight w:val="0"/>
      <w:marTop w:val="0"/>
      <w:marBottom w:val="0"/>
      <w:divBdr>
        <w:top w:val="none" w:sz="0" w:space="0" w:color="auto"/>
        <w:left w:val="none" w:sz="0" w:space="0" w:color="auto"/>
        <w:bottom w:val="none" w:sz="0" w:space="0" w:color="auto"/>
        <w:right w:val="none" w:sz="0" w:space="0" w:color="auto"/>
      </w:divBdr>
    </w:div>
    <w:div w:id="1804540962">
      <w:bodyDiv w:val="1"/>
      <w:marLeft w:val="0"/>
      <w:marRight w:val="0"/>
      <w:marTop w:val="0"/>
      <w:marBottom w:val="0"/>
      <w:divBdr>
        <w:top w:val="none" w:sz="0" w:space="0" w:color="auto"/>
        <w:left w:val="none" w:sz="0" w:space="0" w:color="auto"/>
        <w:bottom w:val="none" w:sz="0" w:space="0" w:color="auto"/>
        <w:right w:val="none" w:sz="0" w:space="0" w:color="auto"/>
      </w:divBdr>
    </w:div>
    <w:div w:id="1804762378">
      <w:bodyDiv w:val="1"/>
      <w:marLeft w:val="0"/>
      <w:marRight w:val="0"/>
      <w:marTop w:val="0"/>
      <w:marBottom w:val="0"/>
      <w:divBdr>
        <w:top w:val="none" w:sz="0" w:space="0" w:color="auto"/>
        <w:left w:val="none" w:sz="0" w:space="0" w:color="auto"/>
        <w:bottom w:val="none" w:sz="0" w:space="0" w:color="auto"/>
        <w:right w:val="none" w:sz="0" w:space="0" w:color="auto"/>
      </w:divBdr>
    </w:div>
    <w:div w:id="1807357287">
      <w:bodyDiv w:val="1"/>
      <w:marLeft w:val="0"/>
      <w:marRight w:val="0"/>
      <w:marTop w:val="0"/>
      <w:marBottom w:val="0"/>
      <w:divBdr>
        <w:top w:val="none" w:sz="0" w:space="0" w:color="auto"/>
        <w:left w:val="none" w:sz="0" w:space="0" w:color="auto"/>
        <w:bottom w:val="none" w:sz="0" w:space="0" w:color="auto"/>
        <w:right w:val="none" w:sz="0" w:space="0" w:color="auto"/>
      </w:divBdr>
    </w:div>
    <w:div w:id="1808545690">
      <w:bodyDiv w:val="1"/>
      <w:marLeft w:val="0"/>
      <w:marRight w:val="0"/>
      <w:marTop w:val="0"/>
      <w:marBottom w:val="0"/>
      <w:divBdr>
        <w:top w:val="none" w:sz="0" w:space="0" w:color="auto"/>
        <w:left w:val="none" w:sz="0" w:space="0" w:color="auto"/>
        <w:bottom w:val="none" w:sz="0" w:space="0" w:color="auto"/>
        <w:right w:val="none" w:sz="0" w:space="0" w:color="auto"/>
      </w:divBdr>
    </w:div>
    <w:div w:id="1810004241">
      <w:bodyDiv w:val="1"/>
      <w:marLeft w:val="0"/>
      <w:marRight w:val="0"/>
      <w:marTop w:val="0"/>
      <w:marBottom w:val="0"/>
      <w:divBdr>
        <w:top w:val="none" w:sz="0" w:space="0" w:color="auto"/>
        <w:left w:val="none" w:sz="0" w:space="0" w:color="auto"/>
        <w:bottom w:val="none" w:sz="0" w:space="0" w:color="auto"/>
        <w:right w:val="none" w:sz="0" w:space="0" w:color="auto"/>
      </w:divBdr>
    </w:div>
    <w:div w:id="1812867443">
      <w:bodyDiv w:val="1"/>
      <w:marLeft w:val="0"/>
      <w:marRight w:val="0"/>
      <w:marTop w:val="0"/>
      <w:marBottom w:val="0"/>
      <w:divBdr>
        <w:top w:val="none" w:sz="0" w:space="0" w:color="auto"/>
        <w:left w:val="none" w:sz="0" w:space="0" w:color="auto"/>
        <w:bottom w:val="none" w:sz="0" w:space="0" w:color="auto"/>
        <w:right w:val="none" w:sz="0" w:space="0" w:color="auto"/>
      </w:divBdr>
    </w:div>
    <w:div w:id="1815029353">
      <w:bodyDiv w:val="1"/>
      <w:marLeft w:val="0"/>
      <w:marRight w:val="0"/>
      <w:marTop w:val="0"/>
      <w:marBottom w:val="0"/>
      <w:divBdr>
        <w:top w:val="none" w:sz="0" w:space="0" w:color="auto"/>
        <w:left w:val="none" w:sz="0" w:space="0" w:color="auto"/>
        <w:bottom w:val="none" w:sz="0" w:space="0" w:color="auto"/>
        <w:right w:val="none" w:sz="0" w:space="0" w:color="auto"/>
      </w:divBdr>
    </w:div>
    <w:div w:id="1818298796">
      <w:bodyDiv w:val="1"/>
      <w:marLeft w:val="0"/>
      <w:marRight w:val="0"/>
      <w:marTop w:val="0"/>
      <w:marBottom w:val="0"/>
      <w:divBdr>
        <w:top w:val="none" w:sz="0" w:space="0" w:color="auto"/>
        <w:left w:val="none" w:sz="0" w:space="0" w:color="auto"/>
        <w:bottom w:val="none" w:sz="0" w:space="0" w:color="auto"/>
        <w:right w:val="none" w:sz="0" w:space="0" w:color="auto"/>
      </w:divBdr>
    </w:div>
    <w:div w:id="1820145812">
      <w:bodyDiv w:val="1"/>
      <w:marLeft w:val="0"/>
      <w:marRight w:val="0"/>
      <w:marTop w:val="0"/>
      <w:marBottom w:val="0"/>
      <w:divBdr>
        <w:top w:val="none" w:sz="0" w:space="0" w:color="auto"/>
        <w:left w:val="none" w:sz="0" w:space="0" w:color="auto"/>
        <w:bottom w:val="none" w:sz="0" w:space="0" w:color="auto"/>
        <w:right w:val="none" w:sz="0" w:space="0" w:color="auto"/>
      </w:divBdr>
    </w:div>
    <w:div w:id="1822041159">
      <w:bodyDiv w:val="1"/>
      <w:marLeft w:val="0"/>
      <w:marRight w:val="0"/>
      <w:marTop w:val="0"/>
      <w:marBottom w:val="0"/>
      <w:divBdr>
        <w:top w:val="none" w:sz="0" w:space="0" w:color="auto"/>
        <w:left w:val="none" w:sz="0" w:space="0" w:color="auto"/>
        <w:bottom w:val="none" w:sz="0" w:space="0" w:color="auto"/>
        <w:right w:val="none" w:sz="0" w:space="0" w:color="auto"/>
      </w:divBdr>
    </w:div>
    <w:div w:id="1824196551">
      <w:bodyDiv w:val="1"/>
      <w:marLeft w:val="0"/>
      <w:marRight w:val="0"/>
      <w:marTop w:val="0"/>
      <w:marBottom w:val="0"/>
      <w:divBdr>
        <w:top w:val="none" w:sz="0" w:space="0" w:color="auto"/>
        <w:left w:val="none" w:sz="0" w:space="0" w:color="auto"/>
        <w:bottom w:val="none" w:sz="0" w:space="0" w:color="auto"/>
        <w:right w:val="none" w:sz="0" w:space="0" w:color="auto"/>
      </w:divBdr>
    </w:div>
    <w:div w:id="1825123953">
      <w:bodyDiv w:val="1"/>
      <w:marLeft w:val="0"/>
      <w:marRight w:val="0"/>
      <w:marTop w:val="0"/>
      <w:marBottom w:val="0"/>
      <w:divBdr>
        <w:top w:val="none" w:sz="0" w:space="0" w:color="auto"/>
        <w:left w:val="none" w:sz="0" w:space="0" w:color="auto"/>
        <w:bottom w:val="none" w:sz="0" w:space="0" w:color="auto"/>
        <w:right w:val="none" w:sz="0" w:space="0" w:color="auto"/>
      </w:divBdr>
    </w:div>
    <w:div w:id="1825777456">
      <w:bodyDiv w:val="1"/>
      <w:marLeft w:val="0"/>
      <w:marRight w:val="0"/>
      <w:marTop w:val="0"/>
      <w:marBottom w:val="0"/>
      <w:divBdr>
        <w:top w:val="none" w:sz="0" w:space="0" w:color="auto"/>
        <w:left w:val="none" w:sz="0" w:space="0" w:color="auto"/>
        <w:bottom w:val="none" w:sz="0" w:space="0" w:color="auto"/>
        <w:right w:val="none" w:sz="0" w:space="0" w:color="auto"/>
      </w:divBdr>
    </w:div>
    <w:div w:id="1827623845">
      <w:bodyDiv w:val="1"/>
      <w:marLeft w:val="0"/>
      <w:marRight w:val="0"/>
      <w:marTop w:val="0"/>
      <w:marBottom w:val="0"/>
      <w:divBdr>
        <w:top w:val="none" w:sz="0" w:space="0" w:color="auto"/>
        <w:left w:val="none" w:sz="0" w:space="0" w:color="auto"/>
        <w:bottom w:val="none" w:sz="0" w:space="0" w:color="auto"/>
        <w:right w:val="none" w:sz="0" w:space="0" w:color="auto"/>
      </w:divBdr>
    </w:div>
    <w:div w:id="1830169879">
      <w:bodyDiv w:val="1"/>
      <w:marLeft w:val="0"/>
      <w:marRight w:val="0"/>
      <w:marTop w:val="0"/>
      <w:marBottom w:val="0"/>
      <w:divBdr>
        <w:top w:val="none" w:sz="0" w:space="0" w:color="auto"/>
        <w:left w:val="none" w:sz="0" w:space="0" w:color="auto"/>
        <w:bottom w:val="none" w:sz="0" w:space="0" w:color="auto"/>
        <w:right w:val="none" w:sz="0" w:space="0" w:color="auto"/>
      </w:divBdr>
    </w:div>
    <w:div w:id="1843011348">
      <w:bodyDiv w:val="1"/>
      <w:marLeft w:val="0"/>
      <w:marRight w:val="0"/>
      <w:marTop w:val="0"/>
      <w:marBottom w:val="0"/>
      <w:divBdr>
        <w:top w:val="none" w:sz="0" w:space="0" w:color="auto"/>
        <w:left w:val="none" w:sz="0" w:space="0" w:color="auto"/>
        <w:bottom w:val="none" w:sz="0" w:space="0" w:color="auto"/>
        <w:right w:val="none" w:sz="0" w:space="0" w:color="auto"/>
      </w:divBdr>
    </w:div>
    <w:div w:id="1843156466">
      <w:bodyDiv w:val="1"/>
      <w:marLeft w:val="0"/>
      <w:marRight w:val="0"/>
      <w:marTop w:val="0"/>
      <w:marBottom w:val="0"/>
      <w:divBdr>
        <w:top w:val="none" w:sz="0" w:space="0" w:color="auto"/>
        <w:left w:val="none" w:sz="0" w:space="0" w:color="auto"/>
        <w:bottom w:val="none" w:sz="0" w:space="0" w:color="auto"/>
        <w:right w:val="none" w:sz="0" w:space="0" w:color="auto"/>
      </w:divBdr>
    </w:div>
    <w:div w:id="1843667301">
      <w:bodyDiv w:val="1"/>
      <w:marLeft w:val="0"/>
      <w:marRight w:val="0"/>
      <w:marTop w:val="0"/>
      <w:marBottom w:val="0"/>
      <w:divBdr>
        <w:top w:val="none" w:sz="0" w:space="0" w:color="auto"/>
        <w:left w:val="none" w:sz="0" w:space="0" w:color="auto"/>
        <w:bottom w:val="none" w:sz="0" w:space="0" w:color="auto"/>
        <w:right w:val="none" w:sz="0" w:space="0" w:color="auto"/>
      </w:divBdr>
    </w:div>
    <w:div w:id="1845391822">
      <w:bodyDiv w:val="1"/>
      <w:marLeft w:val="0"/>
      <w:marRight w:val="0"/>
      <w:marTop w:val="0"/>
      <w:marBottom w:val="0"/>
      <w:divBdr>
        <w:top w:val="none" w:sz="0" w:space="0" w:color="auto"/>
        <w:left w:val="none" w:sz="0" w:space="0" w:color="auto"/>
        <w:bottom w:val="none" w:sz="0" w:space="0" w:color="auto"/>
        <w:right w:val="none" w:sz="0" w:space="0" w:color="auto"/>
      </w:divBdr>
    </w:div>
    <w:div w:id="1845782307">
      <w:bodyDiv w:val="1"/>
      <w:marLeft w:val="0"/>
      <w:marRight w:val="0"/>
      <w:marTop w:val="0"/>
      <w:marBottom w:val="0"/>
      <w:divBdr>
        <w:top w:val="none" w:sz="0" w:space="0" w:color="auto"/>
        <w:left w:val="none" w:sz="0" w:space="0" w:color="auto"/>
        <w:bottom w:val="none" w:sz="0" w:space="0" w:color="auto"/>
        <w:right w:val="none" w:sz="0" w:space="0" w:color="auto"/>
      </w:divBdr>
    </w:div>
    <w:div w:id="1849061149">
      <w:bodyDiv w:val="1"/>
      <w:marLeft w:val="0"/>
      <w:marRight w:val="0"/>
      <w:marTop w:val="0"/>
      <w:marBottom w:val="0"/>
      <w:divBdr>
        <w:top w:val="none" w:sz="0" w:space="0" w:color="auto"/>
        <w:left w:val="none" w:sz="0" w:space="0" w:color="auto"/>
        <w:bottom w:val="none" w:sz="0" w:space="0" w:color="auto"/>
        <w:right w:val="none" w:sz="0" w:space="0" w:color="auto"/>
      </w:divBdr>
    </w:div>
    <w:div w:id="1852179606">
      <w:bodyDiv w:val="1"/>
      <w:marLeft w:val="0"/>
      <w:marRight w:val="0"/>
      <w:marTop w:val="0"/>
      <w:marBottom w:val="0"/>
      <w:divBdr>
        <w:top w:val="none" w:sz="0" w:space="0" w:color="auto"/>
        <w:left w:val="none" w:sz="0" w:space="0" w:color="auto"/>
        <w:bottom w:val="none" w:sz="0" w:space="0" w:color="auto"/>
        <w:right w:val="none" w:sz="0" w:space="0" w:color="auto"/>
      </w:divBdr>
    </w:div>
    <w:div w:id="1852797921">
      <w:bodyDiv w:val="1"/>
      <w:marLeft w:val="0"/>
      <w:marRight w:val="0"/>
      <w:marTop w:val="0"/>
      <w:marBottom w:val="0"/>
      <w:divBdr>
        <w:top w:val="none" w:sz="0" w:space="0" w:color="auto"/>
        <w:left w:val="none" w:sz="0" w:space="0" w:color="auto"/>
        <w:bottom w:val="none" w:sz="0" w:space="0" w:color="auto"/>
        <w:right w:val="none" w:sz="0" w:space="0" w:color="auto"/>
      </w:divBdr>
    </w:div>
    <w:div w:id="1852985012">
      <w:bodyDiv w:val="1"/>
      <w:marLeft w:val="0"/>
      <w:marRight w:val="0"/>
      <w:marTop w:val="0"/>
      <w:marBottom w:val="0"/>
      <w:divBdr>
        <w:top w:val="none" w:sz="0" w:space="0" w:color="auto"/>
        <w:left w:val="none" w:sz="0" w:space="0" w:color="auto"/>
        <w:bottom w:val="none" w:sz="0" w:space="0" w:color="auto"/>
        <w:right w:val="none" w:sz="0" w:space="0" w:color="auto"/>
      </w:divBdr>
    </w:div>
    <w:div w:id="1855679769">
      <w:bodyDiv w:val="1"/>
      <w:marLeft w:val="0"/>
      <w:marRight w:val="0"/>
      <w:marTop w:val="0"/>
      <w:marBottom w:val="0"/>
      <w:divBdr>
        <w:top w:val="none" w:sz="0" w:space="0" w:color="auto"/>
        <w:left w:val="none" w:sz="0" w:space="0" w:color="auto"/>
        <w:bottom w:val="none" w:sz="0" w:space="0" w:color="auto"/>
        <w:right w:val="none" w:sz="0" w:space="0" w:color="auto"/>
      </w:divBdr>
    </w:div>
    <w:div w:id="1857764923">
      <w:bodyDiv w:val="1"/>
      <w:marLeft w:val="0"/>
      <w:marRight w:val="0"/>
      <w:marTop w:val="0"/>
      <w:marBottom w:val="0"/>
      <w:divBdr>
        <w:top w:val="none" w:sz="0" w:space="0" w:color="auto"/>
        <w:left w:val="none" w:sz="0" w:space="0" w:color="auto"/>
        <w:bottom w:val="none" w:sz="0" w:space="0" w:color="auto"/>
        <w:right w:val="none" w:sz="0" w:space="0" w:color="auto"/>
      </w:divBdr>
    </w:div>
    <w:div w:id="1858351259">
      <w:bodyDiv w:val="1"/>
      <w:marLeft w:val="0"/>
      <w:marRight w:val="0"/>
      <w:marTop w:val="0"/>
      <w:marBottom w:val="0"/>
      <w:divBdr>
        <w:top w:val="none" w:sz="0" w:space="0" w:color="auto"/>
        <w:left w:val="none" w:sz="0" w:space="0" w:color="auto"/>
        <w:bottom w:val="none" w:sz="0" w:space="0" w:color="auto"/>
        <w:right w:val="none" w:sz="0" w:space="0" w:color="auto"/>
      </w:divBdr>
    </w:div>
    <w:div w:id="1858543063">
      <w:bodyDiv w:val="1"/>
      <w:marLeft w:val="0"/>
      <w:marRight w:val="0"/>
      <w:marTop w:val="0"/>
      <w:marBottom w:val="0"/>
      <w:divBdr>
        <w:top w:val="none" w:sz="0" w:space="0" w:color="auto"/>
        <w:left w:val="none" w:sz="0" w:space="0" w:color="auto"/>
        <w:bottom w:val="none" w:sz="0" w:space="0" w:color="auto"/>
        <w:right w:val="none" w:sz="0" w:space="0" w:color="auto"/>
      </w:divBdr>
    </w:div>
    <w:div w:id="1859419997">
      <w:bodyDiv w:val="1"/>
      <w:marLeft w:val="0"/>
      <w:marRight w:val="0"/>
      <w:marTop w:val="0"/>
      <w:marBottom w:val="0"/>
      <w:divBdr>
        <w:top w:val="none" w:sz="0" w:space="0" w:color="auto"/>
        <w:left w:val="none" w:sz="0" w:space="0" w:color="auto"/>
        <w:bottom w:val="none" w:sz="0" w:space="0" w:color="auto"/>
        <w:right w:val="none" w:sz="0" w:space="0" w:color="auto"/>
      </w:divBdr>
    </w:div>
    <w:div w:id="1861043679">
      <w:bodyDiv w:val="1"/>
      <w:marLeft w:val="0"/>
      <w:marRight w:val="0"/>
      <w:marTop w:val="0"/>
      <w:marBottom w:val="0"/>
      <w:divBdr>
        <w:top w:val="none" w:sz="0" w:space="0" w:color="auto"/>
        <w:left w:val="none" w:sz="0" w:space="0" w:color="auto"/>
        <w:bottom w:val="none" w:sz="0" w:space="0" w:color="auto"/>
        <w:right w:val="none" w:sz="0" w:space="0" w:color="auto"/>
      </w:divBdr>
    </w:div>
    <w:div w:id="1861504269">
      <w:bodyDiv w:val="1"/>
      <w:marLeft w:val="0"/>
      <w:marRight w:val="0"/>
      <w:marTop w:val="0"/>
      <w:marBottom w:val="0"/>
      <w:divBdr>
        <w:top w:val="none" w:sz="0" w:space="0" w:color="auto"/>
        <w:left w:val="none" w:sz="0" w:space="0" w:color="auto"/>
        <w:bottom w:val="none" w:sz="0" w:space="0" w:color="auto"/>
        <w:right w:val="none" w:sz="0" w:space="0" w:color="auto"/>
      </w:divBdr>
    </w:div>
    <w:div w:id="1863392840">
      <w:bodyDiv w:val="1"/>
      <w:marLeft w:val="0"/>
      <w:marRight w:val="0"/>
      <w:marTop w:val="0"/>
      <w:marBottom w:val="0"/>
      <w:divBdr>
        <w:top w:val="none" w:sz="0" w:space="0" w:color="auto"/>
        <w:left w:val="none" w:sz="0" w:space="0" w:color="auto"/>
        <w:bottom w:val="none" w:sz="0" w:space="0" w:color="auto"/>
        <w:right w:val="none" w:sz="0" w:space="0" w:color="auto"/>
      </w:divBdr>
    </w:div>
    <w:div w:id="1864829053">
      <w:bodyDiv w:val="1"/>
      <w:marLeft w:val="0"/>
      <w:marRight w:val="0"/>
      <w:marTop w:val="0"/>
      <w:marBottom w:val="0"/>
      <w:divBdr>
        <w:top w:val="none" w:sz="0" w:space="0" w:color="auto"/>
        <w:left w:val="none" w:sz="0" w:space="0" w:color="auto"/>
        <w:bottom w:val="none" w:sz="0" w:space="0" w:color="auto"/>
        <w:right w:val="none" w:sz="0" w:space="0" w:color="auto"/>
      </w:divBdr>
    </w:div>
    <w:div w:id="1866018560">
      <w:bodyDiv w:val="1"/>
      <w:marLeft w:val="0"/>
      <w:marRight w:val="0"/>
      <w:marTop w:val="0"/>
      <w:marBottom w:val="0"/>
      <w:divBdr>
        <w:top w:val="none" w:sz="0" w:space="0" w:color="auto"/>
        <w:left w:val="none" w:sz="0" w:space="0" w:color="auto"/>
        <w:bottom w:val="none" w:sz="0" w:space="0" w:color="auto"/>
        <w:right w:val="none" w:sz="0" w:space="0" w:color="auto"/>
      </w:divBdr>
    </w:div>
    <w:div w:id="1867252895">
      <w:bodyDiv w:val="1"/>
      <w:marLeft w:val="0"/>
      <w:marRight w:val="0"/>
      <w:marTop w:val="0"/>
      <w:marBottom w:val="0"/>
      <w:divBdr>
        <w:top w:val="none" w:sz="0" w:space="0" w:color="auto"/>
        <w:left w:val="none" w:sz="0" w:space="0" w:color="auto"/>
        <w:bottom w:val="none" w:sz="0" w:space="0" w:color="auto"/>
        <w:right w:val="none" w:sz="0" w:space="0" w:color="auto"/>
      </w:divBdr>
    </w:div>
    <w:div w:id="1868175742">
      <w:bodyDiv w:val="1"/>
      <w:marLeft w:val="0"/>
      <w:marRight w:val="0"/>
      <w:marTop w:val="0"/>
      <w:marBottom w:val="0"/>
      <w:divBdr>
        <w:top w:val="none" w:sz="0" w:space="0" w:color="auto"/>
        <w:left w:val="none" w:sz="0" w:space="0" w:color="auto"/>
        <w:bottom w:val="none" w:sz="0" w:space="0" w:color="auto"/>
        <w:right w:val="none" w:sz="0" w:space="0" w:color="auto"/>
      </w:divBdr>
    </w:div>
    <w:div w:id="1869247253">
      <w:bodyDiv w:val="1"/>
      <w:marLeft w:val="0"/>
      <w:marRight w:val="0"/>
      <w:marTop w:val="0"/>
      <w:marBottom w:val="0"/>
      <w:divBdr>
        <w:top w:val="none" w:sz="0" w:space="0" w:color="auto"/>
        <w:left w:val="none" w:sz="0" w:space="0" w:color="auto"/>
        <w:bottom w:val="none" w:sz="0" w:space="0" w:color="auto"/>
        <w:right w:val="none" w:sz="0" w:space="0" w:color="auto"/>
      </w:divBdr>
    </w:div>
    <w:div w:id="1871186903">
      <w:bodyDiv w:val="1"/>
      <w:marLeft w:val="0"/>
      <w:marRight w:val="0"/>
      <w:marTop w:val="0"/>
      <w:marBottom w:val="0"/>
      <w:divBdr>
        <w:top w:val="none" w:sz="0" w:space="0" w:color="auto"/>
        <w:left w:val="none" w:sz="0" w:space="0" w:color="auto"/>
        <w:bottom w:val="none" w:sz="0" w:space="0" w:color="auto"/>
        <w:right w:val="none" w:sz="0" w:space="0" w:color="auto"/>
      </w:divBdr>
    </w:div>
    <w:div w:id="1872766878">
      <w:bodyDiv w:val="1"/>
      <w:marLeft w:val="0"/>
      <w:marRight w:val="0"/>
      <w:marTop w:val="0"/>
      <w:marBottom w:val="0"/>
      <w:divBdr>
        <w:top w:val="none" w:sz="0" w:space="0" w:color="auto"/>
        <w:left w:val="none" w:sz="0" w:space="0" w:color="auto"/>
        <w:bottom w:val="none" w:sz="0" w:space="0" w:color="auto"/>
        <w:right w:val="none" w:sz="0" w:space="0" w:color="auto"/>
      </w:divBdr>
    </w:div>
    <w:div w:id="1877883782">
      <w:bodyDiv w:val="1"/>
      <w:marLeft w:val="0"/>
      <w:marRight w:val="0"/>
      <w:marTop w:val="0"/>
      <w:marBottom w:val="0"/>
      <w:divBdr>
        <w:top w:val="none" w:sz="0" w:space="0" w:color="auto"/>
        <w:left w:val="none" w:sz="0" w:space="0" w:color="auto"/>
        <w:bottom w:val="none" w:sz="0" w:space="0" w:color="auto"/>
        <w:right w:val="none" w:sz="0" w:space="0" w:color="auto"/>
      </w:divBdr>
    </w:div>
    <w:div w:id="1878276586">
      <w:bodyDiv w:val="1"/>
      <w:marLeft w:val="0"/>
      <w:marRight w:val="0"/>
      <w:marTop w:val="0"/>
      <w:marBottom w:val="0"/>
      <w:divBdr>
        <w:top w:val="none" w:sz="0" w:space="0" w:color="auto"/>
        <w:left w:val="none" w:sz="0" w:space="0" w:color="auto"/>
        <w:bottom w:val="none" w:sz="0" w:space="0" w:color="auto"/>
        <w:right w:val="none" w:sz="0" w:space="0" w:color="auto"/>
      </w:divBdr>
    </w:div>
    <w:div w:id="1878621328">
      <w:bodyDiv w:val="1"/>
      <w:marLeft w:val="0"/>
      <w:marRight w:val="0"/>
      <w:marTop w:val="0"/>
      <w:marBottom w:val="0"/>
      <w:divBdr>
        <w:top w:val="none" w:sz="0" w:space="0" w:color="auto"/>
        <w:left w:val="none" w:sz="0" w:space="0" w:color="auto"/>
        <w:bottom w:val="none" w:sz="0" w:space="0" w:color="auto"/>
        <w:right w:val="none" w:sz="0" w:space="0" w:color="auto"/>
      </w:divBdr>
    </w:div>
    <w:div w:id="1878810534">
      <w:bodyDiv w:val="1"/>
      <w:marLeft w:val="0"/>
      <w:marRight w:val="0"/>
      <w:marTop w:val="0"/>
      <w:marBottom w:val="0"/>
      <w:divBdr>
        <w:top w:val="none" w:sz="0" w:space="0" w:color="auto"/>
        <w:left w:val="none" w:sz="0" w:space="0" w:color="auto"/>
        <w:bottom w:val="none" w:sz="0" w:space="0" w:color="auto"/>
        <w:right w:val="none" w:sz="0" w:space="0" w:color="auto"/>
      </w:divBdr>
    </w:div>
    <w:div w:id="1878853886">
      <w:bodyDiv w:val="1"/>
      <w:marLeft w:val="0"/>
      <w:marRight w:val="0"/>
      <w:marTop w:val="0"/>
      <w:marBottom w:val="0"/>
      <w:divBdr>
        <w:top w:val="none" w:sz="0" w:space="0" w:color="auto"/>
        <w:left w:val="none" w:sz="0" w:space="0" w:color="auto"/>
        <w:bottom w:val="none" w:sz="0" w:space="0" w:color="auto"/>
        <w:right w:val="none" w:sz="0" w:space="0" w:color="auto"/>
      </w:divBdr>
    </w:div>
    <w:div w:id="1880311219">
      <w:bodyDiv w:val="1"/>
      <w:marLeft w:val="0"/>
      <w:marRight w:val="0"/>
      <w:marTop w:val="0"/>
      <w:marBottom w:val="0"/>
      <w:divBdr>
        <w:top w:val="none" w:sz="0" w:space="0" w:color="auto"/>
        <w:left w:val="none" w:sz="0" w:space="0" w:color="auto"/>
        <w:bottom w:val="none" w:sz="0" w:space="0" w:color="auto"/>
        <w:right w:val="none" w:sz="0" w:space="0" w:color="auto"/>
      </w:divBdr>
    </w:div>
    <w:div w:id="1881240421">
      <w:bodyDiv w:val="1"/>
      <w:marLeft w:val="0"/>
      <w:marRight w:val="0"/>
      <w:marTop w:val="0"/>
      <w:marBottom w:val="0"/>
      <w:divBdr>
        <w:top w:val="none" w:sz="0" w:space="0" w:color="auto"/>
        <w:left w:val="none" w:sz="0" w:space="0" w:color="auto"/>
        <w:bottom w:val="none" w:sz="0" w:space="0" w:color="auto"/>
        <w:right w:val="none" w:sz="0" w:space="0" w:color="auto"/>
      </w:divBdr>
    </w:div>
    <w:div w:id="1884442338">
      <w:bodyDiv w:val="1"/>
      <w:marLeft w:val="0"/>
      <w:marRight w:val="0"/>
      <w:marTop w:val="0"/>
      <w:marBottom w:val="0"/>
      <w:divBdr>
        <w:top w:val="none" w:sz="0" w:space="0" w:color="auto"/>
        <w:left w:val="none" w:sz="0" w:space="0" w:color="auto"/>
        <w:bottom w:val="none" w:sz="0" w:space="0" w:color="auto"/>
        <w:right w:val="none" w:sz="0" w:space="0" w:color="auto"/>
      </w:divBdr>
    </w:div>
    <w:div w:id="1884899111">
      <w:bodyDiv w:val="1"/>
      <w:marLeft w:val="0"/>
      <w:marRight w:val="0"/>
      <w:marTop w:val="0"/>
      <w:marBottom w:val="0"/>
      <w:divBdr>
        <w:top w:val="none" w:sz="0" w:space="0" w:color="auto"/>
        <w:left w:val="none" w:sz="0" w:space="0" w:color="auto"/>
        <w:bottom w:val="none" w:sz="0" w:space="0" w:color="auto"/>
        <w:right w:val="none" w:sz="0" w:space="0" w:color="auto"/>
      </w:divBdr>
    </w:div>
    <w:div w:id="1884904658">
      <w:bodyDiv w:val="1"/>
      <w:marLeft w:val="0"/>
      <w:marRight w:val="0"/>
      <w:marTop w:val="0"/>
      <w:marBottom w:val="0"/>
      <w:divBdr>
        <w:top w:val="none" w:sz="0" w:space="0" w:color="auto"/>
        <w:left w:val="none" w:sz="0" w:space="0" w:color="auto"/>
        <w:bottom w:val="none" w:sz="0" w:space="0" w:color="auto"/>
        <w:right w:val="none" w:sz="0" w:space="0" w:color="auto"/>
      </w:divBdr>
    </w:div>
    <w:div w:id="1885749030">
      <w:bodyDiv w:val="1"/>
      <w:marLeft w:val="0"/>
      <w:marRight w:val="0"/>
      <w:marTop w:val="0"/>
      <w:marBottom w:val="0"/>
      <w:divBdr>
        <w:top w:val="none" w:sz="0" w:space="0" w:color="auto"/>
        <w:left w:val="none" w:sz="0" w:space="0" w:color="auto"/>
        <w:bottom w:val="none" w:sz="0" w:space="0" w:color="auto"/>
        <w:right w:val="none" w:sz="0" w:space="0" w:color="auto"/>
      </w:divBdr>
    </w:div>
    <w:div w:id="1890221965">
      <w:bodyDiv w:val="1"/>
      <w:marLeft w:val="0"/>
      <w:marRight w:val="0"/>
      <w:marTop w:val="0"/>
      <w:marBottom w:val="0"/>
      <w:divBdr>
        <w:top w:val="none" w:sz="0" w:space="0" w:color="auto"/>
        <w:left w:val="none" w:sz="0" w:space="0" w:color="auto"/>
        <w:bottom w:val="none" w:sz="0" w:space="0" w:color="auto"/>
        <w:right w:val="none" w:sz="0" w:space="0" w:color="auto"/>
      </w:divBdr>
    </w:div>
    <w:div w:id="1893152202">
      <w:bodyDiv w:val="1"/>
      <w:marLeft w:val="0"/>
      <w:marRight w:val="0"/>
      <w:marTop w:val="0"/>
      <w:marBottom w:val="0"/>
      <w:divBdr>
        <w:top w:val="none" w:sz="0" w:space="0" w:color="auto"/>
        <w:left w:val="none" w:sz="0" w:space="0" w:color="auto"/>
        <w:bottom w:val="none" w:sz="0" w:space="0" w:color="auto"/>
        <w:right w:val="none" w:sz="0" w:space="0" w:color="auto"/>
      </w:divBdr>
    </w:div>
    <w:div w:id="1895656963">
      <w:bodyDiv w:val="1"/>
      <w:marLeft w:val="0"/>
      <w:marRight w:val="0"/>
      <w:marTop w:val="0"/>
      <w:marBottom w:val="0"/>
      <w:divBdr>
        <w:top w:val="none" w:sz="0" w:space="0" w:color="auto"/>
        <w:left w:val="none" w:sz="0" w:space="0" w:color="auto"/>
        <w:bottom w:val="none" w:sz="0" w:space="0" w:color="auto"/>
        <w:right w:val="none" w:sz="0" w:space="0" w:color="auto"/>
      </w:divBdr>
    </w:div>
    <w:div w:id="1898009960">
      <w:bodyDiv w:val="1"/>
      <w:marLeft w:val="0"/>
      <w:marRight w:val="0"/>
      <w:marTop w:val="0"/>
      <w:marBottom w:val="0"/>
      <w:divBdr>
        <w:top w:val="none" w:sz="0" w:space="0" w:color="auto"/>
        <w:left w:val="none" w:sz="0" w:space="0" w:color="auto"/>
        <w:bottom w:val="none" w:sz="0" w:space="0" w:color="auto"/>
        <w:right w:val="none" w:sz="0" w:space="0" w:color="auto"/>
      </w:divBdr>
    </w:div>
    <w:div w:id="1898396233">
      <w:bodyDiv w:val="1"/>
      <w:marLeft w:val="0"/>
      <w:marRight w:val="0"/>
      <w:marTop w:val="0"/>
      <w:marBottom w:val="0"/>
      <w:divBdr>
        <w:top w:val="none" w:sz="0" w:space="0" w:color="auto"/>
        <w:left w:val="none" w:sz="0" w:space="0" w:color="auto"/>
        <w:bottom w:val="none" w:sz="0" w:space="0" w:color="auto"/>
        <w:right w:val="none" w:sz="0" w:space="0" w:color="auto"/>
      </w:divBdr>
    </w:div>
    <w:div w:id="1900284446">
      <w:bodyDiv w:val="1"/>
      <w:marLeft w:val="0"/>
      <w:marRight w:val="0"/>
      <w:marTop w:val="0"/>
      <w:marBottom w:val="0"/>
      <w:divBdr>
        <w:top w:val="none" w:sz="0" w:space="0" w:color="auto"/>
        <w:left w:val="none" w:sz="0" w:space="0" w:color="auto"/>
        <w:bottom w:val="none" w:sz="0" w:space="0" w:color="auto"/>
        <w:right w:val="none" w:sz="0" w:space="0" w:color="auto"/>
      </w:divBdr>
    </w:div>
    <w:div w:id="1900901429">
      <w:bodyDiv w:val="1"/>
      <w:marLeft w:val="0"/>
      <w:marRight w:val="0"/>
      <w:marTop w:val="0"/>
      <w:marBottom w:val="0"/>
      <w:divBdr>
        <w:top w:val="none" w:sz="0" w:space="0" w:color="auto"/>
        <w:left w:val="none" w:sz="0" w:space="0" w:color="auto"/>
        <w:bottom w:val="none" w:sz="0" w:space="0" w:color="auto"/>
        <w:right w:val="none" w:sz="0" w:space="0" w:color="auto"/>
      </w:divBdr>
    </w:div>
    <w:div w:id="1901668585">
      <w:bodyDiv w:val="1"/>
      <w:marLeft w:val="0"/>
      <w:marRight w:val="0"/>
      <w:marTop w:val="0"/>
      <w:marBottom w:val="0"/>
      <w:divBdr>
        <w:top w:val="none" w:sz="0" w:space="0" w:color="auto"/>
        <w:left w:val="none" w:sz="0" w:space="0" w:color="auto"/>
        <w:bottom w:val="none" w:sz="0" w:space="0" w:color="auto"/>
        <w:right w:val="none" w:sz="0" w:space="0" w:color="auto"/>
      </w:divBdr>
    </w:div>
    <w:div w:id="1904826100">
      <w:bodyDiv w:val="1"/>
      <w:marLeft w:val="0"/>
      <w:marRight w:val="0"/>
      <w:marTop w:val="0"/>
      <w:marBottom w:val="0"/>
      <w:divBdr>
        <w:top w:val="none" w:sz="0" w:space="0" w:color="auto"/>
        <w:left w:val="none" w:sz="0" w:space="0" w:color="auto"/>
        <w:bottom w:val="none" w:sz="0" w:space="0" w:color="auto"/>
        <w:right w:val="none" w:sz="0" w:space="0" w:color="auto"/>
      </w:divBdr>
    </w:div>
    <w:div w:id="1906067908">
      <w:bodyDiv w:val="1"/>
      <w:marLeft w:val="0"/>
      <w:marRight w:val="0"/>
      <w:marTop w:val="0"/>
      <w:marBottom w:val="0"/>
      <w:divBdr>
        <w:top w:val="none" w:sz="0" w:space="0" w:color="auto"/>
        <w:left w:val="none" w:sz="0" w:space="0" w:color="auto"/>
        <w:bottom w:val="none" w:sz="0" w:space="0" w:color="auto"/>
        <w:right w:val="none" w:sz="0" w:space="0" w:color="auto"/>
      </w:divBdr>
    </w:div>
    <w:div w:id="1906646818">
      <w:bodyDiv w:val="1"/>
      <w:marLeft w:val="0"/>
      <w:marRight w:val="0"/>
      <w:marTop w:val="0"/>
      <w:marBottom w:val="0"/>
      <w:divBdr>
        <w:top w:val="none" w:sz="0" w:space="0" w:color="auto"/>
        <w:left w:val="none" w:sz="0" w:space="0" w:color="auto"/>
        <w:bottom w:val="none" w:sz="0" w:space="0" w:color="auto"/>
        <w:right w:val="none" w:sz="0" w:space="0" w:color="auto"/>
      </w:divBdr>
    </w:div>
    <w:div w:id="1908493941">
      <w:bodyDiv w:val="1"/>
      <w:marLeft w:val="0"/>
      <w:marRight w:val="0"/>
      <w:marTop w:val="0"/>
      <w:marBottom w:val="0"/>
      <w:divBdr>
        <w:top w:val="none" w:sz="0" w:space="0" w:color="auto"/>
        <w:left w:val="none" w:sz="0" w:space="0" w:color="auto"/>
        <w:bottom w:val="none" w:sz="0" w:space="0" w:color="auto"/>
        <w:right w:val="none" w:sz="0" w:space="0" w:color="auto"/>
      </w:divBdr>
    </w:div>
    <w:div w:id="1911039599">
      <w:bodyDiv w:val="1"/>
      <w:marLeft w:val="0"/>
      <w:marRight w:val="0"/>
      <w:marTop w:val="0"/>
      <w:marBottom w:val="0"/>
      <w:divBdr>
        <w:top w:val="none" w:sz="0" w:space="0" w:color="auto"/>
        <w:left w:val="none" w:sz="0" w:space="0" w:color="auto"/>
        <w:bottom w:val="none" w:sz="0" w:space="0" w:color="auto"/>
        <w:right w:val="none" w:sz="0" w:space="0" w:color="auto"/>
      </w:divBdr>
    </w:div>
    <w:div w:id="1913156924">
      <w:bodyDiv w:val="1"/>
      <w:marLeft w:val="0"/>
      <w:marRight w:val="0"/>
      <w:marTop w:val="0"/>
      <w:marBottom w:val="0"/>
      <w:divBdr>
        <w:top w:val="none" w:sz="0" w:space="0" w:color="auto"/>
        <w:left w:val="none" w:sz="0" w:space="0" w:color="auto"/>
        <w:bottom w:val="none" w:sz="0" w:space="0" w:color="auto"/>
        <w:right w:val="none" w:sz="0" w:space="0" w:color="auto"/>
      </w:divBdr>
    </w:div>
    <w:div w:id="1915386949">
      <w:bodyDiv w:val="1"/>
      <w:marLeft w:val="0"/>
      <w:marRight w:val="0"/>
      <w:marTop w:val="0"/>
      <w:marBottom w:val="0"/>
      <w:divBdr>
        <w:top w:val="none" w:sz="0" w:space="0" w:color="auto"/>
        <w:left w:val="none" w:sz="0" w:space="0" w:color="auto"/>
        <w:bottom w:val="none" w:sz="0" w:space="0" w:color="auto"/>
        <w:right w:val="none" w:sz="0" w:space="0" w:color="auto"/>
      </w:divBdr>
    </w:div>
    <w:div w:id="1916354083">
      <w:bodyDiv w:val="1"/>
      <w:marLeft w:val="0"/>
      <w:marRight w:val="0"/>
      <w:marTop w:val="0"/>
      <w:marBottom w:val="0"/>
      <w:divBdr>
        <w:top w:val="none" w:sz="0" w:space="0" w:color="auto"/>
        <w:left w:val="none" w:sz="0" w:space="0" w:color="auto"/>
        <w:bottom w:val="none" w:sz="0" w:space="0" w:color="auto"/>
        <w:right w:val="none" w:sz="0" w:space="0" w:color="auto"/>
      </w:divBdr>
    </w:div>
    <w:div w:id="1918007478">
      <w:bodyDiv w:val="1"/>
      <w:marLeft w:val="0"/>
      <w:marRight w:val="0"/>
      <w:marTop w:val="0"/>
      <w:marBottom w:val="0"/>
      <w:divBdr>
        <w:top w:val="none" w:sz="0" w:space="0" w:color="auto"/>
        <w:left w:val="none" w:sz="0" w:space="0" w:color="auto"/>
        <w:bottom w:val="none" w:sz="0" w:space="0" w:color="auto"/>
        <w:right w:val="none" w:sz="0" w:space="0" w:color="auto"/>
      </w:divBdr>
    </w:div>
    <w:div w:id="1918125212">
      <w:bodyDiv w:val="1"/>
      <w:marLeft w:val="0"/>
      <w:marRight w:val="0"/>
      <w:marTop w:val="0"/>
      <w:marBottom w:val="0"/>
      <w:divBdr>
        <w:top w:val="none" w:sz="0" w:space="0" w:color="auto"/>
        <w:left w:val="none" w:sz="0" w:space="0" w:color="auto"/>
        <w:bottom w:val="none" w:sz="0" w:space="0" w:color="auto"/>
        <w:right w:val="none" w:sz="0" w:space="0" w:color="auto"/>
      </w:divBdr>
    </w:div>
    <w:div w:id="1924297479">
      <w:bodyDiv w:val="1"/>
      <w:marLeft w:val="0"/>
      <w:marRight w:val="0"/>
      <w:marTop w:val="0"/>
      <w:marBottom w:val="0"/>
      <w:divBdr>
        <w:top w:val="none" w:sz="0" w:space="0" w:color="auto"/>
        <w:left w:val="none" w:sz="0" w:space="0" w:color="auto"/>
        <w:bottom w:val="none" w:sz="0" w:space="0" w:color="auto"/>
        <w:right w:val="none" w:sz="0" w:space="0" w:color="auto"/>
      </w:divBdr>
    </w:div>
    <w:div w:id="1925217806">
      <w:bodyDiv w:val="1"/>
      <w:marLeft w:val="0"/>
      <w:marRight w:val="0"/>
      <w:marTop w:val="0"/>
      <w:marBottom w:val="0"/>
      <w:divBdr>
        <w:top w:val="none" w:sz="0" w:space="0" w:color="auto"/>
        <w:left w:val="none" w:sz="0" w:space="0" w:color="auto"/>
        <w:bottom w:val="none" w:sz="0" w:space="0" w:color="auto"/>
        <w:right w:val="none" w:sz="0" w:space="0" w:color="auto"/>
      </w:divBdr>
    </w:div>
    <w:div w:id="1927155166">
      <w:bodyDiv w:val="1"/>
      <w:marLeft w:val="0"/>
      <w:marRight w:val="0"/>
      <w:marTop w:val="0"/>
      <w:marBottom w:val="0"/>
      <w:divBdr>
        <w:top w:val="none" w:sz="0" w:space="0" w:color="auto"/>
        <w:left w:val="none" w:sz="0" w:space="0" w:color="auto"/>
        <w:bottom w:val="none" w:sz="0" w:space="0" w:color="auto"/>
        <w:right w:val="none" w:sz="0" w:space="0" w:color="auto"/>
      </w:divBdr>
    </w:div>
    <w:div w:id="1928146729">
      <w:bodyDiv w:val="1"/>
      <w:marLeft w:val="0"/>
      <w:marRight w:val="0"/>
      <w:marTop w:val="0"/>
      <w:marBottom w:val="0"/>
      <w:divBdr>
        <w:top w:val="none" w:sz="0" w:space="0" w:color="auto"/>
        <w:left w:val="none" w:sz="0" w:space="0" w:color="auto"/>
        <w:bottom w:val="none" w:sz="0" w:space="0" w:color="auto"/>
        <w:right w:val="none" w:sz="0" w:space="0" w:color="auto"/>
      </w:divBdr>
    </w:div>
    <w:div w:id="1929381090">
      <w:bodyDiv w:val="1"/>
      <w:marLeft w:val="0"/>
      <w:marRight w:val="0"/>
      <w:marTop w:val="0"/>
      <w:marBottom w:val="0"/>
      <w:divBdr>
        <w:top w:val="none" w:sz="0" w:space="0" w:color="auto"/>
        <w:left w:val="none" w:sz="0" w:space="0" w:color="auto"/>
        <w:bottom w:val="none" w:sz="0" w:space="0" w:color="auto"/>
        <w:right w:val="none" w:sz="0" w:space="0" w:color="auto"/>
      </w:divBdr>
    </w:div>
    <w:div w:id="1929729913">
      <w:bodyDiv w:val="1"/>
      <w:marLeft w:val="0"/>
      <w:marRight w:val="0"/>
      <w:marTop w:val="0"/>
      <w:marBottom w:val="0"/>
      <w:divBdr>
        <w:top w:val="none" w:sz="0" w:space="0" w:color="auto"/>
        <w:left w:val="none" w:sz="0" w:space="0" w:color="auto"/>
        <w:bottom w:val="none" w:sz="0" w:space="0" w:color="auto"/>
        <w:right w:val="none" w:sz="0" w:space="0" w:color="auto"/>
      </w:divBdr>
    </w:div>
    <w:div w:id="1931507287">
      <w:bodyDiv w:val="1"/>
      <w:marLeft w:val="0"/>
      <w:marRight w:val="0"/>
      <w:marTop w:val="0"/>
      <w:marBottom w:val="0"/>
      <w:divBdr>
        <w:top w:val="none" w:sz="0" w:space="0" w:color="auto"/>
        <w:left w:val="none" w:sz="0" w:space="0" w:color="auto"/>
        <w:bottom w:val="none" w:sz="0" w:space="0" w:color="auto"/>
        <w:right w:val="none" w:sz="0" w:space="0" w:color="auto"/>
      </w:divBdr>
    </w:div>
    <w:div w:id="1932084870">
      <w:bodyDiv w:val="1"/>
      <w:marLeft w:val="0"/>
      <w:marRight w:val="0"/>
      <w:marTop w:val="0"/>
      <w:marBottom w:val="0"/>
      <w:divBdr>
        <w:top w:val="none" w:sz="0" w:space="0" w:color="auto"/>
        <w:left w:val="none" w:sz="0" w:space="0" w:color="auto"/>
        <w:bottom w:val="none" w:sz="0" w:space="0" w:color="auto"/>
        <w:right w:val="none" w:sz="0" w:space="0" w:color="auto"/>
      </w:divBdr>
    </w:div>
    <w:div w:id="1932734320">
      <w:bodyDiv w:val="1"/>
      <w:marLeft w:val="0"/>
      <w:marRight w:val="0"/>
      <w:marTop w:val="0"/>
      <w:marBottom w:val="0"/>
      <w:divBdr>
        <w:top w:val="none" w:sz="0" w:space="0" w:color="auto"/>
        <w:left w:val="none" w:sz="0" w:space="0" w:color="auto"/>
        <w:bottom w:val="none" w:sz="0" w:space="0" w:color="auto"/>
        <w:right w:val="none" w:sz="0" w:space="0" w:color="auto"/>
      </w:divBdr>
    </w:div>
    <w:div w:id="1934391248">
      <w:bodyDiv w:val="1"/>
      <w:marLeft w:val="0"/>
      <w:marRight w:val="0"/>
      <w:marTop w:val="0"/>
      <w:marBottom w:val="0"/>
      <w:divBdr>
        <w:top w:val="none" w:sz="0" w:space="0" w:color="auto"/>
        <w:left w:val="none" w:sz="0" w:space="0" w:color="auto"/>
        <w:bottom w:val="none" w:sz="0" w:space="0" w:color="auto"/>
        <w:right w:val="none" w:sz="0" w:space="0" w:color="auto"/>
      </w:divBdr>
    </w:div>
    <w:div w:id="1937471472">
      <w:bodyDiv w:val="1"/>
      <w:marLeft w:val="0"/>
      <w:marRight w:val="0"/>
      <w:marTop w:val="0"/>
      <w:marBottom w:val="0"/>
      <w:divBdr>
        <w:top w:val="none" w:sz="0" w:space="0" w:color="auto"/>
        <w:left w:val="none" w:sz="0" w:space="0" w:color="auto"/>
        <w:bottom w:val="none" w:sz="0" w:space="0" w:color="auto"/>
        <w:right w:val="none" w:sz="0" w:space="0" w:color="auto"/>
      </w:divBdr>
    </w:div>
    <w:div w:id="1937518769">
      <w:bodyDiv w:val="1"/>
      <w:marLeft w:val="0"/>
      <w:marRight w:val="0"/>
      <w:marTop w:val="0"/>
      <w:marBottom w:val="0"/>
      <w:divBdr>
        <w:top w:val="none" w:sz="0" w:space="0" w:color="auto"/>
        <w:left w:val="none" w:sz="0" w:space="0" w:color="auto"/>
        <w:bottom w:val="none" w:sz="0" w:space="0" w:color="auto"/>
        <w:right w:val="none" w:sz="0" w:space="0" w:color="auto"/>
      </w:divBdr>
    </w:div>
    <w:div w:id="1938632106">
      <w:bodyDiv w:val="1"/>
      <w:marLeft w:val="0"/>
      <w:marRight w:val="0"/>
      <w:marTop w:val="0"/>
      <w:marBottom w:val="0"/>
      <w:divBdr>
        <w:top w:val="none" w:sz="0" w:space="0" w:color="auto"/>
        <w:left w:val="none" w:sz="0" w:space="0" w:color="auto"/>
        <w:bottom w:val="none" w:sz="0" w:space="0" w:color="auto"/>
        <w:right w:val="none" w:sz="0" w:space="0" w:color="auto"/>
      </w:divBdr>
    </w:div>
    <w:div w:id="1939172666">
      <w:bodyDiv w:val="1"/>
      <w:marLeft w:val="0"/>
      <w:marRight w:val="0"/>
      <w:marTop w:val="0"/>
      <w:marBottom w:val="0"/>
      <w:divBdr>
        <w:top w:val="none" w:sz="0" w:space="0" w:color="auto"/>
        <w:left w:val="none" w:sz="0" w:space="0" w:color="auto"/>
        <w:bottom w:val="none" w:sz="0" w:space="0" w:color="auto"/>
        <w:right w:val="none" w:sz="0" w:space="0" w:color="auto"/>
      </w:divBdr>
    </w:div>
    <w:div w:id="1939287844">
      <w:bodyDiv w:val="1"/>
      <w:marLeft w:val="0"/>
      <w:marRight w:val="0"/>
      <w:marTop w:val="0"/>
      <w:marBottom w:val="0"/>
      <w:divBdr>
        <w:top w:val="none" w:sz="0" w:space="0" w:color="auto"/>
        <w:left w:val="none" w:sz="0" w:space="0" w:color="auto"/>
        <w:bottom w:val="none" w:sz="0" w:space="0" w:color="auto"/>
        <w:right w:val="none" w:sz="0" w:space="0" w:color="auto"/>
      </w:divBdr>
    </w:div>
    <w:div w:id="1942831282">
      <w:bodyDiv w:val="1"/>
      <w:marLeft w:val="0"/>
      <w:marRight w:val="0"/>
      <w:marTop w:val="0"/>
      <w:marBottom w:val="0"/>
      <w:divBdr>
        <w:top w:val="none" w:sz="0" w:space="0" w:color="auto"/>
        <w:left w:val="none" w:sz="0" w:space="0" w:color="auto"/>
        <w:bottom w:val="none" w:sz="0" w:space="0" w:color="auto"/>
        <w:right w:val="none" w:sz="0" w:space="0" w:color="auto"/>
      </w:divBdr>
    </w:div>
    <w:div w:id="1943339176">
      <w:bodyDiv w:val="1"/>
      <w:marLeft w:val="0"/>
      <w:marRight w:val="0"/>
      <w:marTop w:val="0"/>
      <w:marBottom w:val="0"/>
      <w:divBdr>
        <w:top w:val="none" w:sz="0" w:space="0" w:color="auto"/>
        <w:left w:val="none" w:sz="0" w:space="0" w:color="auto"/>
        <w:bottom w:val="none" w:sz="0" w:space="0" w:color="auto"/>
        <w:right w:val="none" w:sz="0" w:space="0" w:color="auto"/>
      </w:divBdr>
    </w:div>
    <w:div w:id="1946038618">
      <w:bodyDiv w:val="1"/>
      <w:marLeft w:val="0"/>
      <w:marRight w:val="0"/>
      <w:marTop w:val="0"/>
      <w:marBottom w:val="0"/>
      <w:divBdr>
        <w:top w:val="none" w:sz="0" w:space="0" w:color="auto"/>
        <w:left w:val="none" w:sz="0" w:space="0" w:color="auto"/>
        <w:bottom w:val="none" w:sz="0" w:space="0" w:color="auto"/>
        <w:right w:val="none" w:sz="0" w:space="0" w:color="auto"/>
      </w:divBdr>
    </w:div>
    <w:div w:id="1947736210">
      <w:bodyDiv w:val="1"/>
      <w:marLeft w:val="0"/>
      <w:marRight w:val="0"/>
      <w:marTop w:val="0"/>
      <w:marBottom w:val="0"/>
      <w:divBdr>
        <w:top w:val="none" w:sz="0" w:space="0" w:color="auto"/>
        <w:left w:val="none" w:sz="0" w:space="0" w:color="auto"/>
        <w:bottom w:val="none" w:sz="0" w:space="0" w:color="auto"/>
        <w:right w:val="none" w:sz="0" w:space="0" w:color="auto"/>
      </w:divBdr>
    </w:div>
    <w:div w:id="1949003181">
      <w:bodyDiv w:val="1"/>
      <w:marLeft w:val="0"/>
      <w:marRight w:val="0"/>
      <w:marTop w:val="0"/>
      <w:marBottom w:val="0"/>
      <w:divBdr>
        <w:top w:val="none" w:sz="0" w:space="0" w:color="auto"/>
        <w:left w:val="none" w:sz="0" w:space="0" w:color="auto"/>
        <w:bottom w:val="none" w:sz="0" w:space="0" w:color="auto"/>
        <w:right w:val="none" w:sz="0" w:space="0" w:color="auto"/>
      </w:divBdr>
    </w:div>
    <w:div w:id="1952203648">
      <w:bodyDiv w:val="1"/>
      <w:marLeft w:val="0"/>
      <w:marRight w:val="0"/>
      <w:marTop w:val="0"/>
      <w:marBottom w:val="0"/>
      <w:divBdr>
        <w:top w:val="none" w:sz="0" w:space="0" w:color="auto"/>
        <w:left w:val="none" w:sz="0" w:space="0" w:color="auto"/>
        <w:bottom w:val="none" w:sz="0" w:space="0" w:color="auto"/>
        <w:right w:val="none" w:sz="0" w:space="0" w:color="auto"/>
      </w:divBdr>
    </w:div>
    <w:div w:id="1954554382">
      <w:bodyDiv w:val="1"/>
      <w:marLeft w:val="0"/>
      <w:marRight w:val="0"/>
      <w:marTop w:val="0"/>
      <w:marBottom w:val="0"/>
      <w:divBdr>
        <w:top w:val="none" w:sz="0" w:space="0" w:color="auto"/>
        <w:left w:val="none" w:sz="0" w:space="0" w:color="auto"/>
        <w:bottom w:val="none" w:sz="0" w:space="0" w:color="auto"/>
        <w:right w:val="none" w:sz="0" w:space="0" w:color="auto"/>
      </w:divBdr>
    </w:div>
    <w:div w:id="1960256433">
      <w:bodyDiv w:val="1"/>
      <w:marLeft w:val="0"/>
      <w:marRight w:val="0"/>
      <w:marTop w:val="0"/>
      <w:marBottom w:val="0"/>
      <w:divBdr>
        <w:top w:val="none" w:sz="0" w:space="0" w:color="auto"/>
        <w:left w:val="none" w:sz="0" w:space="0" w:color="auto"/>
        <w:bottom w:val="none" w:sz="0" w:space="0" w:color="auto"/>
        <w:right w:val="none" w:sz="0" w:space="0" w:color="auto"/>
      </w:divBdr>
    </w:div>
    <w:div w:id="1963339604">
      <w:bodyDiv w:val="1"/>
      <w:marLeft w:val="0"/>
      <w:marRight w:val="0"/>
      <w:marTop w:val="0"/>
      <w:marBottom w:val="0"/>
      <w:divBdr>
        <w:top w:val="none" w:sz="0" w:space="0" w:color="auto"/>
        <w:left w:val="none" w:sz="0" w:space="0" w:color="auto"/>
        <w:bottom w:val="none" w:sz="0" w:space="0" w:color="auto"/>
        <w:right w:val="none" w:sz="0" w:space="0" w:color="auto"/>
      </w:divBdr>
    </w:div>
    <w:div w:id="1964144688">
      <w:bodyDiv w:val="1"/>
      <w:marLeft w:val="0"/>
      <w:marRight w:val="0"/>
      <w:marTop w:val="0"/>
      <w:marBottom w:val="0"/>
      <w:divBdr>
        <w:top w:val="none" w:sz="0" w:space="0" w:color="auto"/>
        <w:left w:val="none" w:sz="0" w:space="0" w:color="auto"/>
        <w:bottom w:val="none" w:sz="0" w:space="0" w:color="auto"/>
        <w:right w:val="none" w:sz="0" w:space="0" w:color="auto"/>
      </w:divBdr>
    </w:div>
    <w:div w:id="1971276042">
      <w:bodyDiv w:val="1"/>
      <w:marLeft w:val="0"/>
      <w:marRight w:val="0"/>
      <w:marTop w:val="0"/>
      <w:marBottom w:val="0"/>
      <w:divBdr>
        <w:top w:val="none" w:sz="0" w:space="0" w:color="auto"/>
        <w:left w:val="none" w:sz="0" w:space="0" w:color="auto"/>
        <w:bottom w:val="none" w:sz="0" w:space="0" w:color="auto"/>
        <w:right w:val="none" w:sz="0" w:space="0" w:color="auto"/>
      </w:divBdr>
    </w:div>
    <w:div w:id="1975407068">
      <w:bodyDiv w:val="1"/>
      <w:marLeft w:val="0"/>
      <w:marRight w:val="0"/>
      <w:marTop w:val="0"/>
      <w:marBottom w:val="0"/>
      <w:divBdr>
        <w:top w:val="none" w:sz="0" w:space="0" w:color="auto"/>
        <w:left w:val="none" w:sz="0" w:space="0" w:color="auto"/>
        <w:bottom w:val="none" w:sz="0" w:space="0" w:color="auto"/>
        <w:right w:val="none" w:sz="0" w:space="0" w:color="auto"/>
      </w:divBdr>
    </w:div>
    <w:div w:id="1976982545">
      <w:bodyDiv w:val="1"/>
      <w:marLeft w:val="0"/>
      <w:marRight w:val="0"/>
      <w:marTop w:val="0"/>
      <w:marBottom w:val="0"/>
      <w:divBdr>
        <w:top w:val="none" w:sz="0" w:space="0" w:color="auto"/>
        <w:left w:val="none" w:sz="0" w:space="0" w:color="auto"/>
        <w:bottom w:val="none" w:sz="0" w:space="0" w:color="auto"/>
        <w:right w:val="none" w:sz="0" w:space="0" w:color="auto"/>
      </w:divBdr>
    </w:div>
    <w:div w:id="1980380322">
      <w:bodyDiv w:val="1"/>
      <w:marLeft w:val="0"/>
      <w:marRight w:val="0"/>
      <w:marTop w:val="0"/>
      <w:marBottom w:val="0"/>
      <w:divBdr>
        <w:top w:val="none" w:sz="0" w:space="0" w:color="auto"/>
        <w:left w:val="none" w:sz="0" w:space="0" w:color="auto"/>
        <w:bottom w:val="none" w:sz="0" w:space="0" w:color="auto"/>
        <w:right w:val="none" w:sz="0" w:space="0" w:color="auto"/>
      </w:divBdr>
    </w:div>
    <w:div w:id="1981381056">
      <w:bodyDiv w:val="1"/>
      <w:marLeft w:val="0"/>
      <w:marRight w:val="0"/>
      <w:marTop w:val="0"/>
      <w:marBottom w:val="0"/>
      <w:divBdr>
        <w:top w:val="none" w:sz="0" w:space="0" w:color="auto"/>
        <w:left w:val="none" w:sz="0" w:space="0" w:color="auto"/>
        <w:bottom w:val="none" w:sz="0" w:space="0" w:color="auto"/>
        <w:right w:val="none" w:sz="0" w:space="0" w:color="auto"/>
      </w:divBdr>
    </w:div>
    <w:div w:id="1981763665">
      <w:bodyDiv w:val="1"/>
      <w:marLeft w:val="0"/>
      <w:marRight w:val="0"/>
      <w:marTop w:val="0"/>
      <w:marBottom w:val="0"/>
      <w:divBdr>
        <w:top w:val="none" w:sz="0" w:space="0" w:color="auto"/>
        <w:left w:val="none" w:sz="0" w:space="0" w:color="auto"/>
        <w:bottom w:val="none" w:sz="0" w:space="0" w:color="auto"/>
        <w:right w:val="none" w:sz="0" w:space="0" w:color="auto"/>
      </w:divBdr>
    </w:div>
    <w:div w:id="1983653946">
      <w:bodyDiv w:val="1"/>
      <w:marLeft w:val="0"/>
      <w:marRight w:val="0"/>
      <w:marTop w:val="0"/>
      <w:marBottom w:val="0"/>
      <w:divBdr>
        <w:top w:val="none" w:sz="0" w:space="0" w:color="auto"/>
        <w:left w:val="none" w:sz="0" w:space="0" w:color="auto"/>
        <w:bottom w:val="none" w:sz="0" w:space="0" w:color="auto"/>
        <w:right w:val="none" w:sz="0" w:space="0" w:color="auto"/>
      </w:divBdr>
    </w:div>
    <w:div w:id="1984118176">
      <w:bodyDiv w:val="1"/>
      <w:marLeft w:val="0"/>
      <w:marRight w:val="0"/>
      <w:marTop w:val="0"/>
      <w:marBottom w:val="0"/>
      <w:divBdr>
        <w:top w:val="none" w:sz="0" w:space="0" w:color="auto"/>
        <w:left w:val="none" w:sz="0" w:space="0" w:color="auto"/>
        <w:bottom w:val="none" w:sz="0" w:space="0" w:color="auto"/>
        <w:right w:val="none" w:sz="0" w:space="0" w:color="auto"/>
      </w:divBdr>
    </w:div>
    <w:div w:id="1986352738">
      <w:bodyDiv w:val="1"/>
      <w:marLeft w:val="0"/>
      <w:marRight w:val="0"/>
      <w:marTop w:val="0"/>
      <w:marBottom w:val="0"/>
      <w:divBdr>
        <w:top w:val="none" w:sz="0" w:space="0" w:color="auto"/>
        <w:left w:val="none" w:sz="0" w:space="0" w:color="auto"/>
        <w:bottom w:val="none" w:sz="0" w:space="0" w:color="auto"/>
        <w:right w:val="none" w:sz="0" w:space="0" w:color="auto"/>
      </w:divBdr>
    </w:div>
    <w:div w:id="1987512569">
      <w:bodyDiv w:val="1"/>
      <w:marLeft w:val="0"/>
      <w:marRight w:val="0"/>
      <w:marTop w:val="0"/>
      <w:marBottom w:val="0"/>
      <w:divBdr>
        <w:top w:val="none" w:sz="0" w:space="0" w:color="auto"/>
        <w:left w:val="none" w:sz="0" w:space="0" w:color="auto"/>
        <w:bottom w:val="none" w:sz="0" w:space="0" w:color="auto"/>
        <w:right w:val="none" w:sz="0" w:space="0" w:color="auto"/>
      </w:divBdr>
    </w:div>
    <w:div w:id="1988704477">
      <w:bodyDiv w:val="1"/>
      <w:marLeft w:val="0"/>
      <w:marRight w:val="0"/>
      <w:marTop w:val="0"/>
      <w:marBottom w:val="0"/>
      <w:divBdr>
        <w:top w:val="none" w:sz="0" w:space="0" w:color="auto"/>
        <w:left w:val="none" w:sz="0" w:space="0" w:color="auto"/>
        <w:bottom w:val="none" w:sz="0" w:space="0" w:color="auto"/>
        <w:right w:val="none" w:sz="0" w:space="0" w:color="auto"/>
      </w:divBdr>
    </w:div>
    <w:div w:id="1990748235">
      <w:bodyDiv w:val="1"/>
      <w:marLeft w:val="0"/>
      <w:marRight w:val="0"/>
      <w:marTop w:val="0"/>
      <w:marBottom w:val="0"/>
      <w:divBdr>
        <w:top w:val="none" w:sz="0" w:space="0" w:color="auto"/>
        <w:left w:val="none" w:sz="0" w:space="0" w:color="auto"/>
        <w:bottom w:val="none" w:sz="0" w:space="0" w:color="auto"/>
        <w:right w:val="none" w:sz="0" w:space="0" w:color="auto"/>
      </w:divBdr>
    </w:div>
    <w:div w:id="1992171138">
      <w:bodyDiv w:val="1"/>
      <w:marLeft w:val="0"/>
      <w:marRight w:val="0"/>
      <w:marTop w:val="0"/>
      <w:marBottom w:val="0"/>
      <w:divBdr>
        <w:top w:val="none" w:sz="0" w:space="0" w:color="auto"/>
        <w:left w:val="none" w:sz="0" w:space="0" w:color="auto"/>
        <w:bottom w:val="none" w:sz="0" w:space="0" w:color="auto"/>
        <w:right w:val="none" w:sz="0" w:space="0" w:color="auto"/>
      </w:divBdr>
    </w:div>
    <w:div w:id="1994524322">
      <w:bodyDiv w:val="1"/>
      <w:marLeft w:val="0"/>
      <w:marRight w:val="0"/>
      <w:marTop w:val="0"/>
      <w:marBottom w:val="0"/>
      <w:divBdr>
        <w:top w:val="none" w:sz="0" w:space="0" w:color="auto"/>
        <w:left w:val="none" w:sz="0" w:space="0" w:color="auto"/>
        <w:bottom w:val="none" w:sz="0" w:space="0" w:color="auto"/>
        <w:right w:val="none" w:sz="0" w:space="0" w:color="auto"/>
      </w:divBdr>
    </w:div>
    <w:div w:id="1995134953">
      <w:bodyDiv w:val="1"/>
      <w:marLeft w:val="0"/>
      <w:marRight w:val="0"/>
      <w:marTop w:val="0"/>
      <w:marBottom w:val="0"/>
      <w:divBdr>
        <w:top w:val="none" w:sz="0" w:space="0" w:color="auto"/>
        <w:left w:val="none" w:sz="0" w:space="0" w:color="auto"/>
        <w:bottom w:val="none" w:sz="0" w:space="0" w:color="auto"/>
        <w:right w:val="none" w:sz="0" w:space="0" w:color="auto"/>
      </w:divBdr>
    </w:div>
    <w:div w:id="1996643293">
      <w:bodyDiv w:val="1"/>
      <w:marLeft w:val="0"/>
      <w:marRight w:val="0"/>
      <w:marTop w:val="0"/>
      <w:marBottom w:val="0"/>
      <w:divBdr>
        <w:top w:val="none" w:sz="0" w:space="0" w:color="auto"/>
        <w:left w:val="none" w:sz="0" w:space="0" w:color="auto"/>
        <w:bottom w:val="none" w:sz="0" w:space="0" w:color="auto"/>
        <w:right w:val="none" w:sz="0" w:space="0" w:color="auto"/>
      </w:divBdr>
    </w:div>
    <w:div w:id="1998608687">
      <w:bodyDiv w:val="1"/>
      <w:marLeft w:val="0"/>
      <w:marRight w:val="0"/>
      <w:marTop w:val="0"/>
      <w:marBottom w:val="0"/>
      <w:divBdr>
        <w:top w:val="none" w:sz="0" w:space="0" w:color="auto"/>
        <w:left w:val="none" w:sz="0" w:space="0" w:color="auto"/>
        <w:bottom w:val="none" w:sz="0" w:space="0" w:color="auto"/>
        <w:right w:val="none" w:sz="0" w:space="0" w:color="auto"/>
      </w:divBdr>
    </w:div>
    <w:div w:id="1999259446">
      <w:bodyDiv w:val="1"/>
      <w:marLeft w:val="0"/>
      <w:marRight w:val="0"/>
      <w:marTop w:val="0"/>
      <w:marBottom w:val="0"/>
      <w:divBdr>
        <w:top w:val="none" w:sz="0" w:space="0" w:color="auto"/>
        <w:left w:val="none" w:sz="0" w:space="0" w:color="auto"/>
        <w:bottom w:val="none" w:sz="0" w:space="0" w:color="auto"/>
        <w:right w:val="none" w:sz="0" w:space="0" w:color="auto"/>
      </w:divBdr>
    </w:div>
    <w:div w:id="2001156211">
      <w:bodyDiv w:val="1"/>
      <w:marLeft w:val="0"/>
      <w:marRight w:val="0"/>
      <w:marTop w:val="0"/>
      <w:marBottom w:val="0"/>
      <w:divBdr>
        <w:top w:val="none" w:sz="0" w:space="0" w:color="auto"/>
        <w:left w:val="none" w:sz="0" w:space="0" w:color="auto"/>
        <w:bottom w:val="none" w:sz="0" w:space="0" w:color="auto"/>
        <w:right w:val="none" w:sz="0" w:space="0" w:color="auto"/>
      </w:divBdr>
    </w:div>
    <w:div w:id="2005929559">
      <w:bodyDiv w:val="1"/>
      <w:marLeft w:val="0"/>
      <w:marRight w:val="0"/>
      <w:marTop w:val="0"/>
      <w:marBottom w:val="0"/>
      <w:divBdr>
        <w:top w:val="none" w:sz="0" w:space="0" w:color="auto"/>
        <w:left w:val="none" w:sz="0" w:space="0" w:color="auto"/>
        <w:bottom w:val="none" w:sz="0" w:space="0" w:color="auto"/>
        <w:right w:val="none" w:sz="0" w:space="0" w:color="auto"/>
      </w:divBdr>
    </w:div>
    <w:div w:id="2011716043">
      <w:bodyDiv w:val="1"/>
      <w:marLeft w:val="0"/>
      <w:marRight w:val="0"/>
      <w:marTop w:val="0"/>
      <w:marBottom w:val="0"/>
      <w:divBdr>
        <w:top w:val="none" w:sz="0" w:space="0" w:color="auto"/>
        <w:left w:val="none" w:sz="0" w:space="0" w:color="auto"/>
        <w:bottom w:val="none" w:sz="0" w:space="0" w:color="auto"/>
        <w:right w:val="none" w:sz="0" w:space="0" w:color="auto"/>
      </w:divBdr>
    </w:div>
    <w:div w:id="2011830060">
      <w:bodyDiv w:val="1"/>
      <w:marLeft w:val="0"/>
      <w:marRight w:val="0"/>
      <w:marTop w:val="0"/>
      <w:marBottom w:val="0"/>
      <w:divBdr>
        <w:top w:val="none" w:sz="0" w:space="0" w:color="auto"/>
        <w:left w:val="none" w:sz="0" w:space="0" w:color="auto"/>
        <w:bottom w:val="none" w:sz="0" w:space="0" w:color="auto"/>
        <w:right w:val="none" w:sz="0" w:space="0" w:color="auto"/>
      </w:divBdr>
    </w:div>
    <w:div w:id="2014451556">
      <w:bodyDiv w:val="1"/>
      <w:marLeft w:val="0"/>
      <w:marRight w:val="0"/>
      <w:marTop w:val="0"/>
      <w:marBottom w:val="0"/>
      <w:divBdr>
        <w:top w:val="none" w:sz="0" w:space="0" w:color="auto"/>
        <w:left w:val="none" w:sz="0" w:space="0" w:color="auto"/>
        <w:bottom w:val="none" w:sz="0" w:space="0" w:color="auto"/>
        <w:right w:val="none" w:sz="0" w:space="0" w:color="auto"/>
      </w:divBdr>
    </w:div>
    <w:div w:id="2014604326">
      <w:bodyDiv w:val="1"/>
      <w:marLeft w:val="0"/>
      <w:marRight w:val="0"/>
      <w:marTop w:val="0"/>
      <w:marBottom w:val="0"/>
      <w:divBdr>
        <w:top w:val="none" w:sz="0" w:space="0" w:color="auto"/>
        <w:left w:val="none" w:sz="0" w:space="0" w:color="auto"/>
        <w:bottom w:val="none" w:sz="0" w:space="0" w:color="auto"/>
        <w:right w:val="none" w:sz="0" w:space="0" w:color="auto"/>
      </w:divBdr>
    </w:div>
    <w:div w:id="2019035808">
      <w:bodyDiv w:val="1"/>
      <w:marLeft w:val="0"/>
      <w:marRight w:val="0"/>
      <w:marTop w:val="0"/>
      <w:marBottom w:val="0"/>
      <w:divBdr>
        <w:top w:val="none" w:sz="0" w:space="0" w:color="auto"/>
        <w:left w:val="none" w:sz="0" w:space="0" w:color="auto"/>
        <w:bottom w:val="none" w:sz="0" w:space="0" w:color="auto"/>
        <w:right w:val="none" w:sz="0" w:space="0" w:color="auto"/>
      </w:divBdr>
    </w:div>
    <w:div w:id="2019194247">
      <w:bodyDiv w:val="1"/>
      <w:marLeft w:val="0"/>
      <w:marRight w:val="0"/>
      <w:marTop w:val="0"/>
      <w:marBottom w:val="0"/>
      <w:divBdr>
        <w:top w:val="none" w:sz="0" w:space="0" w:color="auto"/>
        <w:left w:val="none" w:sz="0" w:space="0" w:color="auto"/>
        <w:bottom w:val="none" w:sz="0" w:space="0" w:color="auto"/>
        <w:right w:val="none" w:sz="0" w:space="0" w:color="auto"/>
      </w:divBdr>
    </w:div>
    <w:div w:id="2019233482">
      <w:bodyDiv w:val="1"/>
      <w:marLeft w:val="0"/>
      <w:marRight w:val="0"/>
      <w:marTop w:val="0"/>
      <w:marBottom w:val="0"/>
      <w:divBdr>
        <w:top w:val="none" w:sz="0" w:space="0" w:color="auto"/>
        <w:left w:val="none" w:sz="0" w:space="0" w:color="auto"/>
        <w:bottom w:val="none" w:sz="0" w:space="0" w:color="auto"/>
        <w:right w:val="none" w:sz="0" w:space="0" w:color="auto"/>
      </w:divBdr>
    </w:div>
    <w:div w:id="2020228750">
      <w:bodyDiv w:val="1"/>
      <w:marLeft w:val="0"/>
      <w:marRight w:val="0"/>
      <w:marTop w:val="0"/>
      <w:marBottom w:val="0"/>
      <w:divBdr>
        <w:top w:val="none" w:sz="0" w:space="0" w:color="auto"/>
        <w:left w:val="none" w:sz="0" w:space="0" w:color="auto"/>
        <w:bottom w:val="none" w:sz="0" w:space="0" w:color="auto"/>
        <w:right w:val="none" w:sz="0" w:space="0" w:color="auto"/>
      </w:divBdr>
    </w:div>
    <w:div w:id="2020698077">
      <w:bodyDiv w:val="1"/>
      <w:marLeft w:val="0"/>
      <w:marRight w:val="0"/>
      <w:marTop w:val="0"/>
      <w:marBottom w:val="0"/>
      <w:divBdr>
        <w:top w:val="none" w:sz="0" w:space="0" w:color="auto"/>
        <w:left w:val="none" w:sz="0" w:space="0" w:color="auto"/>
        <w:bottom w:val="none" w:sz="0" w:space="0" w:color="auto"/>
        <w:right w:val="none" w:sz="0" w:space="0" w:color="auto"/>
      </w:divBdr>
    </w:div>
    <w:div w:id="2023387268">
      <w:bodyDiv w:val="1"/>
      <w:marLeft w:val="0"/>
      <w:marRight w:val="0"/>
      <w:marTop w:val="0"/>
      <w:marBottom w:val="0"/>
      <w:divBdr>
        <w:top w:val="none" w:sz="0" w:space="0" w:color="auto"/>
        <w:left w:val="none" w:sz="0" w:space="0" w:color="auto"/>
        <w:bottom w:val="none" w:sz="0" w:space="0" w:color="auto"/>
        <w:right w:val="none" w:sz="0" w:space="0" w:color="auto"/>
      </w:divBdr>
    </w:div>
    <w:div w:id="2025278590">
      <w:bodyDiv w:val="1"/>
      <w:marLeft w:val="0"/>
      <w:marRight w:val="0"/>
      <w:marTop w:val="0"/>
      <w:marBottom w:val="0"/>
      <w:divBdr>
        <w:top w:val="none" w:sz="0" w:space="0" w:color="auto"/>
        <w:left w:val="none" w:sz="0" w:space="0" w:color="auto"/>
        <w:bottom w:val="none" w:sz="0" w:space="0" w:color="auto"/>
        <w:right w:val="none" w:sz="0" w:space="0" w:color="auto"/>
      </w:divBdr>
    </w:div>
    <w:div w:id="2027097957">
      <w:bodyDiv w:val="1"/>
      <w:marLeft w:val="0"/>
      <w:marRight w:val="0"/>
      <w:marTop w:val="0"/>
      <w:marBottom w:val="0"/>
      <w:divBdr>
        <w:top w:val="none" w:sz="0" w:space="0" w:color="auto"/>
        <w:left w:val="none" w:sz="0" w:space="0" w:color="auto"/>
        <w:bottom w:val="none" w:sz="0" w:space="0" w:color="auto"/>
        <w:right w:val="none" w:sz="0" w:space="0" w:color="auto"/>
      </w:divBdr>
    </w:div>
    <w:div w:id="2028680036">
      <w:bodyDiv w:val="1"/>
      <w:marLeft w:val="0"/>
      <w:marRight w:val="0"/>
      <w:marTop w:val="0"/>
      <w:marBottom w:val="0"/>
      <w:divBdr>
        <w:top w:val="none" w:sz="0" w:space="0" w:color="auto"/>
        <w:left w:val="none" w:sz="0" w:space="0" w:color="auto"/>
        <w:bottom w:val="none" w:sz="0" w:space="0" w:color="auto"/>
        <w:right w:val="none" w:sz="0" w:space="0" w:color="auto"/>
      </w:divBdr>
    </w:div>
    <w:div w:id="2029334332">
      <w:bodyDiv w:val="1"/>
      <w:marLeft w:val="0"/>
      <w:marRight w:val="0"/>
      <w:marTop w:val="0"/>
      <w:marBottom w:val="0"/>
      <w:divBdr>
        <w:top w:val="none" w:sz="0" w:space="0" w:color="auto"/>
        <w:left w:val="none" w:sz="0" w:space="0" w:color="auto"/>
        <w:bottom w:val="none" w:sz="0" w:space="0" w:color="auto"/>
        <w:right w:val="none" w:sz="0" w:space="0" w:color="auto"/>
      </w:divBdr>
    </w:div>
    <w:div w:id="2029601545">
      <w:bodyDiv w:val="1"/>
      <w:marLeft w:val="0"/>
      <w:marRight w:val="0"/>
      <w:marTop w:val="0"/>
      <w:marBottom w:val="0"/>
      <w:divBdr>
        <w:top w:val="none" w:sz="0" w:space="0" w:color="auto"/>
        <w:left w:val="none" w:sz="0" w:space="0" w:color="auto"/>
        <w:bottom w:val="none" w:sz="0" w:space="0" w:color="auto"/>
        <w:right w:val="none" w:sz="0" w:space="0" w:color="auto"/>
      </w:divBdr>
    </w:div>
    <w:div w:id="2030401258">
      <w:bodyDiv w:val="1"/>
      <w:marLeft w:val="0"/>
      <w:marRight w:val="0"/>
      <w:marTop w:val="0"/>
      <w:marBottom w:val="0"/>
      <w:divBdr>
        <w:top w:val="none" w:sz="0" w:space="0" w:color="auto"/>
        <w:left w:val="none" w:sz="0" w:space="0" w:color="auto"/>
        <w:bottom w:val="none" w:sz="0" w:space="0" w:color="auto"/>
        <w:right w:val="none" w:sz="0" w:space="0" w:color="auto"/>
      </w:divBdr>
    </w:div>
    <w:div w:id="2037459971">
      <w:bodyDiv w:val="1"/>
      <w:marLeft w:val="0"/>
      <w:marRight w:val="0"/>
      <w:marTop w:val="0"/>
      <w:marBottom w:val="0"/>
      <w:divBdr>
        <w:top w:val="none" w:sz="0" w:space="0" w:color="auto"/>
        <w:left w:val="none" w:sz="0" w:space="0" w:color="auto"/>
        <w:bottom w:val="none" w:sz="0" w:space="0" w:color="auto"/>
        <w:right w:val="none" w:sz="0" w:space="0" w:color="auto"/>
      </w:divBdr>
    </w:div>
    <w:div w:id="2038849766">
      <w:bodyDiv w:val="1"/>
      <w:marLeft w:val="0"/>
      <w:marRight w:val="0"/>
      <w:marTop w:val="0"/>
      <w:marBottom w:val="0"/>
      <w:divBdr>
        <w:top w:val="none" w:sz="0" w:space="0" w:color="auto"/>
        <w:left w:val="none" w:sz="0" w:space="0" w:color="auto"/>
        <w:bottom w:val="none" w:sz="0" w:space="0" w:color="auto"/>
        <w:right w:val="none" w:sz="0" w:space="0" w:color="auto"/>
      </w:divBdr>
    </w:div>
    <w:div w:id="2040662985">
      <w:bodyDiv w:val="1"/>
      <w:marLeft w:val="0"/>
      <w:marRight w:val="0"/>
      <w:marTop w:val="0"/>
      <w:marBottom w:val="0"/>
      <w:divBdr>
        <w:top w:val="none" w:sz="0" w:space="0" w:color="auto"/>
        <w:left w:val="none" w:sz="0" w:space="0" w:color="auto"/>
        <w:bottom w:val="none" w:sz="0" w:space="0" w:color="auto"/>
        <w:right w:val="none" w:sz="0" w:space="0" w:color="auto"/>
      </w:divBdr>
    </w:div>
    <w:div w:id="2042777466">
      <w:bodyDiv w:val="1"/>
      <w:marLeft w:val="0"/>
      <w:marRight w:val="0"/>
      <w:marTop w:val="0"/>
      <w:marBottom w:val="0"/>
      <w:divBdr>
        <w:top w:val="none" w:sz="0" w:space="0" w:color="auto"/>
        <w:left w:val="none" w:sz="0" w:space="0" w:color="auto"/>
        <w:bottom w:val="none" w:sz="0" w:space="0" w:color="auto"/>
        <w:right w:val="none" w:sz="0" w:space="0" w:color="auto"/>
      </w:divBdr>
    </w:div>
    <w:div w:id="2042780196">
      <w:bodyDiv w:val="1"/>
      <w:marLeft w:val="0"/>
      <w:marRight w:val="0"/>
      <w:marTop w:val="0"/>
      <w:marBottom w:val="0"/>
      <w:divBdr>
        <w:top w:val="none" w:sz="0" w:space="0" w:color="auto"/>
        <w:left w:val="none" w:sz="0" w:space="0" w:color="auto"/>
        <w:bottom w:val="none" w:sz="0" w:space="0" w:color="auto"/>
        <w:right w:val="none" w:sz="0" w:space="0" w:color="auto"/>
      </w:divBdr>
    </w:div>
    <w:div w:id="2043245561">
      <w:bodyDiv w:val="1"/>
      <w:marLeft w:val="0"/>
      <w:marRight w:val="0"/>
      <w:marTop w:val="0"/>
      <w:marBottom w:val="0"/>
      <w:divBdr>
        <w:top w:val="none" w:sz="0" w:space="0" w:color="auto"/>
        <w:left w:val="none" w:sz="0" w:space="0" w:color="auto"/>
        <w:bottom w:val="none" w:sz="0" w:space="0" w:color="auto"/>
        <w:right w:val="none" w:sz="0" w:space="0" w:color="auto"/>
      </w:divBdr>
    </w:div>
    <w:div w:id="2043551392">
      <w:bodyDiv w:val="1"/>
      <w:marLeft w:val="0"/>
      <w:marRight w:val="0"/>
      <w:marTop w:val="0"/>
      <w:marBottom w:val="0"/>
      <w:divBdr>
        <w:top w:val="none" w:sz="0" w:space="0" w:color="auto"/>
        <w:left w:val="none" w:sz="0" w:space="0" w:color="auto"/>
        <w:bottom w:val="none" w:sz="0" w:space="0" w:color="auto"/>
        <w:right w:val="none" w:sz="0" w:space="0" w:color="auto"/>
      </w:divBdr>
    </w:div>
    <w:div w:id="2045475730">
      <w:bodyDiv w:val="1"/>
      <w:marLeft w:val="0"/>
      <w:marRight w:val="0"/>
      <w:marTop w:val="0"/>
      <w:marBottom w:val="0"/>
      <w:divBdr>
        <w:top w:val="none" w:sz="0" w:space="0" w:color="auto"/>
        <w:left w:val="none" w:sz="0" w:space="0" w:color="auto"/>
        <w:bottom w:val="none" w:sz="0" w:space="0" w:color="auto"/>
        <w:right w:val="none" w:sz="0" w:space="0" w:color="auto"/>
      </w:divBdr>
    </w:div>
    <w:div w:id="2046251289">
      <w:bodyDiv w:val="1"/>
      <w:marLeft w:val="0"/>
      <w:marRight w:val="0"/>
      <w:marTop w:val="0"/>
      <w:marBottom w:val="0"/>
      <w:divBdr>
        <w:top w:val="none" w:sz="0" w:space="0" w:color="auto"/>
        <w:left w:val="none" w:sz="0" w:space="0" w:color="auto"/>
        <w:bottom w:val="none" w:sz="0" w:space="0" w:color="auto"/>
        <w:right w:val="none" w:sz="0" w:space="0" w:color="auto"/>
      </w:divBdr>
    </w:div>
    <w:div w:id="2049065439">
      <w:bodyDiv w:val="1"/>
      <w:marLeft w:val="0"/>
      <w:marRight w:val="0"/>
      <w:marTop w:val="0"/>
      <w:marBottom w:val="0"/>
      <w:divBdr>
        <w:top w:val="none" w:sz="0" w:space="0" w:color="auto"/>
        <w:left w:val="none" w:sz="0" w:space="0" w:color="auto"/>
        <w:bottom w:val="none" w:sz="0" w:space="0" w:color="auto"/>
        <w:right w:val="none" w:sz="0" w:space="0" w:color="auto"/>
      </w:divBdr>
    </w:div>
    <w:div w:id="2052461739">
      <w:bodyDiv w:val="1"/>
      <w:marLeft w:val="0"/>
      <w:marRight w:val="0"/>
      <w:marTop w:val="0"/>
      <w:marBottom w:val="0"/>
      <w:divBdr>
        <w:top w:val="none" w:sz="0" w:space="0" w:color="auto"/>
        <w:left w:val="none" w:sz="0" w:space="0" w:color="auto"/>
        <w:bottom w:val="none" w:sz="0" w:space="0" w:color="auto"/>
        <w:right w:val="none" w:sz="0" w:space="0" w:color="auto"/>
      </w:divBdr>
    </w:div>
    <w:div w:id="2054192333">
      <w:bodyDiv w:val="1"/>
      <w:marLeft w:val="0"/>
      <w:marRight w:val="0"/>
      <w:marTop w:val="0"/>
      <w:marBottom w:val="0"/>
      <w:divBdr>
        <w:top w:val="none" w:sz="0" w:space="0" w:color="auto"/>
        <w:left w:val="none" w:sz="0" w:space="0" w:color="auto"/>
        <w:bottom w:val="none" w:sz="0" w:space="0" w:color="auto"/>
        <w:right w:val="none" w:sz="0" w:space="0" w:color="auto"/>
      </w:divBdr>
    </w:div>
    <w:div w:id="2054620854">
      <w:bodyDiv w:val="1"/>
      <w:marLeft w:val="0"/>
      <w:marRight w:val="0"/>
      <w:marTop w:val="0"/>
      <w:marBottom w:val="0"/>
      <w:divBdr>
        <w:top w:val="none" w:sz="0" w:space="0" w:color="auto"/>
        <w:left w:val="none" w:sz="0" w:space="0" w:color="auto"/>
        <w:bottom w:val="none" w:sz="0" w:space="0" w:color="auto"/>
        <w:right w:val="none" w:sz="0" w:space="0" w:color="auto"/>
      </w:divBdr>
    </w:div>
    <w:div w:id="2055539338">
      <w:bodyDiv w:val="1"/>
      <w:marLeft w:val="0"/>
      <w:marRight w:val="0"/>
      <w:marTop w:val="0"/>
      <w:marBottom w:val="0"/>
      <w:divBdr>
        <w:top w:val="none" w:sz="0" w:space="0" w:color="auto"/>
        <w:left w:val="none" w:sz="0" w:space="0" w:color="auto"/>
        <w:bottom w:val="none" w:sz="0" w:space="0" w:color="auto"/>
        <w:right w:val="none" w:sz="0" w:space="0" w:color="auto"/>
      </w:divBdr>
    </w:div>
    <w:div w:id="2056001992">
      <w:bodyDiv w:val="1"/>
      <w:marLeft w:val="0"/>
      <w:marRight w:val="0"/>
      <w:marTop w:val="0"/>
      <w:marBottom w:val="0"/>
      <w:divBdr>
        <w:top w:val="none" w:sz="0" w:space="0" w:color="auto"/>
        <w:left w:val="none" w:sz="0" w:space="0" w:color="auto"/>
        <w:bottom w:val="none" w:sz="0" w:space="0" w:color="auto"/>
        <w:right w:val="none" w:sz="0" w:space="0" w:color="auto"/>
      </w:divBdr>
    </w:div>
    <w:div w:id="2057776531">
      <w:bodyDiv w:val="1"/>
      <w:marLeft w:val="0"/>
      <w:marRight w:val="0"/>
      <w:marTop w:val="0"/>
      <w:marBottom w:val="0"/>
      <w:divBdr>
        <w:top w:val="none" w:sz="0" w:space="0" w:color="auto"/>
        <w:left w:val="none" w:sz="0" w:space="0" w:color="auto"/>
        <w:bottom w:val="none" w:sz="0" w:space="0" w:color="auto"/>
        <w:right w:val="none" w:sz="0" w:space="0" w:color="auto"/>
      </w:divBdr>
    </w:div>
    <w:div w:id="2058312728">
      <w:bodyDiv w:val="1"/>
      <w:marLeft w:val="0"/>
      <w:marRight w:val="0"/>
      <w:marTop w:val="0"/>
      <w:marBottom w:val="0"/>
      <w:divBdr>
        <w:top w:val="none" w:sz="0" w:space="0" w:color="auto"/>
        <w:left w:val="none" w:sz="0" w:space="0" w:color="auto"/>
        <w:bottom w:val="none" w:sz="0" w:space="0" w:color="auto"/>
        <w:right w:val="none" w:sz="0" w:space="0" w:color="auto"/>
      </w:divBdr>
    </w:div>
    <w:div w:id="2059937536">
      <w:bodyDiv w:val="1"/>
      <w:marLeft w:val="0"/>
      <w:marRight w:val="0"/>
      <w:marTop w:val="0"/>
      <w:marBottom w:val="0"/>
      <w:divBdr>
        <w:top w:val="none" w:sz="0" w:space="0" w:color="auto"/>
        <w:left w:val="none" w:sz="0" w:space="0" w:color="auto"/>
        <w:bottom w:val="none" w:sz="0" w:space="0" w:color="auto"/>
        <w:right w:val="none" w:sz="0" w:space="0" w:color="auto"/>
      </w:divBdr>
    </w:div>
    <w:div w:id="2061704826">
      <w:bodyDiv w:val="1"/>
      <w:marLeft w:val="0"/>
      <w:marRight w:val="0"/>
      <w:marTop w:val="0"/>
      <w:marBottom w:val="0"/>
      <w:divBdr>
        <w:top w:val="none" w:sz="0" w:space="0" w:color="auto"/>
        <w:left w:val="none" w:sz="0" w:space="0" w:color="auto"/>
        <w:bottom w:val="none" w:sz="0" w:space="0" w:color="auto"/>
        <w:right w:val="none" w:sz="0" w:space="0" w:color="auto"/>
      </w:divBdr>
    </w:div>
    <w:div w:id="2067214508">
      <w:bodyDiv w:val="1"/>
      <w:marLeft w:val="0"/>
      <w:marRight w:val="0"/>
      <w:marTop w:val="0"/>
      <w:marBottom w:val="0"/>
      <w:divBdr>
        <w:top w:val="none" w:sz="0" w:space="0" w:color="auto"/>
        <w:left w:val="none" w:sz="0" w:space="0" w:color="auto"/>
        <w:bottom w:val="none" w:sz="0" w:space="0" w:color="auto"/>
        <w:right w:val="none" w:sz="0" w:space="0" w:color="auto"/>
      </w:divBdr>
    </w:div>
    <w:div w:id="2069913172">
      <w:bodyDiv w:val="1"/>
      <w:marLeft w:val="0"/>
      <w:marRight w:val="0"/>
      <w:marTop w:val="0"/>
      <w:marBottom w:val="0"/>
      <w:divBdr>
        <w:top w:val="none" w:sz="0" w:space="0" w:color="auto"/>
        <w:left w:val="none" w:sz="0" w:space="0" w:color="auto"/>
        <w:bottom w:val="none" w:sz="0" w:space="0" w:color="auto"/>
        <w:right w:val="none" w:sz="0" w:space="0" w:color="auto"/>
      </w:divBdr>
    </w:div>
    <w:div w:id="2071227983">
      <w:bodyDiv w:val="1"/>
      <w:marLeft w:val="0"/>
      <w:marRight w:val="0"/>
      <w:marTop w:val="0"/>
      <w:marBottom w:val="0"/>
      <w:divBdr>
        <w:top w:val="none" w:sz="0" w:space="0" w:color="auto"/>
        <w:left w:val="none" w:sz="0" w:space="0" w:color="auto"/>
        <w:bottom w:val="none" w:sz="0" w:space="0" w:color="auto"/>
        <w:right w:val="none" w:sz="0" w:space="0" w:color="auto"/>
      </w:divBdr>
    </w:div>
    <w:div w:id="2072270910">
      <w:bodyDiv w:val="1"/>
      <w:marLeft w:val="0"/>
      <w:marRight w:val="0"/>
      <w:marTop w:val="0"/>
      <w:marBottom w:val="0"/>
      <w:divBdr>
        <w:top w:val="none" w:sz="0" w:space="0" w:color="auto"/>
        <w:left w:val="none" w:sz="0" w:space="0" w:color="auto"/>
        <w:bottom w:val="none" w:sz="0" w:space="0" w:color="auto"/>
        <w:right w:val="none" w:sz="0" w:space="0" w:color="auto"/>
      </w:divBdr>
    </w:div>
    <w:div w:id="2072581786">
      <w:bodyDiv w:val="1"/>
      <w:marLeft w:val="0"/>
      <w:marRight w:val="0"/>
      <w:marTop w:val="0"/>
      <w:marBottom w:val="0"/>
      <w:divBdr>
        <w:top w:val="none" w:sz="0" w:space="0" w:color="auto"/>
        <w:left w:val="none" w:sz="0" w:space="0" w:color="auto"/>
        <w:bottom w:val="none" w:sz="0" w:space="0" w:color="auto"/>
        <w:right w:val="none" w:sz="0" w:space="0" w:color="auto"/>
      </w:divBdr>
    </w:div>
    <w:div w:id="2073039981">
      <w:bodyDiv w:val="1"/>
      <w:marLeft w:val="0"/>
      <w:marRight w:val="0"/>
      <w:marTop w:val="0"/>
      <w:marBottom w:val="0"/>
      <w:divBdr>
        <w:top w:val="none" w:sz="0" w:space="0" w:color="auto"/>
        <w:left w:val="none" w:sz="0" w:space="0" w:color="auto"/>
        <w:bottom w:val="none" w:sz="0" w:space="0" w:color="auto"/>
        <w:right w:val="none" w:sz="0" w:space="0" w:color="auto"/>
      </w:divBdr>
    </w:div>
    <w:div w:id="2073237659">
      <w:bodyDiv w:val="1"/>
      <w:marLeft w:val="0"/>
      <w:marRight w:val="0"/>
      <w:marTop w:val="0"/>
      <w:marBottom w:val="0"/>
      <w:divBdr>
        <w:top w:val="none" w:sz="0" w:space="0" w:color="auto"/>
        <w:left w:val="none" w:sz="0" w:space="0" w:color="auto"/>
        <w:bottom w:val="none" w:sz="0" w:space="0" w:color="auto"/>
        <w:right w:val="none" w:sz="0" w:space="0" w:color="auto"/>
      </w:divBdr>
    </w:div>
    <w:div w:id="2074430969">
      <w:bodyDiv w:val="1"/>
      <w:marLeft w:val="0"/>
      <w:marRight w:val="0"/>
      <w:marTop w:val="0"/>
      <w:marBottom w:val="0"/>
      <w:divBdr>
        <w:top w:val="none" w:sz="0" w:space="0" w:color="auto"/>
        <w:left w:val="none" w:sz="0" w:space="0" w:color="auto"/>
        <w:bottom w:val="none" w:sz="0" w:space="0" w:color="auto"/>
        <w:right w:val="none" w:sz="0" w:space="0" w:color="auto"/>
      </w:divBdr>
    </w:div>
    <w:div w:id="2079354501">
      <w:bodyDiv w:val="1"/>
      <w:marLeft w:val="0"/>
      <w:marRight w:val="0"/>
      <w:marTop w:val="0"/>
      <w:marBottom w:val="0"/>
      <w:divBdr>
        <w:top w:val="none" w:sz="0" w:space="0" w:color="auto"/>
        <w:left w:val="none" w:sz="0" w:space="0" w:color="auto"/>
        <w:bottom w:val="none" w:sz="0" w:space="0" w:color="auto"/>
        <w:right w:val="none" w:sz="0" w:space="0" w:color="auto"/>
      </w:divBdr>
    </w:div>
    <w:div w:id="2085568543">
      <w:bodyDiv w:val="1"/>
      <w:marLeft w:val="0"/>
      <w:marRight w:val="0"/>
      <w:marTop w:val="0"/>
      <w:marBottom w:val="0"/>
      <w:divBdr>
        <w:top w:val="none" w:sz="0" w:space="0" w:color="auto"/>
        <w:left w:val="none" w:sz="0" w:space="0" w:color="auto"/>
        <w:bottom w:val="none" w:sz="0" w:space="0" w:color="auto"/>
        <w:right w:val="none" w:sz="0" w:space="0" w:color="auto"/>
      </w:divBdr>
    </w:div>
    <w:div w:id="2089955947">
      <w:bodyDiv w:val="1"/>
      <w:marLeft w:val="0"/>
      <w:marRight w:val="0"/>
      <w:marTop w:val="0"/>
      <w:marBottom w:val="0"/>
      <w:divBdr>
        <w:top w:val="none" w:sz="0" w:space="0" w:color="auto"/>
        <w:left w:val="none" w:sz="0" w:space="0" w:color="auto"/>
        <w:bottom w:val="none" w:sz="0" w:space="0" w:color="auto"/>
        <w:right w:val="none" w:sz="0" w:space="0" w:color="auto"/>
      </w:divBdr>
    </w:div>
    <w:div w:id="2090033803">
      <w:bodyDiv w:val="1"/>
      <w:marLeft w:val="0"/>
      <w:marRight w:val="0"/>
      <w:marTop w:val="0"/>
      <w:marBottom w:val="0"/>
      <w:divBdr>
        <w:top w:val="none" w:sz="0" w:space="0" w:color="auto"/>
        <w:left w:val="none" w:sz="0" w:space="0" w:color="auto"/>
        <w:bottom w:val="none" w:sz="0" w:space="0" w:color="auto"/>
        <w:right w:val="none" w:sz="0" w:space="0" w:color="auto"/>
      </w:divBdr>
    </w:div>
    <w:div w:id="2094890009">
      <w:bodyDiv w:val="1"/>
      <w:marLeft w:val="0"/>
      <w:marRight w:val="0"/>
      <w:marTop w:val="0"/>
      <w:marBottom w:val="0"/>
      <w:divBdr>
        <w:top w:val="none" w:sz="0" w:space="0" w:color="auto"/>
        <w:left w:val="none" w:sz="0" w:space="0" w:color="auto"/>
        <w:bottom w:val="none" w:sz="0" w:space="0" w:color="auto"/>
        <w:right w:val="none" w:sz="0" w:space="0" w:color="auto"/>
      </w:divBdr>
    </w:div>
    <w:div w:id="2099055069">
      <w:bodyDiv w:val="1"/>
      <w:marLeft w:val="0"/>
      <w:marRight w:val="0"/>
      <w:marTop w:val="0"/>
      <w:marBottom w:val="0"/>
      <w:divBdr>
        <w:top w:val="none" w:sz="0" w:space="0" w:color="auto"/>
        <w:left w:val="none" w:sz="0" w:space="0" w:color="auto"/>
        <w:bottom w:val="none" w:sz="0" w:space="0" w:color="auto"/>
        <w:right w:val="none" w:sz="0" w:space="0" w:color="auto"/>
      </w:divBdr>
    </w:div>
    <w:div w:id="2103531696">
      <w:bodyDiv w:val="1"/>
      <w:marLeft w:val="0"/>
      <w:marRight w:val="0"/>
      <w:marTop w:val="0"/>
      <w:marBottom w:val="0"/>
      <w:divBdr>
        <w:top w:val="none" w:sz="0" w:space="0" w:color="auto"/>
        <w:left w:val="none" w:sz="0" w:space="0" w:color="auto"/>
        <w:bottom w:val="none" w:sz="0" w:space="0" w:color="auto"/>
        <w:right w:val="none" w:sz="0" w:space="0" w:color="auto"/>
      </w:divBdr>
    </w:div>
    <w:div w:id="2105148789">
      <w:bodyDiv w:val="1"/>
      <w:marLeft w:val="0"/>
      <w:marRight w:val="0"/>
      <w:marTop w:val="0"/>
      <w:marBottom w:val="0"/>
      <w:divBdr>
        <w:top w:val="none" w:sz="0" w:space="0" w:color="auto"/>
        <w:left w:val="none" w:sz="0" w:space="0" w:color="auto"/>
        <w:bottom w:val="none" w:sz="0" w:space="0" w:color="auto"/>
        <w:right w:val="none" w:sz="0" w:space="0" w:color="auto"/>
      </w:divBdr>
    </w:div>
    <w:div w:id="2106025144">
      <w:bodyDiv w:val="1"/>
      <w:marLeft w:val="0"/>
      <w:marRight w:val="0"/>
      <w:marTop w:val="0"/>
      <w:marBottom w:val="0"/>
      <w:divBdr>
        <w:top w:val="none" w:sz="0" w:space="0" w:color="auto"/>
        <w:left w:val="none" w:sz="0" w:space="0" w:color="auto"/>
        <w:bottom w:val="none" w:sz="0" w:space="0" w:color="auto"/>
        <w:right w:val="none" w:sz="0" w:space="0" w:color="auto"/>
      </w:divBdr>
    </w:div>
    <w:div w:id="2107463406">
      <w:bodyDiv w:val="1"/>
      <w:marLeft w:val="0"/>
      <w:marRight w:val="0"/>
      <w:marTop w:val="0"/>
      <w:marBottom w:val="0"/>
      <w:divBdr>
        <w:top w:val="none" w:sz="0" w:space="0" w:color="auto"/>
        <w:left w:val="none" w:sz="0" w:space="0" w:color="auto"/>
        <w:bottom w:val="none" w:sz="0" w:space="0" w:color="auto"/>
        <w:right w:val="none" w:sz="0" w:space="0" w:color="auto"/>
      </w:divBdr>
    </w:div>
    <w:div w:id="2113937493">
      <w:bodyDiv w:val="1"/>
      <w:marLeft w:val="0"/>
      <w:marRight w:val="0"/>
      <w:marTop w:val="0"/>
      <w:marBottom w:val="0"/>
      <w:divBdr>
        <w:top w:val="none" w:sz="0" w:space="0" w:color="auto"/>
        <w:left w:val="none" w:sz="0" w:space="0" w:color="auto"/>
        <w:bottom w:val="none" w:sz="0" w:space="0" w:color="auto"/>
        <w:right w:val="none" w:sz="0" w:space="0" w:color="auto"/>
      </w:divBdr>
    </w:div>
    <w:div w:id="2114476187">
      <w:bodyDiv w:val="1"/>
      <w:marLeft w:val="0"/>
      <w:marRight w:val="0"/>
      <w:marTop w:val="0"/>
      <w:marBottom w:val="0"/>
      <w:divBdr>
        <w:top w:val="none" w:sz="0" w:space="0" w:color="auto"/>
        <w:left w:val="none" w:sz="0" w:space="0" w:color="auto"/>
        <w:bottom w:val="none" w:sz="0" w:space="0" w:color="auto"/>
        <w:right w:val="none" w:sz="0" w:space="0" w:color="auto"/>
      </w:divBdr>
    </w:div>
    <w:div w:id="2114477210">
      <w:bodyDiv w:val="1"/>
      <w:marLeft w:val="0"/>
      <w:marRight w:val="0"/>
      <w:marTop w:val="0"/>
      <w:marBottom w:val="0"/>
      <w:divBdr>
        <w:top w:val="none" w:sz="0" w:space="0" w:color="auto"/>
        <w:left w:val="none" w:sz="0" w:space="0" w:color="auto"/>
        <w:bottom w:val="none" w:sz="0" w:space="0" w:color="auto"/>
        <w:right w:val="none" w:sz="0" w:space="0" w:color="auto"/>
      </w:divBdr>
    </w:div>
    <w:div w:id="2115707954">
      <w:bodyDiv w:val="1"/>
      <w:marLeft w:val="0"/>
      <w:marRight w:val="0"/>
      <w:marTop w:val="0"/>
      <w:marBottom w:val="0"/>
      <w:divBdr>
        <w:top w:val="none" w:sz="0" w:space="0" w:color="auto"/>
        <w:left w:val="none" w:sz="0" w:space="0" w:color="auto"/>
        <w:bottom w:val="none" w:sz="0" w:space="0" w:color="auto"/>
        <w:right w:val="none" w:sz="0" w:space="0" w:color="auto"/>
      </w:divBdr>
    </w:div>
    <w:div w:id="2117098301">
      <w:bodyDiv w:val="1"/>
      <w:marLeft w:val="0"/>
      <w:marRight w:val="0"/>
      <w:marTop w:val="0"/>
      <w:marBottom w:val="0"/>
      <w:divBdr>
        <w:top w:val="none" w:sz="0" w:space="0" w:color="auto"/>
        <w:left w:val="none" w:sz="0" w:space="0" w:color="auto"/>
        <w:bottom w:val="none" w:sz="0" w:space="0" w:color="auto"/>
        <w:right w:val="none" w:sz="0" w:space="0" w:color="auto"/>
      </w:divBdr>
    </w:div>
    <w:div w:id="2117212463">
      <w:bodyDiv w:val="1"/>
      <w:marLeft w:val="0"/>
      <w:marRight w:val="0"/>
      <w:marTop w:val="0"/>
      <w:marBottom w:val="0"/>
      <w:divBdr>
        <w:top w:val="none" w:sz="0" w:space="0" w:color="auto"/>
        <w:left w:val="none" w:sz="0" w:space="0" w:color="auto"/>
        <w:bottom w:val="none" w:sz="0" w:space="0" w:color="auto"/>
        <w:right w:val="none" w:sz="0" w:space="0" w:color="auto"/>
      </w:divBdr>
    </w:div>
    <w:div w:id="2117746590">
      <w:bodyDiv w:val="1"/>
      <w:marLeft w:val="0"/>
      <w:marRight w:val="0"/>
      <w:marTop w:val="0"/>
      <w:marBottom w:val="0"/>
      <w:divBdr>
        <w:top w:val="none" w:sz="0" w:space="0" w:color="auto"/>
        <w:left w:val="none" w:sz="0" w:space="0" w:color="auto"/>
        <w:bottom w:val="none" w:sz="0" w:space="0" w:color="auto"/>
        <w:right w:val="none" w:sz="0" w:space="0" w:color="auto"/>
      </w:divBdr>
    </w:div>
    <w:div w:id="2119446398">
      <w:bodyDiv w:val="1"/>
      <w:marLeft w:val="0"/>
      <w:marRight w:val="0"/>
      <w:marTop w:val="0"/>
      <w:marBottom w:val="0"/>
      <w:divBdr>
        <w:top w:val="none" w:sz="0" w:space="0" w:color="auto"/>
        <w:left w:val="none" w:sz="0" w:space="0" w:color="auto"/>
        <w:bottom w:val="none" w:sz="0" w:space="0" w:color="auto"/>
        <w:right w:val="none" w:sz="0" w:space="0" w:color="auto"/>
      </w:divBdr>
    </w:div>
    <w:div w:id="2120836642">
      <w:bodyDiv w:val="1"/>
      <w:marLeft w:val="0"/>
      <w:marRight w:val="0"/>
      <w:marTop w:val="0"/>
      <w:marBottom w:val="0"/>
      <w:divBdr>
        <w:top w:val="none" w:sz="0" w:space="0" w:color="auto"/>
        <w:left w:val="none" w:sz="0" w:space="0" w:color="auto"/>
        <w:bottom w:val="none" w:sz="0" w:space="0" w:color="auto"/>
        <w:right w:val="none" w:sz="0" w:space="0" w:color="auto"/>
      </w:divBdr>
    </w:div>
    <w:div w:id="2121214314">
      <w:bodyDiv w:val="1"/>
      <w:marLeft w:val="0"/>
      <w:marRight w:val="0"/>
      <w:marTop w:val="0"/>
      <w:marBottom w:val="0"/>
      <w:divBdr>
        <w:top w:val="none" w:sz="0" w:space="0" w:color="auto"/>
        <w:left w:val="none" w:sz="0" w:space="0" w:color="auto"/>
        <w:bottom w:val="none" w:sz="0" w:space="0" w:color="auto"/>
        <w:right w:val="none" w:sz="0" w:space="0" w:color="auto"/>
      </w:divBdr>
    </w:div>
    <w:div w:id="2122870937">
      <w:bodyDiv w:val="1"/>
      <w:marLeft w:val="0"/>
      <w:marRight w:val="0"/>
      <w:marTop w:val="0"/>
      <w:marBottom w:val="0"/>
      <w:divBdr>
        <w:top w:val="none" w:sz="0" w:space="0" w:color="auto"/>
        <w:left w:val="none" w:sz="0" w:space="0" w:color="auto"/>
        <w:bottom w:val="none" w:sz="0" w:space="0" w:color="auto"/>
        <w:right w:val="none" w:sz="0" w:space="0" w:color="auto"/>
      </w:divBdr>
    </w:div>
    <w:div w:id="2123524745">
      <w:bodyDiv w:val="1"/>
      <w:marLeft w:val="0"/>
      <w:marRight w:val="0"/>
      <w:marTop w:val="0"/>
      <w:marBottom w:val="0"/>
      <w:divBdr>
        <w:top w:val="none" w:sz="0" w:space="0" w:color="auto"/>
        <w:left w:val="none" w:sz="0" w:space="0" w:color="auto"/>
        <w:bottom w:val="none" w:sz="0" w:space="0" w:color="auto"/>
        <w:right w:val="none" w:sz="0" w:space="0" w:color="auto"/>
      </w:divBdr>
    </w:div>
    <w:div w:id="2128500396">
      <w:bodyDiv w:val="1"/>
      <w:marLeft w:val="0"/>
      <w:marRight w:val="0"/>
      <w:marTop w:val="0"/>
      <w:marBottom w:val="0"/>
      <w:divBdr>
        <w:top w:val="none" w:sz="0" w:space="0" w:color="auto"/>
        <w:left w:val="none" w:sz="0" w:space="0" w:color="auto"/>
        <w:bottom w:val="none" w:sz="0" w:space="0" w:color="auto"/>
        <w:right w:val="none" w:sz="0" w:space="0" w:color="auto"/>
      </w:divBdr>
    </w:div>
    <w:div w:id="2130926789">
      <w:bodyDiv w:val="1"/>
      <w:marLeft w:val="0"/>
      <w:marRight w:val="0"/>
      <w:marTop w:val="0"/>
      <w:marBottom w:val="0"/>
      <w:divBdr>
        <w:top w:val="none" w:sz="0" w:space="0" w:color="auto"/>
        <w:left w:val="none" w:sz="0" w:space="0" w:color="auto"/>
        <w:bottom w:val="none" w:sz="0" w:space="0" w:color="auto"/>
        <w:right w:val="none" w:sz="0" w:space="0" w:color="auto"/>
      </w:divBdr>
    </w:div>
    <w:div w:id="2133665864">
      <w:bodyDiv w:val="1"/>
      <w:marLeft w:val="0"/>
      <w:marRight w:val="0"/>
      <w:marTop w:val="0"/>
      <w:marBottom w:val="0"/>
      <w:divBdr>
        <w:top w:val="none" w:sz="0" w:space="0" w:color="auto"/>
        <w:left w:val="none" w:sz="0" w:space="0" w:color="auto"/>
        <w:bottom w:val="none" w:sz="0" w:space="0" w:color="auto"/>
        <w:right w:val="none" w:sz="0" w:space="0" w:color="auto"/>
      </w:divBdr>
    </w:div>
    <w:div w:id="2135367113">
      <w:bodyDiv w:val="1"/>
      <w:marLeft w:val="0"/>
      <w:marRight w:val="0"/>
      <w:marTop w:val="0"/>
      <w:marBottom w:val="0"/>
      <w:divBdr>
        <w:top w:val="none" w:sz="0" w:space="0" w:color="auto"/>
        <w:left w:val="none" w:sz="0" w:space="0" w:color="auto"/>
        <w:bottom w:val="none" w:sz="0" w:space="0" w:color="auto"/>
        <w:right w:val="none" w:sz="0" w:space="0" w:color="auto"/>
      </w:divBdr>
    </w:div>
    <w:div w:id="2137328298">
      <w:bodyDiv w:val="1"/>
      <w:marLeft w:val="0"/>
      <w:marRight w:val="0"/>
      <w:marTop w:val="0"/>
      <w:marBottom w:val="0"/>
      <w:divBdr>
        <w:top w:val="none" w:sz="0" w:space="0" w:color="auto"/>
        <w:left w:val="none" w:sz="0" w:space="0" w:color="auto"/>
        <w:bottom w:val="none" w:sz="0" w:space="0" w:color="auto"/>
        <w:right w:val="none" w:sz="0" w:space="0" w:color="auto"/>
      </w:divBdr>
    </w:div>
    <w:div w:id="2140562579">
      <w:bodyDiv w:val="1"/>
      <w:marLeft w:val="0"/>
      <w:marRight w:val="0"/>
      <w:marTop w:val="0"/>
      <w:marBottom w:val="0"/>
      <w:divBdr>
        <w:top w:val="none" w:sz="0" w:space="0" w:color="auto"/>
        <w:left w:val="none" w:sz="0" w:space="0" w:color="auto"/>
        <w:bottom w:val="none" w:sz="0" w:space="0" w:color="auto"/>
        <w:right w:val="none" w:sz="0" w:space="0" w:color="auto"/>
      </w:divBdr>
    </w:div>
    <w:div w:id="2140687424">
      <w:bodyDiv w:val="1"/>
      <w:marLeft w:val="0"/>
      <w:marRight w:val="0"/>
      <w:marTop w:val="0"/>
      <w:marBottom w:val="0"/>
      <w:divBdr>
        <w:top w:val="none" w:sz="0" w:space="0" w:color="auto"/>
        <w:left w:val="none" w:sz="0" w:space="0" w:color="auto"/>
        <w:bottom w:val="none" w:sz="0" w:space="0" w:color="auto"/>
        <w:right w:val="none" w:sz="0" w:space="0" w:color="auto"/>
      </w:divBdr>
    </w:div>
    <w:div w:id="2141916712">
      <w:bodyDiv w:val="1"/>
      <w:marLeft w:val="0"/>
      <w:marRight w:val="0"/>
      <w:marTop w:val="0"/>
      <w:marBottom w:val="0"/>
      <w:divBdr>
        <w:top w:val="none" w:sz="0" w:space="0" w:color="auto"/>
        <w:left w:val="none" w:sz="0" w:space="0" w:color="auto"/>
        <w:bottom w:val="none" w:sz="0" w:space="0" w:color="auto"/>
        <w:right w:val="none" w:sz="0" w:space="0" w:color="auto"/>
      </w:divBdr>
    </w:div>
    <w:div w:id="2144350632">
      <w:bodyDiv w:val="1"/>
      <w:marLeft w:val="0"/>
      <w:marRight w:val="0"/>
      <w:marTop w:val="0"/>
      <w:marBottom w:val="0"/>
      <w:divBdr>
        <w:top w:val="none" w:sz="0" w:space="0" w:color="auto"/>
        <w:left w:val="none" w:sz="0" w:space="0" w:color="auto"/>
        <w:bottom w:val="none" w:sz="0" w:space="0" w:color="auto"/>
        <w:right w:val="none" w:sz="0" w:space="0" w:color="auto"/>
      </w:divBdr>
    </w:div>
    <w:div w:id="2144536180">
      <w:bodyDiv w:val="1"/>
      <w:marLeft w:val="0"/>
      <w:marRight w:val="0"/>
      <w:marTop w:val="0"/>
      <w:marBottom w:val="0"/>
      <w:divBdr>
        <w:top w:val="none" w:sz="0" w:space="0" w:color="auto"/>
        <w:left w:val="none" w:sz="0" w:space="0" w:color="auto"/>
        <w:bottom w:val="none" w:sz="0" w:space="0" w:color="auto"/>
        <w:right w:val="none" w:sz="0" w:space="0" w:color="auto"/>
      </w:divBdr>
    </w:div>
    <w:div w:id="2145154037">
      <w:bodyDiv w:val="1"/>
      <w:marLeft w:val="0"/>
      <w:marRight w:val="0"/>
      <w:marTop w:val="0"/>
      <w:marBottom w:val="0"/>
      <w:divBdr>
        <w:top w:val="none" w:sz="0" w:space="0" w:color="auto"/>
        <w:left w:val="none" w:sz="0" w:space="0" w:color="auto"/>
        <w:bottom w:val="none" w:sz="0" w:space="0" w:color="auto"/>
        <w:right w:val="none" w:sz="0" w:space="0" w:color="auto"/>
      </w:divBdr>
    </w:div>
    <w:div w:id="2145998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4.emf"/><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image" Target="media/image3.emf"/><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1.xml"/><Relationship Id="rId19" Type="http://schemas.openxmlformats.org/officeDocument/2006/relationships/image" Target="media/image5.emf"/><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HMA">
      <a:dk1>
        <a:sysClr val="windowText" lastClr="000000"/>
      </a:dk1>
      <a:lt1>
        <a:sysClr val="window" lastClr="FFFFFF"/>
      </a:lt1>
      <a:dk2>
        <a:srgbClr val="787878"/>
      </a:dk2>
      <a:lt2>
        <a:srgbClr val="FFF200"/>
      </a:lt2>
      <a:accent1>
        <a:srgbClr val="FFF200"/>
      </a:accent1>
      <a:accent2>
        <a:srgbClr val="4B4B4B"/>
      </a:accent2>
      <a:accent3>
        <a:srgbClr val="787878"/>
      </a:accent3>
      <a:accent4>
        <a:srgbClr val="A0A0A0"/>
      </a:accent4>
      <a:accent5>
        <a:srgbClr val="BEBEBE"/>
      </a:accent5>
      <a:accent6>
        <a:srgbClr val="DCDCDC"/>
      </a:accent6>
      <a:hlink>
        <a:srgbClr val="787878"/>
      </a:hlink>
      <a:folHlink>
        <a:srgbClr val="BEBEBE"/>
      </a:folHlink>
    </a:clrScheme>
    <a:fontScheme name="HMA">
      <a:majorFont>
        <a:latin typeface="Franklin Gothic Book"/>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EEE2006OfficeOnline.xsl" StyleName="IEEE" Version="2006">
  <b:Source>
    <b:Tag>Com02</b:Tag>
    <b:SourceType>Report</b:SourceType>
    <b:Guid>{43169107-B26F-4EFF-816F-43A0E9D84AFD}</b:Guid>
    <b:Author>
      <b:Author>
        <b:Corporate>Commonwealth of Australia</b:Corporate>
      </b:Author>
    </b:Author>
    <b:Title>The National Strategy for Quality Use of Medicines</b:Title>
    <b:Year>2002</b:Year>
    <b:Publisher>Commonwealth of Australia</b:Publisher>
    <b:City>Canberra</b:City>
    <b:RefOrder>6</b:RefOrder>
  </b:Source>
  <b:Source>
    <b:Tag>Aus185</b:Tag>
    <b:SourceType>Report</b:SourceType>
    <b:Guid>{A9CDC247-615A-4935-AF13-FB851F091C94}</b:Guid>
    <b:Author>
      <b:Author>
        <b:Corporate>Australian Institute of Health and Welfare</b:Corporate>
      </b:Author>
    </b:Author>
    <b:Title>Australia's Health 2018: in brief – How Healthy Are We?</b:Title>
    <b:Year>2018</b:Year>
    <b:Publisher>AIHW</b:Publisher>
    <b:City>Canberra</b:City>
    <b:RefOrder>7</b:RefOrder>
  </b:Source>
  <b:Source>
    <b:Tag>Aus186</b:Tag>
    <b:SourceType>Report</b:SourceType>
    <b:Guid>{2D830289-5B40-443A-835F-ACEE67065A69}</b:Guid>
    <b:Author>
      <b:Author>
        <b:Corporate>Australian Institute of Health and Welfare</b:Corporate>
      </b:Author>
    </b:Author>
    <b:Title>Australia's Health 2018: in brief - On an average day in our health system</b:Title>
    <b:Year>2018</b:Year>
    <b:Publisher>AIHW</b:Publisher>
    <b:City>Canberra</b:City>
    <b:RefOrder>9</b:RefOrder>
  </b:Source>
  <b:Source>
    <b:Tag>Pha19</b:Tag>
    <b:SourceType>Report</b:SourceType>
    <b:Guid>{AC2891EF-3D01-4FAD-8D02-C2E8E4984AD9}</b:Guid>
    <b:Title>Medicine Safety: Take Care</b:Title>
    <b:Year>2019</b:Year>
    <b:Author>
      <b:Author>
        <b:Corporate>Pharmaceutical Society of Australia</b:Corporate>
      </b:Author>
    </b:Author>
    <b:Publisher>PSA</b:Publisher>
    <b:City>Canberra</b:City>
    <b:RefOrder>10</b:RefOrder>
  </b:Source>
  <b:Source>
    <b:Tag>Aus193</b:Tag>
    <b:SourceType>InternetSite</b:SourceType>
    <b:Guid>{5D1AC2B0-B8FA-464D-885B-3AEDFF61B802}</b:Guid>
    <b:Author>
      <b:Author>
        <b:Corporate>Australian Medical Association</b:Corporate>
      </b:Author>
    </b:Author>
    <b:Title>Bringing Pharmacists into the Fold</b:Title>
    <b:YearAccessed>2019</b:YearAccessed>
    <b:URL>https://ama.com.au/ausmed/bringing-pharmacists-fold</b:URL>
    <b:RefOrder>14</b:RefOrder>
  </b:Source>
  <b:Source>
    <b:Tag>Hea19</b:Tag>
    <b:SourceType>InternetSite</b:SourceType>
    <b:Guid>{E9DC823D-7825-4753-933A-9A8CE8E58206}</b:Guid>
    <b:Author>
      <b:Author>
        <b:Corporate>Health Direct </b:Corporate>
      </b:Author>
    </b:Author>
    <b:Title>My Health Record</b:Title>
    <b:Year>2019</b:Year>
    <b:Month>February</b:Month>
    <b:YearAccessed>2019</b:YearAccessed>
    <b:URL>https://www.healthdirect.gov.au/my-health-record</b:URL>
    <b:RefOrder>16</b:RefOrder>
  </b:Source>
  <b:Source>
    <b:Tag>Aus192</b:Tag>
    <b:SourceType>InternetSite</b:SourceType>
    <b:Guid>{5587C844-1119-447F-8B44-CDE2F6256E91}</b:Guid>
    <b:Author>
      <b:Author>
        <b:Corporate>Australian Digital Health Agency</b:Corporate>
      </b:Author>
    </b:Author>
    <b:Title>My Health Record Statistics: Dashboard Statistics</b:Title>
    <b:Year>2019</b:Year>
    <b:Month>February</b:Month>
    <b:YearAccessed>2019</b:YearAccessed>
    <b:URL>https://www.myhealthrecord.gov.au/statistics</b:URL>
    <b:RefOrder>17</b:RefOrder>
  </b:Source>
  <b:Source>
    <b:Tag>Aus</b:Tag>
    <b:SourceType>Report</b:SourceType>
    <b:Guid>{211F6C81-74D3-41B2-A094-C03767B73F77}</b:Guid>
    <b:Author>
      <b:Author>
        <b:Corporate>Australian Digital Health Agency</b:Corporate>
      </b:Author>
    </b:Author>
    <b:Title>My Health Record Information Fact Sheet for Pharmacists </b:Title>
    <b:Publisher>Department of Health</b:Publisher>
    <b:RefOrder>18</b:RefOrder>
  </b:Source>
  <b:Source>
    <b:Tag>Pha18</b:Tag>
    <b:SourceType>Report</b:SourceType>
    <b:Guid>{844B8108-6B6F-4B6F-AC80-9EAE82C71392}</b:Guid>
    <b:Author>
      <b:Author>
        <b:Corporate>Pharmacy Guild of Australia</b:Corporate>
      </b:Author>
    </b:Author>
    <b:Title>Community Pharmacy 2021: Framework for Change</b:Title>
    <b:Year>2018</b:Year>
    <b:City>Canberra</b:City>
    <b:RefOrder>20</b:RefOrder>
  </b:Source>
  <b:Source>
    <b:Tag>Aus1</b:Tag>
    <b:SourceType>Report</b:SourceType>
    <b:Guid>{3C47E56F-4DEC-4999-B917-AC3378D799CD}</b:Guid>
    <b:Author>
      <b:Author>
        <b:Corporate>Australian Government Department of Health</b:Corporate>
      </b:Author>
    </b:Author>
    <b:Title>Pharmacy Trial Program Tranche 2 Grant Guidelines</b:Title>
    <b:Publisher>Australian Government Department of Health</b:Publisher>
    <b:City>Canberra</b:City>
    <b:Year>2016</b:Year>
    <b:RefOrder>23</b:RefOrder>
  </b:Source>
  <b:Source>
    <b:Tag>Sib98</b:Tag>
    <b:SourceType>JournalArticle</b:SourceType>
    <b:Guid>{0CBA5E7E-155D-4772-9D56-4A569B60F8C1}</b:Guid>
    <b:Title>Understanding controlled trials: Why are randomised controlled trials important?</b:Title>
    <b:Year>1998</b:Year>
    <b:Author>
      <b:Author>
        <b:NameList>
          <b:Person>
            <b:Last>Sibbald</b:Last>
            <b:First>B</b:First>
          </b:Person>
          <b:Person>
            <b:Last>Roland</b:Last>
            <b:First>M</b:First>
          </b:Person>
        </b:NameList>
      </b:Author>
    </b:Author>
    <b:JournalName>British Medical Journal</b:JournalName>
    <b:Volume>316</b:Volume>
    <b:Issue>201</b:Issue>
    <b:RefOrder>24</b:RefOrder>
  </b:Source>
  <b:Source>
    <b:Tag>Can16</b:Tag>
    <b:SourceType>Report</b:SourceType>
    <b:Guid>{A457D0F1-D0F5-47C6-BBC2-F693227B4513}</b:Guid>
    <b:Author>
      <b:Author>
        <b:Corporate>Canadian Pharmacists Association</b:Corporate>
      </b:Author>
    </b:Author>
    <b:Title>A Review of Pharmacy Services in Canada and the Health and Economic Evidence</b:Title>
    <b:Year>2016</b:Year>
    <b:Publisher>Canadian Pharmacists Association</b:Publisher>
    <b:RefOrder>25</b:RefOrder>
  </b:Source>
  <b:Source>
    <b:Tag>Bro16</b:Tag>
    <b:SourceType>JournalArticle</b:SourceType>
    <b:Guid>{5C93D9E4-258A-4217-923C-5CBACA5DB530}</b:Guid>
    <b:Author>
      <b:Author>
        <b:NameList>
          <b:Person>
            <b:Last>Brown</b:Last>
            <b:First>T</b:First>
            <b:Middle>J</b:Middle>
          </b:Person>
          <b:Person>
            <b:Last>Todd</b:Last>
            <b:First>A</b:First>
          </b:Person>
          <b:Person>
            <b:Last>O'Malley</b:Last>
            <b:First>C</b:First>
            <b:Middle>O</b:Middle>
          </b:Person>
          <b:Person>
            <b:Last>Moore</b:Last>
            <b:First>H</b:First>
            <b:Middle>J</b:Middle>
          </b:Person>
          <b:Person>
            <b:Last>Husband</b:Last>
            <b:First>A</b:First>
            <b:Middle>K</b:Middle>
          </b:Person>
          <b:Person>
            <b:Last>Bambra</b:Last>
            <b:First>C</b:First>
          </b:Person>
          <b:Person>
            <b:Last>Kasim</b:Last>
            <b:First>A</b:First>
          </b:Person>
          <b:Person>
            <b:Last>Sniehotta</b:Last>
            <b:First>F</b:First>
            <b:Middle>F</b:Middle>
          </b:Person>
          <b:Person>
            <b:Last>Steed</b:Last>
            <b:First>L</b:First>
          </b:Person>
          <b:Person>
            <b:Last>Smith</b:Last>
            <b:First>S</b:First>
          </b:Person>
          <b:Person>
            <b:Last>Nield</b:Last>
            <b:First>L</b:First>
          </b:Person>
          <b:Person>
            <b:Last>Summerbell</b:Last>
            <b:First>C</b:First>
            <b:Middle>D</b:Middle>
          </b:Person>
        </b:NameList>
      </b:Author>
    </b:Author>
    <b:Title>Community pharmacy-delivered interventions for public health priorities: a systematic review of interventions for alcohol reduction, smoking cessation and weight management, including meta-analysis for smoking cessation</b:Title>
    <b:JournalName>British Medical Journal</b:JournalName>
    <b:Year>2016</b:Year>
    <b:Volume>6</b:Volume>
    <b:RefOrder>26</b:RefOrder>
  </b:Source>
  <b:Source>
    <b:Tag>Cha04</b:Tag>
    <b:SourceType>JournalArticle</b:SourceType>
    <b:Guid>{6676AB35-8EBF-43A9-BBDF-DB6605CF098B}</b:Guid>
    <b:Author>
      <b:Author>
        <b:NameList>
          <b:Person>
            <b:Last>Chapman</b:Last>
            <b:First>J</b:First>
            <b:Middle>L</b:Middle>
          </b:Person>
          <b:Person>
            <b:Last>Zechel</b:Last>
            <b:First>A</b:First>
          </b:Person>
          <b:Person>
            <b:Last>H</b:Last>
            <b:First>Carter</b:First>
            <b:Middle>Y</b:Middle>
          </b:Person>
          <b:Person>
            <b:Last>Abbott</b:Last>
            <b:First>S</b:First>
          </b:Person>
        </b:NameList>
      </b:Author>
    </b:Author>
    <b:Title>Systematic review of recent innovations in service provision to improve access to primary care</b:Title>
    <b:JournalName>British Journal of General Practice</b:JournalName>
    <b:Year>2004</b:Year>
    <b:Pages>54</b:Pages>
    <b:Volume>502</b:Volume>
    <b:RefOrder>27</b:RefOrder>
  </b:Source>
  <b:Source>
    <b:Tag>Gor11</b:Tag>
    <b:SourceType>JournalArticle</b:SourceType>
    <b:Guid>{09AB4FE2-772F-4B8F-955A-1ED033668991}</b:Guid>
    <b:Author>
      <b:Author>
        <b:NameList>
          <b:Person>
            <b:Last>Gordon</b:Last>
            <b:First>J</b:First>
          </b:Person>
          <b:Person>
            <b:Last>Watson</b:Last>
            <b:First>M</b:First>
          </b:Person>
          <b:Person>
            <b:Last>Avenell</b:Last>
            <b:First>A</b:First>
          </b:Person>
        </b:NameList>
      </b:Author>
    </b:Author>
    <b:Title>Lightening the load? A systematic review of community pharmacy-based weight management interventions</b:Title>
    <b:JournalName>Obesity Reviews</b:JournalName>
    <b:Year>2011</b:Year>
    <b:Pages>897-911</b:Pages>
    <b:Volume>12</b:Volume>
    <b:RefOrder>28</b:RefOrder>
  </b:Source>
  <b:Source>
    <b:Tag>Bro12</b:Tag>
    <b:SourceType>JournalArticle</b:SourceType>
    <b:Guid>{C118DC54-1696-42DF-906C-E51E8CDA8A27}</b:Guid>
    <b:Author>
      <b:Author>
        <b:NameList>
          <b:Person>
            <b:Last>Brown</b:Last>
            <b:First>D</b:First>
          </b:Person>
          <b:Person>
            <b:Last>Portlock</b:Last>
            <b:First>J</b:First>
          </b:Person>
          <b:Person>
            <b:Last>Rutter</b:Last>
            <b:First>P</b:First>
          </b:Person>
        </b:NameList>
      </b:Author>
    </b:Author>
    <b:Title>Review of services provided by pharmacies that promote healthy living </b:Title>
    <b:JournalName>International Journal of Clinical Pharmacy</b:JournalName>
    <b:Year>2012</b:Year>
    <b:Pages>399-409</b:Pages>
    <b:Volume>34</b:Volume>
    <b:Issue>3</b:Issue>
    <b:RefOrder>29</b:RefOrder>
  </b:Source>
  <b:Source>
    <b:Tag>Rob10</b:Tag>
    <b:SourceType>JournalArticle</b:SourceType>
    <b:Guid>{421AC24C-6EBA-4F86-8CDB-9141F7D1841A}</b:Guid>
    <b:Author>
      <b:Author>
        <b:NameList>
          <b:Person>
            <b:Last>Robinson</b:Last>
            <b:First>J</b:First>
            <b:Middle>D</b:Middle>
          </b:Person>
          <b:Person>
            <b:Last>Segal R</b:Last>
            <b:First>Lopez,</b:First>
            <b:Middle>L M</b:Middle>
          </b:Person>
          <b:Person>
            <b:Last>E</b:Last>
            <b:First>Doty</b:First>
            <b:Middle>R</b:Middle>
          </b:Person>
        </b:NameList>
      </b:Author>
    </b:Author>
    <b:Title>Impact of a Pharmaceutical Care Intervention on Blood Pressure Control in a Chain Pharmacy Practice</b:Title>
    <b:JournalName>Annals of Pharmacotherapy</b:JournalName>
    <b:Year>2010</b:Year>
    <b:Pages>88-96</b:Pages>
    <b:Volume>44</b:Volume>
    <b:RefOrder>30</b:RefOrder>
  </b:Source>
  <b:Source>
    <b:Tag>Mur07</b:Tag>
    <b:SourceType>JournalArticle</b:SourceType>
    <b:Guid>{AC77053A-19CB-470A-813E-AF812209A7B1}</b:Guid>
    <b:Author>
      <b:Author>
        <b:NameList>
          <b:Person>
            <b:Last>Murray</b:Last>
            <b:First>M</b:First>
            <b:Middle>D</b:Middle>
          </b:Person>
          <b:Person>
            <b:Last>Young</b:Last>
            <b:First>J</b:First>
          </b:Person>
          <b:Person>
            <b:Last>Hoke</b:Last>
            <b:First>S</b:First>
          </b:Person>
          <b:Person>
            <b:Last>Tu</b:Last>
            <b:First>W</b:First>
          </b:Person>
          <b:Person>
            <b:Last>Weiner</b:Last>
            <b:First>M</b:First>
          </b:Person>
          <b:Person>
            <b:Last>Morrow</b:Last>
            <b:First>D</b:First>
          </b:Person>
          <b:Person>
            <b:Last>Stroupe</b:Last>
            <b:First>K</b:First>
            <b:Middle>T</b:Middle>
          </b:Person>
          <b:Person>
            <b:Last>Wu</b:Last>
            <b:First>J</b:First>
          </b:Person>
          <b:Person>
            <b:Last>Clark</b:Last>
            <b:First>D</b:First>
          </b:Person>
          <b:Person>
            <b:Last>Smith</b:Last>
            <b:First>F</b:First>
          </b:Person>
          <b:Person>
            <b:Last>Gradus-Pizlo</b:Last>
            <b:First>I</b:First>
          </b:Person>
          <b:Person>
            <b:Last>Weinberger</b:Last>
            <b:First>M</b:First>
          </b:Person>
          <b:Person>
            <b:Last>Brater</b:Last>
            <b:First>C</b:First>
          </b:Person>
        </b:NameList>
      </b:Author>
    </b:Author>
    <b:Title>Pharmacist Intervention to Improve Medication Adherence in Heart Failure </b:Title>
    <b:JournalName>Annals of Internal Medicine </b:JournalName>
    <b:Year>2007</b:Year>
    <b:Pages>714-725</b:Pages>
    <b:Volume>146</b:Volume>
    <b:RefOrder>31</b:RefOrder>
  </b:Source>
  <b:Source>
    <b:Tag>Fer14</b:Tag>
    <b:SourceType>JournalArticle</b:SourceType>
    <b:Guid>{D44E3340-43C6-4CE4-B526-AEFFECE3C54E}</b:Guid>
    <b:Author>
      <b:Author>
        <b:NameList>
          <b:Person>
            <b:Last>Ferrari</b:Last>
            <b:First>S</b:First>
            <b:Middle>P</b:Middle>
          </b:Person>
          <b:Person>
            <b:Last>Greco</b:Last>
            <b:First>A</b:First>
            <b:Middle>J</b:Middle>
          </b:Person>
          <b:Person>
            <b:Last>Michaels</b:Last>
            <b:First>N.</b:First>
            <b:Middle>M.</b:Middle>
          </b:Person>
          <b:Person>
            <b:Last>O'Connor</b:Last>
            <b:First>S.</b:First>
            <b:Middle>K.</b:Middle>
          </b:Person>
          <b:Person>
            <b:Last>Chater</b:Last>
            <b:First>R.</b:First>
            <b:Middle>W.</b:Middle>
          </b:Person>
          <b:Person>
            <b:Last>Viera</b:Last>
            <b:First>A.</b:First>
            <b:Middle>J.</b:Middle>
          </b:Person>
          <b:Person>
            <b:Last>Faruki</b:Last>
            <b:First>H.</b:First>
          </b:Person>
          <b:Person>
            <b:Last>McLeod</b:Last>
            <b:First>H.</b:First>
            <b:Middle>L.</b:Middle>
          </b:Person>
          <b:Person>
            <b:Last>Roederer</b:Last>
          </b:Person>
        </b:NameList>
      </b:Author>
    </b:Author>
    <b:Title>Implementation of a pharmacogenomics serivce in a community pharmacy</b:Title>
    <b:JournalName>Journal of the American Pharmacy Association</b:JournalName>
    <b:Year>2014</b:Year>
    <b:Pages>172-180</b:Pages>
    <b:Volume>54</b:Volume>
    <b:RefOrder>32</b:RefOrder>
  </b:Source>
  <b:Source>
    <b:Tag>Bai16</b:Tag>
    <b:SourceType>JournalArticle</b:SourceType>
    <b:Guid>{F95DB380-B58D-47C6-9F90-3B997C9254DB}</b:Guid>
    <b:Author>
      <b:Author>
        <b:NameList>
          <b:Person>
            <b:Last>Bailey</b:Last>
            <b:First>J.</b:First>
            <b:Middle>E.</b:Middle>
          </b:Person>
          <b:Person>
            <b:Last>Surbhi</b:Last>
            <b:First>S</b:First>
          </b:Person>
          <b:Person>
            <b:Last>Bell</b:Last>
            <b:First>P</b:First>
            <b:Middle>C</b:Middle>
          </b:Person>
          <b:Person>
            <b:Last>Jones</b:Last>
            <b:First>A</b:First>
            <b:Middle>M</b:Middle>
          </b:Person>
          <b:Person>
            <b:Last>Rashed</b:Last>
            <b:First>S</b:First>
          </b:Person>
          <b:Person>
            <b:Last>Ugwueke</b:Last>
            <b:First>M</b:First>
            <b:Middle>O</b:Middle>
          </b:Person>
        </b:NameList>
      </b:Author>
    </b:Author>
    <b:Title>SafeMed: Using pharmacy technicains in a novel role as community health workers to improve transitions of care </b:Title>
    <b:JournalName>Journal of the American Pharmacists Association</b:JournalName>
    <b:Year>2016</b:Year>
    <b:Pages>73-81</b:Pages>
    <b:Volume>56</b:Volume>
    <b:Issue>1</b:Issue>
    <b:RefOrder>33</b:RefOrder>
  </b:Source>
  <b:Source>
    <b:Tag>Nat17</b:Tag>
    <b:SourceType>Report</b:SourceType>
    <b:Guid>{9D2E8117-0A29-4DF5-B194-C5B56D338CDA}</b:Guid>
    <b:Author>
      <b:Author>
        <b:Corporate>National Institute for Health Research</b:Corporate>
      </b:Author>
    </b:Author>
    <b:Title>Feasibility and Pilot Studies</b:Title>
    <b:Year>2017</b:Year>
    <b:Publisher>National Health Service</b:Publisher>
    <b:City>London</b:City>
    <b:RefOrder>34</b:RefOrder>
  </b:Source>
  <b:Source>
    <b:Tag>Cri08</b:Tag>
    <b:SourceType>JournalArticle</b:SourceType>
    <b:Guid>{8F5747DB-C62E-4AC9-8FD2-F883E404C0BB}</b:Guid>
    <b:Author>
      <b:Author>
        <b:NameList>
          <b:Person>
            <b:Last>Criag</b:Last>
            <b:First>P</b:First>
          </b:Person>
          <b:Person>
            <b:Last>Dieppe</b:Last>
            <b:First>P</b:First>
          </b:Person>
          <b:Person>
            <b:Last>Macintyre</b:Last>
            <b:First>S</b:First>
          </b:Person>
          <b:Person>
            <b:Last>Michie</b:Last>
            <b:First>S</b:First>
          </b:Person>
          <b:Person>
            <b:Last>Nazareth</b:Last>
            <b:First>I</b:First>
          </b:Person>
          <b:Person>
            <b:Last>Petticrew</b:Last>
            <b:First>M</b:First>
          </b:Person>
        </b:NameList>
      </b:Author>
    </b:Author>
    <b:Title>Developing and evaluating complex interventions: the new Medical Research Council guidance</b:Title>
    <b:JournalName>British Medical Journal</b:JournalName>
    <b:Year>2008</b:Year>
    <b:Volume>337</b:Volume>
    <b:RefOrder>35</b:RefOrder>
  </b:Source>
  <b:Source>
    <b:Tag>AUs16</b:Tag>
    <b:SourceType>InternetSite</b:SourceType>
    <b:Guid>{4DCEDD74-CEA6-4F1E-9307-3386AB37B80C}</b:Guid>
    <b:Title>Pharmacy Trial Program: Principles</b:Title>
    <b:Year>2016</b:Year>
    <b:Author>
      <b:Author>
        <b:Corporate>Australian Government Department of Health</b:Corporate>
      </b:Author>
    </b:Author>
    <b:YearAccessed>2019</b:YearAccessed>
    <b:URL>https://www.health.gov.au/internet/main/publishing.nsf/Content/pharmacy-trial-programme</b:URL>
    <b:RefOrder>39</b:RefOrder>
  </b:Source>
  <b:Source>
    <b:Tag>Aus16</b:Tag>
    <b:SourceType>Report</b:SourceType>
    <b:Guid>{F182142F-142F-4C5A-A7C2-2D0A9BB67867}</b:Guid>
    <b:Author>
      <b:Author>
        <b:Corporate>Australian Government Department of Health</b:Corporate>
      </b:Author>
    </b:Author>
    <b:Title>Pharmacy Trial Program Tranche 1 Grant Guidelines</b:Title>
    <b:Year>2016</b:Year>
    <b:Publisher>Australian Government Department of Health</b:Publisher>
    <b:City>Canberra</b:City>
    <b:RefOrder>41</b:RefOrder>
  </b:Source>
  <b:Source>
    <b:Tag>Aus183</b:Tag>
    <b:SourceType>Report</b:SourceType>
    <b:Guid>{962FA708-819C-465E-B322-B2F7BBB2FDAA}</b:Guid>
    <b:Author>
      <b:Author>
        <b:Corporate>Australian Government Department of Health</b:Corporate>
      </b:Author>
    </b:Author>
    <b:Title>Pharmacy Trial Program Tranche 3 Grant Guidelines - Chronic Pain MedsCheck</b:Title>
    <b:Year>2018</b:Year>
    <b:Publisher>Australian Government Department of Health</b:Publisher>
    <b:City>Canberra</b:City>
    <b:RefOrder>42</b:RefOrder>
  </b:Source>
  <b:Source>
    <b:Tag>Aus184</b:Tag>
    <b:SourceType>Report</b:SourceType>
    <b:Guid>{A3BFB11E-3A9F-4CD2-B002-78F2B465A4A2}</b:Guid>
    <b:Author>
      <b:Author>
        <b:Corporate>Australian Government Department of Health</b:Corporate>
      </b:Author>
    </b:Author>
    <b:Title>Pharmacy Trial Program Tranche 3 Grant Guidelines - Mental Health Support in Community Pharmacy</b:Title>
    <b:Year>2018</b:Year>
    <b:Publisher>Australian Government Department of Health</b:Publisher>
    <b:City>Canberra</b:City>
    <b:RefOrder>43</b:RefOrder>
  </b:Source>
  <b:Source>
    <b:Tag>PTP17</b:Tag>
    <b:SourceType>Misc</b:SourceType>
    <b:Guid>{26AFA3CF-6ACC-4E85-9F99-74D7D7E1EDA0}</b:Guid>
    <b:Title>PTP Tranche 2 assessment documentation, Master List, provided by the Department of Health </b:Title>
    <b:Year>2017</b:Year>
    <b:Author>
      <b:Author>
        <b:Corporate>PTP Tranche 2 Assessment Team</b:Corporate>
      </b:Author>
    </b:Author>
    <b:RefOrder>44</b:RefOrder>
  </b:Source>
  <b:Source>
    <b:Tag>The15</b:Tag>
    <b:SourceType>Report</b:SourceType>
    <b:Guid>{CB95A11A-4A5D-452A-B893-F7F86E9533CA}</b:Guid>
    <b:Title>ANAO Report: No.25 Administration of the Fifth Community Pharmacy Agreement</b:Title>
    <b:Year>2014-15</b:Year>
    <b:Author>
      <b:Author>
        <b:Corporate>The Auditor-General</b:Corporate>
      </b:Author>
    </b:Author>
    <b:Publisher>Australian National Audit Office</b:Publisher>
    <b:City>Canberra</b:City>
    <b:RefOrder>45</b:RefOrder>
  </b:Source>
  <b:Source>
    <b:Tag>Aus19</b:Tag>
    <b:SourceType>InternetSite</b:SourceType>
    <b:Guid>{B7A0D842-B322-463D-9F17-D1A0BC109FF2}</b:Guid>
    <b:Author>
      <b:Author>
        <b:Corporate>Australian Digital Health Agency</b:Corporate>
      </b:Author>
    </b:Author>
    <b:Title>My Health Record: ePIP</b:Title>
    <b:YearAccessed>2019</b:YearAccessed>
    <b:URL>https://www.myhealthrecord.gov.au/for-healthcare-professionals/practice-incentives-program</b:URL>
    <b:RefOrder>49</b:RefOrder>
  </b:Source>
  <b:Source>
    <b:Tag>Nat17a</b:Tag>
    <b:SourceType>Report</b:SourceType>
    <b:Guid>{83E18F09-2B2C-43A3-9A98-0C7C87A45EF5}</b:Guid>
    <b:Author>
      <b:Author>
        <b:Corporate>National Health and Medical Research Council</b:Corporate>
      </b:Author>
    </b:Author>
    <b:Title>NHMRC Grants Funding 2000 - 2016 Summary Tables</b:Title>
    <b:Year>2017</b:Year>
    <b:Publisher>NHMRC</b:Publisher>
    <b:City>Canberra</b:City>
    <b:RefOrder>50</b:RefOrder>
  </b:Source>
  <b:Source>
    <b:Tag>Com185</b:Tag>
    <b:SourceType>InternetSite</b:SourceType>
    <b:Guid>{F80AFC37-C34A-47F6-A460-355AF0247CE7}</b:Guid>
    <b:Title>Pharmacy Trial Program</b:Title>
    <b:Year>2018</b:Year>
    <b:Author>
      <b:Author>
        <b:Corporate>Australian Government Department of Health</b:Corporate>
      </b:Author>
    </b:Author>
    <b:Month>September</b:Month>
    <b:Day>27</b:Day>
    <b:YearAccessed>2019</b:YearAccessed>
    <b:MonthAccessed>March</b:MonthAccessed>
    <b:DayAccessed>22</b:DayAccessed>
    <b:URL>http://www.health.gov.au/internet/main/publishing.nsf/Content/pharmacy-trial-programme#AdvisoryGroup</b:URL>
    <b:RefOrder>54</b:RefOrder>
  </b:Source>
  <b:Source>
    <b:Tag>Aus194</b:Tag>
    <b:SourceType>InternetSite</b:SourceType>
    <b:Guid>{C1D2F8ED-1A4D-4E23-BC03-8534077DFC62}</b:Guid>
    <b:Author>
      <b:Author>
        <b:Corporate>Australian Government: Business </b:Corporate>
      </b:Author>
    </b:Author>
    <b:Title>Business grants and assistance programs</b:Title>
    <b:YearAccessed>2019</b:YearAccessed>
    <b:URL>https://www.business.gov.au/assistance/business-research-and-innovation-initiative</b:URL>
    <b:RefOrder>62</b:RefOrder>
  </b:Source>
  <b:Source>
    <b:Tag>Son10</b:Tag>
    <b:SourceType>JournalArticle</b:SourceType>
    <b:Guid>{C125D930-AF1C-4CC4-BF34-DF12DB42094B}</b:Guid>
    <b:Title>Observational Studies: Cohort and Case-Control Studies</b:Title>
    <b:Year>2010</b:Year>
    <b:Author>
      <b:Author>
        <b:NameList>
          <b:Person>
            <b:Last>Song</b:Last>
            <b:First>J</b:First>
            <b:Middle>W</b:Middle>
          </b:Person>
          <b:Person>
            <b:Last>C</b:Last>
            <b:First>Chung</b:First>
            <b:Middle>K</b:Middle>
          </b:Person>
        </b:NameList>
      </b:Author>
    </b:Author>
    <b:JournalName>Plastic Reconstructive Surgery</b:JournalName>
    <b:Pages>2234–2242</b:Pages>
    <b:Volume>126</b:Volume>
    <b:Issue>6</b:Issue>
    <b:RefOrder>66</b:RefOrder>
  </b:Source>
  <b:Source>
    <b:Tag>Gup11</b:Tag>
    <b:SourceType>JournalArticle</b:SourceType>
    <b:Guid>{32560466-B47F-422B-8006-216B1D00F54B}</b:Guid>
    <b:Author>
      <b:Author>
        <b:NameList>
          <b:Person>
            <b:Last>Gupta</b:Last>
            <b:First>S</b:First>
            <b:Middle>K</b:Middle>
          </b:Person>
        </b:NameList>
      </b:Author>
    </b:Author>
    <b:Title>Intention-to-treat concept: A review</b:Title>
    <b:JournalName>Perspectives in Clinical Research</b:JournalName>
    <b:Year>2011</b:Year>
    <b:Pages>109-112</b:Pages>
    <b:Volume>2</b:Volume>
    <b:Issue>3</b:Issue>
    <b:RefOrder>67</b:RefOrder>
  </b:Source>
  <b:Source>
    <b:Tag>Nat09</b:Tag>
    <b:SourceType>Report</b:SourceType>
    <b:Guid>{82F7FB6C-896F-4FAC-ADBA-CF98416967F7}</b:Guid>
    <b:Author>
      <b:Author>
        <b:Corporate>National Health and Medical Reserach Council </b:Corporate>
      </b:Author>
    </b:Author>
    <b:Title>Levels of Evidence and Grades for Recommendations for Developers of Clinical Practice Guidelines</b:Title>
    <b:Year>2009</b:Year>
    <b:RefOrder>48</b:RefOrder>
  </b:Source>
  <b:Source>
    <b:Tag>Med16</b:Tag>
    <b:SourceType>InternetSite</b:SourceType>
    <b:Guid>{F2B0CE69-6385-4816-9DA6-3951706428E0}</b:Guid>
    <b:Author>
      <b:Author>
        <b:Corporate>Medical Services Advisory Committee</b:Corporate>
      </b:Author>
    </b:Author>
    <b:Title>About MSAC / Frequently Asked Questions</b:Title>
    <b:Year>2016</b:Year>
    <b:Month>July</b:Month>
    <b:Day>20</b:Day>
    <b:YearAccessed>2019</b:YearAccessed>
    <b:URL>http://www.msac.gov.au/internet/msac/publishing.nsf/Content/Factsheet-08</b:URL>
    <b:RefOrder>60</b:RefOrder>
  </b:Source>
  <b:Source>
    <b:Tag>Med17</b:Tag>
    <b:SourceType>Report</b:SourceType>
    <b:Guid>{368BD257-1ABF-4344-976C-A18678DF1A36}</b:Guid>
    <b:Title>Technical Guidelines for preparing assessment reports for the Medical Services Advisory Committee – Service Type: Therapeutic Version 2</b:Title>
    <b:Year>2016</b:Year>
    <b:Author>
      <b:Author>
        <b:Corporate>Medical Services Advisory Committee</b:Corporate>
      </b:Author>
    </b:Author>
    <b:Publisher>Australian Government Department of Health</b:Publisher>
    <b:City>Canberra</b:City>
    <b:RefOrder>61</b:RefOrder>
  </b:Source>
  <b:Source>
    <b:Tag>Med161</b:Tag>
    <b:SourceType>Report</b:SourceType>
    <b:Guid>{D8431B3B-8056-4193-AE75-B812DD7248F1}</b:Guid>
    <b:Title>MEDICAL SERVICES ADVISORY COMMITTEE (MSAC) MINUTES - November 2016 </b:Title>
    <b:Year>2016</b:Year>
    <b:Author>
      <b:Author>
        <b:Corporate>Medical Services Advisory Committee</b:Corporate>
      </b:Author>
    </b:Author>
    <b:Publisher>Medical Services Advisory Committee </b:Publisher>
    <b:City>Canberra</b:City>
    <b:RefOrder>37</b:RefOrder>
  </b:Source>
  <b:Source>
    <b:Tag>The17</b:Tag>
    <b:SourceType>DocumentFromInternetSite</b:SourceType>
    <b:Guid>{A1EFE4F2-C483-4687-8964-12FA0A7D9FA8}</b:Guid>
    <b:Author>
      <b:Author>
        <b:Corporate>The Pharmaceutical Benefits Scheme </b:Corporate>
      </b:Author>
    </b:Author>
    <b:Title>2017 Community Pharmacy Stakeholder Forum: Topic 2: Outcomes of the Pharmacy Programs Cost Effectiveness Review</b:Title>
    <b:Year>2017</b:Year>
    <b:YearAccessed>2019</b:YearAccessed>
    <b:URL>http://www.pbs.gov.au/info/general/sixth-cpa-pages/community-pharmacy-stakeholder-forum#forum2017 </b:URL>
    <b:RefOrder>36</b:RefOrder>
  </b:Source>
  <b:Source>
    <b:Tag>Six19</b:Tag>
    <b:SourceType>InternetSite</b:SourceType>
    <b:Guid>{6E2F38B3-DD7B-444F-93A5-378626603197}</b:Guid>
    <b:Author>
      <b:Author>
        <b:Corporate>Sixth Community Pharmacy Agreement</b:Corporate>
      </b:Author>
    </b:Author>
    <b:Title>Community Pharmacy in Health Care Homes Trial Program</b:Title>
    <b:YearAccessed>2019</b:YearAccessed>
    <b:URL>http://6cpa.com.au/medication-management-programs/community-pharmacy-in-health-care-homes-trial-program-interim/</b:URL>
    <b:RefOrder>12</b:RefOrder>
  </b:Source>
  <b:Source>
    <b:Tag>NHM18</b:Tag>
    <b:SourceType>Report</b:SourceType>
    <b:Guid>{E1660531-07A0-476D-9C7C-1C1FD423B2E9}</b:Guid>
    <b:Author>
      <b:Author>
        <b:Corporate>National Health and Medical Research Council</b:Corporate>
      </b:Author>
    </b:Author>
    <b:Title>Development Grant Scheme 2019 Guidelines</b:Title>
    <b:Year>2018</b:Year>
    <b:Publisher>NHMRC</b:Publisher>
    <b:City>Canberra</b:City>
    <b:RefOrder>56</b:RefOrder>
  </b:Source>
  <b:Source>
    <b:Tag>AJP19</b:Tag>
    <b:SourceType>InternetSite</b:SourceType>
    <b:Guid>{F72B72CC-17F7-4707-ABF9-636499C529B3}</b:Guid>
    <b:Author>
      <b:Author>
        <b:Corporate>Australian Journal of Pharmacy</b:Corporate>
      </b:Author>
    </b:Author>
    <b:Title>Four GP Clinics Get Integrated Pharmacists</b:Title>
    <b:YearAccessed>2019</b:YearAccessed>
    <b:URL>https://ajp.com.au/news/four-gp-clinics-get-integrated-pharmacists/</b:URL>
    <b:RefOrder>15</b:RefOrder>
  </b:Source>
  <b:Source>
    <b:Tag>NHM191</b:Tag>
    <b:SourceType>InternetSite</b:SourceType>
    <b:Guid>{239EF622-45B4-4A07-81FD-D74D2C78889B}</b:Guid>
    <b:Title>Funding rules involving Aboriginal and Torres Strait Islander People</b:Title>
    <b:Author>
      <b:Author>
        <b:Corporate>National Health and Medical Research Council</b:Corporate>
      </b:Author>
    </b:Author>
    <b:YearAccessed>2019</b:YearAccessed>
    <b:URL>https://www.nhmrc.gov.au/funding-rules-involving-aboriginal-and-torres-strait-islander-people</b:URL>
    <b:RefOrder>51</b:RefOrder>
  </b:Source>
  <b:Source>
    <b:Tag>MRF192</b:Tag>
    <b:SourceType>InternetSite</b:SourceType>
    <b:Guid>{7F30ABCF-EE24-4DC5-913B-2E65E4E6BF75}</b:Guid>
    <b:Author>
      <b:Author>
        <b:Corporate>Australian Government Medical Reserach Futures Fund</b:Corporate>
      </b:Author>
    </b:Author>
    <b:Title>About MRFF - how does funding work?</b:Title>
    <b:YearAccessed>2019</b:YearAccessed>
    <b:URL>https://beta.health.gov.au/initiatives-and-programs/medical-research-future-fund/about-the-mrff/how-does-mrff-funding-work</b:URL>
    <b:RefOrder>65</b:RefOrder>
  </b:Source>
  <b:Source>
    <b:Tag>Dep17</b:Tag>
    <b:SourceType>Report</b:SourceType>
    <b:Guid>{098D1EA1-7E43-4E3B-BC2F-9FD73D5D4CBB}</b:Guid>
    <b:Author>
      <b:Author>
        <b:Corporate>Australian Government Department of Health</b:Corporate>
      </b:Author>
    </b:Author>
    <b:Title>Amended and Restated Sixth Community Pharmacy Agreement</b:Title>
    <b:Year>2017</b:Year>
    <b:Publisher>Australian Government</b:Publisher>
    <b:City>Canberra</b:City>
    <b:RefOrder>1</b:RefOrder>
  </b:Source>
  <b:Source>
    <b:Tag>Com184</b:Tag>
    <b:SourceType>Report</b:SourceType>
    <b:Guid>{4033C440-8170-4E96-B352-46DD6A84A12E}</b:Guid>
    <b:Title>Audit of the Management of the Pharmacy Trial Program under the Sixth Community Pharmacy Agreement</b:Title>
    <b:Year>2018</b:Year>
    <b:Author>
      <b:Author>
        <b:Corporate>Australian Government Department of Health</b:Corporate>
      </b:Author>
    </b:Author>
    <b:Publisher>Department of Health</b:Publisher>
    <b:City>Canberra</b:City>
    <b:RefOrder>4</b:RefOrder>
  </b:Source>
  <b:Source>
    <b:Tag>Com175</b:Tag>
    <b:SourceType>Report</b:SourceType>
    <b:Guid>{58E8AC4C-84D0-4DC1-90E0-575E48585196}</b:Guid>
    <b:Author>
      <b:Author>
        <b:Corporate>Australian Government Department of Finance</b:Corporate>
      </b:Author>
    </b:Author>
    <b:Title>Commonwealth Grant Rules and Guidelines</b:Title>
    <b:Year>2017</b:Year>
    <b:Publisher>Australian Government</b:Publisher>
    <b:City>Canberra</b:City>
    <b:RefOrder>46</b:RefOrder>
  </b:Source>
  <b:Source>
    <b:Tag>Placeholder1</b:Tag>
    <b:SourceType>Report</b:SourceType>
    <b:Guid>{84FE26DF-B3ED-43E1-BFD2-18DD226EFE11}</b:Guid>
    <b:Title>Commonwealth Grants Rules and Guidelines 2017 Information Sheet</b:Title>
    <b:Year>2017</b:Year>
    <b:Author>
      <b:Author>
        <b:Corporate>Australian Government Department of Finance</b:Corporate>
      </b:Author>
    </b:Author>
    <b:Publisher>Commonwealth Government of Australia</b:Publisher>
    <b:City>Canberra</b:City>
    <b:RefOrder>57</b:RefOrder>
  </b:Source>
  <b:Source>
    <b:Tag>Dep14</b:Tag>
    <b:SourceType>Report</b:SourceType>
    <b:Guid>{164A7115-0C51-4300-AD8D-4AFC31C2A418}</b:Guid>
    <b:Title>Commonwealth Procurement Rules</b:Title>
    <b:Year>2014</b:Year>
    <b:Author>
      <b:Author>
        <b:Corporate>Australian Government Department of Finance</b:Corporate>
      </b:Author>
    </b:Author>
    <b:Publisher>Commonwealth Government</b:Publisher>
    <b:City>Canberra</b:City>
    <b:RefOrder>47</b:RefOrder>
  </b:Source>
  <b:Source>
    <b:Tag>Dep</b:Tag>
    <b:SourceType>Report</b:SourceType>
    <b:Guid>{A0443627-DCEE-49D1-BFBF-C378BC8015AB}</b:Guid>
    <b:Author>
      <b:Author>
        <b:Corporate>Australian Government Department of Health</b:Corporate>
      </b:Author>
    </b:Author>
    <b:Title>Commonwealth Standard Grant Agreement, clause 15.1 confidentiality</b:Title>
    <b:Publisher>Department of Health</b:Publisher>
    <b:City>Canberra</b:City>
    <b:RefOrder>59</b:RefOrder>
  </b:Source>
  <b:Source>
    <b:Tag>Dep19</b:Tag>
    <b:SourceType>InternetSite</b:SourceType>
    <b:Guid>{0F159381-931D-4C9C-ACF3-FB2FAA6DF661}</b:Guid>
    <b:Title>Health Care Homes</b:Title>
    <b:Author>
      <b:Author>
        <b:Corporate>Australian Government Department of Health</b:Corporate>
      </b:Author>
    </b:Author>
    <b:YearAccessed>2019</b:YearAccessed>
    <b:URL>http://www.health.gov.au/internet/main/publishing.nsf/Content/health-care-homes</b:URL>
    <b:RefOrder>13</b:RefOrder>
  </b:Source>
  <b:Source>
    <b:Tag>Dep172</b:Tag>
    <b:SourceType>InternetSite</b:SourceType>
    <b:Guid>{99D30748-F2C0-4A80-9AB0-E34CDFF82BCC}</b:Guid>
    <b:Author>
      <b:Author>
        <b:Corporate>Australian Government Department of Health</b:Corporate>
      </b:Author>
    </b:Author>
    <b:Title>Health Technology Assessment</b:Title>
    <b:Year>2017</b:Year>
    <b:Month>February</b:Month>
    <b:Day>27</b:Day>
    <b:YearAccessed>2019</b:YearAccessed>
    <b:URL>http://www.health.gov.au/internet/hta/publishing.nsf/Content/about-1</b:URL>
    <b:RefOrder>21</b:RefOrder>
  </b:Source>
  <b:Source>
    <b:Tag>Com173</b:Tag>
    <b:SourceType>InternetSite</b:SourceType>
    <b:Guid>{1AAC51E7-D401-49C2-9AF4-EFFC82FD729A}</b:Guid>
    <b:Title>MSAC and its Sub-committees</b:Title>
    <b:Year>2017</b:Year>
    <b:Author>
      <b:Author>
        <b:Corporate>Australian Government Department of Health</b:Corporate>
      </b:Author>
    </b:Author>
    <b:ProductionCompany>Australian Government of Australia</b:ProductionCompany>
    <b:Month>July</b:Month>
    <b:Day>21</b:Day>
    <b:YearAccessed>2019</b:YearAccessed>
    <b:URL>http://www.msac.gov.au/internet/msac/publishing.nsf/content/factsheet-05</b:URL>
    <b:RefOrder>22</b:RefOrder>
  </b:Source>
  <b:Source>
    <b:Tag>Com00</b:Tag>
    <b:SourceType>Report</b:SourceType>
    <b:Guid>{0554A10D-F67B-4240-A68E-5E58F77F7C6E}</b:Guid>
    <b:Author>
      <b:Author>
        <b:Corporate>Australian Government Department of Health and Ageing</b:Corporate>
      </b:Author>
    </b:Author>
    <b:Title>National Medicines Policy</b:Title>
    <b:Year>2000</b:Year>
    <b:Publisher>Australian Government</b:Publisher>
    <b:City>Canberra</b:City>
    <b:RefOrder>5</b:RefOrder>
  </b:Source>
  <b:Source>
    <b:Tag>NHM19</b:Tag>
    <b:SourceType>InternetSite</b:SourceType>
    <b:Guid>{31E68DE7-E371-49F1-A51F-8FE354F6D281}</b:Guid>
    <b:Author>
      <b:Author>
        <b:Corporate>National Health and Medical Research Council</b:Corporate>
      </b:Author>
    </b:Author>
    <b:Title>NHMRC funding averages from 2000 to 2016</b:Title>
    <b:YearAccessed>2019</b:YearAccessed>
    <b:URL>https://www.nhmrc.gov.au/funding/data-research/research-funding-data</b:URL>
    <b:RefOrder>58</b:RefOrder>
  </b:Source>
  <b:Source>
    <b:Tag>Dep187</b:Tag>
    <b:SourceType>InternetSite</b:SourceType>
    <b:Guid>{98EAB2A5-2950-4909-A07F-AB03E2D58982}</b:Guid>
    <b:Author>
      <b:Author>
        <b:Corporate>Australian Government Department of Health</b:Corporate>
      </b:Author>
    </b:Author>
    <b:Title>Pharmacy Trial Program</b:Title>
    <b:Year>2018</b:Year>
    <b:Month>September</b:Month>
    <b:Day>27</b:Day>
    <b:YearAccessed>2019</b:YearAccessed>
    <b:URL>http://www.health.gov.au/internet/main/publishing.nsf/Content/pharmacy-trial-programme#Stakeholder</b:URL>
    <b:RefOrder>3</b:RefOrder>
  </b:Source>
  <b:Source>
    <b:Tag>Com165</b:Tag>
    <b:SourceType>Report</b:SourceType>
    <b:Guid>{7A45C40E-BC21-43DD-9BA6-19BBB9BDAE3E}</b:Guid>
    <b:Author>
      <b:Author>
        <b:Corporate>Australian Government Department of Health</b:Corporate>
      </b:Author>
    </b:Author>
    <b:Title>Pharmacy Trial Program Trials Advisory Group: Terms of Reference</b:Title>
    <b:Year>2016</b:Year>
    <b:City>Canberra</b:City>
    <b:RefOrder>40</b:RefOrder>
  </b:Source>
  <b:Source>
    <b:Tag>Com151</b:Tag>
    <b:SourceType>Report</b:SourceType>
    <b:Guid>{A623A2FA-8B56-494C-9DB3-E5B9D719C3CE}</b:Guid>
    <b:Author>
      <b:Author>
        <b:Corporate>Australian Government Department of Health</b:Corporate>
      </b:Author>
    </b:Author>
    <b:Title>Pharmacy Trial Programme: Summary report of the stakeholder consultation forum held on 26 October 2015</b:Title>
    <b:Year>2015</b:Year>
    <b:City>Canberra</b:City>
    <b:RefOrder>2</b:RefOrder>
  </b:Source>
  <b:Source>
    <b:Tag>Dep15</b:Tag>
    <b:SourceType>InternetSite</b:SourceType>
    <b:Guid>{30E518F7-7482-4D61-BCFF-AA42FAF2B198}</b:Guid>
    <b:Title>Primary care</b:Title>
    <b:Year>2015</b:Year>
    <b:Author>
      <b:Author>
        <b:Corporate>Australian Government Department of Health</b:Corporate>
      </b:Author>
    </b:Author>
    <b:Month>July</b:Month>
    <b:Day>14</b:Day>
    <b:YearAccessed>2019</b:YearAccessed>
    <b:URL>http://www.health.gov.au/internet/main/publishing.nsf/Content/primarycare</b:URL>
    <b:RefOrder>8</b:RefOrder>
  </b:Source>
  <b:Source>
    <b:Tag>Dep19A</b:Tag>
    <b:SourceType>InternetSite</b:SourceType>
    <b:Guid>{30284F59-49A1-42B5-93BF-770B0CE66162}</b:Guid>
    <b:Author>
      <b:Author>
        <b:Corporate>Australian Government Department of Health</b:Corporate>
      </b:Author>
    </b:Author>
    <b:Title>Primary Health Networks</b:Title>
    <b:Year>2019</b:Year>
    <b:Month>May</b:Month>
    <b:Day>15</b:Day>
    <b:YearAccessed>2019</b:YearAccessed>
    <b:URL>https://www.health.gov.au/internet/main/publishing.nsf/Content/PHN-Home</b:URL>
    <b:RefOrder>19</b:RefOrder>
  </b:Source>
  <b:Source>
    <b:Tag>Dep184</b:Tag>
    <b:SourceType>Report</b:SourceType>
    <b:Guid>{0447D450-2F9C-43AF-93EE-D1DB1C8D6D40}</b:Guid>
    <b:Author>
      <b:Author>
        <b:Corporate>Australian Government Department of Health</b:Corporate>
      </b:Author>
    </b:Author>
    <b:Title>Request for quotation for Implementation Review of Pharmacy Trial Program (PTP) under the Sixth Community Pharmacy Agreement (6CPA) (the Review), page 2</b:Title>
    <b:Year>2018</b:Year>
    <b:Publisher>Department of Health</b:Publisher>
    <b:City>Canberra</b:City>
    <b:RefOrder>63</b:RefOrder>
  </b:Source>
  <b:Source>
    <b:Tag>Com164</b:Tag>
    <b:SourceType>Report</b:SourceType>
    <b:Guid>{969C7D41-50B6-4B65-AEEC-D3374B74A236}</b:Guid>
    <b:Title>Supporting pharmacist delivery of primary health care services through the Pharmacy Trial Program</b:Title>
    <b:Year>2016</b:Year>
    <b:Author>
      <b:Author>
        <b:Corporate>Australian Government Department of Health</b:Corporate>
      </b:Author>
    </b:Author>
    <b:Publisher>Australian Department of Health</b:Publisher>
    <b:City>Canberra</b:City>
    <b:RefOrder>11</b:RefOrder>
  </b:Source>
  <b:Source>
    <b:Tag>Aus161</b:Tag>
    <b:SourceType>Report</b:SourceType>
    <b:Guid>{992BE798-FE6F-4AC8-9D6D-1455DCA03B48}</b:Guid>
    <b:Title>Supporting pharmacist delivery of primary health care serivces through the Pharmacy Trial Program: Discussion Paper, page10</b:Title>
    <b:Year>2016</b:Year>
    <b:Author>
      <b:Author>
        <b:Corporate>Australian Government Department of Health</b:Corporate>
      </b:Author>
    </b:Author>
    <b:City>Canberra</b:City>
    <b:RefOrder>38</b:RefOrder>
  </b:Source>
  <b:Source>
    <b:Tag>MRF193</b:Tag>
    <b:SourceType>InternetSite</b:SourceType>
    <b:Guid>{6157823C-B424-437A-AF66-822AFA9AE4C3}</b:Guid>
    <b:Author>
      <b:Author>
        <b:Corporate>Australian Government Medical Research Future Fund</b:Corporate>
      </b:Author>
    </b:Author>
    <b:Title>How is the MRFF governed?</b:Title>
    <b:YearAccessed>2019</b:YearAccessed>
    <b:URL>https://beta.health.gov.au/initiatives-and-programs/medical-research-future-fund/about-the-mrff/how-is-the-mrff-governed</b:URL>
    <b:RefOrder>64</b:RefOrder>
  </b:Source>
  <b:Source>
    <b:Tag>Com153</b:Tag>
    <b:SourceType>Report</b:SourceType>
    <b:Guid>{352BD0BE-0D99-44B5-A2E4-AB0FBF38AD8F}</b:Guid>
    <b:Author>
      <b:Author>
        <b:Corporate>Australian Government Department of Health</b:Corporate>
      </b:Author>
    </b:Author>
    <b:Title>Pharmacy Trial Programme: Summary report of the stakeholder consultation forum held on 26 October 2015</b:Title>
    <b:Year>2015</b:Year>
    <b:Publisher>Department of Health</b:Publisher>
    <b:City>Canberra</b:City>
    <b:RefOrder>53</b:RefOrder>
  </b:Source>
  <b:Source>
    <b:Tag>MRF19</b:Tag>
    <b:SourceType>InternetSite</b:SourceType>
    <b:Guid>{6DDF49BF-1079-4BFC-A3D1-03638F61317B}</b:Guid>
    <b:Author>
      <b:Author>
        <b:Corporate>Australian Government Medical Research Future Fund</b:Corporate>
      </b:Author>
    </b:Author>
    <b:Title>Research Mission</b:Title>
    <b:YearAccessed>2019</b:YearAccessed>
    <b:URL>https://beta.health.gov.au/initiatives-and-programs/medical-research-future-fund/about-the-mrff/research-missions</b:URL>
    <b:RefOrder>52</b:RefOrder>
  </b:Source>
  <b:Source>
    <b:Tag>Aus195</b:Tag>
    <b:SourceType>InternetSite</b:SourceType>
    <b:Guid>{00B5B6AC-B82E-4B77-940E-9AD921D911A9}</b:Guid>
    <b:Title>Trial Advisory Group</b:Title>
    <b:Author>
      <b:Author>
        <b:Corporate>Australian Government Department of Health Pharmacy Trial Program</b:Corporate>
      </b:Author>
    </b:Author>
    <b:YearAccessed>2019</b:YearAccessed>
    <b:URL>https://www.health.gov.au/internet/main/publishing.nsf/Content/pharmacy-trial-programme-tag</b:URL>
    <b:RefOrder>55</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E400EF5-F754-420A-ACC9-DDCC24CA1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71</Pages>
  <Words>27277</Words>
  <Characters>155481</Characters>
  <Application>Microsoft Office Word</Application>
  <DocSecurity>0</DocSecurity>
  <Lines>1295</Lines>
  <Paragraphs>364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2019-12-05T04:24:00Z</dcterms:created>
  <dcterms:modified xsi:type="dcterms:W3CDTF">2019-12-05T04:51:00Z</dcterms:modified>
  <cp:category/>
</cp:coreProperties>
</file>