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6444B" w14:textId="1AAEF94D" w:rsidR="00FE33D5" w:rsidRPr="001B6E42" w:rsidRDefault="00001A2A" w:rsidP="00234F90">
      <w:pPr>
        <w:pStyle w:val="Title"/>
      </w:pPr>
      <w:r w:rsidRPr="001B6E42">
        <w:t>Home Care Package</w:t>
      </w:r>
      <w:r w:rsidR="00FE33D5" w:rsidRPr="001B6E42">
        <w:t>s</w:t>
      </w:r>
      <w:r w:rsidRPr="001B6E42">
        <w:t xml:space="preserve"> Program Assurance</w:t>
      </w:r>
      <w:r w:rsidR="00FE33D5" w:rsidRPr="001B6E42">
        <w:t xml:space="preserve"> Review </w:t>
      </w:r>
      <w:r w:rsidR="00702284" w:rsidRPr="001B6E42">
        <w:t xml:space="preserve">No </w:t>
      </w:r>
      <w:r w:rsidR="00FE33D5" w:rsidRPr="001B6E42">
        <w:t>1</w:t>
      </w:r>
      <w:r w:rsidR="001B6E42">
        <w:t xml:space="preserve"> –</w:t>
      </w:r>
      <w:r w:rsidR="00FE33D5" w:rsidRPr="001B6E42">
        <w:t xml:space="preserve"> Indirect and Care Management Charges</w:t>
      </w:r>
    </w:p>
    <w:p w14:paraId="5A5F5FEE" w14:textId="3AB85C21" w:rsidR="005B1686" w:rsidRPr="00776615" w:rsidRDefault="00FE33D5" w:rsidP="001B6E42">
      <w:pPr>
        <w:pStyle w:val="Subtitle"/>
        <w:rPr>
          <w:highlight w:val="yellow"/>
        </w:rPr>
      </w:pPr>
      <w:r w:rsidRPr="001B6E42">
        <w:t xml:space="preserve">Public </w:t>
      </w:r>
      <w:r w:rsidR="00001A2A" w:rsidRPr="001B6E42">
        <w:t xml:space="preserve">Summary Report </w:t>
      </w:r>
      <w:r w:rsidR="009F6F06" w:rsidRPr="001B6E42">
        <w:t>–</w:t>
      </w:r>
      <w:r w:rsidR="008F6FF1" w:rsidRPr="001B6E42">
        <w:t xml:space="preserve"> </w:t>
      </w:r>
      <w:r w:rsidR="009F6F06" w:rsidRPr="001B6E42">
        <w:t>August</w:t>
      </w:r>
      <w:r w:rsidR="00C953F8" w:rsidRPr="001B6E42">
        <w:t xml:space="preserve"> 2022</w:t>
      </w:r>
      <w:r w:rsidR="00001A2A" w:rsidRPr="001B6E42">
        <w:br w:type="page"/>
      </w:r>
    </w:p>
    <w:p w14:paraId="6EBC61FC" w14:textId="0911E8D3" w:rsidR="005B1686" w:rsidRPr="00951DC6" w:rsidRDefault="00001A2A" w:rsidP="00951DC6">
      <w:pPr>
        <w:pStyle w:val="Heading1"/>
        <w:pBdr>
          <w:top w:val="nil"/>
          <w:left w:val="nil"/>
          <w:bottom w:val="nil"/>
          <w:right w:val="nil"/>
          <w:between w:val="nil"/>
        </w:pBdr>
        <w:rPr>
          <w:color w:val="365F91" w:themeColor="accent1" w:themeShade="BF"/>
          <w:sz w:val="32"/>
        </w:rPr>
      </w:pPr>
      <w:bookmarkStart w:id="0" w:name="_Toc111803146"/>
      <w:r w:rsidRPr="00951DC6">
        <w:rPr>
          <w:color w:val="365F91" w:themeColor="accent1" w:themeShade="BF"/>
          <w:sz w:val="32"/>
        </w:rPr>
        <w:lastRenderedPageBreak/>
        <w:t xml:space="preserve">Executive </w:t>
      </w:r>
      <w:r w:rsidR="001B6E42">
        <w:rPr>
          <w:color w:val="365F91" w:themeColor="accent1" w:themeShade="BF"/>
          <w:sz w:val="32"/>
        </w:rPr>
        <w:t>s</w:t>
      </w:r>
      <w:r w:rsidRPr="00951DC6">
        <w:rPr>
          <w:color w:val="365F91" w:themeColor="accent1" w:themeShade="BF"/>
          <w:sz w:val="32"/>
        </w:rPr>
        <w:t>ummary</w:t>
      </w:r>
      <w:bookmarkEnd w:id="0"/>
    </w:p>
    <w:p w14:paraId="061C85A2" w14:textId="517C467B" w:rsidR="003E3F99" w:rsidRDefault="0036487F" w:rsidP="001B6E42">
      <w:r w:rsidRPr="00F87136">
        <w:t xml:space="preserve">The Home Care Packages </w:t>
      </w:r>
      <w:r w:rsidR="001E05F7" w:rsidRPr="00F87136">
        <w:t xml:space="preserve">(HCP) </w:t>
      </w:r>
      <w:r w:rsidRPr="00F87136">
        <w:t>Program</w:t>
      </w:r>
      <w:r w:rsidR="00B161FE">
        <w:t xml:space="preserve"> </w:t>
      </w:r>
      <w:r w:rsidR="00B161FE" w:rsidRPr="00B161FE">
        <w:t xml:space="preserve">provides support to older </w:t>
      </w:r>
      <w:r w:rsidR="00AD4BD2">
        <w:t>Australians</w:t>
      </w:r>
      <w:r w:rsidR="00B161FE" w:rsidRPr="00B161FE">
        <w:t xml:space="preserve"> with complex needs to help them stay at home.</w:t>
      </w:r>
      <w:r w:rsidRPr="00F87136">
        <w:t xml:space="preserve"> </w:t>
      </w:r>
      <w:r w:rsidR="00E64FDA" w:rsidRPr="00E64FDA">
        <w:t xml:space="preserve">As at December 2021, there were 911 approved HCP providers. The </w:t>
      </w:r>
      <w:r w:rsidR="004F76D2">
        <w:t>P</w:t>
      </w:r>
      <w:r w:rsidR="00E64FDA" w:rsidRPr="00E64FDA">
        <w:t>rogram’s estimated expenditure for 2022</w:t>
      </w:r>
      <w:r w:rsidR="001B6E42">
        <w:t>–</w:t>
      </w:r>
      <w:r w:rsidR="00E64FDA" w:rsidRPr="00E64FDA">
        <w:t xml:space="preserve">23 is </w:t>
      </w:r>
      <w:r w:rsidR="004F76D2">
        <w:t xml:space="preserve">around </w:t>
      </w:r>
      <w:r w:rsidR="00E64FDA" w:rsidRPr="00571129">
        <w:t>$6.</w:t>
      </w:r>
      <w:r w:rsidR="00D85968">
        <w:t>5</w:t>
      </w:r>
      <w:r w:rsidR="00E64FDA" w:rsidRPr="00571129">
        <w:t xml:space="preserve"> billion,</w:t>
      </w:r>
      <w:r w:rsidR="00E64FDA" w:rsidRPr="00E64FDA">
        <w:t xml:space="preserve"> with nearly 275,600 people expected to </w:t>
      </w:r>
      <w:r w:rsidR="00F076FE">
        <w:t>receive</w:t>
      </w:r>
      <w:r w:rsidR="00E64FDA" w:rsidRPr="00E64FDA">
        <w:t xml:space="preserve"> </w:t>
      </w:r>
      <w:proofErr w:type="gramStart"/>
      <w:r w:rsidR="00E64FDA" w:rsidRPr="00E64FDA">
        <w:t>a</w:t>
      </w:r>
      <w:proofErr w:type="gramEnd"/>
      <w:r w:rsidR="00E64FDA" w:rsidRPr="00E64FDA">
        <w:t xml:space="preserve"> HCP by the end of 2022</w:t>
      </w:r>
      <w:r w:rsidR="001B6E42">
        <w:t>–</w:t>
      </w:r>
      <w:r w:rsidR="00E64FDA" w:rsidRPr="00E64FDA">
        <w:t>23.</w:t>
      </w:r>
    </w:p>
    <w:p w14:paraId="269AC9FC" w14:textId="0503098F" w:rsidR="00A1180A" w:rsidRDefault="00AD4BD2" w:rsidP="006D000F">
      <w:r>
        <w:t>With</w:t>
      </w:r>
      <w:r w:rsidR="008B1C31" w:rsidRPr="00F87136">
        <w:t xml:space="preserve"> </w:t>
      </w:r>
      <w:r w:rsidR="0036487F" w:rsidRPr="00F87136">
        <w:t xml:space="preserve">growing demand for these HCPs, it is imperative that care recipients and </w:t>
      </w:r>
      <w:r w:rsidR="0036487F" w:rsidRPr="00820159">
        <w:t xml:space="preserve">the Government (on behalf of taxpayers) </w:t>
      </w:r>
      <w:r w:rsidRPr="00820159">
        <w:t>have confidence</w:t>
      </w:r>
      <w:r w:rsidR="0036487F" w:rsidRPr="00820159">
        <w:t xml:space="preserve"> that </w:t>
      </w:r>
      <w:r w:rsidRPr="00820159">
        <w:t>funds are</w:t>
      </w:r>
      <w:r w:rsidR="0036487F" w:rsidRPr="00820159">
        <w:t xml:space="preserve"> being spent for the purpose</w:t>
      </w:r>
      <w:r w:rsidR="001F07EE" w:rsidRPr="00820159">
        <w:t xml:space="preserve"> intended</w:t>
      </w:r>
      <w:r w:rsidR="0036487F" w:rsidRPr="00820159">
        <w:t>.</w:t>
      </w:r>
      <w:r w:rsidR="00D65B91" w:rsidRPr="00820159">
        <w:t xml:space="preserve"> </w:t>
      </w:r>
      <w:r w:rsidR="002C7E12" w:rsidRPr="00820159">
        <w:t xml:space="preserve">There remains public concern that HCP </w:t>
      </w:r>
      <w:r w:rsidR="00D66B56">
        <w:t>‘</w:t>
      </w:r>
      <w:r w:rsidR="002C7E12" w:rsidRPr="00820159">
        <w:t>administrative</w:t>
      </w:r>
      <w:r w:rsidR="00D66B56">
        <w:t>’</w:t>
      </w:r>
      <w:r w:rsidR="002C7E12" w:rsidRPr="00820159">
        <w:t xml:space="preserve"> charges are high. </w:t>
      </w:r>
      <w:r w:rsidR="005009C6" w:rsidRPr="00820159">
        <w:t xml:space="preserve">HCP Program Assurance </w:t>
      </w:r>
      <w:r w:rsidR="004F76D2">
        <w:t>commenced</w:t>
      </w:r>
      <w:r w:rsidR="005009C6" w:rsidRPr="00820159">
        <w:t xml:space="preserve"> in 2021 to underpin the Government’s plan to improve aged care and boost transparency and accountability in the sector. </w:t>
      </w:r>
      <w:r w:rsidR="002C7E12" w:rsidRPr="00820159">
        <w:t>Th</w:t>
      </w:r>
      <w:r w:rsidR="004F76D2">
        <w:t>e</w:t>
      </w:r>
      <w:r w:rsidR="002C7E12" w:rsidRPr="00820159">
        <w:t xml:space="preserve"> </w:t>
      </w:r>
      <w:r w:rsidR="005A0B53" w:rsidRPr="00820159">
        <w:t xml:space="preserve">inaugural </w:t>
      </w:r>
      <w:r w:rsidR="00F07469">
        <w:t>P</w:t>
      </w:r>
      <w:r w:rsidR="005A0B53" w:rsidRPr="00820159">
        <w:t xml:space="preserve">rogram </w:t>
      </w:r>
      <w:r w:rsidR="00F07469">
        <w:t>A</w:t>
      </w:r>
      <w:r w:rsidR="005A0B53" w:rsidRPr="00820159">
        <w:t>ssurance</w:t>
      </w:r>
      <w:r w:rsidR="004F76D2">
        <w:t xml:space="preserve"> </w:t>
      </w:r>
      <w:r w:rsidR="00F07469">
        <w:t>R</w:t>
      </w:r>
      <w:r w:rsidR="004F76D2">
        <w:t>eview</w:t>
      </w:r>
      <w:r w:rsidR="00EF35EB">
        <w:t xml:space="preserve"> (the Review)</w:t>
      </w:r>
      <w:r w:rsidR="004F76D2">
        <w:t>, the subject of this report,</w:t>
      </w:r>
      <w:r w:rsidR="00646170" w:rsidRPr="00820159">
        <w:t xml:space="preserve"> focused on care management and indirect charges (together </w:t>
      </w:r>
      <w:r w:rsidR="006B758A" w:rsidRPr="00820159">
        <w:t xml:space="preserve">often referred to </w:t>
      </w:r>
      <w:r w:rsidR="006B758A" w:rsidRPr="004F76D2">
        <w:t>incorrectly</w:t>
      </w:r>
      <w:r w:rsidR="006B758A" w:rsidRPr="00820159">
        <w:rPr>
          <w:i/>
          <w:iCs/>
        </w:rPr>
        <w:t xml:space="preserve"> </w:t>
      </w:r>
      <w:r w:rsidR="00646170" w:rsidRPr="00820159">
        <w:t xml:space="preserve">as </w:t>
      </w:r>
      <w:r w:rsidR="00D66B56">
        <w:t>‘</w:t>
      </w:r>
      <w:r w:rsidR="00646170" w:rsidRPr="00820159">
        <w:t>administrative charges</w:t>
      </w:r>
      <w:r w:rsidR="00D66B56">
        <w:t>’</w:t>
      </w:r>
      <w:r w:rsidR="00646170" w:rsidRPr="00820159">
        <w:t xml:space="preserve"> or </w:t>
      </w:r>
      <w:r w:rsidR="00D66B56">
        <w:t>‘</w:t>
      </w:r>
      <w:r w:rsidR="00646170" w:rsidRPr="00820159">
        <w:t>indirect charges</w:t>
      </w:r>
      <w:r w:rsidR="00D66B56">
        <w:t>’</w:t>
      </w:r>
      <w:r w:rsidR="00413D76" w:rsidRPr="00820159">
        <w:rPr>
          <w:rStyle w:val="FootnoteReference"/>
        </w:rPr>
        <w:footnoteReference w:id="2"/>
      </w:r>
      <w:r w:rsidR="00413D76" w:rsidRPr="00820159">
        <w:t>)</w:t>
      </w:r>
      <w:r w:rsidR="00646170" w:rsidRPr="00820159">
        <w:t>.</w:t>
      </w:r>
    </w:p>
    <w:p w14:paraId="4C09D684" w14:textId="1DC6DA85" w:rsidR="005009C6" w:rsidRDefault="00C751C6" w:rsidP="004C1087">
      <w:r w:rsidRPr="00820159">
        <w:t>For the inaugural Review, t</w:t>
      </w:r>
      <w:r w:rsidR="00646170" w:rsidRPr="00820159">
        <w:t xml:space="preserve">he </w:t>
      </w:r>
      <w:r w:rsidR="00D306E6" w:rsidRPr="00820159">
        <w:t xml:space="preserve">in-house </w:t>
      </w:r>
      <w:r w:rsidR="00EF35EB">
        <w:t>R</w:t>
      </w:r>
      <w:r w:rsidRPr="00820159">
        <w:t xml:space="preserve">eview </w:t>
      </w:r>
      <w:r w:rsidR="00646170" w:rsidRPr="00820159">
        <w:t>team</w:t>
      </w:r>
      <w:r w:rsidRPr="00820159">
        <w:t xml:space="preserve"> of </w:t>
      </w:r>
      <w:r w:rsidR="00646170" w:rsidRPr="00820159">
        <w:t xml:space="preserve">accredited Review </w:t>
      </w:r>
      <w:r w:rsidR="006536EA">
        <w:t>o</w:t>
      </w:r>
      <w:r w:rsidR="00646170" w:rsidRPr="00820159">
        <w:t>fficers</w:t>
      </w:r>
      <w:r w:rsidRPr="00820159">
        <w:t xml:space="preserve"> </w:t>
      </w:r>
      <w:r w:rsidR="00646170" w:rsidRPr="00820159">
        <w:t xml:space="preserve">examined </w:t>
      </w:r>
      <w:r w:rsidR="00C13052" w:rsidRPr="00820159">
        <w:t>about</w:t>
      </w:r>
      <w:r w:rsidR="00646170" w:rsidRPr="00820159">
        <w:t xml:space="preserve"> 16,000 documents for around 1,000 care recipients</w:t>
      </w:r>
      <w:r w:rsidR="002522F6" w:rsidRPr="00820159">
        <w:t xml:space="preserve"> and </w:t>
      </w:r>
      <w:r w:rsidR="00646170" w:rsidRPr="00820159">
        <w:t>100 providers</w:t>
      </w:r>
      <w:r w:rsidR="00F66283">
        <w:t>. T</w:t>
      </w:r>
      <w:r w:rsidR="002522F6" w:rsidRPr="00820159">
        <w:t>hese providers together represent</w:t>
      </w:r>
      <w:r w:rsidR="00AD4BD2" w:rsidRPr="00820159">
        <w:t xml:space="preserve"> </w:t>
      </w:r>
      <w:r w:rsidR="00C13052" w:rsidRPr="00820159">
        <w:t>approximately</w:t>
      </w:r>
      <w:r w:rsidR="00AF6071" w:rsidRPr="00820159">
        <w:t xml:space="preserve"> 11% of the total HCP providers</w:t>
      </w:r>
      <w:r w:rsidR="007D6316">
        <w:t>,</w:t>
      </w:r>
      <w:r w:rsidR="00AF6071" w:rsidRPr="00820159">
        <w:t xml:space="preserve"> covering around</w:t>
      </w:r>
      <w:r w:rsidR="00646170" w:rsidRPr="00820159">
        <w:t xml:space="preserve"> 6</w:t>
      </w:r>
      <w:r w:rsidR="008D6243" w:rsidRPr="00820159">
        <w:t>0</w:t>
      </w:r>
      <w:r w:rsidR="00646170" w:rsidRPr="00820159">
        <w:t xml:space="preserve">% of </w:t>
      </w:r>
      <w:r w:rsidR="001B6CBE" w:rsidRPr="00820159">
        <w:t xml:space="preserve">HCP </w:t>
      </w:r>
      <w:r w:rsidR="00646170" w:rsidRPr="00820159">
        <w:t>care recipients.</w:t>
      </w:r>
      <w:r w:rsidR="0027353B" w:rsidRPr="00820159">
        <w:t xml:space="preserve"> </w:t>
      </w:r>
      <w:r w:rsidR="003C5FCD" w:rsidRPr="00820159">
        <w:t xml:space="preserve">In undertaking this </w:t>
      </w:r>
      <w:r w:rsidR="006F1513">
        <w:t>R</w:t>
      </w:r>
      <w:r w:rsidR="003C5FCD" w:rsidRPr="00820159">
        <w:t xml:space="preserve">eview, the team tried to </w:t>
      </w:r>
      <w:r w:rsidR="00D66B56">
        <w:t>‘</w:t>
      </w:r>
      <w:r w:rsidR="003C5FCD" w:rsidRPr="00820159">
        <w:t>walk in the shoes</w:t>
      </w:r>
      <w:r w:rsidR="00D66B56">
        <w:t>’</w:t>
      </w:r>
      <w:r w:rsidR="003C5FCD" w:rsidRPr="00820159">
        <w:t xml:space="preserve"> of providers </w:t>
      </w:r>
      <w:r w:rsidR="00EF35EB">
        <w:t>and</w:t>
      </w:r>
      <w:r w:rsidR="003C5FCD" w:rsidRPr="00820159">
        <w:t xml:space="preserve"> care recipients</w:t>
      </w:r>
      <w:r w:rsidR="005009C6" w:rsidRPr="00820159">
        <w:t xml:space="preserve"> to understand what providers are charging, why, whether their approach is consistent with relevant HCP Program requirements</w:t>
      </w:r>
      <w:r w:rsidR="007D6316">
        <w:t>,</w:t>
      </w:r>
      <w:r w:rsidR="005009C6" w:rsidRPr="00820159">
        <w:t xml:space="preserve"> and whether providers are consistently applying their pricing methodology </w:t>
      </w:r>
      <w:r w:rsidR="007D6316">
        <w:t xml:space="preserve">to variable charges </w:t>
      </w:r>
      <w:r w:rsidR="005009C6" w:rsidRPr="00820159">
        <w:t>across the sampled care recipients</w:t>
      </w:r>
      <w:r w:rsidR="003C5FCD" w:rsidRPr="00820159">
        <w:t>.</w:t>
      </w:r>
    </w:p>
    <w:p w14:paraId="0A4F7D72" w14:textId="1C434253" w:rsidR="00A1180A" w:rsidRDefault="00B6341F" w:rsidP="00B6341F">
      <w:r>
        <w:t>T</w:t>
      </w:r>
      <w:r w:rsidRPr="00F87136">
        <w:t xml:space="preserve">his public summary report </w:t>
      </w:r>
      <w:r>
        <w:t xml:space="preserve">contains general findings and observations </w:t>
      </w:r>
      <w:r w:rsidR="00E20B54">
        <w:t>and does n</w:t>
      </w:r>
      <w:r>
        <w:t xml:space="preserve">ot include </w:t>
      </w:r>
      <w:r w:rsidRPr="00F87136">
        <w:t>commercial-in-confidence</w:t>
      </w:r>
      <w:r>
        <w:t xml:space="preserve"> information</w:t>
      </w:r>
      <w:r w:rsidRPr="00F87136">
        <w:t>.</w:t>
      </w:r>
    </w:p>
    <w:p w14:paraId="6BDE63F0" w14:textId="77777777" w:rsidR="00A1180A" w:rsidRDefault="001866B5" w:rsidP="006D000F">
      <w:r w:rsidRPr="00F87136">
        <w:t>Overall, t</w:t>
      </w:r>
      <w:r w:rsidR="007716EB" w:rsidRPr="00F87136">
        <w:t xml:space="preserve">he Review found that </w:t>
      </w:r>
      <w:r w:rsidR="0088483A">
        <w:t>many</w:t>
      </w:r>
      <w:r w:rsidR="006D000F" w:rsidRPr="00F87136">
        <w:t xml:space="preserve"> providers are doing, or </w:t>
      </w:r>
      <w:r w:rsidR="0070133B">
        <w:t>intend</w:t>
      </w:r>
      <w:r w:rsidR="0070133B" w:rsidRPr="00F87136">
        <w:t xml:space="preserve"> </w:t>
      </w:r>
      <w:r w:rsidR="006D000F" w:rsidRPr="00F87136">
        <w:t>to</w:t>
      </w:r>
      <w:r w:rsidR="00A70498" w:rsidRPr="00F87136">
        <w:t xml:space="preserve"> do</w:t>
      </w:r>
      <w:r w:rsidR="006D000F" w:rsidRPr="00F87136">
        <w:t>, the right thing by care recipients</w:t>
      </w:r>
      <w:r w:rsidR="001B6CBE" w:rsidRPr="00F87136">
        <w:t xml:space="preserve"> and taxpayers</w:t>
      </w:r>
      <w:r w:rsidR="006D000F" w:rsidRPr="00F87136">
        <w:t xml:space="preserve">. </w:t>
      </w:r>
      <w:r w:rsidR="0088483A">
        <w:t>Providers</w:t>
      </w:r>
      <w:r w:rsidR="006D000F" w:rsidRPr="00F87136">
        <w:t xml:space="preserve"> appreciated receiving clarity through the Review process on some </w:t>
      </w:r>
      <w:r w:rsidR="003D0538" w:rsidRPr="00F87136">
        <w:t>important</w:t>
      </w:r>
      <w:r w:rsidR="006D000F" w:rsidRPr="00F87136">
        <w:t xml:space="preserve"> </w:t>
      </w:r>
      <w:r w:rsidR="00CC3F86" w:rsidRPr="00F87136">
        <w:t xml:space="preserve">HCP Program requirements </w:t>
      </w:r>
      <w:r w:rsidR="006D000F" w:rsidRPr="00F87136">
        <w:t>(</w:t>
      </w:r>
      <w:r w:rsidR="00CC3F86" w:rsidRPr="00F87136">
        <w:t>for example,</w:t>
      </w:r>
      <w:r w:rsidR="006D000F" w:rsidRPr="00F87136">
        <w:t xml:space="preserve"> whether $0 can be charged for care management, </w:t>
      </w:r>
      <w:r w:rsidR="00AD4BD2">
        <w:t xml:space="preserve">or </w:t>
      </w:r>
      <w:r w:rsidR="006D000F" w:rsidRPr="00F87136">
        <w:t xml:space="preserve">whether </w:t>
      </w:r>
      <w:r w:rsidR="00AC4D26">
        <w:t>a percentage</w:t>
      </w:r>
      <w:r w:rsidR="006D000F" w:rsidRPr="00F87136">
        <w:t xml:space="preserve"> can be listed for </w:t>
      </w:r>
      <w:r w:rsidR="003D0538" w:rsidRPr="00F87136">
        <w:t>third-party invoice processing</w:t>
      </w:r>
      <w:r w:rsidR="009C5696">
        <w:t xml:space="preserve"> surcharge</w:t>
      </w:r>
      <w:r w:rsidR="006D000F" w:rsidRPr="00F87136">
        <w:t xml:space="preserve">). </w:t>
      </w:r>
      <w:r w:rsidR="00CC3F86" w:rsidRPr="00F87136">
        <w:t xml:space="preserve">The Review team </w:t>
      </w:r>
      <w:r w:rsidR="00EC3E74" w:rsidRPr="00F87136">
        <w:t>notes</w:t>
      </w:r>
      <w:r w:rsidR="00EF35EB">
        <w:t>,</w:t>
      </w:r>
      <w:r w:rsidR="00EC3E74" w:rsidRPr="00F87136">
        <w:t xml:space="preserve"> with appreciation</w:t>
      </w:r>
      <w:r w:rsidR="00EF35EB">
        <w:t>,</w:t>
      </w:r>
      <w:r w:rsidR="00EC3E74" w:rsidRPr="00F87136">
        <w:t xml:space="preserve"> that some providers </w:t>
      </w:r>
      <w:r w:rsidR="00CC3F86" w:rsidRPr="00F87136">
        <w:t>proactively commenced</w:t>
      </w:r>
      <w:r w:rsidR="006D000F" w:rsidRPr="00F87136">
        <w:t xml:space="preserve"> improvements</w:t>
      </w:r>
      <w:r w:rsidR="00EC3E74" w:rsidRPr="00F87136">
        <w:t xml:space="preserve"> to their pricing transparency</w:t>
      </w:r>
      <w:r w:rsidR="006D000F" w:rsidRPr="00F87136">
        <w:t xml:space="preserve"> </w:t>
      </w:r>
      <w:r w:rsidR="0070133B">
        <w:t xml:space="preserve">arrangements </w:t>
      </w:r>
      <w:r w:rsidR="00E20B54">
        <w:t xml:space="preserve">even </w:t>
      </w:r>
      <w:r w:rsidR="006D000F" w:rsidRPr="00F87136">
        <w:t xml:space="preserve">before their individual report was finalised. </w:t>
      </w:r>
      <w:r w:rsidR="006B1123">
        <w:t>M</w:t>
      </w:r>
      <w:r w:rsidR="00CC3F86" w:rsidRPr="00F87136">
        <w:t>any updated their pricing schedules on My Aged Care</w:t>
      </w:r>
      <w:r w:rsidR="006D000F" w:rsidRPr="00F87136">
        <w:t>.</w:t>
      </w:r>
    </w:p>
    <w:p w14:paraId="7AA1CDC5" w14:textId="77777777" w:rsidR="00A1180A" w:rsidRDefault="0070133B" w:rsidP="00880836">
      <w:r>
        <w:lastRenderedPageBreak/>
        <w:t>T</w:t>
      </w:r>
      <w:r w:rsidR="00D65B91">
        <w:t>he Review found considerable variation</w:t>
      </w:r>
      <w:r w:rsidR="00351986">
        <w:t xml:space="preserve"> </w:t>
      </w:r>
      <w:r w:rsidR="00AC4D26">
        <w:t>across providers</w:t>
      </w:r>
      <w:r w:rsidR="00D65B91">
        <w:t xml:space="preserve"> in indirect and care management charges.</w:t>
      </w:r>
      <w:r w:rsidR="00BC6C0C" w:rsidRPr="00BC6C0C">
        <w:t xml:space="preserve"> </w:t>
      </w:r>
      <w:bookmarkStart w:id="1" w:name="_Hlk107128707"/>
      <w:r w:rsidR="00F7690B">
        <w:t>While not part of the Review of providers, given the relevance to the topic, t</w:t>
      </w:r>
      <w:r w:rsidR="0070297A">
        <w:t xml:space="preserve">he Review team analysed the prices </w:t>
      </w:r>
      <w:r w:rsidR="00A77C98" w:rsidRPr="00A77C98">
        <w:t>published on My Aged Care (as at 31 May 2022)</w:t>
      </w:r>
      <w:r w:rsidR="0070297A">
        <w:t xml:space="preserve"> </w:t>
      </w:r>
      <w:r w:rsidR="00735E8F">
        <w:t>of</w:t>
      </w:r>
      <w:r w:rsidR="00A77C98" w:rsidRPr="00A77C98">
        <w:t xml:space="preserve"> the 100 </w:t>
      </w:r>
      <w:r w:rsidR="0070297A">
        <w:t>p</w:t>
      </w:r>
      <w:r w:rsidR="00A77C98" w:rsidRPr="00A77C98">
        <w:t>roviders</w:t>
      </w:r>
      <w:r w:rsidR="0070297A">
        <w:t xml:space="preserve"> for about</w:t>
      </w:r>
      <w:r w:rsidR="00A77C98" w:rsidRPr="00A77C98">
        <w:t xml:space="preserve"> 1,400 </w:t>
      </w:r>
      <w:r w:rsidR="00A77C98">
        <w:t>s</w:t>
      </w:r>
      <w:r w:rsidR="00A77C98" w:rsidRPr="00A77C98">
        <w:t>ervices</w:t>
      </w:r>
      <w:r w:rsidR="0070297A">
        <w:t xml:space="preserve">. </w:t>
      </w:r>
      <w:bookmarkEnd w:id="1"/>
    </w:p>
    <w:p w14:paraId="35D44BF9" w14:textId="4DACD630" w:rsidR="00880836" w:rsidRPr="009A4A8E" w:rsidRDefault="00880836" w:rsidP="00880836">
      <w:r w:rsidRPr="009A4A8E">
        <w:t xml:space="preserve">Based on </w:t>
      </w:r>
      <w:r>
        <w:t xml:space="preserve">My Aged Care </w:t>
      </w:r>
      <w:r w:rsidRPr="009A4A8E">
        <w:t>published prices</w:t>
      </w:r>
      <w:r>
        <w:t>,</w:t>
      </w:r>
      <w:r w:rsidRPr="009A4A8E">
        <w:t xml:space="preserve"> for the 100 </w:t>
      </w:r>
      <w:r>
        <w:t>p</w:t>
      </w:r>
      <w:r w:rsidRPr="009A4A8E">
        <w:t>roviders reviewed, on average:</w:t>
      </w:r>
    </w:p>
    <w:p w14:paraId="5F746D46" w14:textId="707277FA" w:rsidR="00880836" w:rsidRDefault="00FC69A2" w:rsidP="00776615">
      <w:pPr>
        <w:pStyle w:val="ListBullet"/>
      </w:pPr>
      <w:r>
        <w:t>F</w:t>
      </w:r>
      <w:r w:rsidR="00880836">
        <w:t>ully</w:t>
      </w:r>
      <w:r w:rsidR="008636DA">
        <w:t xml:space="preserve"> </w:t>
      </w:r>
      <w:r>
        <w:t xml:space="preserve">managed </w:t>
      </w:r>
      <w:r w:rsidR="00880836">
        <w:t>care</w:t>
      </w:r>
      <w:r>
        <w:t xml:space="preserve"> </w:t>
      </w:r>
      <w:r w:rsidR="00880836">
        <w:t>manage</w:t>
      </w:r>
      <w:r>
        <w:t>ment</w:t>
      </w:r>
      <w:r w:rsidR="00880836">
        <w:t xml:space="preserve"> charges represent </w:t>
      </w:r>
      <w:r w:rsidR="00880836" w:rsidRPr="009A4A8E">
        <w:t xml:space="preserve">17% of the total HCP </w:t>
      </w:r>
      <w:r w:rsidR="00A511DB">
        <w:t>subsidy</w:t>
      </w:r>
      <w:r w:rsidR="00880836" w:rsidRPr="009A4A8E">
        <w:t xml:space="preserve"> for Level 1 (ranging between 0% and 60%)</w:t>
      </w:r>
      <w:r w:rsidR="00880836">
        <w:t xml:space="preserve"> </w:t>
      </w:r>
      <w:r w:rsidR="00702284">
        <w:t>and</w:t>
      </w:r>
      <w:r w:rsidR="00880836">
        <w:t xml:space="preserve"> </w:t>
      </w:r>
      <w:r w:rsidR="00880836" w:rsidRPr="009A4A8E">
        <w:t xml:space="preserve">16% of the total HCP </w:t>
      </w:r>
      <w:r w:rsidR="00A511DB">
        <w:t>subsidy</w:t>
      </w:r>
      <w:r w:rsidR="00880836" w:rsidRPr="009A4A8E">
        <w:t xml:space="preserve"> for Level 4 (ranging between 0% and 35%)</w:t>
      </w:r>
    </w:p>
    <w:p w14:paraId="169FD781" w14:textId="52B51D86" w:rsidR="00880836" w:rsidRDefault="00880836" w:rsidP="00776615">
      <w:pPr>
        <w:pStyle w:val="ListBullet"/>
      </w:pPr>
      <w:r>
        <w:t xml:space="preserve">self-managed </w:t>
      </w:r>
      <w:r w:rsidR="00FC69A2">
        <w:t xml:space="preserve">care management </w:t>
      </w:r>
      <w:r>
        <w:t xml:space="preserve">charges represent 12% of the total HCP </w:t>
      </w:r>
      <w:r w:rsidR="00A511DB">
        <w:t>subsidy</w:t>
      </w:r>
      <w:r>
        <w:t xml:space="preserve"> for Level 1 (ranging between 0% and 35%) </w:t>
      </w:r>
      <w:r w:rsidR="00E20B54">
        <w:t>and</w:t>
      </w:r>
      <w:r>
        <w:t xml:space="preserve"> 7% of the total HCP </w:t>
      </w:r>
      <w:r w:rsidR="00A511DB">
        <w:t>subsidy</w:t>
      </w:r>
      <w:r>
        <w:t xml:space="preserve"> for Level 4 (ranging between 0% and 23%)</w:t>
      </w:r>
    </w:p>
    <w:p w14:paraId="04D34DC3" w14:textId="042B7591" w:rsidR="00956472" w:rsidRDefault="00880836" w:rsidP="00776615">
      <w:pPr>
        <w:pStyle w:val="ListBullet"/>
      </w:pPr>
      <w:r>
        <w:t xml:space="preserve">package management charges represent 10% of the total HCP </w:t>
      </w:r>
      <w:r w:rsidR="00A511DB">
        <w:t>subsidy</w:t>
      </w:r>
      <w:r>
        <w:t xml:space="preserve"> for Level 1 (ranging between 0.3%</w:t>
      </w:r>
      <w:r>
        <w:rPr>
          <w:rStyle w:val="FootnoteReference"/>
        </w:rPr>
        <w:footnoteReference w:id="3"/>
      </w:r>
      <w:r>
        <w:t xml:space="preserve"> and 30%) </w:t>
      </w:r>
      <w:r w:rsidR="00E20B54">
        <w:t>and</w:t>
      </w:r>
      <w:r>
        <w:t xml:space="preserve"> </w:t>
      </w:r>
      <w:r w:rsidR="00956472">
        <w:t xml:space="preserve">10% of the total HCP </w:t>
      </w:r>
      <w:r w:rsidR="00A511DB">
        <w:t>subsidy</w:t>
      </w:r>
      <w:r w:rsidR="00956472">
        <w:t xml:space="preserve"> for Level 4 (ranging between 3% and 31%).</w:t>
      </w:r>
    </w:p>
    <w:p w14:paraId="77EED235" w14:textId="2A217E15" w:rsidR="00A1180A" w:rsidRDefault="005009C6" w:rsidP="00A36F7B">
      <w:proofErr w:type="gramStart"/>
      <w:r>
        <w:t>In undertaking the Review, it</w:t>
      </w:r>
      <w:proofErr w:type="gramEnd"/>
      <w:r>
        <w:t xml:space="preserve"> became apparent that t</w:t>
      </w:r>
      <w:r w:rsidR="00351986">
        <w:t>he concept of ‘v</w:t>
      </w:r>
      <w:r w:rsidR="00AD182B" w:rsidRPr="00F87136">
        <w:t>alue for money</w:t>
      </w:r>
      <w:r w:rsidR="00351986">
        <w:t>’</w:t>
      </w:r>
      <w:r w:rsidR="0008362A" w:rsidRPr="00F87136">
        <w:rPr>
          <w:rStyle w:val="FootnoteReference"/>
        </w:rPr>
        <w:footnoteReference w:id="4"/>
      </w:r>
      <w:r w:rsidR="0008362A" w:rsidRPr="00F87136">
        <w:t xml:space="preserve"> </w:t>
      </w:r>
      <w:r w:rsidR="008E23CC">
        <w:t>is</w:t>
      </w:r>
      <w:r w:rsidR="00AD182B" w:rsidRPr="00F87136">
        <w:t xml:space="preserve"> subjective</w:t>
      </w:r>
      <w:r w:rsidR="008B232E">
        <w:t xml:space="preserve">ly </w:t>
      </w:r>
      <w:r w:rsidR="008B232E" w:rsidRPr="008B232E">
        <w:t>interpreted</w:t>
      </w:r>
      <w:r w:rsidR="00AD182B" w:rsidRPr="00F87136">
        <w:t xml:space="preserve"> </w:t>
      </w:r>
      <w:r w:rsidR="008B232E">
        <w:t>by</w:t>
      </w:r>
      <w:r>
        <w:t xml:space="preserve"> both</w:t>
      </w:r>
      <w:r w:rsidR="00AD182B" w:rsidRPr="00F87136">
        <w:t xml:space="preserve"> providers and care recipients. </w:t>
      </w:r>
      <w:r w:rsidR="00BB7B12">
        <w:t xml:space="preserve">For example, a </w:t>
      </w:r>
      <w:r w:rsidR="00AD182B" w:rsidRPr="00F87136">
        <w:t xml:space="preserve">low or no charge for care management might be considered optimal by a care recipient but can </w:t>
      </w:r>
      <w:r w:rsidR="005813B5">
        <w:t>constrain</w:t>
      </w:r>
      <w:r w:rsidR="00AD182B" w:rsidRPr="00F87136">
        <w:t xml:space="preserve"> the </w:t>
      </w:r>
      <w:r w:rsidR="005D3F48">
        <w:t>HCP p</w:t>
      </w:r>
      <w:r w:rsidR="00AD182B" w:rsidRPr="00F87136">
        <w:t xml:space="preserve">rovider </w:t>
      </w:r>
      <w:r w:rsidR="005813B5">
        <w:t xml:space="preserve">from </w:t>
      </w:r>
      <w:r w:rsidR="007C1715">
        <w:t xml:space="preserve">meeting </w:t>
      </w:r>
      <w:r w:rsidR="006F1513">
        <w:t xml:space="preserve">their </w:t>
      </w:r>
      <w:r w:rsidR="00AD182B" w:rsidRPr="00F87136">
        <w:t xml:space="preserve">regulatory obligations. </w:t>
      </w:r>
      <w:r w:rsidR="00C13052">
        <w:t>Full c</w:t>
      </w:r>
      <w:r w:rsidR="00026A57" w:rsidRPr="00F87136">
        <w:t xml:space="preserve">ontrol over </w:t>
      </w:r>
      <w:r w:rsidR="00500C28" w:rsidRPr="00F87136">
        <w:t>their</w:t>
      </w:r>
      <w:r w:rsidR="00026A57" w:rsidRPr="00F87136">
        <w:t xml:space="preserve"> HCP funds may be desired by </w:t>
      </w:r>
      <w:r w:rsidR="00C13052">
        <w:t xml:space="preserve">self-managed </w:t>
      </w:r>
      <w:r w:rsidR="00026A57" w:rsidRPr="00F87136">
        <w:t xml:space="preserve">care recipients, but </w:t>
      </w:r>
      <w:r w:rsidR="005D3F48">
        <w:t>p</w:t>
      </w:r>
      <w:r w:rsidR="00856D38" w:rsidRPr="00F87136">
        <w:t>roviders remain accountable for the</w:t>
      </w:r>
      <w:r w:rsidR="007C1715">
        <w:t xml:space="preserve"> use of funds</w:t>
      </w:r>
      <w:r>
        <w:t xml:space="preserve"> and hence still need to charge for care management</w:t>
      </w:r>
      <w:r w:rsidR="007C1715">
        <w:t>.</w:t>
      </w:r>
      <w:r w:rsidR="00E13926">
        <w:t xml:space="preserve"> </w:t>
      </w:r>
      <w:r w:rsidR="005813B5">
        <w:t>S</w:t>
      </w:r>
      <w:r w:rsidR="005813B5" w:rsidRPr="00F87136">
        <w:t xml:space="preserve">ome providers </w:t>
      </w:r>
      <w:r w:rsidR="005813B5">
        <w:t xml:space="preserve">may </w:t>
      </w:r>
      <w:r w:rsidR="005813B5" w:rsidRPr="00F87136">
        <w:t xml:space="preserve">consider </w:t>
      </w:r>
      <w:r w:rsidR="005813B5">
        <w:t>simpler administrative processes to be more cost effective</w:t>
      </w:r>
      <w:r w:rsidR="005813B5" w:rsidRPr="00F87136">
        <w:t xml:space="preserve">, but </w:t>
      </w:r>
      <w:r w:rsidR="005813B5">
        <w:t>this</w:t>
      </w:r>
      <w:r w:rsidR="004742BD">
        <w:t xml:space="preserve"> may</w:t>
      </w:r>
      <w:r w:rsidR="005813B5">
        <w:t xml:space="preserve"> </w:t>
      </w:r>
      <w:r w:rsidR="00B454C8" w:rsidRPr="00F87136">
        <w:t xml:space="preserve">inadvertently </w:t>
      </w:r>
      <w:r w:rsidR="007940AD">
        <w:t>compromise</w:t>
      </w:r>
      <w:r w:rsidR="005813B5" w:rsidRPr="00F87136">
        <w:t xml:space="preserve"> pricing transparency </w:t>
      </w:r>
      <w:r w:rsidR="008D6243">
        <w:t>and/or</w:t>
      </w:r>
      <w:r w:rsidR="005813B5" w:rsidRPr="00F87136">
        <w:t xml:space="preserve"> consumer-choice.</w:t>
      </w:r>
    </w:p>
    <w:p w14:paraId="1F9BDE19" w14:textId="2C5FF2B5" w:rsidR="008177A6" w:rsidRDefault="007C1715" w:rsidP="00776615">
      <w:pPr>
        <w:keepNext/>
      </w:pPr>
      <w:r>
        <w:lastRenderedPageBreak/>
        <w:t>W</w:t>
      </w:r>
      <w:r w:rsidR="00026A57" w:rsidRPr="00F87136">
        <w:t xml:space="preserve">hen compared </w:t>
      </w:r>
      <w:r w:rsidR="002578AE">
        <w:t>across t</w:t>
      </w:r>
      <w:r w:rsidR="00026A57" w:rsidRPr="00F87136">
        <w:t>he sample</w:t>
      </w:r>
      <w:r w:rsidR="00773EC8">
        <w:t>d</w:t>
      </w:r>
      <w:r w:rsidR="00026A57" w:rsidRPr="00F87136">
        <w:t xml:space="preserve"> 100 providers, </w:t>
      </w:r>
      <w:r w:rsidR="009251AC">
        <w:t xml:space="preserve">the </w:t>
      </w:r>
      <w:r w:rsidR="00026A57" w:rsidRPr="00F87136">
        <w:t xml:space="preserve">rationale for some </w:t>
      </w:r>
      <w:r w:rsidR="002578AE">
        <w:t xml:space="preserve">care management and/or indirect </w:t>
      </w:r>
      <w:r w:rsidR="00026A57" w:rsidRPr="00F87136">
        <w:t>charges</w:t>
      </w:r>
      <w:r w:rsidR="005F6E31" w:rsidRPr="00F87136">
        <w:t xml:space="preserve"> </w:t>
      </w:r>
      <w:r w:rsidR="008177A6">
        <w:t xml:space="preserve">was not </w:t>
      </w:r>
      <w:r w:rsidR="004D3323">
        <w:t xml:space="preserve">always </w:t>
      </w:r>
      <w:r w:rsidR="00B80678">
        <w:t>transparent</w:t>
      </w:r>
      <w:r w:rsidR="00A127B3">
        <w:t xml:space="preserve">, and value for money </w:t>
      </w:r>
      <w:r w:rsidR="003E3F99">
        <w:t xml:space="preserve">was at times </w:t>
      </w:r>
      <w:r w:rsidR="00A127B3">
        <w:t>unclear</w:t>
      </w:r>
      <w:r w:rsidR="00026A57" w:rsidRPr="00F87136">
        <w:t xml:space="preserve">. </w:t>
      </w:r>
      <w:r w:rsidR="008177A6">
        <w:t>Some e</w:t>
      </w:r>
      <w:r w:rsidR="00026A57" w:rsidRPr="00F87136">
        <w:t xml:space="preserve">xamples include: </w:t>
      </w:r>
    </w:p>
    <w:p w14:paraId="0AB726BB" w14:textId="1A166D9A" w:rsidR="003332F1" w:rsidRDefault="00D72CBB" w:rsidP="00776615">
      <w:pPr>
        <w:pStyle w:val="ListBullet"/>
      </w:pPr>
      <w:r>
        <w:t xml:space="preserve">a </w:t>
      </w:r>
      <w:r w:rsidR="003771F8">
        <w:t xml:space="preserve">fixed </w:t>
      </w:r>
      <w:r w:rsidR="00AC4D26">
        <w:t>percentage</w:t>
      </w:r>
      <w:r>
        <w:t xml:space="preserve"> surcharge for </w:t>
      </w:r>
      <w:r w:rsidR="003332F1" w:rsidRPr="00F87136">
        <w:t>third-party provider</w:t>
      </w:r>
      <w:r>
        <w:t xml:space="preserve"> invo</w:t>
      </w:r>
      <w:r w:rsidR="003771F8">
        <w:t>ices</w:t>
      </w:r>
      <w:r w:rsidR="003332F1" w:rsidRPr="00F87136">
        <w:t xml:space="preserve"> even though the work effort in processing subsequent invoices is lower</w:t>
      </w:r>
    </w:p>
    <w:p w14:paraId="05E4B6D8" w14:textId="12986946" w:rsidR="008177A6" w:rsidRDefault="00026A57" w:rsidP="00776615">
      <w:pPr>
        <w:pStyle w:val="ListBullet"/>
      </w:pPr>
      <w:r w:rsidRPr="00F87136">
        <w:t xml:space="preserve">no cap on third-party invoice </w:t>
      </w:r>
      <w:r w:rsidR="00FB2FF9">
        <w:t>sur</w:t>
      </w:r>
      <w:r w:rsidRPr="00F87136">
        <w:t>charge</w:t>
      </w:r>
      <w:r w:rsidR="00773EC8">
        <w:t xml:space="preserve"> which adversely impacts care recipients</w:t>
      </w:r>
    </w:p>
    <w:p w14:paraId="0BFEB2D5" w14:textId="443F34F6" w:rsidR="008177A6" w:rsidRDefault="00026A57" w:rsidP="00776615">
      <w:pPr>
        <w:pStyle w:val="ListBullet"/>
      </w:pPr>
      <w:r w:rsidRPr="00F87136">
        <w:t>no eviden</w:t>
      </w:r>
      <w:r w:rsidR="00CD39C6" w:rsidRPr="00F87136">
        <w:t>t</w:t>
      </w:r>
      <w:r w:rsidRPr="00F87136">
        <w:t xml:space="preserve"> increase in package management </w:t>
      </w:r>
      <w:r w:rsidR="007A5B9D">
        <w:t xml:space="preserve">work </w:t>
      </w:r>
      <w:r w:rsidRPr="00F87136">
        <w:t xml:space="preserve">effort where </w:t>
      </w:r>
      <w:r w:rsidR="00CA562C">
        <w:t>package management charges increase with package level</w:t>
      </w:r>
    </w:p>
    <w:p w14:paraId="23E4AC35" w14:textId="4CAB5727" w:rsidR="00B94ADF" w:rsidRDefault="00B94ADF" w:rsidP="00776615">
      <w:pPr>
        <w:pStyle w:val="ListBullet"/>
      </w:pPr>
      <w:r>
        <w:t xml:space="preserve">staff travel </w:t>
      </w:r>
      <w:r w:rsidR="008D6243">
        <w:t xml:space="preserve">charges </w:t>
      </w:r>
      <w:r>
        <w:t xml:space="preserve">to a </w:t>
      </w:r>
      <w:r w:rsidR="005D3F48">
        <w:t>care recipient’s</w:t>
      </w:r>
      <w:r>
        <w:t xml:space="preserve"> address var</w:t>
      </w:r>
      <w:r w:rsidR="008D6243">
        <w:t>y</w:t>
      </w:r>
      <w:r>
        <w:t xml:space="preserve"> based on who is travelling the same distance</w:t>
      </w:r>
      <w:r w:rsidR="005D3F48">
        <w:t>.</w:t>
      </w:r>
      <w:r w:rsidR="00C13052">
        <w:t xml:space="preserve"> </w:t>
      </w:r>
      <w:r w:rsidR="005D3F48">
        <w:t>F</w:t>
      </w:r>
      <w:r w:rsidR="00C13052">
        <w:t>or example,</w:t>
      </w:r>
      <w:r w:rsidR="00AF5520">
        <w:t xml:space="preserve"> </w:t>
      </w:r>
      <w:r w:rsidR="00C13052">
        <w:t xml:space="preserve">a nurse’s travel may cost more than </w:t>
      </w:r>
      <w:r>
        <w:t>a personal care worker</w:t>
      </w:r>
      <w:r w:rsidR="00CC4B56">
        <w:t xml:space="preserve"> (whereas in a per km flat rate scenario</w:t>
      </w:r>
      <w:r w:rsidR="00B454C8">
        <w:t>,</w:t>
      </w:r>
      <w:r w:rsidR="00CC4B56">
        <w:t xml:space="preserve"> this would not be different based on who is travelling). While both approaches may be valid, from a whole-of-program perspective, and </w:t>
      </w:r>
      <w:r w:rsidR="002D62E3">
        <w:t>from a</w:t>
      </w:r>
      <w:r w:rsidR="00CC4B56">
        <w:t xml:space="preserve"> care recipient’s</w:t>
      </w:r>
      <w:r w:rsidR="002D62E3">
        <w:t xml:space="preserve"> perspective</w:t>
      </w:r>
      <w:r w:rsidR="00CC4B56">
        <w:t xml:space="preserve">, it was unclear why, in similar situations, some providers choose to charge per km </w:t>
      </w:r>
      <w:r w:rsidR="005D3F48">
        <w:t>while</w:t>
      </w:r>
      <w:r w:rsidR="00CC4B56">
        <w:t xml:space="preserve"> others charge by who is travelling to the </w:t>
      </w:r>
      <w:r w:rsidR="005D3F48">
        <w:t>care recipient</w:t>
      </w:r>
      <w:r w:rsidR="007A5B9D">
        <w:t>’s</w:t>
      </w:r>
      <w:r w:rsidR="00CC4B56">
        <w:t xml:space="preserve"> address</w:t>
      </w:r>
      <w:r>
        <w:t xml:space="preserve"> </w:t>
      </w:r>
    </w:p>
    <w:p w14:paraId="4DB59DF3" w14:textId="6D6C2849" w:rsidR="008719BE" w:rsidRDefault="008719BE" w:rsidP="00776615">
      <w:pPr>
        <w:pStyle w:val="ListBullet"/>
      </w:pPr>
      <w:r>
        <w:t>limited care management support</w:t>
      </w:r>
      <w:r w:rsidR="008A32F8">
        <w:t xml:space="preserve"> relative to other providers for similar charges</w:t>
      </w:r>
      <w:r w:rsidR="00EC573F">
        <w:t>,</w:t>
      </w:r>
      <w:r>
        <w:t xml:space="preserve"> and</w:t>
      </w:r>
    </w:p>
    <w:p w14:paraId="350480BC" w14:textId="77777777" w:rsidR="00A1180A" w:rsidRDefault="00773EC8" w:rsidP="00776615">
      <w:pPr>
        <w:pStyle w:val="ListBullet"/>
      </w:pPr>
      <w:r>
        <w:t xml:space="preserve">in a limited number of cases, </w:t>
      </w:r>
      <w:r w:rsidR="00B94ADF">
        <w:t>inclusion of</w:t>
      </w:r>
      <w:r w:rsidR="00B94ADF" w:rsidRPr="00F87136">
        <w:t xml:space="preserve"> business costs</w:t>
      </w:r>
      <w:r w:rsidR="00DF60FA">
        <w:rPr>
          <w:rStyle w:val="FootnoteReference"/>
        </w:rPr>
        <w:footnoteReference w:id="5"/>
      </w:r>
      <w:r w:rsidR="00B94ADF" w:rsidRPr="00F87136">
        <w:t xml:space="preserve"> into package management charges</w:t>
      </w:r>
      <w:r w:rsidR="00C66E37">
        <w:t>.</w:t>
      </w:r>
    </w:p>
    <w:p w14:paraId="01B7EBF8" w14:textId="77777777" w:rsidR="00A1180A" w:rsidRDefault="00AC4D26" w:rsidP="00B94ADF">
      <w:r>
        <w:t xml:space="preserve">In </w:t>
      </w:r>
      <w:r w:rsidR="00B94ADF">
        <w:t>contra</w:t>
      </w:r>
      <w:r>
        <w:t>st</w:t>
      </w:r>
      <w:r w:rsidR="00B94ADF">
        <w:t xml:space="preserve">, the Review </w:t>
      </w:r>
      <w:r>
        <w:t xml:space="preserve">also </w:t>
      </w:r>
      <w:r w:rsidR="00B94ADF">
        <w:t xml:space="preserve">found that </w:t>
      </w:r>
      <w:r w:rsidR="00097E38" w:rsidRPr="00F87136">
        <w:t xml:space="preserve">some providers do not charge for </w:t>
      </w:r>
      <w:r w:rsidR="008719BE">
        <w:t xml:space="preserve">package management, care management, </w:t>
      </w:r>
      <w:r w:rsidR="00097E38" w:rsidRPr="00F87136">
        <w:t>third-party invoicing, or staff travel to the care recipient’s address</w:t>
      </w:r>
      <w:r w:rsidR="00B94ADF">
        <w:t>.</w:t>
      </w:r>
      <w:r w:rsidR="00026A57" w:rsidRPr="00F87136">
        <w:t xml:space="preserve"> </w:t>
      </w:r>
      <w:r w:rsidR="008719BE">
        <w:t xml:space="preserve">Some providers offer unlimited care management hours and </w:t>
      </w:r>
      <w:r w:rsidR="00D96072">
        <w:t xml:space="preserve">only </w:t>
      </w:r>
      <w:r w:rsidR="008719BE">
        <w:t>face</w:t>
      </w:r>
      <w:r w:rsidR="0023271E">
        <w:t>-</w:t>
      </w:r>
      <w:r w:rsidR="008719BE">
        <w:t>to</w:t>
      </w:r>
      <w:r w:rsidR="0023271E">
        <w:t>-</w:t>
      </w:r>
      <w:r w:rsidR="008719BE">
        <w:t xml:space="preserve">face </w:t>
      </w:r>
      <w:r w:rsidR="008A32F8">
        <w:t>c</w:t>
      </w:r>
      <w:r w:rsidR="008719BE">
        <w:t>are management.</w:t>
      </w:r>
      <w:r w:rsidR="005813B5">
        <w:t xml:space="preserve"> </w:t>
      </w:r>
    </w:p>
    <w:p w14:paraId="5B7E4CFF" w14:textId="71AC1FB1" w:rsidR="00A1180A" w:rsidRDefault="005813B5" w:rsidP="00B94ADF">
      <w:r w:rsidRPr="00F87136">
        <w:t xml:space="preserve">While out of scope, the Review </w:t>
      </w:r>
      <w:r w:rsidR="00585D98">
        <w:t xml:space="preserve">report </w:t>
      </w:r>
      <w:r w:rsidR="00B454C8">
        <w:t>contains</w:t>
      </w:r>
      <w:r w:rsidR="00585D98">
        <w:t xml:space="preserve"> some </w:t>
      </w:r>
      <w:r w:rsidRPr="00F87136">
        <w:t>incidental findings</w:t>
      </w:r>
      <w:r w:rsidR="00585D98">
        <w:t xml:space="preserve"> including the</w:t>
      </w:r>
      <w:r>
        <w:t xml:space="preserve"> </w:t>
      </w:r>
      <w:r w:rsidRPr="00F87136">
        <w:t>use of exclu</w:t>
      </w:r>
      <w:r>
        <w:t>ded items</w:t>
      </w:r>
      <w:r w:rsidRPr="00F87136">
        <w:t xml:space="preserve"> </w:t>
      </w:r>
      <w:r>
        <w:t xml:space="preserve">and </w:t>
      </w:r>
      <w:r w:rsidR="00996433">
        <w:t xml:space="preserve">charging </w:t>
      </w:r>
      <w:r w:rsidRPr="00F87136">
        <w:t xml:space="preserve">contingency funds </w:t>
      </w:r>
      <w:r w:rsidR="00996433">
        <w:t>to cover future expenses (separate to unspent funds).</w:t>
      </w:r>
    </w:p>
    <w:p w14:paraId="31EF4D27" w14:textId="77777777" w:rsidR="00776615" w:rsidRDefault="001D4E3E" w:rsidP="00B80678">
      <w:r>
        <w:t xml:space="preserve">Lack of pricing transparency, or </w:t>
      </w:r>
      <w:r w:rsidR="000C1BE0">
        <w:t>in</w:t>
      </w:r>
      <w:r>
        <w:t>accura</w:t>
      </w:r>
      <w:r w:rsidR="000C1BE0">
        <w:t>te</w:t>
      </w:r>
      <w:r>
        <w:t xml:space="preserve"> </w:t>
      </w:r>
      <w:r w:rsidR="000C1BE0">
        <w:t xml:space="preserve">pricing </w:t>
      </w:r>
      <w:r>
        <w:t xml:space="preserve">information on My Aged Care, was of particular concern. </w:t>
      </w:r>
      <w:r w:rsidR="000C1BE0">
        <w:t xml:space="preserve">Pricing transparency requirements have been </w:t>
      </w:r>
      <w:r w:rsidR="000C1BE0" w:rsidRPr="003279D4">
        <w:t>in place since 2019</w:t>
      </w:r>
      <w:r w:rsidR="000C1BE0">
        <w:t xml:space="preserve"> and are clear. </w:t>
      </w:r>
      <w:r w:rsidR="00BB2F6D">
        <w:t>Yet,</w:t>
      </w:r>
      <w:r w:rsidR="000C1BE0">
        <w:t xml:space="preserve"> some providers are </w:t>
      </w:r>
      <w:r w:rsidR="00BB2F6D">
        <w:t xml:space="preserve">still </w:t>
      </w:r>
      <w:r w:rsidR="000C1BE0">
        <w:t xml:space="preserve">not meeting their obligations. </w:t>
      </w:r>
      <w:r w:rsidR="00277290" w:rsidRPr="00F87136">
        <w:t xml:space="preserve">Pricing transparency is key </w:t>
      </w:r>
      <w:r w:rsidR="00C769F9" w:rsidRPr="00F87136">
        <w:t>to</w:t>
      </w:r>
      <w:r w:rsidR="00277290" w:rsidRPr="00F87136">
        <w:t xml:space="preserve"> empowering care recipients </w:t>
      </w:r>
      <w:r w:rsidR="00F14FD1">
        <w:t>to be</w:t>
      </w:r>
      <w:r w:rsidR="00C769F9" w:rsidRPr="00F87136">
        <w:t xml:space="preserve"> fully informed</w:t>
      </w:r>
      <w:r w:rsidR="00F14FD1">
        <w:t xml:space="preserve"> and exercise</w:t>
      </w:r>
      <w:r w:rsidR="00C769F9" w:rsidRPr="00F87136">
        <w:t xml:space="preserve"> choice. </w:t>
      </w:r>
    </w:p>
    <w:p w14:paraId="7C82BCB2" w14:textId="101C8A38" w:rsidR="00A0595E" w:rsidRDefault="00A0595E" w:rsidP="00776615">
      <w:pPr>
        <w:keepNext/>
      </w:pPr>
      <w:r>
        <w:lastRenderedPageBreak/>
        <w:t>The</w:t>
      </w:r>
      <w:r w:rsidR="00B80678">
        <w:t xml:space="preserve"> Review team </w:t>
      </w:r>
      <w:r w:rsidR="00A8685D">
        <w:t xml:space="preserve">found the following </w:t>
      </w:r>
      <w:r w:rsidR="00A83C69">
        <w:t>practices occurring</w:t>
      </w:r>
      <w:r w:rsidR="00B80678">
        <w:t xml:space="preserve">: </w:t>
      </w:r>
    </w:p>
    <w:p w14:paraId="79DB4713" w14:textId="309A9D25" w:rsidR="00A0595E" w:rsidRDefault="00BB2F6D" w:rsidP="00776615">
      <w:pPr>
        <w:pStyle w:val="ListBullet"/>
      </w:pPr>
      <w:r>
        <w:t xml:space="preserve">My Aged Care </w:t>
      </w:r>
      <w:r w:rsidR="00277290" w:rsidRPr="00F87136">
        <w:t xml:space="preserve">pricing schedules </w:t>
      </w:r>
      <w:r w:rsidR="00B80678">
        <w:t>not being</w:t>
      </w:r>
      <w:r w:rsidR="00BD4630">
        <w:t xml:space="preserve"> reviewed/</w:t>
      </w:r>
      <w:r w:rsidR="00B80678">
        <w:t>updated every</w:t>
      </w:r>
      <w:r w:rsidR="009F7418">
        <w:t xml:space="preserve"> </w:t>
      </w:r>
      <w:r w:rsidR="00277290" w:rsidRPr="00F87136">
        <w:t>12 months</w:t>
      </w:r>
    </w:p>
    <w:p w14:paraId="5242A147" w14:textId="368B509C" w:rsidR="00A0595E" w:rsidRDefault="00B80678" w:rsidP="00776615">
      <w:pPr>
        <w:pStyle w:val="ListBullet"/>
      </w:pPr>
      <w:r>
        <w:t>pricing schedules not covering all charges (missing care management charges, exit amounts)</w:t>
      </w:r>
    </w:p>
    <w:p w14:paraId="576E533E" w14:textId="1A0B388F" w:rsidR="00A0595E" w:rsidRDefault="006E4C11" w:rsidP="00776615">
      <w:pPr>
        <w:pStyle w:val="ListBullet"/>
      </w:pPr>
      <w:r w:rsidRPr="00F87136">
        <w:t xml:space="preserve">providers charging </w:t>
      </w:r>
      <w:r w:rsidR="009218D5" w:rsidRPr="00F87136">
        <w:t>a single</w:t>
      </w:r>
      <w:r w:rsidRPr="00F87136">
        <w:t xml:space="preserve"> </w:t>
      </w:r>
      <w:r w:rsidR="00AC4D26">
        <w:t>percentage</w:t>
      </w:r>
      <w:r w:rsidRPr="00F87136">
        <w:t xml:space="preserve"> charge for</w:t>
      </w:r>
      <w:r w:rsidR="009218D5" w:rsidRPr="00F87136">
        <w:t xml:space="preserve"> both</w:t>
      </w:r>
      <w:r w:rsidRPr="00F87136">
        <w:t xml:space="preserve"> care management and package management </w:t>
      </w:r>
      <w:r w:rsidR="009218D5" w:rsidRPr="00F87136">
        <w:t>together</w:t>
      </w:r>
      <w:r w:rsidR="00E557D2">
        <w:t>,</w:t>
      </w:r>
      <w:r w:rsidRPr="00F87136">
        <w:t xml:space="preserve"> noting that care management is a specific support service</w:t>
      </w:r>
      <w:r w:rsidR="00A1115E">
        <w:t>,</w:t>
      </w:r>
      <w:r w:rsidRPr="00F87136">
        <w:t xml:space="preserve"> while package management is an indirect charge</w:t>
      </w:r>
      <w:r w:rsidR="00996433">
        <w:t>,</w:t>
      </w:r>
      <w:r w:rsidR="00B80678">
        <w:t xml:space="preserve"> </w:t>
      </w:r>
      <w:r w:rsidR="008E0D6C">
        <w:t>and</w:t>
      </w:r>
    </w:p>
    <w:p w14:paraId="58938284" w14:textId="77777777" w:rsidR="00A1180A" w:rsidRDefault="00B80678" w:rsidP="00776615">
      <w:pPr>
        <w:pStyle w:val="ListBullet"/>
      </w:pPr>
      <w:r>
        <w:t xml:space="preserve">providers not following </w:t>
      </w:r>
      <w:r w:rsidR="00CC2114">
        <w:t xml:space="preserve">HCP Program </w:t>
      </w:r>
      <w:r>
        <w:t>pricing definitions</w:t>
      </w:r>
      <w:r w:rsidR="008E0D6C">
        <w:t>.</w:t>
      </w:r>
    </w:p>
    <w:p w14:paraId="3ED94ADE" w14:textId="0039762D" w:rsidR="00A1180A" w:rsidRDefault="00CC186B" w:rsidP="00996433">
      <w:r>
        <w:t xml:space="preserve">A limited number of </w:t>
      </w:r>
      <w:r w:rsidR="00B80678" w:rsidRPr="00F87136">
        <w:t xml:space="preserve">providers could not </w:t>
      </w:r>
      <w:r w:rsidR="00F179EC">
        <w:t>submit</w:t>
      </w:r>
      <w:r w:rsidR="00F179EC" w:rsidRPr="00F87136">
        <w:t xml:space="preserve"> </w:t>
      </w:r>
      <w:r w:rsidR="00B80678" w:rsidRPr="00F87136">
        <w:t>pricing schedules</w:t>
      </w:r>
      <w:r w:rsidR="00AC4D26">
        <w:t xml:space="preserve"> to the Review team that were</w:t>
      </w:r>
      <w:r w:rsidR="00B80678" w:rsidRPr="00F87136">
        <w:t xml:space="preserve"> meant to be attached to the sampled care recipients’ HCP </w:t>
      </w:r>
      <w:r w:rsidR="00EF35EB">
        <w:t>Home Care Agreements</w:t>
      </w:r>
      <w:r w:rsidR="00B80678" w:rsidRPr="00F87136">
        <w:t>. Th</w:t>
      </w:r>
      <w:r w:rsidR="00EB071E">
        <w:t xml:space="preserve">is was concerning as these </w:t>
      </w:r>
      <w:r w:rsidR="00B80678" w:rsidRPr="00F87136">
        <w:t xml:space="preserve">are essentially </w:t>
      </w:r>
      <w:r w:rsidR="00D66B56">
        <w:t>‘</w:t>
      </w:r>
      <w:r w:rsidR="00B80678" w:rsidRPr="00F87136">
        <w:t>pricing contracts</w:t>
      </w:r>
      <w:r w:rsidR="00D66B56">
        <w:t>’</w:t>
      </w:r>
      <w:r w:rsidR="00B80678" w:rsidRPr="00F87136">
        <w:t xml:space="preserve"> between the care recipient and the provider</w:t>
      </w:r>
      <w:r w:rsidR="00CC2114">
        <w:t xml:space="preserve"> and </w:t>
      </w:r>
      <w:r w:rsidR="00996433">
        <w:t xml:space="preserve">the inclusion of the pricing schedule </w:t>
      </w:r>
      <w:r>
        <w:t>i</w:t>
      </w:r>
      <w:r w:rsidR="00EF35EB">
        <w:t xml:space="preserve">s </w:t>
      </w:r>
      <w:r w:rsidR="00996433">
        <w:t xml:space="preserve">a legal requirement. </w:t>
      </w:r>
      <w:r w:rsidR="00A65A34">
        <w:t>P</w:t>
      </w:r>
      <w:r w:rsidR="00996433">
        <w:t>roviders open themselves up to risk if they do not have in place a valid Home Care Agreement, as one of the conditions of subsidy being payable is that a Home Care Agreement is in force.</w:t>
      </w:r>
    </w:p>
    <w:p w14:paraId="4BD6E0FF" w14:textId="77777777" w:rsidR="00A1180A" w:rsidRDefault="00277290" w:rsidP="00277290">
      <w:r w:rsidRPr="00F87136">
        <w:t xml:space="preserve">The Review team </w:t>
      </w:r>
      <w:r w:rsidR="00907AF8" w:rsidRPr="00F87136">
        <w:t>sought</w:t>
      </w:r>
      <w:r w:rsidRPr="00F87136">
        <w:t xml:space="preserve"> to understand </w:t>
      </w:r>
      <w:r w:rsidR="00365AB5" w:rsidRPr="00F87136">
        <w:t>providers’</w:t>
      </w:r>
      <w:r w:rsidRPr="00F87136">
        <w:t xml:space="preserve"> pricing </w:t>
      </w:r>
      <w:r w:rsidR="00365AB5" w:rsidRPr="00F87136">
        <w:t>methodology</w:t>
      </w:r>
      <w:r w:rsidRPr="00F87136">
        <w:t>.</w:t>
      </w:r>
      <w:r w:rsidR="00117905" w:rsidRPr="00F87136">
        <w:t xml:space="preserve"> </w:t>
      </w:r>
      <w:r w:rsidR="002D1710">
        <w:t>Some</w:t>
      </w:r>
      <w:r w:rsidR="002D1710" w:rsidRPr="001B7D64">
        <w:t xml:space="preserve"> </w:t>
      </w:r>
      <w:r w:rsidR="00BD3D70">
        <w:t>p</w:t>
      </w:r>
      <w:r w:rsidR="00DA2619" w:rsidRPr="001B7D64">
        <w:t>roviders ha</w:t>
      </w:r>
      <w:r w:rsidR="00A0595E">
        <w:t>d</w:t>
      </w:r>
      <w:r w:rsidR="00DA2619" w:rsidRPr="001B7D64">
        <w:t xml:space="preserve"> </w:t>
      </w:r>
      <w:r w:rsidR="00B8312C">
        <w:t>basic</w:t>
      </w:r>
      <w:r w:rsidR="00DA2619" w:rsidRPr="001B7D64">
        <w:t xml:space="preserve"> pricing methodologies </w:t>
      </w:r>
      <w:r w:rsidR="00B87E95">
        <w:t xml:space="preserve">or unsophisticated pricing models. Some providers’ pricing </w:t>
      </w:r>
      <w:r w:rsidR="00DA2619" w:rsidRPr="001B7D64">
        <w:t xml:space="preserve">approach </w:t>
      </w:r>
      <w:r w:rsidR="00B87E95">
        <w:t>was</w:t>
      </w:r>
      <w:r w:rsidR="00DA2619" w:rsidRPr="001B7D64">
        <w:t xml:space="preserve"> based on either market comparison or increasing charges annually to cover increasing costs</w:t>
      </w:r>
      <w:r w:rsidR="00DA2619">
        <w:t xml:space="preserve">. </w:t>
      </w:r>
      <w:r w:rsidR="00B87E95">
        <w:t>Some</w:t>
      </w:r>
      <w:r w:rsidR="004C5EA3">
        <w:t xml:space="preserve"> </w:t>
      </w:r>
      <w:r w:rsidRPr="00F87136">
        <w:t>charge</w:t>
      </w:r>
      <w:r w:rsidR="004C5EA3">
        <w:t>d</w:t>
      </w:r>
      <w:r w:rsidRPr="00F87136">
        <w:t xml:space="preserve"> </w:t>
      </w:r>
      <w:r w:rsidR="004C5EA3">
        <w:t xml:space="preserve">comparable prices as </w:t>
      </w:r>
      <w:r w:rsidRPr="00F87136">
        <w:t xml:space="preserve">their competitors </w:t>
      </w:r>
      <w:r w:rsidR="004C5EA3">
        <w:t>but</w:t>
      </w:r>
      <w:r w:rsidRPr="00F87136">
        <w:t xml:space="preserve"> could only provide limited explanation </w:t>
      </w:r>
      <w:r w:rsidR="004C5EA3">
        <w:t xml:space="preserve">of the rationale. </w:t>
      </w:r>
      <w:r w:rsidR="00DB17CA">
        <w:t xml:space="preserve">While it is not a program requirement to have a </w:t>
      </w:r>
      <w:r w:rsidR="008F4DE2">
        <w:t xml:space="preserve">mature </w:t>
      </w:r>
      <w:r w:rsidR="00DB17CA">
        <w:t xml:space="preserve">pricing model, efficient pricing in </w:t>
      </w:r>
      <w:r w:rsidR="00D1516B">
        <w:t xml:space="preserve">what is a competitive market </w:t>
      </w:r>
      <w:r w:rsidR="00DB17CA">
        <w:t>can be impacted by providers’ lack of understanding of their business model and HCP costs.</w:t>
      </w:r>
    </w:p>
    <w:p w14:paraId="632FA6D0" w14:textId="77777777" w:rsidR="00A1180A" w:rsidRDefault="00A043AC" w:rsidP="00277290">
      <w:r>
        <w:t xml:space="preserve">The Review sample </w:t>
      </w:r>
      <w:r w:rsidR="002D143E">
        <w:t xml:space="preserve">also </w:t>
      </w:r>
      <w:r>
        <w:t>include</w:t>
      </w:r>
      <w:r w:rsidR="0027141F">
        <w:t>d</w:t>
      </w:r>
      <w:r>
        <w:t xml:space="preserve"> </w:t>
      </w:r>
      <w:r w:rsidR="0027141F">
        <w:t>some</w:t>
      </w:r>
      <w:r>
        <w:t xml:space="preserve"> franchising models. These </w:t>
      </w:r>
      <w:r w:rsidR="0027141F">
        <w:t xml:space="preserve">generally </w:t>
      </w:r>
      <w:r>
        <w:t>appear</w:t>
      </w:r>
      <w:r w:rsidR="0027141F">
        <w:t>ed</w:t>
      </w:r>
      <w:r>
        <w:t xml:space="preserve"> to be </w:t>
      </w:r>
      <w:r w:rsidR="00096440" w:rsidRPr="00F87136">
        <w:t>competitively priced</w:t>
      </w:r>
      <w:r w:rsidR="00A95668" w:rsidRPr="00F87136">
        <w:t xml:space="preserve">, but in </w:t>
      </w:r>
      <w:r w:rsidR="00A95668" w:rsidRPr="006F2BC0">
        <w:t>some</w:t>
      </w:r>
      <w:r w:rsidR="00A95668" w:rsidRPr="00F87136">
        <w:rPr>
          <w:i/>
          <w:iCs/>
        </w:rPr>
        <w:t xml:space="preserve"> </w:t>
      </w:r>
      <w:r w:rsidR="000A4E23" w:rsidRPr="00F87136">
        <w:t>cases,</w:t>
      </w:r>
      <w:r w:rsidR="00A95668" w:rsidRPr="00F87136">
        <w:t xml:space="preserve"> it was unclear whether the franchisor</w:t>
      </w:r>
      <w:r w:rsidR="00CF2228">
        <w:t xml:space="preserve"> (where franchisees fell under the franchisor’s Approved Provider status)</w:t>
      </w:r>
      <w:r w:rsidR="00FF60DB">
        <w:t xml:space="preserve"> </w:t>
      </w:r>
      <w:r w:rsidR="00A95668" w:rsidRPr="00F87136">
        <w:t xml:space="preserve">was </w:t>
      </w:r>
      <w:r w:rsidR="00CD1AFF">
        <w:t xml:space="preserve">actively </w:t>
      </w:r>
      <w:r w:rsidR="00E8367A">
        <w:t xml:space="preserve">assuring HCP </w:t>
      </w:r>
      <w:r w:rsidR="00A1115E">
        <w:t>P</w:t>
      </w:r>
      <w:r w:rsidR="00E8367A">
        <w:t>rogram funding integrity</w:t>
      </w:r>
      <w:r w:rsidR="00A95668" w:rsidRPr="00F87136">
        <w:t xml:space="preserve">. </w:t>
      </w:r>
      <w:r w:rsidR="008B0A47">
        <w:t>The reason provided was that t</w:t>
      </w:r>
      <w:r w:rsidR="002D143E">
        <w:t xml:space="preserve">he franchisor could not dictate prices to franchisees. It was unclear to the Review team, however, why franchisors cannot </w:t>
      </w:r>
      <w:r w:rsidR="00F278F1">
        <w:t xml:space="preserve">still </w:t>
      </w:r>
      <w:r w:rsidR="0005313E">
        <w:t>be</w:t>
      </w:r>
      <w:r w:rsidR="002D143E">
        <w:t xml:space="preserve"> accountable for assuring </w:t>
      </w:r>
      <w:r w:rsidR="00F278F1">
        <w:t xml:space="preserve">that </w:t>
      </w:r>
      <w:r w:rsidR="002D143E">
        <w:t xml:space="preserve">program funds are spent for the purposes provided </w:t>
      </w:r>
      <w:r w:rsidR="00F278F1">
        <w:t xml:space="preserve">and </w:t>
      </w:r>
      <w:r w:rsidR="0005313E">
        <w:t xml:space="preserve">prices set by franchisees </w:t>
      </w:r>
      <w:r w:rsidR="00F278F1">
        <w:t>deliver</w:t>
      </w:r>
      <w:r w:rsidR="002D143E">
        <w:t xml:space="preserve"> value for money</w:t>
      </w:r>
      <w:r w:rsidR="00A95668" w:rsidRPr="00F87136">
        <w:t xml:space="preserve">. </w:t>
      </w:r>
      <w:r w:rsidR="00831D75">
        <w:t>That said,</w:t>
      </w:r>
      <w:r w:rsidR="00081B37" w:rsidRPr="00F87136">
        <w:t xml:space="preserve"> the Review team was encouraged by some franchisors</w:t>
      </w:r>
      <w:r w:rsidR="002D143E">
        <w:t xml:space="preserve"> who </w:t>
      </w:r>
      <w:r w:rsidR="00DF185C">
        <w:t>appear</w:t>
      </w:r>
      <w:r w:rsidR="002D143E">
        <w:t xml:space="preserve"> to </w:t>
      </w:r>
      <w:r w:rsidR="00081B37" w:rsidRPr="00F87136">
        <w:t xml:space="preserve">have </w:t>
      </w:r>
      <w:r w:rsidR="0043722A" w:rsidRPr="00F87136">
        <w:t xml:space="preserve">HCP-relevant </w:t>
      </w:r>
      <w:r w:rsidR="00081B37" w:rsidRPr="00F87136">
        <w:t>quali</w:t>
      </w:r>
      <w:r w:rsidR="00A95668" w:rsidRPr="00F87136">
        <w:t>ty assurance</w:t>
      </w:r>
      <w:r w:rsidR="00081B37" w:rsidRPr="00F87136">
        <w:t xml:space="preserve"> processes</w:t>
      </w:r>
      <w:r w:rsidR="00A95668" w:rsidRPr="00F87136">
        <w:t xml:space="preserve"> and controls </w:t>
      </w:r>
      <w:r w:rsidR="00F278F1">
        <w:t>to meet</w:t>
      </w:r>
      <w:r w:rsidR="00A95668" w:rsidRPr="00F87136">
        <w:t xml:space="preserve"> </w:t>
      </w:r>
      <w:r w:rsidR="0027141F">
        <w:t>program integrity obligations</w:t>
      </w:r>
      <w:r w:rsidR="00A95668" w:rsidRPr="00F87136">
        <w:t>.</w:t>
      </w:r>
    </w:p>
    <w:p w14:paraId="6F3BF522" w14:textId="77777777" w:rsidR="00A1180A" w:rsidRDefault="004527AF" w:rsidP="00A95668">
      <w:r>
        <w:t>Regarding</w:t>
      </w:r>
      <w:r w:rsidR="009218D5" w:rsidRPr="00F87136">
        <w:t xml:space="preserve"> HCP Program</w:t>
      </w:r>
      <w:r w:rsidR="006B4C05">
        <w:t xml:space="preserve"> </w:t>
      </w:r>
      <w:r w:rsidR="00DC1FED">
        <w:t xml:space="preserve">management </w:t>
      </w:r>
      <w:r w:rsidR="006B4C05">
        <w:t>itself</w:t>
      </w:r>
      <w:r w:rsidR="009218D5" w:rsidRPr="00F87136">
        <w:t>, t</w:t>
      </w:r>
      <w:r w:rsidR="00365AB5" w:rsidRPr="00F87136">
        <w:t xml:space="preserve">he Review </w:t>
      </w:r>
      <w:r w:rsidR="00A95668" w:rsidRPr="00F87136">
        <w:t xml:space="preserve">found that </w:t>
      </w:r>
      <w:r w:rsidR="006F62E5">
        <w:t xml:space="preserve">in some instances </w:t>
      </w:r>
      <w:r w:rsidR="00A95668" w:rsidRPr="00F87136">
        <w:t xml:space="preserve">the </w:t>
      </w:r>
      <w:r w:rsidR="00FF2765" w:rsidRPr="00F87136">
        <w:t xml:space="preserve">HCP Program guidance </w:t>
      </w:r>
      <w:r w:rsidR="00DC1FED">
        <w:t xml:space="preserve">(for example the HCP </w:t>
      </w:r>
      <w:r w:rsidR="00A1115E">
        <w:t xml:space="preserve">Program </w:t>
      </w:r>
      <w:r w:rsidR="00DC1FED">
        <w:t>Operational Manual for providers, or other information on the Department</w:t>
      </w:r>
      <w:r w:rsidR="00545B23">
        <w:t xml:space="preserve"> of Health</w:t>
      </w:r>
      <w:r w:rsidR="00702284">
        <w:t xml:space="preserve"> and Aged Care</w:t>
      </w:r>
      <w:r w:rsidR="00DC1FED">
        <w:t xml:space="preserve">’s </w:t>
      </w:r>
      <w:r w:rsidR="00C30888">
        <w:t>(the Department</w:t>
      </w:r>
      <w:r>
        <w:t>’s</w:t>
      </w:r>
      <w:r w:rsidR="00C30888">
        <w:t xml:space="preserve">) </w:t>
      </w:r>
      <w:r w:rsidR="00A340D6">
        <w:t>website</w:t>
      </w:r>
      <w:r w:rsidR="00DC1FED">
        <w:t xml:space="preserve">) </w:t>
      </w:r>
      <w:r w:rsidR="00A0595E">
        <w:t>was</w:t>
      </w:r>
      <w:r w:rsidR="00A0595E" w:rsidRPr="00F87136">
        <w:t xml:space="preserve"> </w:t>
      </w:r>
      <w:r w:rsidR="002D2F7F">
        <w:t>un</w:t>
      </w:r>
      <w:r w:rsidR="00197F41">
        <w:t>clear</w:t>
      </w:r>
      <w:r w:rsidR="00D52331">
        <w:t>, inconsistent, not updated</w:t>
      </w:r>
      <w:r w:rsidR="00197F41">
        <w:t xml:space="preserve"> or sometimes not </w:t>
      </w:r>
      <w:r w:rsidR="00337AC6">
        <w:t>found</w:t>
      </w:r>
      <w:r w:rsidR="00197F41">
        <w:t xml:space="preserve"> </w:t>
      </w:r>
      <w:r w:rsidR="002D2F7F">
        <w:t>efficiently</w:t>
      </w:r>
      <w:r w:rsidR="00FF2765" w:rsidRPr="00F87136">
        <w:t>.</w:t>
      </w:r>
      <w:r w:rsidR="00CA430A" w:rsidRPr="00F87136">
        <w:t xml:space="preserve"> While </w:t>
      </w:r>
      <w:r w:rsidR="003A4658">
        <w:t xml:space="preserve">Approved Providers of HCPs </w:t>
      </w:r>
      <w:r w:rsidR="00CA430A" w:rsidRPr="00F87136">
        <w:t xml:space="preserve">are required </w:t>
      </w:r>
      <w:r w:rsidR="00A06379">
        <w:t>to understand and fulfil their legal obligations</w:t>
      </w:r>
      <w:r w:rsidR="00CA430A" w:rsidRPr="00F87136">
        <w:t xml:space="preserve">, the Review team found that </w:t>
      </w:r>
      <w:r w:rsidR="0027141F">
        <w:t xml:space="preserve">some </w:t>
      </w:r>
      <w:r w:rsidR="00CA430A" w:rsidRPr="00F87136">
        <w:t xml:space="preserve">time-poor </w:t>
      </w:r>
      <w:r w:rsidR="00CA430A" w:rsidRPr="00F87136">
        <w:lastRenderedPageBreak/>
        <w:t xml:space="preserve">providers rely </w:t>
      </w:r>
      <w:r w:rsidR="006F62E5">
        <w:t xml:space="preserve">exclusively </w:t>
      </w:r>
      <w:r w:rsidR="00CA430A" w:rsidRPr="00F87136">
        <w:t xml:space="preserve">on the HCP </w:t>
      </w:r>
      <w:r w:rsidR="00A1115E">
        <w:t xml:space="preserve">Program </w:t>
      </w:r>
      <w:r w:rsidR="00CA430A" w:rsidRPr="00F87136">
        <w:t>Operational Manual</w:t>
      </w:r>
      <w:r w:rsidR="00A06379">
        <w:t xml:space="preserve"> </w:t>
      </w:r>
      <w:r w:rsidR="00D52331">
        <w:t>as the source of truth</w:t>
      </w:r>
      <w:r w:rsidR="00CA430A" w:rsidRPr="00F87136">
        <w:t>.</w:t>
      </w:r>
      <w:r w:rsidR="00A0595E">
        <w:t xml:space="preserve"> </w:t>
      </w:r>
      <w:r w:rsidR="00197F41">
        <w:t xml:space="preserve">On a positive note, </w:t>
      </w:r>
      <w:r>
        <w:t>most</w:t>
      </w:r>
      <w:r w:rsidR="00197F41" w:rsidRPr="00F87136">
        <w:t xml:space="preserve"> relevant guidance was clear, </w:t>
      </w:r>
      <w:proofErr w:type="gramStart"/>
      <w:r w:rsidR="00197F41" w:rsidRPr="00F87136">
        <w:t>long-standing</w:t>
      </w:r>
      <w:proofErr w:type="gramEnd"/>
      <w:r w:rsidR="00197F41" w:rsidRPr="00F87136">
        <w:t xml:space="preserve"> and easily found on </w:t>
      </w:r>
      <w:r w:rsidR="00393651">
        <w:t>the Department</w:t>
      </w:r>
      <w:r w:rsidR="00C30888">
        <w:t xml:space="preserve">’s </w:t>
      </w:r>
      <w:r w:rsidR="00393651">
        <w:t>website</w:t>
      </w:r>
      <w:r w:rsidR="00197F41" w:rsidRPr="00F87136">
        <w:t>.</w:t>
      </w:r>
    </w:p>
    <w:p w14:paraId="034AC495" w14:textId="77777777" w:rsidR="00A1180A" w:rsidRDefault="000C4ACA" w:rsidP="000C4ACA">
      <w:r w:rsidRPr="00F87136">
        <w:t>The Review team</w:t>
      </w:r>
      <w:r w:rsidR="009302E7">
        <w:t xml:space="preserve"> takes this opportunity</w:t>
      </w:r>
      <w:r w:rsidRPr="00F87136">
        <w:t xml:space="preserve"> to thank the 100 providers, including five volunteers, who participated in this inaugural </w:t>
      </w:r>
      <w:r w:rsidR="00F07469">
        <w:t>P</w:t>
      </w:r>
      <w:r w:rsidRPr="00F87136">
        <w:t xml:space="preserve">rogram </w:t>
      </w:r>
      <w:r w:rsidR="00F07469">
        <w:t>A</w:t>
      </w:r>
      <w:r w:rsidRPr="00F87136">
        <w:t xml:space="preserve">ssurance </w:t>
      </w:r>
      <w:r w:rsidR="00E57FB7">
        <w:t>R</w:t>
      </w:r>
      <w:r w:rsidRPr="00F87136">
        <w:t xml:space="preserve">eview. </w:t>
      </w:r>
      <w:r w:rsidR="00A6189E">
        <w:t>Understandably</w:t>
      </w:r>
      <w:r w:rsidR="000647B2">
        <w:t>,</w:t>
      </w:r>
      <w:r w:rsidR="00A6189E">
        <w:t xml:space="preserve"> </w:t>
      </w:r>
      <w:r w:rsidR="00BC55D1">
        <w:t xml:space="preserve">there was </w:t>
      </w:r>
      <w:r w:rsidR="000647B2">
        <w:t>some</w:t>
      </w:r>
      <w:r w:rsidRPr="00F87136">
        <w:t xml:space="preserve"> concern given the nature of such reviews and the uncertainty </w:t>
      </w:r>
      <w:r w:rsidR="00A0595E">
        <w:t>associated with</w:t>
      </w:r>
      <w:r w:rsidRPr="00F87136">
        <w:t xml:space="preserve"> an inaugural </w:t>
      </w:r>
      <w:r w:rsidR="004D3323">
        <w:t>R</w:t>
      </w:r>
      <w:r w:rsidRPr="00F87136">
        <w:t xml:space="preserve">eview, </w:t>
      </w:r>
      <w:r w:rsidR="00A6189E">
        <w:t xml:space="preserve">exacerbated by the challenges of </w:t>
      </w:r>
      <w:r w:rsidRPr="00F87136">
        <w:t xml:space="preserve">COVID-19. Overall, </w:t>
      </w:r>
      <w:r w:rsidR="00D172D4">
        <w:t>providers</w:t>
      </w:r>
      <w:r w:rsidR="00A06379">
        <w:t xml:space="preserve"> </w:t>
      </w:r>
      <w:r w:rsidR="006D19B7">
        <w:t xml:space="preserve">positively </w:t>
      </w:r>
      <w:r w:rsidR="00A06379">
        <w:t xml:space="preserve">engaged with the </w:t>
      </w:r>
      <w:r w:rsidR="004D3323">
        <w:t>R</w:t>
      </w:r>
      <w:r w:rsidR="00A06379">
        <w:t>eview</w:t>
      </w:r>
      <w:r w:rsidRPr="00F87136">
        <w:t>, made senior staff</w:t>
      </w:r>
      <w:r w:rsidR="00B454C8" w:rsidRPr="00B454C8">
        <w:t xml:space="preserve"> </w:t>
      </w:r>
      <w:r w:rsidR="00B454C8" w:rsidRPr="00F87136">
        <w:t>available</w:t>
      </w:r>
      <w:r w:rsidRPr="00F87136">
        <w:t xml:space="preserve">, and cooperated </w:t>
      </w:r>
      <w:r w:rsidR="003B4E74">
        <w:t>by</w:t>
      </w:r>
      <w:r w:rsidR="003B4E74" w:rsidRPr="00F87136">
        <w:t xml:space="preserve"> </w:t>
      </w:r>
      <w:r w:rsidRPr="00F87136">
        <w:t>providing documentation and follow</w:t>
      </w:r>
      <w:r w:rsidR="00B454C8">
        <w:t>-</w:t>
      </w:r>
      <w:r w:rsidRPr="00F87136">
        <w:t xml:space="preserve">up clarifications. </w:t>
      </w:r>
      <w:r w:rsidR="00A06379">
        <w:t xml:space="preserve">Encouragingly, </w:t>
      </w:r>
      <w:r w:rsidR="007A5B9D">
        <w:t xml:space="preserve">several providers </w:t>
      </w:r>
      <w:r w:rsidR="00393651">
        <w:t>embrac</w:t>
      </w:r>
      <w:r w:rsidR="007A5B9D">
        <w:t>ed</w:t>
      </w:r>
      <w:r w:rsidR="00A06379">
        <w:t xml:space="preserve"> </w:t>
      </w:r>
      <w:r w:rsidR="007A5B9D">
        <w:t>the Review process as</w:t>
      </w:r>
      <w:r w:rsidR="00A06379">
        <w:t xml:space="preserve"> an opportunity to improve their current practices. </w:t>
      </w:r>
      <w:r w:rsidR="00D172D4">
        <w:t xml:space="preserve">While </w:t>
      </w:r>
      <w:r w:rsidR="005E0D6D">
        <w:t>structured</w:t>
      </w:r>
      <w:r w:rsidR="00D172D4">
        <w:t xml:space="preserve"> f</w:t>
      </w:r>
      <w:r w:rsidRPr="00F87136">
        <w:t>eedback from participating providers will be sought through a provider survey, anecdotal feedback</w:t>
      </w:r>
      <w:r w:rsidR="00D172D4">
        <w:t xml:space="preserve"> </w:t>
      </w:r>
      <w:r w:rsidRPr="00F87136">
        <w:t xml:space="preserve">suggests that overall providers found the </w:t>
      </w:r>
      <w:r w:rsidR="005E0D6D">
        <w:t>Review team</w:t>
      </w:r>
      <w:r w:rsidR="005E0D6D" w:rsidRPr="00F87136">
        <w:t xml:space="preserve"> </w:t>
      </w:r>
      <w:r w:rsidRPr="00F87136">
        <w:t>to be respectful and</w:t>
      </w:r>
      <w:r w:rsidR="005E0D6D">
        <w:t xml:space="preserve"> the process</w:t>
      </w:r>
      <w:r w:rsidRPr="00F87136">
        <w:t xml:space="preserve"> procedurally fair. </w:t>
      </w:r>
    </w:p>
    <w:p w14:paraId="2C473264" w14:textId="77777777" w:rsidR="00A1180A" w:rsidRDefault="00A75D37" w:rsidP="00A95668">
      <w:pPr>
        <w:rPr>
          <w:color w:val="3C78D8"/>
          <w:sz w:val="20"/>
          <w:szCs w:val="20"/>
        </w:rPr>
      </w:pPr>
      <w:r w:rsidRPr="00F87136">
        <w:t xml:space="preserve">Finally, </w:t>
      </w:r>
      <w:r w:rsidR="00FA1A5E" w:rsidRPr="00F87136">
        <w:t xml:space="preserve">in presenting this public summary report, </w:t>
      </w:r>
      <w:r w:rsidRPr="00F87136">
        <w:t xml:space="preserve">the Review team acknowledges that this first </w:t>
      </w:r>
      <w:r w:rsidR="004D3323">
        <w:t>R</w:t>
      </w:r>
      <w:r w:rsidRPr="00F87136">
        <w:t xml:space="preserve">eview has taken longer than anticipated. Most of the delay </w:t>
      </w:r>
      <w:r w:rsidR="00256432">
        <w:t>wa</w:t>
      </w:r>
      <w:r w:rsidRPr="00F87136">
        <w:t xml:space="preserve">s attributable to the </w:t>
      </w:r>
      <w:r w:rsidR="001D0412">
        <w:t>impact</w:t>
      </w:r>
      <w:r w:rsidRPr="00F87136">
        <w:t xml:space="preserve"> of </w:t>
      </w:r>
      <w:r w:rsidR="001D0412">
        <w:br/>
      </w:r>
      <w:r w:rsidRPr="00F87136">
        <w:t xml:space="preserve">COVID-19 on providers and the Review team. Some </w:t>
      </w:r>
      <w:r w:rsidR="00AF3982" w:rsidRPr="00F87136">
        <w:t xml:space="preserve">of the </w:t>
      </w:r>
      <w:r w:rsidR="00696F7C" w:rsidRPr="00F87136">
        <w:t xml:space="preserve">delay </w:t>
      </w:r>
      <w:r w:rsidR="00256432">
        <w:t>wa</w:t>
      </w:r>
      <w:r w:rsidR="00696F7C" w:rsidRPr="00F87136">
        <w:t xml:space="preserve">s due to </w:t>
      </w:r>
      <w:r w:rsidRPr="00F87136">
        <w:t>inefficiencies expected from a first</w:t>
      </w:r>
      <w:r w:rsidR="00C36978">
        <w:t>-</w:t>
      </w:r>
      <w:r w:rsidRPr="00F87136">
        <w:t>time</w:t>
      </w:r>
      <w:r w:rsidR="00E23752">
        <w:t>, labour-intensive</w:t>
      </w:r>
      <w:r w:rsidRPr="00F87136">
        <w:t xml:space="preserve"> </w:t>
      </w:r>
      <w:r w:rsidR="00A1115E">
        <w:t>R</w:t>
      </w:r>
      <w:r w:rsidR="00A1115E" w:rsidRPr="00F87136">
        <w:t xml:space="preserve">eview </w:t>
      </w:r>
      <w:r w:rsidRPr="00F87136">
        <w:t xml:space="preserve">process </w:t>
      </w:r>
      <w:r w:rsidR="00E23752" w:rsidRPr="00F87136">
        <w:t>o</w:t>
      </w:r>
      <w:r w:rsidR="00E23752">
        <w:t>n</w:t>
      </w:r>
      <w:r w:rsidR="00E23752" w:rsidRPr="00F87136">
        <w:t xml:space="preserve"> </w:t>
      </w:r>
      <w:r w:rsidRPr="00F87136">
        <w:t xml:space="preserve">a complex topic. </w:t>
      </w:r>
      <w:r w:rsidR="008C7977">
        <w:t>T</w:t>
      </w:r>
      <w:r w:rsidRPr="00F87136">
        <w:t xml:space="preserve">he Review team is committed to continuously improving its operations </w:t>
      </w:r>
      <w:r w:rsidR="00E23752">
        <w:t>and</w:t>
      </w:r>
      <w:r w:rsidR="00C36978">
        <w:t xml:space="preserve"> </w:t>
      </w:r>
      <w:r w:rsidR="00003027" w:rsidRPr="00F87136">
        <w:t>stakeholder engagement</w:t>
      </w:r>
      <w:r w:rsidRPr="00F87136">
        <w:t>.</w:t>
      </w:r>
    </w:p>
    <w:p w14:paraId="3EC0602E" w14:textId="66642E0A" w:rsidR="005B1686" w:rsidRDefault="005B1686">
      <w:pPr>
        <w:rPr>
          <w:sz w:val="20"/>
          <w:szCs w:val="20"/>
        </w:rPr>
        <w:sectPr w:rsidR="005B1686" w:rsidSect="00951DC6">
          <w:footerReference w:type="default" r:id="rId11"/>
          <w:headerReference w:type="first" r:id="rId12"/>
          <w:footerReference w:type="first" r:id="rId13"/>
          <w:pgSz w:w="11906" w:h="16838"/>
          <w:pgMar w:top="1440" w:right="1080" w:bottom="1440" w:left="1080" w:header="850" w:footer="709" w:gutter="0"/>
          <w:pgNumType w:start="1"/>
          <w:cols w:space="720"/>
          <w:titlePg/>
          <w:docGrid w:linePitch="299"/>
        </w:sectPr>
      </w:pPr>
    </w:p>
    <w:p w14:paraId="2B7C524B" w14:textId="77777777" w:rsidR="005B1686" w:rsidRPr="00776615" w:rsidRDefault="00001A2A" w:rsidP="00776615">
      <w:pPr>
        <w:pStyle w:val="TOCHeading"/>
      </w:pPr>
      <w:r w:rsidRPr="00776615">
        <w:lastRenderedPageBreak/>
        <w:t>Contents</w:t>
      </w:r>
    </w:p>
    <w:p w14:paraId="4FDB9B60" w14:textId="0AFD36C6" w:rsidR="00A90039" w:rsidRDefault="005E5119" w:rsidP="00A90039">
      <w:pPr>
        <w:pStyle w:val="TOC1"/>
        <w:rPr>
          <w:rFonts w:asciiTheme="minorHAnsi" w:eastAsiaTheme="minorEastAsia" w:hAnsiTheme="minorHAnsi" w:cstheme="minorBidi"/>
          <w:noProof/>
        </w:rPr>
      </w:pPr>
      <w:r>
        <w:fldChar w:fldCharType="begin"/>
      </w:r>
      <w:r>
        <w:instrText xml:space="preserve"> TOC \o "1-2" \h \z \u </w:instrText>
      </w:r>
      <w:r>
        <w:fldChar w:fldCharType="separate"/>
      </w:r>
      <w:hyperlink w:anchor="_Toc111803146" w:history="1">
        <w:r w:rsidR="00A90039" w:rsidRPr="00395AA2">
          <w:rPr>
            <w:rStyle w:val="Hyperlink"/>
            <w:noProof/>
          </w:rPr>
          <w:t>Executive summary</w:t>
        </w:r>
        <w:r w:rsidR="00A90039">
          <w:rPr>
            <w:noProof/>
            <w:webHidden/>
          </w:rPr>
          <w:tab/>
        </w:r>
        <w:r w:rsidR="00A90039">
          <w:rPr>
            <w:noProof/>
            <w:webHidden/>
          </w:rPr>
          <w:fldChar w:fldCharType="begin"/>
        </w:r>
        <w:r w:rsidR="00A90039">
          <w:rPr>
            <w:noProof/>
            <w:webHidden/>
          </w:rPr>
          <w:instrText xml:space="preserve"> PAGEREF _Toc111803146 \h </w:instrText>
        </w:r>
        <w:r w:rsidR="00A90039">
          <w:rPr>
            <w:noProof/>
            <w:webHidden/>
          </w:rPr>
        </w:r>
        <w:r w:rsidR="00A90039">
          <w:rPr>
            <w:noProof/>
            <w:webHidden/>
          </w:rPr>
          <w:fldChar w:fldCharType="separate"/>
        </w:r>
        <w:r w:rsidR="00A90039">
          <w:rPr>
            <w:noProof/>
            <w:webHidden/>
          </w:rPr>
          <w:t>2</w:t>
        </w:r>
        <w:r w:rsidR="00A90039">
          <w:rPr>
            <w:noProof/>
            <w:webHidden/>
          </w:rPr>
          <w:fldChar w:fldCharType="end"/>
        </w:r>
      </w:hyperlink>
    </w:p>
    <w:p w14:paraId="36E490CF" w14:textId="1D45C79B" w:rsidR="00A90039" w:rsidRDefault="00FA0FC3" w:rsidP="00A90039">
      <w:pPr>
        <w:pStyle w:val="TOC1"/>
        <w:rPr>
          <w:rFonts w:asciiTheme="minorHAnsi" w:eastAsiaTheme="minorEastAsia" w:hAnsiTheme="minorHAnsi" w:cstheme="minorBidi"/>
          <w:noProof/>
        </w:rPr>
      </w:pPr>
      <w:hyperlink w:anchor="_Toc111803147" w:history="1">
        <w:r w:rsidR="00A90039" w:rsidRPr="00395AA2">
          <w:rPr>
            <w:rStyle w:val="Hyperlink"/>
            <w:noProof/>
          </w:rPr>
          <w:t>1.</w:t>
        </w:r>
        <w:r w:rsidR="00A90039">
          <w:rPr>
            <w:rFonts w:asciiTheme="minorHAnsi" w:eastAsiaTheme="minorEastAsia" w:hAnsiTheme="minorHAnsi" w:cstheme="minorBidi"/>
            <w:noProof/>
          </w:rPr>
          <w:tab/>
        </w:r>
        <w:r w:rsidR="00A90039" w:rsidRPr="00395AA2">
          <w:rPr>
            <w:rStyle w:val="Hyperlink"/>
            <w:noProof/>
          </w:rPr>
          <w:t>Background</w:t>
        </w:r>
        <w:r w:rsidR="00A90039">
          <w:rPr>
            <w:noProof/>
            <w:webHidden/>
          </w:rPr>
          <w:tab/>
        </w:r>
        <w:r w:rsidR="00A90039">
          <w:rPr>
            <w:noProof/>
            <w:webHidden/>
          </w:rPr>
          <w:fldChar w:fldCharType="begin"/>
        </w:r>
        <w:r w:rsidR="00A90039">
          <w:rPr>
            <w:noProof/>
            <w:webHidden/>
          </w:rPr>
          <w:instrText xml:space="preserve"> PAGEREF _Toc111803147 \h </w:instrText>
        </w:r>
        <w:r w:rsidR="00A90039">
          <w:rPr>
            <w:noProof/>
            <w:webHidden/>
          </w:rPr>
        </w:r>
        <w:r w:rsidR="00A90039">
          <w:rPr>
            <w:noProof/>
            <w:webHidden/>
          </w:rPr>
          <w:fldChar w:fldCharType="separate"/>
        </w:r>
        <w:r w:rsidR="00A90039">
          <w:rPr>
            <w:noProof/>
            <w:webHidden/>
          </w:rPr>
          <w:t>8</w:t>
        </w:r>
        <w:r w:rsidR="00A90039">
          <w:rPr>
            <w:noProof/>
            <w:webHidden/>
          </w:rPr>
          <w:fldChar w:fldCharType="end"/>
        </w:r>
      </w:hyperlink>
    </w:p>
    <w:p w14:paraId="7994345B" w14:textId="46595A56" w:rsidR="00A90039" w:rsidRDefault="00FA0FC3" w:rsidP="00A90039">
      <w:pPr>
        <w:pStyle w:val="TOC1"/>
        <w:rPr>
          <w:rFonts w:asciiTheme="minorHAnsi" w:eastAsiaTheme="minorEastAsia" w:hAnsiTheme="minorHAnsi" w:cstheme="minorBidi"/>
          <w:noProof/>
        </w:rPr>
      </w:pPr>
      <w:hyperlink w:anchor="_Toc111803148" w:history="1">
        <w:r w:rsidR="00A90039" w:rsidRPr="00395AA2">
          <w:rPr>
            <w:rStyle w:val="Hyperlink"/>
            <w:noProof/>
          </w:rPr>
          <w:t>2.</w:t>
        </w:r>
        <w:r w:rsidR="00A90039">
          <w:rPr>
            <w:rFonts w:asciiTheme="minorHAnsi" w:eastAsiaTheme="minorEastAsia" w:hAnsiTheme="minorHAnsi" w:cstheme="minorBidi"/>
            <w:noProof/>
          </w:rPr>
          <w:tab/>
        </w:r>
        <w:r w:rsidR="00A90039" w:rsidRPr="00395AA2">
          <w:rPr>
            <w:rStyle w:val="Hyperlink"/>
            <w:noProof/>
          </w:rPr>
          <w:t>Methodology</w:t>
        </w:r>
        <w:r w:rsidR="00A90039">
          <w:rPr>
            <w:noProof/>
            <w:webHidden/>
          </w:rPr>
          <w:tab/>
        </w:r>
        <w:r w:rsidR="00A90039">
          <w:rPr>
            <w:noProof/>
            <w:webHidden/>
          </w:rPr>
          <w:fldChar w:fldCharType="begin"/>
        </w:r>
        <w:r w:rsidR="00A90039">
          <w:rPr>
            <w:noProof/>
            <w:webHidden/>
          </w:rPr>
          <w:instrText xml:space="preserve"> PAGEREF _Toc111803148 \h </w:instrText>
        </w:r>
        <w:r w:rsidR="00A90039">
          <w:rPr>
            <w:noProof/>
            <w:webHidden/>
          </w:rPr>
        </w:r>
        <w:r w:rsidR="00A90039">
          <w:rPr>
            <w:noProof/>
            <w:webHidden/>
          </w:rPr>
          <w:fldChar w:fldCharType="separate"/>
        </w:r>
        <w:r w:rsidR="00A90039">
          <w:rPr>
            <w:noProof/>
            <w:webHidden/>
          </w:rPr>
          <w:t>9</w:t>
        </w:r>
        <w:r w:rsidR="00A90039">
          <w:rPr>
            <w:noProof/>
            <w:webHidden/>
          </w:rPr>
          <w:fldChar w:fldCharType="end"/>
        </w:r>
      </w:hyperlink>
    </w:p>
    <w:p w14:paraId="45A97B1F" w14:textId="1F702609" w:rsidR="00A90039" w:rsidRDefault="00FA0FC3" w:rsidP="00A90039">
      <w:pPr>
        <w:pStyle w:val="TOC1"/>
        <w:rPr>
          <w:rFonts w:asciiTheme="minorHAnsi" w:eastAsiaTheme="minorEastAsia" w:hAnsiTheme="minorHAnsi" w:cstheme="minorBidi"/>
          <w:noProof/>
        </w:rPr>
      </w:pPr>
      <w:hyperlink w:anchor="_Toc111803149" w:history="1">
        <w:r w:rsidR="00A90039" w:rsidRPr="00395AA2">
          <w:rPr>
            <w:rStyle w:val="Hyperlink"/>
            <w:noProof/>
          </w:rPr>
          <w:t>3.</w:t>
        </w:r>
        <w:r w:rsidR="00A90039">
          <w:rPr>
            <w:rFonts w:asciiTheme="minorHAnsi" w:eastAsiaTheme="minorEastAsia" w:hAnsiTheme="minorHAnsi" w:cstheme="minorBidi"/>
            <w:noProof/>
          </w:rPr>
          <w:tab/>
        </w:r>
        <w:r w:rsidR="00A90039" w:rsidRPr="00395AA2">
          <w:rPr>
            <w:rStyle w:val="Hyperlink"/>
            <w:noProof/>
          </w:rPr>
          <w:t>Keeping individual providers accountable</w:t>
        </w:r>
        <w:r w:rsidR="00A90039">
          <w:rPr>
            <w:noProof/>
            <w:webHidden/>
          </w:rPr>
          <w:tab/>
        </w:r>
        <w:r w:rsidR="00A90039">
          <w:rPr>
            <w:noProof/>
            <w:webHidden/>
          </w:rPr>
          <w:fldChar w:fldCharType="begin"/>
        </w:r>
        <w:r w:rsidR="00A90039">
          <w:rPr>
            <w:noProof/>
            <w:webHidden/>
          </w:rPr>
          <w:instrText xml:space="preserve"> PAGEREF _Toc111803149 \h </w:instrText>
        </w:r>
        <w:r w:rsidR="00A90039">
          <w:rPr>
            <w:noProof/>
            <w:webHidden/>
          </w:rPr>
        </w:r>
        <w:r w:rsidR="00A90039">
          <w:rPr>
            <w:noProof/>
            <w:webHidden/>
          </w:rPr>
          <w:fldChar w:fldCharType="separate"/>
        </w:r>
        <w:r w:rsidR="00A90039">
          <w:rPr>
            <w:noProof/>
            <w:webHidden/>
          </w:rPr>
          <w:t>10</w:t>
        </w:r>
        <w:r w:rsidR="00A90039">
          <w:rPr>
            <w:noProof/>
            <w:webHidden/>
          </w:rPr>
          <w:fldChar w:fldCharType="end"/>
        </w:r>
      </w:hyperlink>
    </w:p>
    <w:p w14:paraId="11E53C0A" w14:textId="5CB70592" w:rsidR="00A90039" w:rsidRDefault="00FA0FC3" w:rsidP="00A90039">
      <w:pPr>
        <w:pStyle w:val="TOC1"/>
        <w:rPr>
          <w:rFonts w:asciiTheme="minorHAnsi" w:eastAsiaTheme="minorEastAsia" w:hAnsiTheme="minorHAnsi" w:cstheme="minorBidi"/>
          <w:noProof/>
        </w:rPr>
      </w:pPr>
      <w:hyperlink w:anchor="_Toc111803150" w:history="1">
        <w:r w:rsidR="00A90039" w:rsidRPr="00395AA2">
          <w:rPr>
            <w:rStyle w:val="Hyperlink"/>
            <w:noProof/>
          </w:rPr>
          <w:t>4.</w:t>
        </w:r>
        <w:r w:rsidR="00A90039">
          <w:rPr>
            <w:rFonts w:asciiTheme="minorHAnsi" w:eastAsiaTheme="minorEastAsia" w:hAnsiTheme="minorHAnsi" w:cstheme="minorBidi"/>
            <w:noProof/>
          </w:rPr>
          <w:tab/>
        </w:r>
        <w:r w:rsidR="00A90039" w:rsidRPr="00395AA2">
          <w:rPr>
            <w:rStyle w:val="Hyperlink"/>
            <w:noProof/>
          </w:rPr>
          <w:t>Supporting continuous improvement of providers</w:t>
        </w:r>
        <w:r w:rsidR="00A90039">
          <w:rPr>
            <w:noProof/>
            <w:webHidden/>
          </w:rPr>
          <w:tab/>
        </w:r>
        <w:r w:rsidR="00A90039">
          <w:rPr>
            <w:noProof/>
            <w:webHidden/>
          </w:rPr>
          <w:fldChar w:fldCharType="begin"/>
        </w:r>
        <w:r w:rsidR="00A90039">
          <w:rPr>
            <w:noProof/>
            <w:webHidden/>
          </w:rPr>
          <w:instrText xml:space="preserve"> PAGEREF _Toc111803150 \h </w:instrText>
        </w:r>
        <w:r w:rsidR="00A90039">
          <w:rPr>
            <w:noProof/>
            <w:webHidden/>
          </w:rPr>
        </w:r>
        <w:r w:rsidR="00A90039">
          <w:rPr>
            <w:noProof/>
            <w:webHidden/>
          </w:rPr>
          <w:fldChar w:fldCharType="separate"/>
        </w:r>
        <w:r w:rsidR="00A90039">
          <w:rPr>
            <w:noProof/>
            <w:webHidden/>
          </w:rPr>
          <w:t>11</w:t>
        </w:r>
        <w:r w:rsidR="00A90039">
          <w:rPr>
            <w:noProof/>
            <w:webHidden/>
          </w:rPr>
          <w:fldChar w:fldCharType="end"/>
        </w:r>
      </w:hyperlink>
    </w:p>
    <w:p w14:paraId="223D1511" w14:textId="46A62790" w:rsidR="00A90039" w:rsidRDefault="00FA0FC3" w:rsidP="00A90039">
      <w:pPr>
        <w:pStyle w:val="TOC1"/>
        <w:rPr>
          <w:rFonts w:asciiTheme="minorHAnsi" w:eastAsiaTheme="minorEastAsia" w:hAnsiTheme="minorHAnsi" w:cstheme="minorBidi"/>
          <w:noProof/>
        </w:rPr>
      </w:pPr>
      <w:hyperlink w:anchor="_Toc111803151" w:history="1">
        <w:r w:rsidR="00A90039" w:rsidRPr="00395AA2">
          <w:rPr>
            <w:rStyle w:val="Hyperlink"/>
            <w:noProof/>
          </w:rPr>
          <w:t>5.</w:t>
        </w:r>
        <w:r w:rsidR="00A90039">
          <w:rPr>
            <w:rFonts w:asciiTheme="minorHAnsi" w:eastAsiaTheme="minorEastAsia" w:hAnsiTheme="minorHAnsi" w:cstheme="minorBidi"/>
            <w:noProof/>
          </w:rPr>
          <w:tab/>
        </w:r>
        <w:r w:rsidR="00A90039" w:rsidRPr="00395AA2">
          <w:rPr>
            <w:rStyle w:val="Hyperlink"/>
            <w:noProof/>
          </w:rPr>
          <w:t>Findings and observations</w:t>
        </w:r>
        <w:r w:rsidR="00A90039">
          <w:rPr>
            <w:noProof/>
            <w:webHidden/>
          </w:rPr>
          <w:tab/>
        </w:r>
        <w:r w:rsidR="00A90039">
          <w:rPr>
            <w:noProof/>
            <w:webHidden/>
          </w:rPr>
          <w:fldChar w:fldCharType="begin"/>
        </w:r>
        <w:r w:rsidR="00A90039">
          <w:rPr>
            <w:noProof/>
            <w:webHidden/>
          </w:rPr>
          <w:instrText xml:space="preserve"> PAGEREF _Toc111803151 \h </w:instrText>
        </w:r>
        <w:r w:rsidR="00A90039">
          <w:rPr>
            <w:noProof/>
            <w:webHidden/>
          </w:rPr>
        </w:r>
        <w:r w:rsidR="00A90039">
          <w:rPr>
            <w:noProof/>
            <w:webHidden/>
          </w:rPr>
          <w:fldChar w:fldCharType="separate"/>
        </w:r>
        <w:r w:rsidR="00A90039">
          <w:rPr>
            <w:noProof/>
            <w:webHidden/>
          </w:rPr>
          <w:t>12</w:t>
        </w:r>
        <w:r w:rsidR="00A90039">
          <w:rPr>
            <w:noProof/>
            <w:webHidden/>
          </w:rPr>
          <w:fldChar w:fldCharType="end"/>
        </w:r>
      </w:hyperlink>
    </w:p>
    <w:p w14:paraId="1C5DE0F4" w14:textId="4D73527F" w:rsidR="00A90039" w:rsidRDefault="00FA0FC3">
      <w:pPr>
        <w:pStyle w:val="TOC2"/>
        <w:tabs>
          <w:tab w:val="left" w:pos="880"/>
          <w:tab w:val="right" w:pos="8777"/>
        </w:tabs>
        <w:rPr>
          <w:rFonts w:asciiTheme="minorHAnsi" w:eastAsiaTheme="minorEastAsia" w:hAnsiTheme="minorHAnsi" w:cstheme="minorBidi"/>
          <w:noProof/>
        </w:rPr>
      </w:pPr>
      <w:hyperlink w:anchor="_Toc111803152" w:history="1">
        <w:r w:rsidR="00A90039" w:rsidRPr="00395AA2">
          <w:rPr>
            <w:rStyle w:val="Hyperlink"/>
            <w:noProof/>
          </w:rPr>
          <w:t>5.1.</w:t>
        </w:r>
        <w:r w:rsidR="00A90039">
          <w:rPr>
            <w:rFonts w:asciiTheme="minorHAnsi" w:eastAsiaTheme="minorEastAsia" w:hAnsiTheme="minorHAnsi" w:cstheme="minorBidi"/>
            <w:noProof/>
          </w:rPr>
          <w:tab/>
        </w:r>
        <w:r w:rsidR="00A90039" w:rsidRPr="00395AA2">
          <w:rPr>
            <w:rStyle w:val="Hyperlink"/>
            <w:noProof/>
          </w:rPr>
          <w:t>HCP providers’ participation</w:t>
        </w:r>
        <w:r w:rsidR="00A90039">
          <w:rPr>
            <w:noProof/>
            <w:webHidden/>
          </w:rPr>
          <w:tab/>
        </w:r>
        <w:r w:rsidR="00A90039">
          <w:rPr>
            <w:noProof/>
            <w:webHidden/>
          </w:rPr>
          <w:fldChar w:fldCharType="begin"/>
        </w:r>
        <w:r w:rsidR="00A90039">
          <w:rPr>
            <w:noProof/>
            <w:webHidden/>
          </w:rPr>
          <w:instrText xml:space="preserve"> PAGEREF _Toc111803152 \h </w:instrText>
        </w:r>
        <w:r w:rsidR="00A90039">
          <w:rPr>
            <w:noProof/>
            <w:webHidden/>
          </w:rPr>
        </w:r>
        <w:r w:rsidR="00A90039">
          <w:rPr>
            <w:noProof/>
            <w:webHidden/>
          </w:rPr>
          <w:fldChar w:fldCharType="separate"/>
        </w:r>
        <w:r w:rsidR="00A90039">
          <w:rPr>
            <w:noProof/>
            <w:webHidden/>
          </w:rPr>
          <w:t>12</w:t>
        </w:r>
        <w:r w:rsidR="00A90039">
          <w:rPr>
            <w:noProof/>
            <w:webHidden/>
          </w:rPr>
          <w:fldChar w:fldCharType="end"/>
        </w:r>
      </w:hyperlink>
    </w:p>
    <w:p w14:paraId="588BB7D2" w14:textId="5419D248" w:rsidR="00A90039" w:rsidRDefault="00FA0FC3">
      <w:pPr>
        <w:pStyle w:val="TOC2"/>
        <w:tabs>
          <w:tab w:val="left" w:pos="880"/>
          <w:tab w:val="right" w:pos="8777"/>
        </w:tabs>
        <w:rPr>
          <w:rFonts w:asciiTheme="minorHAnsi" w:eastAsiaTheme="minorEastAsia" w:hAnsiTheme="minorHAnsi" w:cstheme="minorBidi"/>
          <w:noProof/>
        </w:rPr>
      </w:pPr>
      <w:hyperlink w:anchor="_Toc111803153" w:history="1">
        <w:r w:rsidR="00A90039" w:rsidRPr="00395AA2">
          <w:rPr>
            <w:rStyle w:val="Hyperlink"/>
            <w:noProof/>
          </w:rPr>
          <w:t>5.2.</w:t>
        </w:r>
        <w:r w:rsidR="00A90039">
          <w:rPr>
            <w:rFonts w:asciiTheme="minorHAnsi" w:eastAsiaTheme="minorEastAsia" w:hAnsiTheme="minorHAnsi" w:cstheme="minorBidi"/>
            <w:noProof/>
          </w:rPr>
          <w:tab/>
        </w:r>
        <w:r w:rsidR="00A90039" w:rsidRPr="00395AA2">
          <w:rPr>
            <w:rStyle w:val="Hyperlink"/>
            <w:noProof/>
          </w:rPr>
          <w:t>What are providers charging?</w:t>
        </w:r>
        <w:r w:rsidR="00A90039">
          <w:rPr>
            <w:noProof/>
            <w:webHidden/>
          </w:rPr>
          <w:tab/>
        </w:r>
        <w:r w:rsidR="00A90039">
          <w:rPr>
            <w:noProof/>
            <w:webHidden/>
          </w:rPr>
          <w:fldChar w:fldCharType="begin"/>
        </w:r>
        <w:r w:rsidR="00A90039">
          <w:rPr>
            <w:noProof/>
            <w:webHidden/>
          </w:rPr>
          <w:instrText xml:space="preserve"> PAGEREF _Toc111803153 \h </w:instrText>
        </w:r>
        <w:r w:rsidR="00A90039">
          <w:rPr>
            <w:noProof/>
            <w:webHidden/>
          </w:rPr>
        </w:r>
        <w:r w:rsidR="00A90039">
          <w:rPr>
            <w:noProof/>
            <w:webHidden/>
          </w:rPr>
          <w:fldChar w:fldCharType="separate"/>
        </w:r>
        <w:r w:rsidR="00A90039">
          <w:rPr>
            <w:noProof/>
            <w:webHidden/>
          </w:rPr>
          <w:t>14</w:t>
        </w:r>
        <w:r w:rsidR="00A90039">
          <w:rPr>
            <w:noProof/>
            <w:webHidden/>
          </w:rPr>
          <w:fldChar w:fldCharType="end"/>
        </w:r>
      </w:hyperlink>
    </w:p>
    <w:p w14:paraId="0317E290" w14:textId="3D6D48BD" w:rsidR="00A90039" w:rsidRDefault="00FA0FC3">
      <w:pPr>
        <w:pStyle w:val="TOC2"/>
        <w:tabs>
          <w:tab w:val="left" w:pos="880"/>
          <w:tab w:val="right" w:pos="8777"/>
        </w:tabs>
        <w:rPr>
          <w:rFonts w:asciiTheme="minorHAnsi" w:eastAsiaTheme="minorEastAsia" w:hAnsiTheme="minorHAnsi" w:cstheme="minorBidi"/>
          <w:noProof/>
        </w:rPr>
      </w:pPr>
      <w:hyperlink w:anchor="_Toc111803154" w:history="1">
        <w:r w:rsidR="00A90039" w:rsidRPr="00395AA2">
          <w:rPr>
            <w:rStyle w:val="Hyperlink"/>
            <w:noProof/>
          </w:rPr>
          <w:t>5.3.</w:t>
        </w:r>
        <w:r w:rsidR="00A90039">
          <w:rPr>
            <w:rFonts w:asciiTheme="minorHAnsi" w:eastAsiaTheme="minorEastAsia" w:hAnsiTheme="minorHAnsi" w:cstheme="minorBidi"/>
            <w:noProof/>
          </w:rPr>
          <w:tab/>
        </w:r>
        <w:r w:rsidR="00A90039" w:rsidRPr="00395AA2">
          <w:rPr>
            <w:rStyle w:val="Hyperlink"/>
            <w:noProof/>
          </w:rPr>
          <w:t>Pricing methodologies</w:t>
        </w:r>
        <w:r w:rsidR="00A90039">
          <w:rPr>
            <w:noProof/>
            <w:webHidden/>
          </w:rPr>
          <w:tab/>
        </w:r>
        <w:r w:rsidR="00A90039">
          <w:rPr>
            <w:noProof/>
            <w:webHidden/>
          </w:rPr>
          <w:fldChar w:fldCharType="begin"/>
        </w:r>
        <w:r w:rsidR="00A90039">
          <w:rPr>
            <w:noProof/>
            <w:webHidden/>
          </w:rPr>
          <w:instrText xml:space="preserve"> PAGEREF _Toc111803154 \h </w:instrText>
        </w:r>
        <w:r w:rsidR="00A90039">
          <w:rPr>
            <w:noProof/>
            <w:webHidden/>
          </w:rPr>
        </w:r>
        <w:r w:rsidR="00A90039">
          <w:rPr>
            <w:noProof/>
            <w:webHidden/>
          </w:rPr>
          <w:fldChar w:fldCharType="separate"/>
        </w:r>
        <w:r w:rsidR="00A90039">
          <w:rPr>
            <w:noProof/>
            <w:webHidden/>
          </w:rPr>
          <w:t>19</w:t>
        </w:r>
        <w:r w:rsidR="00A90039">
          <w:rPr>
            <w:noProof/>
            <w:webHidden/>
          </w:rPr>
          <w:fldChar w:fldCharType="end"/>
        </w:r>
      </w:hyperlink>
    </w:p>
    <w:p w14:paraId="465B57AC" w14:textId="3425A01B" w:rsidR="00A90039" w:rsidRDefault="00FA0FC3">
      <w:pPr>
        <w:pStyle w:val="TOC2"/>
        <w:tabs>
          <w:tab w:val="left" w:pos="880"/>
          <w:tab w:val="right" w:pos="8777"/>
        </w:tabs>
        <w:rPr>
          <w:rFonts w:asciiTheme="minorHAnsi" w:eastAsiaTheme="minorEastAsia" w:hAnsiTheme="minorHAnsi" w:cstheme="minorBidi"/>
          <w:noProof/>
        </w:rPr>
      </w:pPr>
      <w:hyperlink w:anchor="_Toc111803155" w:history="1">
        <w:r w:rsidR="00A90039" w:rsidRPr="00395AA2">
          <w:rPr>
            <w:rStyle w:val="Hyperlink"/>
            <w:noProof/>
          </w:rPr>
          <w:t>5.4.</w:t>
        </w:r>
        <w:r w:rsidR="00A90039">
          <w:rPr>
            <w:rFonts w:asciiTheme="minorHAnsi" w:eastAsiaTheme="minorEastAsia" w:hAnsiTheme="minorHAnsi" w:cstheme="minorBidi"/>
            <w:noProof/>
          </w:rPr>
          <w:tab/>
        </w:r>
        <w:r w:rsidR="00A90039" w:rsidRPr="00395AA2">
          <w:rPr>
            <w:rStyle w:val="Hyperlink"/>
            <w:noProof/>
          </w:rPr>
          <w:t>Pricing transparency is sub-optimal</w:t>
        </w:r>
        <w:r w:rsidR="00A90039">
          <w:rPr>
            <w:noProof/>
            <w:webHidden/>
          </w:rPr>
          <w:tab/>
        </w:r>
        <w:r w:rsidR="00A90039">
          <w:rPr>
            <w:noProof/>
            <w:webHidden/>
          </w:rPr>
          <w:fldChar w:fldCharType="begin"/>
        </w:r>
        <w:r w:rsidR="00A90039">
          <w:rPr>
            <w:noProof/>
            <w:webHidden/>
          </w:rPr>
          <w:instrText xml:space="preserve"> PAGEREF _Toc111803155 \h </w:instrText>
        </w:r>
        <w:r w:rsidR="00A90039">
          <w:rPr>
            <w:noProof/>
            <w:webHidden/>
          </w:rPr>
        </w:r>
        <w:r w:rsidR="00A90039">
          <w:rPr>
            <w:noProof/>
            <w:webHidden/>
          </w:rPr>
          <w:fldChar w:fldCharType="separate"/>
        </w:r>
        <w:r w:rsidR="00A90039">
          <w:rPr>
            <w:noProof/>
            <w:webHidden/>
          </w:rPr>
          <w:t>20</w:t>
        </w:r>
        <w:r w:rsidR="00A90039">
          <w:rPr>
            <w:noProof/>
            <w:webHidden/>
          </w:rPr>
          <w:fldChar w:fldCharType="end"/>
        </w:r>
      </w:hyperlink>
    </w:p>
    <w:p w14:paraId="393F4584" w14:textId="0C0B364E" w:rsidR="00A90039" w:rsidRDefault="00FA0FC3">
      <w:pPr>
        <w:pStyle w:val="TOC2"/>
        <w:tabs>
          <w:tab w:val="left" w:pos="880"/>
          <w:tab w:val="right" w:pos="8777"/>
        </w:tabs>
        <w:rPr>
          <w:rFonts w:asciiTheme="minorHAnsi" w:eastAsiaTheme="minorEastAsia" w:hAnsiTheme="minorHAnsi" w:cstheme="minorBidi"/>
          <w:noProof/>
        </w:rPr>
      </w:pPr>
      <w:hyperlink w:anchor="_Toc111803156" w:history="1">
        <w:r w:rsidR="00A90039" w:rsidRPr="00395AA2">
          <w:rPr>
            <w:rStyle w:val="Hyperlink"/>
            <w:noProof/>
          </w:rPr>
          <w:t>5.5.</w:t>
        </w:r>
        <w:r w:rsidR="00A90039">
          <w:rPr>
            <w:rFonts w:asciiTheme="minorHAnsi" w:eastAsiaTheme="minorEastAsia" w:hAnsiTheme="minorHAnsi" w:cstheme="minorBidi"/>
            <w:noProof/>
          </w:rPr>
          <w:tab/>
        </w:r>
        <w:r w:rsidR="00A90039" w:rsidRPr="00395AA2">
          <w:rPr>
            <w:rStyle w:val="Hyperlink"/>
            <w:noProof/>
          </w:rPr>
          <w:t>Value for money is not always evident/justified</w:t>
        </w:r>
        <w:r w:rsidR="00A90039">
          <w:rPr>
            <w:noProof/>
            <w:webHidden/>
          </w:rPr>
          <w:tab/>
        </w:r>
        <w:r w:rsidR="00A90039">
          <w:rPr>
            <w:noProof/>
            <w:webHidden/>
          </w:rPr>
          <w:fldChar w:fldCharType="begin"/>
        </w:r>
        <w:r w:rsidR="00A90039">
          <w:rPr>
            <w:noProof/>
            <w:webHidden/>
          </w:rPr>
          <w:instrText xml:space="preserve"> PAGEREF _Toc111803156 \h </w:instrText>
        </w:r>
        <w:r w:rsidR="00A90039">
          <w:rPr>
            <w:noProof/>
            <w:webHidden/>
          </w:rPr>
        </w:r>
        <w:r w:rsidR="00A90039">
          <w:rPr>
            <w:noProof/>
            <w:webHidden/>
          </w:rPr>
          <w:fldChar w:fldCharType="separate"/>
        </w:r>
        <w:r w:rsidR="00A90039">
          <w:rPr>
            <w:noProof/>
            <w:webHidden/>
          </w:rPr>
          <w:t>22</w:t>
        </w:r>
        <w:r w:rsidR="00A90039">
          <w:rPr>
            <w:noProof/>
            <w:webHidden/>
          </w:rPr>
          <w:fldChar w:fldCharType="end"/>
        </w:r>
      </w:hyperlink>
    </w:p>
    <w:p w14:paraId="4B5AB63D" w14:textId="1A0BBBB7" w:rsidR="00A90039" w:rsidRDefault="00FA0FC3">
      <w:pPr>
        <w:pStyle w:val="TOC2"/>
        <w:tabs>
          <w:tab w:val="left" w:pos="880"/>
          <w:tab w:val="right" w:pos="8777"/>
        </w:tabs>
        <w:rPr>
          <w:rFonts w:asciiTheme="minorHAnsi" w:eastAsiaTheme="minorEastAsia" w:hAnsiTheme="minorHAnsi" w:cstheme="minorBidi"/>
          <w:noProof/>
        </w:rPr>
      </w:pPr>
      <w:hyperlink w:anchor="_Toc111803157" w:history="1">
        <w:r w:rsidR="00A90039" w:rsidRPr="00395AA2">
          <w:rPr>
            <w:rStyle w:val="Hyperlink"/>
            <w:noProof/>
          </w:rPr>
          <w:t>5.6.</w:t>
        </w:r>
        <w:r w:rsidR="00A90039">
          <w:rPr>
            <w:rFonts w:asciiTheme="minorHAnsi" w:eastAsiaTheme="minorEastAsia" w:hAnsiTheme="minorHAnsi" w:cstheme="minorBidi"/>
            <w:noProof/>
          </w:rPr>
          <w:tab/>
        </w:r>
        <w:r w:rsidR="00A90039" w:rsidRPr="00395AA2">
          <w:rPr>
            <w:rStyle w:val="Hyperlink"/>
            <w:noProof/>
          </w:rPr>
          <w:t>Care management and package management charges</w:t>
        </w:r>
        <w:r w:rsidR="00A90039">
          <w:rPr>
            <w:noProof/>
            <w:webHidden/>
          </w:rPr>
          <w:tab/>
        </w:r>
        <w:r w:rsidR="00A90039">
          <w:rPr>
            <w:noProof/>
            <w:webHidden/>
          </w:rPr>
          <w:fldChar w:fldCharType="begin"/>
        </w:r>
        <w:r w:rsidR="00A90039">
          <w:rPr>
            <w:noProof/>
            <w:webHidden/>
          </w:rPr>
          <w:instrText xml:space="preserve"> PAGEREF _Toc111803157 \h </w:instrText>
        </w:r>
        <w:r w:rsidR="00A90039">
          <w:rPr>
            <w:noProof/>
            <w:webHidden/>
          </w:rPr>
        </w:r>
        <w:r w:rsidR="00A90039">
          <w:rPr>
            <w:noProof/>
            <w:webHidden/>
          </w:rPr>
          <w:fldChar w:fldCharType="separate"/>
        </w:r>
        <w:r w:rsidR="00A90039">
          <w:rPr>
            <w:noProof/>
            <w:webHidden/>
          </w:rPr>
          <w:t>25</w:t>
        </w:r>
        <w:r w:rsidR="00A90039">
          <w:rPr>
            <w:noProof/>
            <w:webHidden/>
          </w:rPr>
          <w:fldChar w:fldCharType="end"/>
        </w:r>
      </w:hyperlink>
    </w:p>
    <w:p w14:paraId="720E2177" w14:textId="124CB485" w:rsidR="00A90039" w:rsidRDefault="00FA0FC3">
      <w:pPr>
        <w:pStyle w:val="TOC2"/>
        <w:tabs>
          <w:tab w:val="left" w:pos="880"/>
          <w:tab w:val="right" w:pos="8777"/>
        </w:tabs>
        <w:rPr>
          <w:rFonts w:asciiTheme="minorHAnsi" w:eastAsiaTheme="minorEastAsia" w:hAnsiTheme="minorHAnsi" w:cstheme="minorBidi"/>
          <w:noProof/>
        </w:rPr>
      </w:pPr>
      <w:hyperlink w:anchor="_Toc111803158" w:history="1">
        <w:r w:rsidR="00A90039" w:rsidRPr="00395AA2">
          <w:rPr>
            <w:rStyle w:val="Hyperlink"/>
            <w:noProof/>
          </w:rPr>
          <w:t>5.7.</w:t>
        </w:r>
        <w:r w:rsidR="00A90039">
          <w:rPr>
            <w:rFonts w:asciiTheme="minorHAnsi" w:eastAsiaTheme="minorEastAsia" w:hAnsiTheme="minorHAnsi" w:cstheme="minorBidi"/>
            <w:noProof/>
          </w:rPr>
          <w:tab/>
        </w:r>
        <w:r w:rsidR="00A90039" w:rsidRPr="00395AA2">
          <w:rPr>
            <w:rStyle w:val="Hyperlink"/>
            <w:noProof/>
          </w:rPr>
          <w:t>Providers charging $0 for care management</w:t>
        </w:r>
        <w:r w:rsidR="00A90039">
          <w:rPr>
            <w:noProof/>
            <w:webHidden/>
          </w:rPr>
          <w:tab/>
        </w:r>
        <w:r w:rsidR="00A90039">
          <w:rPr>
            <w:noProof/>
            <w:webHidden/>
          </w:rPr>
          <w:fldChar w:fldCharType="begin"/>
        </w:r>
        <w:r w:rsidR="00A90039">
          <w:rPr>
            <w:noProof/>
            <w:webHidden/>
          </w:rPr>
          <w:instrText xml:space="preserve"> PAGEREF _Toc111803158 \h </w:instrText>
        </w:r>
        <w:r w:rsidR="00A90039">
          <w:rPr>
            <w:noProof/>
            <w:webHidden/>
          </w:rPr>
        </w:r>
        <w:r w:rsidR="00A90039">
          <w:rPr>
            <w:noProof/>
            <w:webHidden/>
          </w:rPr>
          <w:fldChar w:fldCharType="separate"/>
        </w:r>
        <w:r w:rsidR="00A90039">
          <w:rPr>
            <w:noProof/>
            <w:webHidden/>
          </w:rPr>
          <w:t>27</w:t>
        </w:r>
        <w:r w:rsidR="00A90039">
          <w:rPr>
            <w:noProof/>
            <w:webHidden/>
          </w:rPr>
          <w:fldChar w:fldCharType="end"/>
        </w:r>
      </w:hyperlink>
    </w:p>
    <w:p w14:paraId="2326D43C" w14:textId="18DB107D" w:rsidR="00A90039" w:rsidRDefault="00FA0FC3">
      <w:pPr>
        <w:pStyle w:val="TOC2"/>
        <w:tabs>
          <w:tab w:val="left" w:pos="880"/>
          <w:tab w:val="right" w:pos="8777"/>
        </w:tabs>
        <w:rPr>
          <w:rFonts w:asciiTheme="minorHAnsi" w:eastAsiaTheme="minorEastAsia" w:hAnsiTheme="minorHAnsi" w:cstheme="minorBidi"/>
          <w:noProof/>
        </w:rPr>
      </w:pPr>
      <w:hyperlink w:anchor="_Toc111803159" w:history="1">
        <w:r w:rsidR="00A90039" w:rsidRPr="00395AA2">
          <w:rPr>
            <w:rStyle w:val="Hyperlink"/>
            <w:noProof/>
          </w:rPr>
          <w:t>5.8.</w:t>
        </w:r>
        <w:r w:rsidR="00A90039">
          <w:rPr>
            <w:rFonts w:asciiTheme="minorHAnsi" w:eastAsiaTheme="minorEastAsia" w:hAnsiTheme="minorHAnsi" w:cstheme="minorBidi"/>
            <w:noProof/>
          </w:rPr>
          <w:tab/>
        </w:r>
        <w:r w:rsidR="00A90039" w:rsidRPr="00395AA2">
          <w:rPr>
            <w:rStyle w:val="Hyperlink"/>
            <w:noProof/>
          </w:rPr>
          <w:t>Self-management charges</w:t>
        </w:r>
        <w:r w:rsidR="00A90039">
          <w:rPr>
            <w:noProof/>
            <w:webHidden/>
          </w:rPr>
          <w:tab/>
        </w:r>
        <w:r w:rsidR="00A90039">
          <w:rPr>
            <w:noProof/>
            <w:webHidden/>
          </w:rPr>
          <w:fldChar w:fldCharType="begin"/>
        </w:r>
        <w:r w:rsidR="00A90039">
          <w:rPr>
            <w:noProof/>
            <w:webHidden/>
          </w:rPr>
          <w:instrText xml:space="preserve"> PAGEREF _Toc111803159 \h </w:instrText>
        </w:r>
        <w:r w:rsidR="00A90039">
          <w:rPr>
            <w:noProof/>
            <w:webHidden/>
          </w:rPr>
        </w:r>
        <w:r w:rsidR="00A90039">
          <w:rPr>
            <w:noProof/>
            <w:webHidden/>
          </w:rPr>
          <w:fldChar w:fldCharType="separate"/>
        </w:r>
        <w:r w:rsidR="00A90039">
          <w:rPr>
            <w:noProof/>
            <w:webHidden/>
          </w:rPr>
          <w:t>30</w:t>
        </w:r>
        <w:r w:rsidR="00A90039">
          <w:rPr>
            <w:noProof/>
            <w:webHidden/>
          </w:rPr>
          <w:fldChar w:fldCharType="end"/>
        </w:r>
      </w:hyperlink>
    </w:p>
    <w:p w14:paraId="23A8BAF8" w14:textId="52CDED52" w:rsidR="00A90039" w:rsidRDefault="00FA0FC3">
      <w:pPr>
        <w:pStyle w:val="TOC2"/>
        <w:tabs>
          <w:tab w:val="left" w:pos="880"/>
          <w:tab w:val="right" w:pos="8777"/>
        </w:tabs>
        <w:rPr>
          <w:rFonts w:asciiTheme="minorHAnsi" w:eastAsiaTheme="minorEastAsia" w:hAnsiTheme="minorHAnsi" w:cstheme="minorBidi"/>
          <w:noProof/>
        </w:rPr>
      </w:pPr>
      <w:hyperlink w:anchor="_Toc111803160" w:history="1">
        <w:r w:rsidR="00A90039" w:rsidRPr="00395AA2">
          <w:rPr>
            <w:rStyle w:val="Hyperlink"/>
            <w:noProof/>
          </w:rPr>
          <w:t>5.9.</w:t>
        </w:r>
        <w:r w:rsidR="00A90039">
          <w:rPr>
            <w:rFonts w:asciiTheme="minorHAnsi" w:eastAsiaTheme="minorEastAsia" w:hAnsiTheme="minorHAnsi" w:cstheme="minorBidi"/>
            <w:noProof/>
          </w:rPr>
          <w:tab/>
        </w:r>
        <w:r w:rsidR="00A90039" w:rsidRPr="00395AA2">
          <w:rPr>
            <w:rStyle w:val="Hyperlink"/>
            <w:noProof/>
          </w:rPr>
          <w:t>Brokerage and sub-contracting charges – third party invoice processing surcharge</w:t>
        </w:r>
        <w:r w:rsidR="00A90039">
          <w:rPr>
            <w:noProof/>
            <w:webHidden/>
          </w:rPr>
          <w:tab/>
        </w:r>
        <w:r w:rsidR="00A90039">
          <w:rPr>
            <w:noProof/>
            <w:webHidden/>
          </w:rPr>
          <w:fldChar w:fldCharType="begin"/>
        </w:r>
        <w:r w:rsidR="00A90039">
          <w:rPr>
            <w:noProof/>
            <w:webHidden/>
          </w:rPr>
          <w:instrText xml:space="preserve"> PAGEREF _Toc111803160 \h </w:instrText>
        </w:r>
        <w:r w:rsidR="00A90039">
          <w:rPr>
            <w:noProof/>
            <w:webHidden/>
          </w:rPr>
        </w:r>
        <w:r w:rsidR="00A90039">
          <w:rPr>
            <w:noProof/>
            <w:webHidden/>
          </w:rPr>
          <w:fldChar w:fldCharType="separate"/>
        </w:r>
        <w:r w:rsidR="00A90039">
          <w:rPr>
            <w:noProof/>
            <w:webHidden/>
          </w:rPr>
          <w:t>31</w:t>
        </w:r>
        <w:r w:rsidR="00A90039">
          <w:rPr>
            <w:noProof/>
            <w:webHidden/>
          </w:rPr>
          <w:fldChar w:fldCharType="end"/>
        </w:r>
      </w:hyperlink>
    </w:p>
    <w:p w14:paraId="1B198646" w14:textId="0DB63770" w:rsidR="00A90039" w:rsidRDefault="00FA0FC3">
      <w:pPr>
        <w:pStyle w:val="TOC2"/>
        <w:tabs>
          <w:tab w:val="left" w:pos="1100"/>
          <w:tab w:val="right" w:pos="8777"/>
        </w:tabs>
        <w:rPr>
          <w:rFonts w:asciiTheme="minorHAnsi" w:eastAsiaTheme="minorEastAsia" w:hAnsiTheme="minorHAnsi" w:cstheme="minorBidi"/>
          <w:noProof/>
        </w:rPr>
      </w:pPr>
      <w:hyperlink w:anchor="_Toc111803161" w:history="1">
        <w:r w:rsidR="00A90039" w:rsidRPr="00395AA2">
          <w:rPr>
            <w:rStyle w:val="Hyperlink"/>
            <w:noProof/>
          </w:rPr>
          <w:t>5.10.</w:t>
        </w:r>
        <w:r w:rsidR="00A90039">
          <w:rPr>
            <w:rFonts w:asciiTheme="minorHAnsi" w:eastAsiaTheme="minorEastAsia" w:hAnsiTheme="minorHAnsi" w:cstheme="minorBidi"/>
            <w:noProof/>
          </w:rPr>
          <w:tab/>
        </w:r>
        <w:r w:rsidR="00A90039" w:rsidRPr="00395AA2">
          <w:rPr>
            <w:rStyle w:val="Hyperlink"/>
            <w:noProof/>
          </w:rPr>
          <w:t>Monthly statements do not clearly list costs separately</w:t>
        </w:r>
        <w:r w:rsidR="00A90039">
          <w:rPr>
            <w:noProof/>
            <w:webHidden/>
          </w:rPr>
          <w:tab/>
        </w:r>
        <w:r w:rsidR="00A90039">
          <w:rPr>
            <w:noProof/>
            <w:webHidden/>
          </w:rPr>
          <w:fldChar w:fldCharType="begin"/>
        </w:r>
        <w:r w:rsidR="00A90039">
          <w:rPr>
            <w:noProof/>
            <w:webHidden/>
          </w:rPr>
          <w:instrText xml:space="preserve"> PAGEREF _Toc111803161 \h </w:instrText>
        </w:r>
        <w:r w:rsidR="00A90039">
          <w:rPr>
            <w:noProof/>
            <w:webHidden/>
          </w:rPr>
        </w:r>
        <w:r w:rsidR="00A90039">
          <w:rPr>
            <w:noProof/>
            <w:webHidden/>
          </w:rPr>
          <w:fldChar w:fldCharType="separate"/>
        </w:r>
        <w:r w:rsidR="00A90039">
          <w:rPr>
            <w:noProof/>
            <w:webHidden/>
          </w:rPr>
          <w:t>34</w:t>
        </w:r>
        <w:r w:rsidR="00A90039">
          <w:rPr>
            <w:noProof/>
            <w:webHidden/>
          </w:rPr>
          <w:fldChar w:fldCharType="end"/>
        </w:r>
      </w:hyperlink>
    </w:p>
    <w:p w14:paraId="3D40FE87" w14:textId="2B2D7D4A" w:rsidR="00A90039" w:rsidRDefault="00FA0FC3">
      <w:pPr>
        <w:pStyle w:val="TOC2"/>
        <w:tabs>
          <w:tab w:val="left" w:pos="1100"/>
          <w:tab w:val="right" w:pos="8777"/>
        </w:tabs>
        <w:rPr>
          <w:rFonts w:asciiTheme="minorHAnsi" w:eastAsiaTheme="minorEastAsia" w:hAnsiTheme="minorHAnsi" w:cstheme="minorBidi"/>
          <w:noProof/>
        </w:rPr>
      </w:pPr>
      <w:hyperlink w:anchor="_Toc111803162" w:history="1">
        <w:r w:rsidR="00A90039" w:rsidRPr="00395AA2">
          <w:rPr>
            <w:rStyle w:val="Hyperlink"/>
            <w:noProof/>
          </w:rPr>
          <w:t>5.11.</w:t>
        </w:r>
        <w:r w:rsidR="00A90039">
          <w:rPr>
            <w:rFonts w:asciiTheme="minorHAnsi" w:eastAsiaTheme="minorEastAsia" w:hAnsiTheme="minorHAnsi" w:cstheme="minorBidi"/>
            <w:noProof/>
          </w:rPr>
          <w:tab/>
        </w:r>
        <w:r w:rsidR="00A90039" w:rsidRPr="00395AA2">
          <w:rPr>
            <w:rStyle w:val="Hyperlink"/>
            <w:noProof/>
          </w:rPr>
          <w:t>Incorrect allocation of business costs to indirect charges</w:t>
        </w:r>
        <w:r w:rsidR="00A90039">
          <w:rPr>
            <w:noProof/>
            <w:webHidden/>
          </w:rPr>
          <w:tab/>
        </w:r>
        <w:r w:rsidR="00A90039">
          <w:rPr>
            <w:noProof/>
            <w:webHidden/>
          </w:rPr>
          <w:fldChar w:fldCharType="begin"/>
        </w:r>
        <w:r w:rsidR="00A90039">
          <w:rPr>
            <w:noProof/>
            <w:webHidden/>
          </w:rPr>
          <w:instrText xml:space="preserve"> PAGEREF _Toc111803162 \h </w:instrText>
        </w:r>
        <w:r w:rsidR="00A90039">
          <w:rPr>
            <w:noProof/>
            <w:webHidden/>
          </w:rPr>
        </w:r>
        <w:r w:rsidR="00A90039">
          <w:rPr>
            <w:noProof/>
            <w:webHidden/>
          </w:rPr>
          <w:fldChar w:fldCharType="separate"/>
        </w:r>
        <w:r w:rsidR="00A90039">
          <w:rPr>
            <w:noProof/>
            <w:webHidden/>
          </w:rPr>
          <w:t>36</w:t>
        </w:r>
        <w:r w:rsidR="00A90039">
          <w:rPr>
            <w:noProof/>
            <w:webHidden/>
          </w:rPr>
          <w:fldChar w:fldCharType="end"/>
        </w:r>
      </w:hyperlink>
    </w:p>
    <w:p w14:paraId="01714562" w14:textId="3EABE931" w:rsidR="00A90039" w:rsidRDefault="00FA0FC3" w:rsidP="00A90039">
      <w:pPr>
        <w:pStyle w:val="TOC1"/>
        <w:rPr>
          <w:rFonts w:asciiTheme="minorHAnsi" w:eastAsiaTheme="minorEastAsia" w:hAnsiTheme="minorHAnsi" w:cstheme="minorBidi"/>
          <w:noProof/>
        </w:rPr>
      </w:pPr>
      <w:hyperlink w:anchor="_Toc111803163" w:history="1">
        <w:r w:rsidR="00A90039" w:rsidRPr="00395AA2">
          <w:rPr>
            <w:rStyle w:val="Hyperlink"/>
            <w:noProof/>
          </w:rPr>
          <w:t>6.</w:t>
        </w:r>
        <w:r w:rsidR="00A90039">
          <w:rPr>
            <w:rFonts w:asciiTheme="minorHAnsi" w:eastAsiaTheme="minorEastAsia" w:hAnsiTheme="minorHAnsi" w:cstheme="minorBidi"/>
            <w:noProof/>
          </w:rPr>
          <w:tab/>
        </w:r>
        <w:r w:rsidR="00A90039" w:rsidRPr="00395AA2">
          <w:rPr>
            <w:rStyle w:val="Hyperlink"/>
            <w:noProof/>
          </w:rPr>
          <w:t>Additional observations</w:t>
        </w:r>
        <w:r w:rsidR="00A90039">
          <w:rPr>
            <w:noProof/>
            <w:webHidden/>
          </w:rPr>
          <w:tab/>
        </w:r>
        <w:r w:rsidR="00A90039">
          <w:rPr>
            <w:noProof/>
            <w:webHidden/>
          </w:rPr>
          <w:fldChar w:fldCharType="begin"/>
        </w:r>
        <w:r w:rsidR="00A90039">
          <w:rPr>
            <w:noProof/>
            <w:webHidden/>
          </w:rPr>
          <w:instrText xml:space="preserve"> PAGEREF _Toc111803163 \h </w:instrText>
        </w:r>
        <w:r w:rsidR="00A90039">
          <w:rPr>
            <w:noProof/>
            <w:webHidden/>
          </w:rPr>
        </w:r>
        <w:r w:rsidR="00A90039">
          <w:rPr>
            <w:noProof/>
            <w:webHidden/>
          </w:rPr>
          <w:fldChar w:fldCharType="separate"/>
        </w:r>
        <w:r w:rsidR="00A90039">
          <w:rPr>
            <w:noProof/>
            <w:webHidden/>
          </w:rPr>
          <w:t>37</w:t>
        </w:r>
        <w:r w:rsidR="00A90039">
          <w:rPr>
            <w:noProof/>
            <w:webHidden/>
          </w:rPr>
          <w:fldChar w:fldCharType="end"/>
        </w:r>
      </w:hyperlink>
    </w:p>
    <w:p w14:paraId="717F66E3" w14:textId="6627F59D" w:rsidR="00A90039" w:rsidRDefault="00FA0FC3">
      <w:pPr>
        <w:pStyle w:val="TOC2"/>
        <w:tabs>
          <w:tab w:val="left" w:pos="880"/>
          <w:tab w:val="right" w:pos="8777"/>
        </w:tabs>
        <w:rPr>
          <w:rFonts w:asciiTheme="minorHAnsi" w:eastAsiaTheme="minorEastAsia" w:hAnsiTheme="minorHAnsi" w:cstheme="minorBidi"/>
          <w:noProof/>
        </w:rPr>
      </w:pPr>
      <w:hyperlink w:anchor="_Toc111803164" w:history="1">
        <w:r w:rsidR="00A90039" w:rsidRPr="00395AA2">
          <w:rPr>
            <w:rStyle w:val="Hyperlink"/>
            <w:noProof/>
          </w:rPr>
          <w:t>6.1.</w:t>
        </w:r>
        <w:r w:rsidR="00A90039">
          <w:rPr>
            <w:rFonts w:asciiTheme="minorHAnsi" w:eastAsiaTheme="minorEastAsia" w:hAnsiTheme="minorHAnsi" w:cstheme="minorBidi"/>
            <w:noProof/>
          </w:rPr>
          <w:tab/>
        </w:r>
        <w:r w:rsidR="00A90039" w:rsidRPr="00395AA2">
          <w:rPr>
            <w:rStyle w:val="Hyperlink"/>
            <w:noProof/>
          </w:rPr>
          <w:t>Exclusions/inclusions</w:t>
        </w:r>
        <w:r w:rsidR="00A90039">
          <w:rPr>
            <w:noProof/>
            <w:webHidden/>
          </w:rPr>
          <w:tab/>
        </w:r>
        <w:r w:rsidR="00A90039">
          <w:rPr>
            <w:noProof/>
            <w:webHidden/>
          </w:rPr>
          <w:fldChar w:fldCharType="begin"/>
        </w:r>
        <w:r w:rsidR="00A90039">
          <w:rPr>
            <w:noProof/>
            <w:webHidden/>
          </w:rPr>
          <w:instrText xml:space="preserve"> PAGEREF _Toc111803164 \h </w:instrText>
        </w:r>
        <w:r w:rsidR="00A90039">
          <w:rPr>
            <w:noProof/>
            <w:webHidden/>
          </w:rPr>
        </w:r>
        <w:r w:rsidR="00A90039">
          <w:rPr>
            <w:noProof/>
            <w:webHidden/>
          </w:rPr>
          <w:fldChar w:fldCharType="separate"/>
        </w:r>
        <w:r w:rsidR="00A90039">
          <w:rPr>
            <w:noProof/>
            <w:webHidden/>
          </w:rPr>
          <w:t>37</w:t>
        </w:r>
        <w:r w:rsidR="00A90039">
          <w:rPr>
            <w:noProof/>
            <w:webHidden/>
          </w:rPr>
          <w:fldChar w:fldCharType="end"/>
        </w:r>
      </w:hyperlink>
    </w:p>
    <w:p w14:paraId="3F9B0BB3" w14:textId="5F4A1002" w:rsidR="00A90039" w:rsidRDefault="00FA0FC3">
      <w:pPr>
        <w:pStyle w:val="TOC2"/>
        <w:tabs>
          <w:tab w:val="left" w:pos="880"/>
          <w:tab w:val="right" w:pos="8777"/>
        </w:tabs>
        <w:rPr>
          <w:rFonts w:asciiTheme="minorHAnsi" w:eastAsiaTheme="minorEastAsia" w:hAnsiTheme="minorHAnsi" w:cstheme="minorBidi"/>
          <w:noProof/>
        </w:rPr>
      </w:pPr>
      <w:hyperlink w:anchor="_Toc111803165" w:history="1">
        <w:r w:rsidR="00A90039" w:rsidRPr="00395AA2">
          <w:rPr>
            <w:rStyle w:val="Hyperlink"/>
            <w:noProof/>
          </w:rPr>
          <w:t>6.2.</w:t>
        </w:r>
        <w:r w:rsidR="00A90039">
          <w:rPr>
            <w:rFonts w:asciiTheme="minorHAnsi" w:eastAsiaTheme="minorEastAsia" w:hAnsiTheme="minorHAnsi" w:cstheme="minorBidi"/>
            <w:noProof/>
          </w:rPr>
          <w:tab/>
        </w:r>
        <w:r w:rsidR="00A90039" w:rsidRPr="00395AA2">
          <w:rPr>
            <w:rStyle w:val="Hyperlink"/>
            <w:noProof/>
          </w:rPr>
          <w:t>Charging for contingency funds</w:t>
        </w:r>
        <w:r w:rsidR="00A90039">
          <w:rPr>
            <w:noProof/>
            <w:webHidden/>
          </w:rPr>
          <w:tab/>
        </w:r>
        <w:r w:rsidR="00A90039">
          <w:rPr>
            <w:noProof/>
            <w:webHidden/>
          </w:rPr>
          <w:fldChar w:fldCharType="begin"/>
        </w:r>
        <w:r w:rsidR="00A90039">
          <w:rPr>
            <w:noProof/>
            <w:webHidden/>
          </w:rPr>
          <w:instrText xml:space="preserve"> PAGEREF _Toc111803165 \h </w:instrText>
        </w:r>
        <w:r w:rsidR="00A90039">
          <w:rPr>
            <w:noProof/>
            <w:webHidden/>
          </w:rPr>
        </w:r>
        <w:r w:rsidR="00A90039">
          <w:rPr>
            <w:noProof/>
            <w:webHidden/>
          </w:rPr>
          <w:fldChar w:fldCharType="separate"/>
        </w:r>
        <w:r w:rsidR="00A90039">
          <w:rPr>
            <w:noProof/>
            <w:webHidden/>
          </w:rPr>
          <w:t>38</w:t>
        </w:r>
        <w:r w:rsidR="00A90039">
          <w:rPr>
            <w:noProof/>
            <w:webHidden/>
          </w:rPr>
          <w:fldChar w:fldCharType="end"/>
        </w:r>
      </w:hyperlink>
    </w:p>
    <w:p w14:paraId="3A1CB35C" w14:textId="555AFE1E" w:rsidR="00A90039" w:rsidRDefault="00FA0FC3">
      <w:pPr>
        <w:pStyle w:val="TOC2"/>
        <w:tabs>
          <w:tab w:val="left" w:pos="880"/>
          <w:tab w:val="right" w:pos="8777"/>
        </w:tabs>
        <w:rPr>
          <w:rFonts w:asciiTheme="minorHAnsi" w:eastAsiaTheme="minorEastAsia" w:hAnsiTheme="minorHAnsi" w:cstheme="minorBidi"/>
          <w:noProof/>
        </w:rPr>
      </w:pPr>
      <w:hyperlink w:anchor="_Toc111803166" w:history="1">
        <w:r w:rsidR="00A90039" w:rsidRPr="00395AA2">
          <w:rPr>
            <w:rStyle w:val="Hyperlink"/>
            <w:noProof/>
          </w:rPr>
          <w:t>6.3.</w:t>
        </w:r>
        <w:r w:rsidR="00A90039">
          <w:rPr>
            <w:rFonts w:asciiTheme="minorHAnsi" w:eastAsiaTheme="minorEastAsia" w:hAnsiTheme="minorHAnsi" w:cstheme="minorBidi"/>
            <w:noProof/>
          </w:rPr>
          <w:tab/>
        </w:r>
        <w:r w:rsidR="00A90039" w:rsidRPr="00395AA2">
          <w:rPr>
            <w:rStyle w:val="Hyperlink"/>
            <w:noProof/>
          </w:rPr>
          <w:t>Care plans and budgets</w:t>
        </w:r>
        <w:r w:rsidR="00A90039">
          <w:rPr>
            <w:noProof/>
            <w:webHidden/>
          </w:rPr>
          <w:tab/>
        </w:r>
        <w:r w:rsidR="00A90039">
          <w:rPr>
            <w:noProof/>
            <w:webHidden/>
          </w:rPr>
          <w:fldChar w:fldCharType="begin"/>
        </w:r>
        <w:r w:rsidR="00A90039">
          <w:rPr>
            <w:noProof/>
            <w:webHidden/>
          </w:rPr>
          <w:instrText xml:space="preserve"> PAGEREF _Toc111803166 \h </w:instrText>
        </w:r>
        <w:r w:rsidR="00A90039">
          <w:rPr>
            <w:noProof/>
            <w:webHidden/>
          </w:rPr>
        </w:r>
        <w:r w:rsidR="00A90039">
          <w:rPr>
            <w:noProof/>
            <w:webHidden/>
          </w:rPr>
          <w:fldChar w:fldCharType="separate"/>
        </w:r>
        <w:r w:rsidR="00A90039">
          <w:rPr>
            <w:noProof/>
            <w:webHidden/>
          </w:rPr>
          <w:t>38</w:t>
        </w:r>
        <w:r w:rsidR="00A90039">
          <w:rPr>
            <w:noProof/>
            <w:webHidden/>
          </w:rPr>
          <w:fldChar w:fldCharType="end"/>
        </w:r>
      </w:hyperlink>
    </w:p>
    <w:p w14:paraId="7A19A862" w14:textId="38ED79C7" w:rsidR="00A90039" w:rsidRDefault="00FA0FC3" w:rsidP="00A90039">
      <w:pPr>
        <w:pStyle w:val="TOC1"/>
        <w:rPr>
          <w:rFonts w:asciiTheme="minorHAnsi" w:eastAsiaTheme="minorEastAsia" w:hAnsiTheme="minorHAnsi" w:cstheme="minorBidi"/>
          <w:noProof/>
        </w:rPr>
      </w:pPr>
      <w:hyperlink w:anchor="_Toc111803167" w:history="1">
        <w:r w:rsidR="00A90039" w:rsidRPr="00395AA2">
          <w:rPr>
            <w:rStyle w:val="Hyperlink"/>
            <w:noProof/>
          </w:rPr>
          <w:t>7.</w:t>
        </w:r>
        <w:r w:rsidR="00A90039">
          <w:rPr>
            <w:rFonts w:asciiTheme="minorHAnsi" w:eastAsiaTheme="minorEastAsia" w:hAnsiTheme="minorHAnsi" w:cstheme="minorBidi"/>
            <w:noProof/>
          </w:rPr>
          <w:tab/>
        </w:r>
        <w:r w:rsidR="00A90039" w:rsidRPr="00395AA2">
          <w:rPr>
            <w:rStyle w:val="Hyperlink"/>
            <w:noProof/>
          </w:rPr>
          <w:t>Better practice</w:t>
        </w:r>
        <w:r w:rsidR="00A90039">
          <w:rPr>
            <w:noProof/>
            <w:webHidden/>
          </w:rPr>
          <w:tab/>
        </w:r>
        <w:r w:rsidR="00A90039">
          <w:rPr>
            <w:noProof/>
            <w:webHidden/>
          </w:rPr>
          <w:fldChar w:fldCharType="begin"/>
        </w:r>
        <w:r w:rsidR="00A90039">
          <w:rPr>
            <w:noProof/>
            <w:webHidden/>
          </w:rPr>
          <w:instrText xml:space="preserve"> PAGEREF _Toc111803167 \h </w:instrText>
        </w:r>
        <w:r w:rsidR="00A90039">
          <w:rPr>
            <w:noProof/>
            <w:webHidden/>
          </w:rPr>
        </w:r>
        <w:r w:rsidR="00A90039">
          <w:rPr>
            <w:noProof/>
            <w:webHidden/>
          </w:rPr>
          <w:fldChar w:fldCharType="separate"/>
        </w:r>
        <w:r w:rsidR="00A90039">
          <w:rPr>
            <w:noProof/>
            <w:webHidden/>
          </w:rPr>
          <w:t>39</w:t>
        </w:r>
        <w:r w:rsidR="00A90039">
          <w:rPr>
            <w:noProof/>
            <w:webHidden/>
          </w:rPr>
          <w:fldChar w:fldCharType="end"/>
        </w:r>
      </w:hyperlink>
    </w:p>
    <w:p w14:paraId="455DC13F" w14:textId="1C421740" w:rsidR="00A90039" w:rsidRDefault="00FA0FC3" w:rsidP="00A90039">
      <w:pPr>
        <w:pStyle w:val="TOC1"/>
        <w:rPr>
          <w:rFonts w:asciiTheme="minorHAnsi" w:eastAsiaTheme="minorEastAsia" w:hAnsiTheme="minorHAnsi" w:cstheme="minorBidi"/>
          <w:noProof/>
        </w:rPr>
      </w:pPr>
      <w:hyperlink w:anchor="_Toc111803168" w:history="1">
        <w:r w:rsidR="00A90039" w:rsidRPr="00395AA2">
          <w:rPr>
            <w:rStyle w:val="Hyperlink"/>
            <w:noProof/>
          </w:rPr>
          <w:t>8.</w:t>
        </w:r>
        <w:r w:rsidR="00A90039">
          <w:rPr>
            <w:rFonts w:asciiTheme="minorHAnsi" w:eastAsiaTheme="minorEastAsia" w:hAnsiTheme="minorHAnsi" w:cstheme="minorBidi"/>
            <w:noProof/>
          </w:rPr>
          <w:tab/>
        </w:r>
        <w:r w:rsidR="00A90039" w:rsidRPr="00395AA2">
          <w:rPr>
            <w:rStyle w:val="Hyperlink"/>
            <w:noProof/>
          </w:rPr>
          <w:t>Value for money considerations for care recipients</w:t>
        </w:r>
        <w:r w:rsidR="00A90039">
          <w:rPr>
            <w:noProof/>
            <w:webHidden/>
          </w:rPr>
          <w:tab/>
        </w:r>
        <w:r w:rsidR="00A90039">
          <w:rPr>
            <w:noProof/>
            <w:webHidden/>
          </w:rPr>
          <w:fldChar w:fldCharType="begin"/>
        </w:r>
        <w:r w:rsidR="00A90039">
          <w:rPr>
            <w:noProof/>
            <w:webHidden/>
          </w:rPr>
          <w:instrText xml:space="preserve"> PAGEREF _Toc111803168 \h </w:instrText>
        </w:r>
        <w:r w:rsidR="00A90039">
          <w:rPr>
            <w:noProof/>
            <w:webHidden/>
          </w:rPr>
        </w:r>
        <w:r w:rsidR="00A90039">
          <w:rPr>
            <w:noProof/>
            <w:webHidden/>
          </w:rPr>
          <w:fldChar w:fldCharType="separate"/>
        </w:r>
        <w:r w:rsidR="00A90039">
          <w:rPr>
            <w:noProof/>
            <w:webHidden/>
          </w:rPr>
          <w:t>39</w:t>
        </w:r>
        <w:r w:rsidR="00A90039">
          <w:rPr>
            <w:noProof/>
            <w:webHidden/>
          </w:rPr>
          <w:fldChar w:fldCharType="end"/>
        </w:r>
      </w:hyperlink>
    </w:p>
    <w:p w14:paraId="38CB5B4A" w14:textId="64702A00" w:rsidR="00A90039" w:rsidRDefault="00FA0FC3" w:rsidP="00A90039">
      <w:pPr>
        <w:pStyle w:val="TOC1"/>
        <w:rPr>
          <w:rFonts w:asciiTheme="minorHAnsi" w:eastAsiaTheme="minorEastAsia" w:hAnsiTheme="minorHAnsi" w:cstheme="minorBidi"/>
          <w:noProof/>
        </w:rPr>
      </w:pPr>
      <w:hyperlink w:anchor="_Toc111803169" w:history="1">
        <w:r w:rsidR="00A90039" w:rsidRPr="00395AA2">
          <w:rPr>
            <w:rStyle w:val="Hyperlink"/>
            <w:noProof/>
          </w:rPr>
          <w:t>9.</w:t>
        </w:r>
        <w:r w:rsidR="00A90039">
          <w:rPr>
            <w:rFonts w:asciiTheme="minorHAnsi" w:eastAsiaTheme="minorEastAsia" w:hAnsiTheme="minorHAnsi" w:cstheme="minorBidi"/>
            <w:noProof/>
          </w:rPr>
          <w:tab/>
        </w:r>
        <w:r w:rsidR="00A90039" w:rsidRPr="00395AA2">
          <w:rPr>
            <w:rStyle w:val="Hyperlink"/>
            <w:noProof/>
          </w:rPr>
          <w:t>Conclusion</w:t>
        </w:r>
        <w:r w:rsidR="00A90039">
          <w:rPr>
            <w:noProof/>
            <w:webHidden/>
          </w:rPr>
          <w:tab/>
        </w:r>
        <w:r w:rsidR="00A90039">
          <w:rPr>
            <w:noProof/>
            <w:webHidden/>
          </w:rPr>
          <w:fldChar w:fldCharType="begin"/>
        </w:r>
        <w:r w:rsidR="00A90039">
          <w:rPr>
            <w:noProof/>
            <w:webHidden/>
          </w:rPr>
          <w:instrText xml:space="preserve"> PAGEREF _Toc111803169 \h </w:instrText>
        </w:r>
        <w:r w:rsidR="00A90039">
          <w:rPr>
            <w:noProof/>
            <w:webHidden/>
          </w:rPr>
        </w:r>
        <w:r w:rsidR="00A90039">
          <w:rPr>
            <w:noProof/>
            <w:webHidden/>
          </w:rPr>
          <w:fldChar w:fldCharType="separate"/>
        </w:r>
        <w:r w:rsidR="00A90039">
          <w:rPr>
            <w:noProof/>
            <w:webHidden/>
          </w:rPr>
          <w:t>42</w:t>
        </w:r>
        <w:r w:rsidR="00A90039">
          <w:rPr>
            <w:noProof/>
            <w:webHidden/>
          </w:rPr>
          <w:fldChar w:fldCharType="end"/>
        </w:r>
      </w:hyperlink>
    </w:p>
    <w:p w14:paraId="6C79F1B5" w14:textId="5A9EFC11" w:rsidR="00A90039" w:rsidRDefault="00FA0FC3">
      <w:pPr>
        <w:pStyle w:val="TOC2"/>
        <w:tabs>
          <w:tab w:val="right" w:pos="8777"/>
        </w:tabs>
        <w:rPr>
          <w:rFonts w:asciiTheme="minorHAnsi" w:eastAsiaTheme="minorEastAsia" w:hAnsiTheme="minorHAnsi" w:cstheme="minorBidi"/>
          <w:noProof/>
        </w:rPr>
      </w:pPr>
      <w:hyperlink w:anchor="_Toc111803170" w:history="1">
        <w:r w:rsidR="00A90039" w:rsidRPr="00395AA2">
          <w:rPr>
            <w:rStyle w:val="Hyperlink"/>
            <w:noProof/>
          </w:rPr>
          <w:t>Attachment A: Inaugural Program Assurance Review of Indirect and Care Management Charges – further details of scope, purpose and methodology</w:t>
        </w:r>
        <w:r w:rsidR="00A90039">
          <w:rPr>
            <w:noProof/>
            <w:webHidden/>
          </w:rPr>
          <w:tab/>
        </w:r>
        <w:r w:rsidR="00A90039">
          <w:rPr>
            <w:noProof/>
            <w:webHidden/>
          </w:rPr>
          <w:fldChar w:fldCharType="begin"/>
        </w:r>
        <w:r w:rsidR="00A90039">
          <w:rPr>
            <w:noProof/>
            <w:webHidden/>
          </w:rPr>
          <w:instrText xml:space="preserve"> PAGEREF _Toc111803170 \h </w:instrText>
        </w:r>
        <w:r w:rsidR="00A90039">
          <w:rPr>
            <w:noProof/>
            <w:webHidden/>
          </w:rPr>
        </w:r>
        <w:r w:rsidR="00A90039">
          <w:rPr>
            <w:noProof/>
            <w:webHidden/>
          </w:rPr>
          <w:fldChar w:fldCharType="separate"/>
        </w:r>
        <w:r w:rsidR="00A90039">
          <w:rPr>
            <w:noProof/>
            <w:webHidden/>
          </w:rPr>
          <w:t>45</w:t>
        </w:r>
        <w:r w:rsidR="00A90039">
          <w:rPr>
            <w:noProof/>
            <w:webHidden/>
          </w:rPr>
          <w:fldChar w:fldCharType="end"/>
        </w:r>
      </w:hyperlink>
    </w:p>
    <w:p w14:paraId="1D3AA611" w14:textId="44784BD0" w:rsidR="00A90039" w:rsidRDefault="00FA0FC3">
      <w:pPr>
        <w:pStyle w:val="TOC2"/>
        <w:tabs>
          <w:tab w:val="right" w:pos="8777"/>
        </w:tabs>
        <w:rPr>
          <w:rFonts w:asciiTheme="minorHAnsi" w:eastAsiaTheme="minorEastAsia" w:hAnsiTheme="minorHAnsi" w:cstheme="minorBidi"/>
          <w:noProof/>
        </w:rPr>
      </w:pPr>
      <w:hyperlink w:anchor="_Toc111803171" w:history="1">
        <w:r w:rsidR="00A90039" w:rsidRPr="00395AA2">
          <w:rPr>
            <w:rStyle w:val="Hyperlink"/>
            <w:noProof/>
          </w:rPr>
          <w:t>Attachment B: Distribution of median fortnightly charges across the 100 Providers reviewed</w:t>
        </w:r>
        <w:r w:rsidR="00A90039">
          <w:rPr>
            <w:noProof/>
            <w:webHidden/>
          </w:rPr>
          <w:tab/>
        </w:r>
        <w:r w:rsidR="00A90039">
          <w:rPr>
            <w:noProof/>
            <w:webHidden/>
          </w:rPr>
          <w:fldChar w:fldCharType="begin"/>
        </w:r>
        <w:r w:rsidR="00A90039">
          <w:rPr>
            <w:noProof/>
            <w:webHidden/>
          </w:rPr>
          <w:instrText xml:space="preserve"> PAGEREF _Toc111803171 \h </w:instrText>
        </w:r>
        <w:r w:rsidR="00A90039">
          <w:rPr>
            <w:noProof/>
            <w:webHidden/>
          </w:rPr>
        </w:r>
        <w:r w:rsidR="00A90039">
          <w:rPr>
            <w:noProof/>
            <w:webHidden/>
          </w:rPr>
          <w:fldChar w:fldCharType="separate"/>
        </w:r>
        <w:r w:rsidR="00A90039">
          <w:rPr>
            <w:noProof/>
            <w:webHidden/>
          </w:rPr>
          <w:t>53</w:t>
        </w:r>
        <w:r w:rsidR="00A90039">
          <w:rPr>
            <w:noProof/>
            <w:webHidden/>
          </w:rPr>
          <w:fldChar w:fldCharType="end"/>
        </w:r>
      </w:hyperlink>
    </w:p>
    <w:p w14:paraId="1974E01C" w14:textId="6E0190A5" w:rsidR="001D4DCC" w:rsidRDefault="005E5119" w:rsidP="005E5119">
      <w:pPr>
        <w:contextualSpacing/>
      </w:pPr>
      <w:r>
        <w:fldChar w:fldCharType="end"/>
      </w:r>
      <w:r w:rsidR="001D4DCC">
        <w:br w:type="page"/>
      </w:r>
    </w:p>
    <w:p w14:paraId="70EDBD08" w14:textId="41CDFD4B" w:rsidR="005B1686" w:rsidRPr="00951DC6" w:rsidRDefault="00001A2A" w:rsidP="00951DC6">
      <w:pPr>
        <w:pStyle w:val="Heading1"/>
        <w:numPr>
          <w:ilvl w:val="0"/>
          <w:numId w:val="8"/>
        </w:numPr>
        <w:rPr>
          <w:color w:val="365F91" w:themeColor="accent1" w:themeShade="BF"/>
        </w:rPr>
      </w:pPr>
      <w:bookmarkStart w:id="2" w:name="_Toc111803147"/>
      <w:r w:rsidRPr="00951DC6">
        <w:rPr>
          <w:color w:val="365F91" w:themeColor="accent1" w:themeShade="BF"/>
          <w:sz w:val="32"/>
        </w:rPr>
        <w:lastRenderedPageBreak/>
        <w:t>Background</w:t>
      </w:r>
      <w:bookmarkEnd w:id="2"/>
    </w:p>
    <w:p w14:paraId="43E782FD" w14:textId="77777777" w:rsidR="00A1180A" w:rsidRDefault="00E64FDA" w:rsidP="00DA591D">
      <w:r w:rsidRPr="00E64FDA">
        <w:t>The H</w:t>
      </w:r>
      <w:r>
        <w:t xml:space="preserve">ome </w:t>
      </w:r>
      <w:r w:rsidRPr="00E64FDA">
        <w:t>C</w:t>
      </w:r>
      <w:r>
        <w:t xml:space="preserve">are </w:t>
      </w:r>
      <w:r w:rsidRPr="00E64FDA">
        <w:t>P</w:t>
      </w:r>
      <w:r>
        <w:t>ackages</w:t>
      </w:r>
      <w:r w:rsidRPr="00E64FDA">
        <w:t xml:space="preserve"> </w:t>
      </w:r>
      <w:r>
        <w:t xml:space="preserve">(HCP) </w:t>
      </w:r>
      <w:r w:rsidRPr="00E64FDA">
        <w:t xml:space="preserve">Program supports older Australians with complex needs to stay at home and access affordable </w:t>
      </w:r>
      <w:r w:rsidR="004C73B7">
        <w:t>and coordinate</w:t>
      </w:r>
      <w:r w:rsidR="00B70C36">
        <w:t>d</w:t>
      </w:r>
      <w:r w:rsidR="004C73B7">
        <w:t xml:space="preserve"> </w:t>
      </w:r>
      <w:r w:rsidRPr="00E64FDA">
        <w:t>care services such as light gardening, bathing, nursing, health therapies and meal preparation. As at December 2021</w:t>
      </w:r>
      <w:r w:rsidR="007D5CE9">
        <w:t xml:space="preserve"> (the relevant time period for the Review)</w:t>
      </w:r>
      <w:r w:rsidRPr="00E64FDA">
        <w:t xml:space="preserve">, there were 911 approved HCP providers. The </w:t>
      </w:r>
      <w:r w:rsidR="007D5CE9">
        <w:t>P</w:t>
      </w:r>
      <w:r w:rsidRPr="00E64FDA">
        <w:t xml:space="preserve">rogram’s </w:t>
      </w:r>
      <w:r w:rsidR="004D3323">
        <w:t xml:space="preserve">estimated </w:t>
      </w:r>
      <w:r w:rsidRPr="00E64FDA">
        <w:t>expenditure for 2022</w:t>
      </w:r>
      <w:r w:rsidR="001B6E42">
        <w:t>–</w:t>
      </w:r>
      <w:r w:rsidRPr="00E64FDA">
        <w:t>23 is approximately $6.</w:t>
      </w:r>
      <w:r w:rsidR="00D85968">
        <w:t>5</w:t>
      </w:r>
      <w:r w:rsidRPr="00E64FDA">
        <w:t xml:space="preserve"> billion, with nearly 275,600 people expected to </w:t>
      </w:r>
      <w:r w:rsidR="008A0B57">
        <w:t xml:space="preserve">receive </w:t>
      </w:r>
      <w:proofErr w:type="gramStart"/>
      <w:r w:rsidRPr="00E64FDA">
        <w:t>a</w:t>
      </w:r>
      <w:proofErr w:type="gramEnd"/>
      <w:r w:rsidRPr="00E64FDA">
        <w:t xml:space="preserve"> HCP by the end of 2022</w:t>
      </w:r>
      <w:r w:rsidR="001B6E42">
        <w:t>–</w:t>
      </w:r>
      <w:r w:rsidRPr="00E64FDA">
        <w:t>23.</w:t>
      </w:r>
      <w:r w:rsidRPr="00F87136" w:rsidDel="00E64FDA">
        <w:t xml:space="preserve"> </w:t>
      </w:r>
      <w:r w:rsidR="00C36978">
        <w:t>With</w:t>
      </w:r>
      <w:r w:rsidR="00DA591D" w:rsidRPr="00F87136">
        <w:t xml:space="preserve"> growing demand for these HCPs, it is imperative that care recipients and the Government (on behalf of taxpayers) </w:t>
      </w:r>
      <w:r w:rsidR="00C05604">
        <w:t>have confidence</w:t>
      </w:r>
      <w:r w:rsidR="00DA591D" w:rsidRPr="00F87136">
        <w:t xml:space="preserve"> that </w:t>
      </w:r>
      <w:r w:rsidR="00C05604">
        <w:t xml:space="preserve">public funds are </w:t>
      </w:r>
      <w:r w:rsidR="00DA591D" w:rsidRPr="00F87136">
        <w:t xml:space="preserve">being spent for </w:t>
      </w:r>
      <w:r w:rsidR="00A15F9B">
        <w:t xml:space="preserve">approved </w:t>
      </w:r>
      <w:r w:rsidR="00DA591D" w:rsidRPr="00F87136">
        <w:t>purpose</w:t>
      </w:r>
      <w:r w:rsidR="00A15F9B">
        <w:t>s</w:t>
      </w:r>
      <w:r w:rsidR="00DA591D" w:rsidRPr="00F87136">
        <w:t>.</w:t>
      </w:r>
    </w:p>
    <w:p w14:paraId="401D56FB" w14:textId="77777777" w:rsidR="00A1180A" w:rsidRDefault="00781688" w:rsidP="00211F45">
      <w:r w:rsidRPr="006F2BC0">
        <w:t>HCP</w:t>
      </w:r>
      <w:r w:rsidR="00623BB2" w:rsidRPr="006F2BC0">
        <w:t xml:space="preserve"> Program Assurance </w:t>
      </w:r>
      <w:r w:rsidR="00645372">
        <w:t xml:space="preserve">aims to protect the integrity of HCP Program funding. </w:t>
      </w:r>
      <w:r w:rsidR="00C94E54">
        <w:t>Underpinned by t</w:t>
      </w:r>
      <w:r w:rsidR="00C94E54" w:rsidRPr="006B0B5F">
        <w:t>he</w:t>
      </w:r>
      <w:r w:rsidR="00C94E54" w:rsidRPr="006B0B5F">
        <w:rPr>
          <w:i/>
          <w:iCs/>
        </w:rPr>
        <w:t xml:space="preserve"> Aged Care Act 1997</w:t>
      </w:r>
      <w:r w:rsidR="00C94E54">
        <w:t xml:space="preserve">, HCP assurance </w:t>
      </w:r>
      <w:r w:rsidR="00645372">
        <w:t>comprises</w:t>
      </w:r>
      <w:r w:rsidR="00C36978" w:rsidRPr="006F2BC0">
        <w:t xml:space="preserve"> evidence-based </w:t>
      </w:r>
      <w:r w:rsidR="00645372">
        <w:t xml:space="preserve">reviews and other </w:t>
      </w:r>
      <w:r w:rsidR="00C36978" w:rsidRPr="006F2BC0">
        <w:t xml:space="preserve">activities </w:t>
      </w:r>
      <w:r w:rsidR="00645372">
        <w:t>that</w:t>
      </w:r>
      <w:r w:rsidR="00C36978" w:rsidRPr="006F2BC0">
        <w:t xml:space="preserve"> </w:t>
      </w:r>
      <w:r w:rsidR="00B759D7" w:rsidRPr="006F2BC0">
        <w:t xml:space="preserve">are generally </w:t>
      </w:r>
      <w:r w:rsidR="00623BB2" w:rsidRPr="006F2BC0">
        <w:t>risk-based</w:t>
      </w:r>
      <w:r w:rsidR="00B759D7" w:rsidRPr="006F2BC0">
        <w:t xml:space="preserve">. </w:t>
      </w:r>
      <w:r w:rsidR="00C6049B" w:rsidRPr="006F2BC0">
        <w:rPr>
          <w:color w:val="202020"/>
          <w:shd w:val="clear" w:color="auto" w:fill="FFFFFF"/>
        </w:rPr>
        <w:t xml:space="preserve">HCP Program Assurance </w:t>
      </w:r>
      <w:r w:rsidR="00F07469">
        <w:rPr>
          <w:color w:val="202020"/>
          <w:shd w:val="clear" w:color="auto" w:fill="FFFFFF"/>
        </w:rPr>
        <w:t>R</w:t>
      </w:r>
      <w:r w:rsidR="00C6049B" w:rsidRPr="006F2BC0">
        <w:rPr>
          <w:color w:val="202020"/>
          <w:shd w:val="clear" w:color="auto" w:fill="FFFFFF"/>
        </w:rPr>
        <w:t xml:space="preserve">eviews underpin the Government’s plan to improve aged care and boost transparency and accountability in the sector. These reviews </w:t>
      </w:r>
      <w:r w:rsidR="00623BB2" w:rsidRPr="006F2BC0">
        <w:t>focus on the</w:t>
      </w:r>
      <w:r w:rsidR="00623BB2" w:rsidRPr="00240C4F">
        <w:t xml:space="preserve"> HCP Program’s design, delivery</w:t>
      </w:r>
      <w:r w:rsidR="00256432">
        <w:t>,</w:t>
      </w:r>
      <w:r w:rsidR="00623BB2" w:rsidRPr="00240C4F">
        <w:t xml:space="preserve"> and administration. </w:t>
      </w:r>
      <w:r w:rsidR="00211F45" w:rsidRPr="00240C4F">
        <w:t xml:space="preserve">Ultimately, assurance </w:t>
      </w:r>
      <w:r w:rsidR="00C94E54">
        <w:t xml:space="preserve">reviews and other </w:t>
      </w:r>
      <w:r w:rsidR="00211F45" w:rsidRPr="00240C4F">
        <w:t xml:space="preserve">activities seek to enhance value for money for HCP care recipients and Australian taxpayers, support HCP </w:t>
      </w:r>
      <w:r w:rsidR="006536EA">
        <w:t>p</w:t>
      </w:r>
      <w:r w:rsidR="00211F45" w:rsidRPr="00240C4F">
        <w:t xml:space="preserve">roviders </w:t>
      </w:r>
      <w:r w:rsidR="00D861C4">
        <w:t xml:space="preserve">to enhance their </w:t>
      </w:r>
      <w:r w:rsidR="00211F45" w:rsidRPr="00240C4F">
        <w:t>program knowledge</w:t>
      </w:r>
      <w:r w:rsidR="00D861C4">
        <w:t xml:space="preserve">, </w:t>
      </w:r>
      <w:r w:rsidR="00211F45" w:rsidRPr="00240C4F">
        <w:t xml:space="preserve">and </w:t>
      </w:r>
      <w:r w:rsidR="00D861C4">
        <w:t>support</w:t>
      </w:r>
      <w:r w:rsidR="00211F45" w:rsidRPr="00240C4F">
        <w:t xml:space="preserve"> the continuous improvement of HCP </w:t>
      </w:r>
      <w:r w:rsidR="006536EA">
        <w:t>p</w:t>
      </w:r>
      <w:r w:rsidR="00211F45" w:rsidRPr="00240C4F">
        <w:t xml:space="preserve">roviders and the Program. Further rationale is available in the </w:t>
      </w:r>
      <w:hyperlink r:id="rId14" w:history="1">
        <w:r w:rsidR="00211F45" w:rsidRPr="00240C4F">
          <w:rPr>
            <w:rStyle w:val="Hyperlink"/>
          </w:rPr>
          <w:t>Framework</w:t>
        </w:r>
      </w:hyperlink>
      <w:r w:rsidR="00211F45" w:rsidRPr="00240C4F">
        <w:t xml:space="preserve"> document published on 7 October 2021.</w:t>
      </w:r>
      <w:r w:rsidR="00E31BE4">
        <w:t xml:space="preserve"> </w:t>
      </w:r>
    </w:p>
    <w:p w14:paraId="246B0F27" w14:textId="77777777" w:rsidR="00A1180A" w:rsidRDefault="00F910D9" w:rsidP="00F910D9">
      <w:r w:rsidRPr="00240C4F">
        <w:t>This</w:t>
      </w:r>
      <w:r w:rsidR="00623BB2" w:rsidRPr="00240C4F">
        <w:t xml:space="preserve"> is the first public</w:t>
      </w:r>
      <w:r w:rsidRPr="00240C4F">
        <w:t xml:space="preserve"> Summary Review Report (Report) </w:t>
      </w:r>
      <w:r w:rsidR="00623BB2" w:rsidRPr="00240C4F">
        <w:t xml:space="preserve">issued under the remit of HCP Program Assurance. It </w:t>
      </w:r>
      <w:r w:rsidR="008E50E3" w:rsidRPr="00240C4F">
        <w:t>provides themed findings from</w:t>
      </w:r>
      <w:r w:rsidRPr="00240C4F">
        <w:t xml:space="preserve"> the</w:t>
      </w:r>
      <w:r w:rsidR="00623BB2" w:rsidRPr="00240C4F">
        <w:t xml:space="preserve"> inaugural</w:t>
      </w:r>
      <w:r w:rsidRPr="00240C4F">
        <w:t xml:space="preserve"> </w:t>
      </w:r>
      <w:r w:rsidR="00831FEE" w:rsidRPr="00240C4F">
        <w:t xml:space="preserve">HCP </w:t>
      </w:r>
      <w:r w:rsidRPr="00240C4F">
        <w:rPr>
          <w:i/>
          <w:iCs/>
        </w:rPr>
        <w:t xml:space="preserve">Indirect and Care Management charges </w:t>
      </w:r>
      <w:r w:rsidR="001B6E42">
        <w:rPr>
          <w:i/>
          <w:iCs/>
        </w:rPr>
        <w:t>–</w:t>
      </w:r>
      <w:r w:rsidRPr="00240C4F">
        <w:rPr>
          <w:i/>
          <w:iCs/>
        </w:rPr>
        <w:t xml:space="preserve"> October 2021 Assurance Review</w:t>
      </w:r>
      <w:r w:rsidRPr="00240C4F">
        <w:t xml:space="preserve"> (Review). </w:t>
      </w:r>
    </w:p>
    <w:p w14:paraId="40DD63A1" w14:textId="0843EA23" w:rsidR="00211A4F" w:rsidRDefault="00F910D9" w:rsidP="00B40A44">
      <w:r w:rsidRPr="00240C4F">
        <w:t>The purpose of the Review was to understand how selected providers calculate and charge</w:t>
      </w:r>
      <w:r w:rsidR="0083330C">
        <w:t xml:space="preserve"> for</w:t>
      </w:r>
      <w:r w:rsidRPr="00240C4F">
        <w:t xml:space="preserve"> indirect and care management </w:t>
      </w:r>
      <w:r w:rsidR="0083330C">
        <w:t>costs</w:t>
      </w:r>
      <w:r w:rsidRPr="00240C4F">
        <w:t xml:space="preserve"> of the HCP Program.</w:t>
      </w:r>
    </w:p>
    <w:p w14:paraId="49B48F1F" w14:textId="307A019B" w:rsidR="00B40A44" w:rsidRPr="00240C4F" w:rsidRDefault="00B40A44" w:rsidP="00B40A44">
      <w:pPr>
        <w:rPr>
          <w:strike/>
        </w:rPr>
      </w:pPr>
      <w:r w:rsidRPr="00240C4F">
        <w:t>Consistent with the notice issued to selected providers, the Review aimed to answer the following questions:</w:t>
      </w:r>
    </w:p>
    <w:p w14:paraId="2EE361EB" w14:textId="384C76B4" w:rsidR="00B40A44" w:rsidRPr="00211A4F" w:rsidRDefault="00B40A44" w:rsidP="00211A4F">
      <w:pPr>
        <w:pStyle w:val="ListBullet"/>
      </w:pPr>
      <w:bookmarkStart w:id="3" w:name="_Hlk89195868"/>
      <w:r w:rsidRPr="00211A4F">
        <w:t xml:space="preserve">what are HCP providers charging for indirect and care management </w:t>
      </w:r>
      <w:r w:rsidR="00796017" w:rsidRPr="00211A4F">
        <w:t xml:space="preserve">charges </w:t>
      </w:r>
      <w:r w:rsidRPr="00211A4F">
        <w:t>and why</w:t>
      </w:r>
    </w:p>
    <w:bookmarkEnd w:id="3"/>
    <w:p w14:paraId="64303D0D" w14:textId="129C6A9D" w:rsidR="00B40A44" w:rsidRPr="00240C4F" w:rsidRDefault="00B40A44" w:rsidP="00776615">
      <w:pPr>
        <w:pStyle w:val="ListBullet"/>
        <w:ind w:left="357" w:hanging="357"/>
      </w:pPr>
      <w:r w:rsidRPr="00240C4F">
        <w:lastRenderedPageBreak/>
        <w:t xml:space="preserve">whether HCP providers </w:t>
      </w:r>
      <w:r w:rsidR="00796017">
        <w:t xml:space="preserve">are </w:t>
      </w:r>
      <w:r w:rsidRPr="00240C4F">
        <w:t xml:space="preserve">charging consistently with </w:t>
      </w:r>
      <w:r w:rsidR="008F33D0">
        <w:t xml:space="preserve">relevant </w:t>
      </w:r>
      <w:r w:rsidR="00E46A73">
        <w:t>d</w:t>
      </w:r>
      <w:r w:rsidRPr="00240C4F">
        <w:t>epartmental policies and guidance</w:t>
      </w:r>
      <w:r w:rsidRPr="00240C4F">
        <w:rPr>
          <w:rStyle w:val="FootnoteReference"/>
        </w:rPr>
        <w:footnoteReference w:id="6"/>
      </w:r>
    </w:p>
    <w:p w14:paraId="29A2FCE8" w14:textId="28D715A4" w:rsidR="00B40A44" w:rsidRPr="00240C4F" w:rsidRDefault="00B40A44" w:rsidP="00776615">
      <w:pPr>
        <w:pStyle w:val="ListBullet"/>
        <w:ind w:left="357" w:hanging="357"/>
      </w:pPr>
      <w:r w:rsidRPr="00240C4F">
        <w:t xml:space="preserve">whether the methodology applied by HCP providers for determining </w:t>
      </w:r>
      <w:r w:rsidR="0061524C">
        <w:t xml:space="preserve">indirect and </w:t>
      </w:r>
      <w:r w:rsidRPr="00240C4F">
        <w:t>care management charges can be verified</w:t>
      </w:r>
      <w:r w:rsidRPr="00240C4F">
        <w:rPr>
          <w:rStyle w:val="FootnoteReference"/>
        </w:rPr>
        <w:footnoteReference w:id="7"/>
      </w:r>
      <w:r w:rsidR="009A4A8E">
        <w:t xml:space="preserve">, </w:t>
      </w:r>
      <w:r w:rsidRPr="00240C4F">
        <w:t>and</w:t>
      </w:r>
    </w:p>
    <w:p w14:paraId="6CCD1A4F" w14:textId="685EAC69" w:rsidR="00B40A44" w:rsidRPr="00240C4F" w:rsidRDefault="00B40A44" w:rsidP="00776615">
      <w:pPr>
        <w:pStyle w:val="ListBullet"/>
        <w:ind w:left="357" w:hanging="357"/>
      </w:pPr>
      <w:r w:rsidRPr="00240C4F">
        <w:t xml:space="preserve">whether </w:t>
      </w:r>
      <w:r w:rsidR="0061524C" w:rsidRPr="00240C4F">
        <w:t xml:space="preserve">indirect and </w:t>
      </w:r>
      <w:r w:rsidRPr="00240C4F">
        <w:t>care management charges have been applied to HCP care recipients on a consistent and accurate</w:t>
      </w:r>
      <w:r w:rsidRPr="00C23BCF">
        <w:rPr>
          <w:vertAlign w:val="superscript"/>
        </w:rPr>
        <w:footnoteReference w:id="8"/>
      </w:r>
      <w:r w:rsidRPr="00240C4F">
        <w:t xml:space="preserve"> basis by HCP providers and can be verified.</w:t>
      </w:r>
    </w:p>
    <w:p w14:paraId="6640D408" w14:textId="5A4460EF" w:rsidR="00456912" w:rsidRPr="00951DC6" w:rsidRDefault="00456912" w:rsidP="00951DC6">
      <w:pPr>
        <w:pStyle w:val="Heading1"/>
        <w:numPr>
          <w:ilvl w:val="0"/>
          <w:numId w:val="8"/>
        </w:numPr>
        <w:ind w:left="357" w:hanging="357"/>
        <w:rPr>
          <w:color w:val="365F91" w:themeColor="accent1" w:themeShade="BF"/>
        </w:rPr>
      </w:pPr>
      <w:bookmarkStart w:id="4" w:name="_Toc111803148"/>
      <w:r w:rsidRPr="00951DC6">
        <w:rPr>
          <w:color w:val="365F91" w:themeColor="accent1" w:themeShade="BF"/>
          <w:sz w:val="32"/>
        </w:rPr>
        <w:t>Methodology</w:t>
      </w:r>
      <w:bookmarkEnd w:id="4"/>
    </w:p>
    <w:p w14:paraId="37F24139" w14:textId="77777777" w:rsidR="00A1180A" w:rsidRDefault="00A7350A" w:rsidP="008B7BC3">
      <w:r>
        <w:t>T</w:t>
      </w:r>
      <w:r w:rsidR="00A90193" w:rsidRPr="00240C4F">
        <w:t xml:space="preserve">he 95 Approved Providers selected </w:t>
      </w:r>
      <w:r>
        <w:t xml:space="preserve">for the </w:t>
      </w:r>
      <w:r w:rsidR="00C05604">
        <w:t>R</w:t>
      </w:r>
      <w:r>
        <w:t>eview</w:t>
      </w:r>
      <w:r w:rsidR="00E31BE4">
        <w:t xml:space="preserve"> </w:t>
      </w:r>
      <w:r w:rsidR="00A90193" w:rsidRPr="00240C4F">
        <w:t>cover</w:t>
      </w:r>
      <w:r>
        <w:t>ed</w:t>
      </w:r>
      <w:r w:rsidR="00A90193" w:rsidRPr="00240C4F">
        <w:t xml:space="preserve"> </w:t>
      </w:r>
      <w:r w:rsidR="001F1F31" w:rsidRPr="00240C4F">
        <w:t xml:space="preserve">a significant proportion of HCP </w:t>
      </w:r>
      <w:r w:rsidR="00A90193" w:rsidRPr="00240C4F">
        <w:t>care recipients</w:t>
      </w:r>
      <w:r>
        <w:t xml:space="preserve"> and</w:t>
      </w:r>
      <w:r w:rsidR="00C05604">
        <w:t xml:space="preserve"> should</w:t>
      </w:r>
      <w:r>
        <w:t xml:space="preserve"> </w:t>
      </w:r>
      <w:r w:rsidR="00C05604">
        <w:t xml:space="preserve">be </w:t>
      </w:r>
      <w:r>
        <w:t>represent</w:t>
      </w:r>
      <w:r w:rsidR="00C05604">
        <w:t>ative of</w:t>
      </w:r>
      <w:r>
        <w:t xml:space="preserve"> issues identified regarding </w:t>
      </w:r>
      <w:r w:rsidR="00C05604">
        <w:t>i</w:t>
      </w:r>
      <w:r w:rsidR="00C05604" w:rsidRPr="006F2BC0">
        <w:t xml:space="preserve">ndirect and </w:t>
      </w:r>
      <w:r w:rsidR="00C05604">
        <w:t>c</w:t>
      </w:r>
      <w:r w:rsidR="00C05604" w:rsidRPr="006F2BC0">
        <w:t xml:space="preserve">are </w:t>
      </w:r>
      <w:r w:rsidR="00C05604">
        <w:t>m</w:t>
      </w:r>
      <w:r w:rsidR="00C05604" w:rsidRPr="006F2BC0">
        <w:t>anagement charges</w:t>
      </w:r>
      <w:r w:rsidRPr="00C05604">
        <w:t>.</w:t>
      </w:r>
      <w:r w:rsidR="00D80BC3" w:rsidRPr="00240C4F">
        <w:t xml:space="preserve"> I</w:t>
      </w:r>
      <w:r w:rsidR="00A90193" w:rsidRPr="00240C4F">
        <w:t xml:space="preserve">n addition, six </w:t>
      </w:r>
      <w:r w:rsidR="00393651">
        <w:t>p</w:t>
      </w:r>
      <w:r w:rsidR="00A90193" w:rsidRPr="00240C4F">
        <w:t xml:space="preserve">roviders </w:t>
      </w:r>
      <w:r w:rsidR="0068516F">
        <w:t>volunteered</w:t>
      </w:r>
      <w:r w:rsidR="00A90193" w:rsidRPr="00240C4F">
        <w:t xml:space="preserve"> to participate</w:t>
      </w:r>
      <w:r w:rsidR="007E3EB9" w:rsidRPr="00240C4F">
        <w:t>,</w:t>
      </w:r>
      <w:r w:rsidR="00A90193" w:rsidRPr="00240C4F">
        <w:t xml:space="preserve"> of which five were selected</w:t>
      </w:r>
      <w:r w:rsidR="00BD51A0">
        <w:t xml:space="preserve">. The Review sample thus totalled </w:t>
      </w:r>
      <w:r w:rsidR="00A90193" w:rsidRPr="00240C4F">
        <w:t>100 Approved Providers</w:t>
      </w:r>
      <w:r w:rsidR="00AB3684">
        <w:t>. Around</w:t>
      </w:r>
      <w:r w:rsidR="00AA374F">
        <w:t xml:space="preserve"> 1,000 care recipients’ documentation was sourced from the providers – a total of </w:t>
      </w:r>
      <w:r w:rsidR="00427666">
        <w:t xml:space="preserve">16,000 documents </w:t>
      </w:r>
      <w:r w:rsidR="00AA374F">
        <w:t>were examined</w:t>
      </w:r>
      <w:r w:rsidR="00427666">
        <w:t xml:space="preserve">. </w:t>
      </w:r>
    </w:p>
    <w:p w14:paraId="370D410C" w14:textId="539C5653" w:rsidR="007A0CF5" w:rsidRPr="00240C4F" w:rsidRDefault="00D42854" w:rsidP="008B7BC3">
      <w:r w:rsidRPr="00240C4F">
        <w:t>The documentation requested</w:t>
      </w:r>
      <w:r w:rsidR="008B7BC3" w:rsidRPr="00240C4F">
        <w:t xml:space="preserve"> from participating providers</w:t>
      </w:r>
      <w:r w:rsidRPr="00240C4F">
        <w:t xml:space="preserve"> included:</w:t>
      </w:r>
    </w:p>
    <w:p w14:paraId="075A6DFD" w14:textId="477C18CD" w:rsidR="007A0CF5" w:rsidRPr="00211A4F" w:rsidRDefault="00D42854" w:rsidP="00211A4F">
      <w:pPr>
        <w:pStyle w:val="ListBullet"/>
      </w:pPr>
      <w:r w:rsidRPr="00211A4F">
        <w:t>HCP provider policy, procedure, guidance material, or, where unavailable, a narrative/description of the methodology, in relation to establishing charges</w:t>
      </w:r>
    </w:p>
    <w:p w14:paraId="59459CA8" w14:textId="15B48846" w:rsidR="007A0CF5" w:rsidRPr="00211A4F" w:rsidRDefault="00D42854" w:rsidP="00211A4F">
      <w:pPr>
        <w:pStyle w:val="ListBullet"/>
      </w:pPr>
      <w:r w:rsidRPr="00211A4F">
        <w:t xml:space="preserve">an </w:t>
      </w:r>
      <w:r w:rsidR="004B4C53" w:rsidRPr="00211A4F">
        <w:t>E</w:t>
      </w:r>
      <w:r w:rsidRPr="00211A4F">
        <w:t>xcel file seeking HCP provider charges (revenue) for the period of 1 July 2020 to 30 June 2021</w:t>
      </w:r>
    </w:p>
    <w:p w14:paraId="7D56DF70" w14:textId="20C1A515" w:rsidR="007A0CF5" w:rsidRPr="00211A4F" w:rsidRDefault="00D42854" w:rsidP="00211A4F">
      <w:pPr>
        <w:pStyle w:val="ListBullet"/>
      </w:pPr>
      <w:r w:rsidRPr="00211A4F">
        <w:t xml:space="preserve">HCP provider revenue for the sample of 10 care recipients selected for the </w:t>
      </w:r>
      <w:r w:rsidR="008A0B57" w:rsidRPr="00211A4F">
        <w:t>R</w:t>
      </w:r>
      <w:r w:rsidRPr="00211A4F">
        <w:t>eview for each charge</w:t>
      </w:r>
    </w:p>
    <w:p w14:paraId="4D607D63" w14:textId="146FF019" w:rsidR="007A0CF5" w:rsidRPr="00211A4F" w:rsidRDefault="00D42854" w:rsidP="00211A4F">
      <w:pPr>
        <w:pStyle w:val="ListBullet"/>
      </w:pPr>
      <w:r w:rsidRPr="00211A4F">
        <w:t>audited financial statements for the HCP provider (or where unavailable unaudited financial statements or management accounts)</w:t>
      </w:r>
    </w:p>
    <w:p w14:paraId="4E5F5E1B" w14:textId="3EAF1ED0" w:rsidR="007A0CF5" w:rsidRPr="00211A4F" w:rsidRDefault="00D42854" w:rsidP="00211A4F">
      <w:pPr>
        <w:pStyle w:val="ListBullet"/>
      </w:pPr>
      <w:r w:rsidRPr="00211A4F">
        <w:lastRenderedPageBreak/>
        <w:t xml:space="preserve">signed </w:t>
      </w:r>
      <w:r w:rsidR="00BF6E69" w:rsidRPr="00211A4F">
        <w:t>Home Care Agreements</w:t>
      </w:r>
      <w:r w:rsidRPr="00211A4F">
        <w:t>, care plans, individualised budgets</w:t>
      </w:r>
      <w:r w:rsidR="00B6341F" w:rsidRPr="00211A4F">
        <w:t>,</w:t>
      </w:r>
      <w:r w:rsidRPr="00211A4F">
        <w:t xml:space="preserve"> relevant pricing schedules and monthly statements for the Review period for the sampled care recipients</w:t>
      </w:r>
      <w:r w:rsidR="006B0B5F" w:rsidRPr="00211A4F">
        <w:t>,</w:t>
      </w:r>
      <w:r w:rsidRPr="00211A4F">
        <w:t xml:space="preserve"> </w:t>
      </w:r>
      <w:r w:rsidR="008C2EE8" w:rsidRPr="00211A4F">
        <w:t>and</w:t>
      </w:r>
    </w:p>
    <w:p w14:paraId="53A74630" w14:textId="35E3719B" w:rsidR="00D42854" w:rsidRPr="00211A4F" w:rsidRDefault="00D42854" w:rsidP="00211A4F">
      <w:pPr>
        <w:pStyle w:val="ListBullet"/>
      </w:pPr>
      <w:r w:rsidRPr="00211A4F">
        <w:t xml:space="preserve">in relation to the March 2021 monthly statement (or the last monthly statement where </w:t>
      </w:r>
      <w:proofErr w:type="gramStart"/>
      <w:r w:rsidRPr="00211A4F">
        <w:t>a</w:t>
      </w:r>
      <w:proofErr w:type="gramEnd"/>
      <w:r w:rsidRPr="00211A4F">
        <w:t xml:space="preserve"> HCP care recipient ceased their package during the Review period)</w:t>
      </w:r>
      <w:r w:rsidR="009C25D1" w:rsidRPr="00211A4F">
        <w:t>,</w:t>
      </w:r>
      <w:r w:rsidRPr="00211A4F">
        <w:t xml:space="preserve"> verifiable information for all variable indirect</w:t>
      </w:r>
      <w:r w:rsidR="00B14540" w:rsidRPr="00211A4F">
        <w:t xml:space="preserve"> charges</w:t>
      </w:r>
      <w:r w:rsidRPr="00211A4F">
        <w:t>.</w:t>
      </w:r>
    </w:p>
    <w:p w14:paraId="0CAE7B4D" w14:textId="2AA06E9B" w:rsidR="00A90193" w:rsidRPr="00240C4F" w:rsidRDefault="00B40A44" w:rsidP="00396F33">
      <w:r>
        <w:t>T</w:t>
      </w:r>
      <w:r w:rsidR="008247D3" w:rsidRPr="00240C4F">
        <w:t>he Review process comprised:</w:t>
      </w:r>
    </w:p>
    <w:p w14:paraId="64406559" w14:textId="3FE6D9D7" w:rsidR="008247D3" w:rsidRPr="00240C4F" w:rsidRDefault="008A766B" w:rsidP="00211A4F">
      <w:pPr>
        <w:pStyle w:val="ListBullet"/>
      </w:pPr>
      <w:r w:rsidRPr="00240C4F">
        <w:t>i</w:t>
      </w:r>
      <w:r w:rsidR="008247D3" w:rsidRPr="00240C4F">
        <w:t xml:space="preserve">ssuing a formal, legally binding </w:t>
      </w:r>
      <w:r w:rsidR="008A0B57">
        <w:t>R</w:t>
      </w:r>
      <w:r w:rsidR="008247D3" w:rsidRPr="00240C4F">
        <w:t xml:space="preserve">eview notice to the selected </w:t>
      </w:r>
      <w:r w:rsidR="00E7610B">
        <w:t xml:space="preserve">HCP </w:t>
      </w:r>
      <w:r w:rsidR="008247D3" w:rsidRPr="00240C4F">
        <w:t>providers</w:t>
      </w:r>
    </w:p>
    <w:p w14:paraId="2B4E3FC5" w14:textId="10C6A069" w:rsidR="008247D3" w:rsidRPr="00240C4F" w:rsidRDefault="008A766B" w:rsidP="00211A4F">
      <w:pPr>
        <w:pStyle w:val="ListBullet"/>
      </w:pPr>
      <w:r w:rsidRPr="00240C4F">
        <w:t>e</w:t>
      </w:r>
      <w:r w:rsidR="008247D3" w:rsidRPr="00240C4F">
        <w:t xml:space="preserve">ntry </w:t>
      </w:r>
      <w:r w:rsidR="008A0B57">
        <w:t>meetings</w:t>
      </w:r>
      <w:r w:rsidR="008A0B57" w:rsidRPr="00240C4F">
        <w:t xml:space="preserve"> </w:t>
      </w:r>
      <w:r w:rsidRPr="00240C4F">
        <w:t>(</w:t>
      </w:r>
      <w:r w:rsidR="008247D3" w:rsidRPr="00240C4F">
        <w:t>mandatory for providers</w:t>
      </w:r>
      <w:r w:rsidRPr="00240C4F">
        <w:t>)</w:t>
      </w:r>
    </w:p>
    <w:p w14:paraId="783CFC34" w14:textId="44CB04C3" w:rsidR="008247D3" w:rsidRPr="00240C4F" w:rsidRDefault="008A766B" w:rsidP="00211A4F">
      <w:pPr>
        <w:pStyle w:val="ListBullet"/>
      </w:pPr>
      <w:r w:rsidRPr="00240C4F">
        <w:t>u</w:t>
      </w:r>
      <w:r w:rsidR="008247D3" w:rsidRPr="00240C4F">
        <w:t>ndertaking fieldwork</w:t>
      </w:r>
      <w:r w:rsidR="008C2EE8">
        <w:t xml:space="preserve">/analysis of the </w:t>
      </w:r>
      <w:r w:rsidR="008247D3" w:rsidRPr="00240C4F">
        <w:t>submitted documentation (received via a secure portal)</w:t>
      </w:r>
    </w:p>
    <w:p w14:paraId="3BCB86F9" w14:textId="07CF23BC" w:rsidR="008247D3" w:rsidRPr="00240C4F" w:rsidRDefault="008C2EE8" w:rsidP="00211A4F">
      <w:pPr>
        <w:pStyle w:val="ListBullet"/>
      </w:pPr>
      <w:r>
        <w:t xml:space="preserve">writing 100 draft reports and </w:t>
      </w:r>
      <w:r w:rsidR="008247D3" w:rsidRPr="00240C4F">
        <w:t>sharing th</w:t>
      </w:r>
      <w:r w:rsidR="007E6E6F">
        <w:t>e</w:t>
      </w:r>
      <w:r w:rsidR="008247D3" w:rsidRPr="00240C4F">
        <w:t>s</w:t>
      </w:r>
      <w:r w:rsidR="007E6E6F">
        <w:t>e</w:t>
      </w:r>
      <w:r w:rsidR="008247D3" w:rsidRPr="00240C4F">
        <w:t xml:space="preserve"> with providers for comment/clarifications</w:t>
      </w:r>
    </w:p>
    <w:p w14:paraId="45328C12" w14:textId="2F049744" w:rsidR="009D4D42" w:rsidRPr="00240C4F" w:rsidRDefault="008A766B" w:rsidP="00211A4F">
      <w:pPr>
        <w:pStyle w:val="ListBullet"/>
      </w:pPr>
      <w:r w:rsidRPr="00240C4F">
        <w:t>e</w:t>
      </w:r>
      <w:r w:rsidR="009D4D42" w:rsidRPr="00240C4F">
        <w:t xml:space="preserve">xit </w:t>
      </w:r>
      <w:r w:rsidR="008A0B57">
        <w:t>meetings</w:t>
      </w:r>
      <w:r w:rsidR="008A0B57" w:rsidRPr="00240C4F">
        <w:t xml:space="preserve"> </w:t>
      </w:r>
      <w:r w:rsidR="009D4D42" w:rsidRPr="00240C4F">
        <w:t>(optional</w:t>
      </w:r>
      <w:r w:rsidRPr="00240C4F">
        <w:t xml:space="preserve"> for providers</w:t>
      </w:r>
      <w:r w:rsidR="009D4D42" w:rsidRPr="00240C4F">
        <w:t>)</w:t>
      </w:r>
    </w:p>
    <w:p w14:paraId="2ABB1D42" w14:textId="4B2FFF3F" w:rsidR="008247D3" w:rsidRPr="00240C4F" w:rsidRDefault="008C2EE8" w:rsidP="00211A4F">
      <w:pPr>
        <w:pStyle w:val="ListBullet"/>
      </w:pPr>
      <w:r>
        <w:t xml:space="preserve">finalising and issuing </w:t>
      </w:r>
      <w:r w:rsidR="008247D3" w:rsidRPr="00240C4F">
        <w:t xml:space="preserve">100 </w:t>
      </w:r>
      <w:r>
        <w:t xml:space="preserve">detailed </w:t>
      </w:r>
      <w:r w:rsidR="008247D3" w:rsidRPr="00240C4F">
        <w:t xml:space="preserve">final </w:t>
      </w:r>
      <w:r>
        <w:t xml:space="preserve">individual provider </w:t>
      </w:r>
      <w:r w:rsidR="008247D3" w:rsidRPr="00240C4F">
        <w:t>reports</w:t>
      </w:r>
      <w:r w:rsidR="009A4A8E">
        <w:t>,</w:t>
      </w:r>
      <w:r w:rsidR="00CF5263" w:rsidRPr="00240C4F">
        <w:t xml:space="preserve"> and</w:t>
      </w:r>
    </w:p>
    <w:p w14:paraId="27FA91C9" w14:textId="587A107B" w:rsidR="00CF5263" w:rsidRPr="00240C4F" w:rsidRDefault="008A766B" w:rsidP="00211A4F">
      <w:pPr>
        <w:pStyle w:val="ListBullet"/>
      </w:pPr>
      <w:r w:rsidRPr="00240C4F">
        <w:t>p</w:t>
      </w:r>
      <w:r w:rsidR="008247D3" w:rsidRPr="00240C4F">
        <w:t>ublishing a public summary report (this report)</w:t>
      </w:r>
      <w:r w:rsidR="00CF5263" w:rsidRPr="00240C4F">
        <w:t>.</w:t>
      </w:r>
    </w:p>
    <w:p w14:paraId="2744B3E0" w14:textId="77777777" w:rsidR="00C72549" w:rsidRDefault="00C72549" w:rsidP="00CF5263">
      <w:r>
        <w:t xml:space="preserve">For the purposes of section 5.3, the pricing information was deliberately sourced from reviewed providers’ published prices on My Aged Care, rather than using information collected during the Review. </w:t>
      </w:r>
    </w:p>
    <w:p w14:paraId="3496C222" w14:textId="5E2BCB3E" w:rsidR="00CF5263" w:rsidRPr="00240C4F" w:rsidRDefault="00CF5263" w:rsidP="00CF5263">
      <w:r w:rsidRPr="00240C4F">
        <w:t xml:space="preserve">Procedural fairness was </w:t>
      </w:r>
      <w:r w:rsidR="009F6E77" w:rsidRPr="00240C4F">
        <w:t>important</w:t>
      </w:r>
      <w:r w:rsidR="007A5B9D">
        <w:t>,</w:t>
      </w:r>
      <w:r w:rsidR="009F6E77" w:rsidRPr="00240C4F">
        <w:t xml:space="preserve"> as was making sure that the Review process yielded </w:t>
      </w:r>
      <w:r w:rsidR="001E2179">
        <w:t>evidence-based</w:t>
      </w:r>
      <w:r w:rsidR="009F6E77" w:rsidRPr="00240C4F">
        <w:t xml:space="preserve"> findings</w:t>
      </w:r>
      <w:r w:rsidRPr="00240C4F">
        <w:t>.</w:t>
      </w:r>
      <w:r w:rsidR="007D4AA6" w:rsidRPr="00240C4F">
        <w:t xml:space="preserve"> </w:t>
      </w:r>
      <w:r w:rsidR="009F6E77" w:rsidRPr="00240C4F">
        <w:t>G</w:t>
      </w:r>
      <w:r w:rsidR="007D4AA6" w:rsidRPr="00240C4F">
        <w:t xml:space="preserve">iven this was the first </w:t>
      </w:r>
      <w:r w:rsidR="008A0B57">
        <w:t>R</w:t>
      </w:r>
      <w:r w:rsidR="008A0B57" w:rsidRPr="00240C4F">
        <w:t>eview</w:t>
      </w:r>
      <w:r w:rsidR="007D4AA6" w:rsidRPr="00240C4F">
        <w:t xml:space="preserve">, the Review team refined its processes and approach </w:t>
      </w:r>
      <w:r w:rsidR="001E2179">
        <w:t>as</w:t>
      </w:r>
      <w:r w:rsidR="007D4AA6" w:rsidRPr="00240C4F">
        <w:t xml:space="preserve"> appropriate</w:t>
      </w:r>
      <w:r w:rsidR="009F6E77" w:rsidRPr="00240C4F">
        <w:t xml:space="preserve"> during </w:t>
      </w:r>
      <w:r w:rsidR="00655AAA">
        <w:t>the Review</w:t>
      </w:r>
      <w:r w:rsidR="007D4AA6" w:rsidRPr="00240C4F">
        <w:t>.</w:t>
      </w:r>
      <w:r w:rsidR="009F6E77" w:rsidRPr="00240C4F">
        <w:t xml:space="preserve"> </w:t>
      </w:r>
    </w:p>
    <w:p w14:paraId="1CBCF3F2" w14:textId="287E4EF4" w:rsidR="00A90193" w:rsidRPr="00240C4F" w:rsidRDefault="00A90193" w:rsidP="00A90193">
      <w:pPr>
        <w:pBdr>
          <w:top w:val="nil"/>
          <w:left w:val="nil"/>
          <w:bottom w:val="nil"/>
          <w:right w:val="nil"/>
          <w:between w:val="nil"/>
        </w:pBdr>
      </w:pPr>
      <w:r w:rsidRPr="00240C4F">
        <w:t xml:space="preserve">More details on the approach of the </w:t>
      </w:r>
      <w:r w:rsidR="00A7350A">
        <w:t>R</w:t>
      </w:r>
      <w:r w:rsidRPr="00240C4F">
        <w:t>eview, including documentation collected, how information was used and</w:t>
      </w:r>
      <w:r w:rsidR="00CF7574" w:rsidRPr="00240C4F">
        <w:t xml:space="preserve"> how natural justice was supported for participating </w:t>
      </w:r>
      <w:r w:rsidRPr="00240C4F">
        <w:t xml:space="preserve">HCP </w:t>
      </w:r>
      <w:r w:rsidR="006536EA">
        <w:t>p</w:t>
      </w:r>
      <w:r w:rsidRPr="00240C4F">
        <w:t>roviders</w:t>
      </w:r>
      <w:r w:rsidR="00104BDB">
        <w:t>,</w:t>
      </w:r>
      <w:r w:rsidRPr="00240C4F">
        <w:t xml:space="preserve"> can be found in </w:t>
      </w:r>
      <w:hyperlink w:anchor="_Attachment_A:_Inaugural" w:history="1">
        <w:r w:rsidRPr="005911B5">
          <w:rPr>
            <w:rStyle w:val="Hyperlink"/>
          </w:rPr>
          <w:t>Attachment A</w:t>
        </w:r>
      </w:hyperlink>
      <w:r w:rsidRPr="00240C4F">
        <w:t>.</w:t>
      </w:r>
    </w:p>
    <w:p w14:paraId="29BDB5BD" w14:textId="06BB51E0" w:rsidR="008D4254" w:rsidRPr="00951DC6" w:rsidRDefault="008D4254" w:rsidP="00951DC6">
      <w:pPr>
        <w:pStyle w:val="Heading1"/>
        <w:numPr>
          <w:ilvl w:val="0"/>
          <w:numId w:val="8"/>
        </w:numPr>
        <w:ind w:left="357" w:hanging="357"/>
        <w:rPr>
          <w:color w:val="365F91" w:themeColor="accent1" w:themeShade="BF"/>
        </w:rPr>
      </w:pPr>
      <w:bookmarkStart w:id="5" w:name="_Toc111803149"/>
      <w:r w:rsidRPr="00951DC6">
        <w:rPr>
          <w:color w:val="365F91" w:themeColor="accent1" w:themeShade="BF"/>
          <w:sz w:val="32"/>
        </w:rPr>
        <w:t>Keeping individual providers accountable</w:t>
      </w:r>
      <w:bookmarkEnd w:id="5"/>
    </w:p>
    <w:p w14:paraId="5199E16A" w14:textId="77777777" w:rsidR="00A1180A" w:rsidRDefault="00DA2619" w:rsidP="00A90193">
      <w:pPr>
        <w:pBdr>
          <w:top w:val="nil"/>
          <w:left w:val="nil"/>
          <w:bottom w:val="nil"/>
          <w:right w:val="nil"/>
          <w:between w:val="nil"/>
        </w:pBdr>
      </w:pPr>
      <w:r>
        <w:t>All</w:t>
      </w:r>
      <w:r w:rsidR="008D4254" w:rsidRPr="00240C4F">
        <w:t xml:space="preserve"> 100 providers have received a </w:t>
      </w:r>
      <w:r w:rsidR="00FC4AD3" w:rsidRPr="00240C4F">
        <w:t xml:space="preserve">final </w:t>
      </w:r>
      <w:r w:rsidR="008D4254" w:rsidRPr="00240C4F">
        <w:t>detailed individual provider report as part of this Review. The final report includes actions in the context of the Program Assurance Review. For example, a provider may have been asked to advise the Review team in writing within 12 weeks of what action it has taken where the Review team identified an issue/concern.</w:t>
      </w:r>
      <w:r w:rsidR="003D0FD8" w:rsidRPr="00240C4F">
        <w:t xml:space="preserve"> A P</w:t>
      </w:r>
      <w:r w:rsidR="008370DF">
        <w:t>rogram Assurance</w:t>
      </w:r>
      <w:r w:rsidR="00FC4AD3" w:rsidRPr="00240C4F">
        <w:t xml:space="preserve"> </w:t>
      </w:r>
      <w:r w:rsidR="003D0FD8" w:rsidRPr="00240C4F">
        <w:t>Review compliance team has been established</w:t>
      </w:r>
      <w:r w:rsidR="00A86C0D" w:rsidRPr="00240C4F">
        <w:t xml:space="preserve"> </w:t>
      </w:r>
      <w:r w:rsidR="00B6341F">
        <w:t xml:space="preserve">to monitor these actions. </w:t>
      </w:r>
    </w:p>
    <w:p w14:paraId="46E5170A" w14:textId="77777777" w:rsidR="00A1180A" w:rsidRDefault="00AB07C8" w:rsidP="00B811FD">
      <w:pPr>
        <w:pStyle w:val="Paragraphtext"/>
        <w:spacing w:before="0" w:after="0"/>
        <w:rPr>
          <w:sz w:val="22"/>
          <w:szCs w:val="22"/>
        </w:rPr>
      </w:pPr>
      <w:r>
        <w:rPr>
          <w:sz w:val="22"/>
          <w:szCs w:val="22"/>
        </w:rPr>
        <w:lastRenderedPageBreak/>
        <w:t xml:space="preserve">The Department’s </w:t>
      </w:r>
      <w:r w:rsidR="00B811FD" w:rsidRPr="00240C4F">
        <w:rPr>
          <w:sz w:val="22"/>
          <w:szCs w:val="22"/>
        </w:rPr>
        <w:t xml:space="preserve">HCP </w:t>
      </w:r>
      <w:r>
        <w:rPr>
          <w:sz w:val="22"/>
          <w:szCs w:val="22"/>
        </w:rPr>
        <w:t>P</w:t>
      </w:r>
      <w:r w:rsidRPr="00240C4F">
        <w:rPr>
          <w:sz w:val="22"/>
          <w:szCs w:val="22"/>
        </w:rPr>
        <w:t xml:space="preserve">rogram </w:t>
      </w:r>
      <w:r>
        <w:rPr>
          <w:sz w:val="22"/>
          <w:szCs w:val="22"/>
        </w:rPr>
        <w:t>A</w:t>
      </w:r>
      <w:r w:rsidRPr="00240C4F">
        <w:rPr>
          <w:sz w:val="22"/>
          <w:szCs w:val="22"/>
        </w:rPr>
        <w:t xml:space="preserve">ssurance </w:t>
      </w:r>
      <w:r w:rsidR="00F07469">
        <w:rPr>
          <w:sz w:val="22"/>
          <w:szCs w:val="22"/>
        </w:rPr>
        <w:t>R</w:t>
      </w:r>
      <w:r w:rsidR="00B811FD" w:rsidRPr="00240C4F">
        <w:rPr>
          <w:sz w:val="22"/>
          <w:szCs w:val="22"/>
        </w:rPr>
        <w:t xml:space="preserve">eviews are separate to the </w:t>
      </w:r>
      <w:r w:rsidR="00D240C4" w:rsidRPr="00240C4F">
        <w:rPr>
          <w:sz w:val="22"/>
          <w:szCs w:val="22"/>
        </w:rPr>
        <w:t xml:space="preserve">Aged Care Quality and Safety Commission’s (the Commission) </w:t>
      </w:r>
      <w:r w:rsidR="00B811FD" w:rsidRPr="00240C4F">
        <w:rPr>
          <w:sz w:val="22"/>
          <w:szCs w:val="22"/>
        </w:rPr>
        <w:t xml:space="preserve">role as the national regulator </w:t>
      </w:r>
      <w:r w:rsidR="00AE4187">
        <w:rPr>
          <w:sz w:val="22"/>
          <w:szCs w:val="22"/>
        </w:rPr>
        <w:t>of</w:t>
      </w:r>
      <w:r w:rsidR="00DA2619">
        <w:rPr>
          <w:sz w:val="22"/>
          <w:szCs w:val="22"/>
        </w:rPr>
        <w:t xml:space="preserve"> aged care including the</w:t>
      </w:r>
      <w:r w:rsidR="00B811FD" w:rsidRPr="00240C4F">
        <w:rPr>
          <w:sz w:val="22"/>
          <w:szCs w:val="22"/>
        </w:rPr>
        <w:t xml:space="preserve"> HCP</w:t>
      </w:r>
      <w:r w:rsidR="00DA2619">
        <w:rPr>
          <w:sz w:val="22"/>
          <w:szCs w:val="22"/>
        </w:rPr>
        <w:t xml:space="preserve"> Program</w:t>
      </w:r>
      <w:r w:rsidR="00B811FD" w:rsidRPr="00240C4F">
        <w:rPr>
          <w:sz w:val="22"/>
          <w:szCs w:val="22"/>
        </w:rPr>
        <w:t xml:space="preserve">. The Department is responsible for HCP Program funding and for assuring that these funds are spent for the purposes </w:t>
      </w:r>
      <w:r w:rsidR="00E31BE4">
        <w:rPr>
          <w:sz w:val="22"/>
          <w:szCs w:val="22"/>
        </w:rPr>
        <w:t xml:space="preserve">provided under the Aged Care legislation. </w:t>
      </w:r>
    </w:p>
    <w:p w14:paraId="4716F0E9" w14:textId="17698A23" w:rsidR="00AA5858" w:rsidRDefault="00790531" w:rsidP="00AA5858">
      <w:pPr>
        <w:pBdr>
          <w:top w:val="nil"/>
          <w:left w:val="nil"/>
          <w:bottom w:val="nil"/>
          <w:right w:val="nil"/>
          <w:between w:val="nil"/>
        </w:pBdr>
      </w:pPr>
      <w:r>
        <w:t>T</w:t>
      </w:r>
      <w:r w:rsidR="00AA5858" w:rsidRPr="00240C4F">
        <w:t xml:space="preserve">he Review team will share </w:t>
      </w:r>
      <w:r w:rsidR="0003548C">
        <w:t>relevant</w:t>
      </w:r>
      <w:r w:rsidR="00AA5858">
        <w:t xml:space="preserve"> information </w:t>
      </w:r>
      <w:r w:rsidR="0003548C">
        <w:t>with</w:t>
      </w:r>
      <w:r w:rsidR="00AA5858">
        <w:t xml:space="preserve"> the Commission. </w:t>
      </w:r>
      <w:r w:rsidR="00AA5858" w:rsidRPr="0064261F">
        <w:t xml:space="preserve">Where providers are found non-compliant with their provider responsibilities, the Commission will take proportionate regulatory action. Depending on the level of assessed risk, the Commission may issue a Direction, a Non-Compliance Notice or take other escalating enforceable regulatory action/s such as issuing a Sanction. In all circumstances, the Commission’s response to non-compliance will be informed by the risk posed to the safety, health, </w:t>
      </w:r>
      <w:proofErr w:type="gramStart"/>
      <w:r w:rsidR="00AA5858" w:rsidRPr="0064261F">
        <w:t>wellbeing</w:t>
      </w:r>
      <w:proofErr w:type="gramEnd"/>
      <w:r w:rsidR="00AA5858" w:rsidRPr="0064261F">
        <w:t xml:space="preserve"> and quality of life of consumers.</w:t>
      </w:r>
    </w:p>
    <w:p w14:paraId="502BB5E7" w14:textId="34416FF1" w:rsidR="0048021A" w:rsidRPr="00951DC6" w:rsidRDefault="0048021A" w:rsidP="00951DC6">
      <w:pPr>
        <w:pStyle w:val="Heading1"/>
        <w:numPr>
          <w:ilvl w:val="0"/>
          <w:numId w:val="8"/>
        </w:numPr>
        <w:rPr>
          <w:color w:val="365F91" w:themeColor="accent1" w:themeShade="BF"/>
        </w:rPr>
      </w:pPr>
      <w:bookmarkStart w:id="6" w:name="_Toc111803150"/>
      <w:r w:rsidRPr="00951DC6">
        <w:rPr>
          <w:color w:val="365F91" w:themeColor="accent1" w:themeShade="BF"/>
          <w:sz w:val="32"/>
        </w:rPr>
        <w:t>Supporting continuous improvement of providers</w:t>
      </w:r>
      <w:bookmarkEnd w:id="6"/>
    </w:p>
    <w:p w14:paraId="38D1EC7D" w14:textId="684AF176" w:rsidR="00BD3F92" w:rsidRPr="00240C4F" w:rsidRDefault="00BD3F92" w:rsidP="00362192">
      <w:r>
        <w:t>Following the public release of this report</w:t>
      </w:r>
      <w:r w:rsidRPr="00240C4F">
        <w:t xml:space="preserve">, </w:t>
      </w:r>
      <w:r>
        <w:t xml:space="preserve">a public webinar and </w:t>
      </w:r>
      <w:r w:rsidRPr="00240C4F">
        <w:t>a Community of Practice</w:t>
      </w:r>
      <w:r>
        <w:t xml:space="preserve"> (CoP)</w:t>
      </w:r>
      <w:r w:rsidRPr="00240C4F">
        <w:t xml:space="preserve"> with the sector is planned. </w:t>
      </w:r>
    </w:p>
    <w:p w14:paraId="253656DB" w14:textId="75ED3663" w:rsidR="00056A73" w:rsidRPr="009C285C" w:rsidRDefault="00BD3F92" w:rsidP="00056A73">
      <w:pPr>
        <w:pStyle w:val="Paragraphtext"/>
        <w:rPr>
          <w:rFonts w:cs="Arial"/>
          <w:sz w:val="22"/>
          <w:szCs w:val="22"/>
        </w:rPr>
      </w:pPr>
      <w:r>
        <w:rPr>
          <w:rFonts w:cs="Arial"/>
          <w:sz w:val="22"/>
          <w:szCs w:val="22"/>
        </w:rPr>
        <w:t>The</w:t>
      </w:r>
      <w:r w:rsidRPr="009C285C">
        <w:rPr>
          <w:rFonts w:cs="Arial"/>
          <w:sz w:val="22"/>
          <w:szCs w:val="22"/>
        </w:rPr>
        <w:t xml:space="preserve"> </w:t>
      </w:r>
      <w:r w:rsidR="00056A73" w:rsidRPr="009C285C">
        <w:rPr>
          <w:rFonts w:cs="Arial"/>
          <w:sz w:val="22"/>
          <w:szCs w:val="22"/>
        </w:rPr>
        <w:t xml:space="preserve">CoP will support providers’ continuous improvement, using </w:t>
      </w:r>
      <w:r w:rsidR="003A0F43">
        <w:rPr>
          <w:rFonts w:cs="Arial"/>
          <w:sz w:val="22"/>
          <w:szCs w:val="22"/>
        </w:rPr>
        <w:t>R</w:t>
      </w:r>
      <w:r w:rsidR="003A0F43" w:rsidRPr="009C285C">
        <w:rPr>
          <w:rFonts w:cs="Arial"/>
          <w:sz w:val="22"/>
          <w:szCs w:val="22"/>
        </w:rPr>
        <w:t xml:space="preserve">eview </w:t>
      </w:r>
      <w:r w:rsidR="00056A73" w:rsidRPr="009C285C">
        <w:rPr>
          <w:rFonts w:cs="Arial"/>
          <w:sz w:val="22"/>
          <w:szCs w:val="22"/>
        </w:rPr>
        <w:t>findings as an opportunity to:</w:t>
      </w:r>
    </w:p>
    <w:p w14:paraId="30AED638" w14:textId="622879E8" w:rsidR="00056A73" w:rsidRPr="009C285C" w:rsidRDefault="00056A73" w:rsidP="00211A4F">
      <w:pPr>
        <w:pStyle w:val="ListBullet"/>
      </w:pPr>
      <w:r w:rsidRPr="009C285C">
        <w:t xml:space="preserve">understand program requirements, and, thus, help </w:t>
      </w:r>
      <w:r w:rsidR="007E6E6F">
        <w:t>improve</w:t>
      </w:r>
      <w:r w:rsidRPr="009C285C">
        <w:t xml:space="preserve"> provider performance in relevant aspects</w:t>
      </w:r>
    </w:p>
    <w:p w14:paraId="3E5CE0D6" w14:textId="77777777" w:rsidR="00056A73" w:rsidRPr="009C285C" w:rsidRDefault="00056A73" w:rsidP="00211A4F">
      <w:pPr>
        <w:pStyle w:val="ListBullet"/>
      </w:pPr>
      <w:r w:rsidRPr="009C285C">
        <w:t xml:space="preserve">promote consistency of practice across the HCP provider sector, and </w:t>
      </w:r>
    </w:p>
    <w:p w14:paraId="0C2A37F4" w14:textId="77777777" w:rsidR="00056A73" w:rsidRPr="009C285C" w:rsidRDefault="00056A73" w:rsidP="00211A4F">
      <w:pPr>
        <w:pStyle w:val="ListBullet"/>
      </w:pPr>
      <w:r w:rsidRPr="009C285C">
        <w:t>where appropriate, help the sector to improve and/or innovate existing practices and approaches.</w:t>
      </w:r>
    </w:p>
    <w:p w14:paraId="648A9073" w14:textId="13DE57BD" w:rsidR="00056A73" w:rsidRPr="009C285C" w:rsidRDefault="00056A73" w:rsidP="00056A73">
      <w:pPr>
        <w:pStyle w:val="Paragraphtext"/>
        <w:rPr>
          <w:rFonts w:cs="Arial"/>
          <w:sz w:val="22"/>
          <w:szCs w:val="22"/>
        </w:rPr>
      </w:pPr>
      <w:r w:rsidRPr="009C285C">
        <w:rPr>
          <w:rFonts w:cs="Arial"/>
          <w:sz w:val="22"/>
          <w:szCs w:val="22"/>
        </w:rPr>
        <w:t xml:space="preserve">This CoP will </w:t>
      </w:r>
      <w:r w:rsidR="00104BDB">
        <w:rPr>
          <w:rFonts w:cs="Arial"/>
          <w:sz w:val="22"/>
          <w:szCs w:val="22"/>
        </w:rPr>
        <w:t xml:space="preserve">also </w:t>
      </w:r>
      <w:r w:rsidRPr="009C285C">
        <w:rPr>
          <w:rFonts w:cs="Arial"/>
          <w:sz w:val="22"/>
          <w:szCs w:val="22"/>
        </w:rPr>
        <w:t xml:space="preserve">support HCP providers to discuss sector implications </w:t>
      </w:r>
      <w:r w:rsidR="00D82957">
        <w:rPr>
          <w:rFonts w:cs="Arial"/>
          <w:sz w:val="22"/>
          <w:szCs w:val="22"/>
        </w:rPr>
        <w:t>from</w:t>
      </w:r>
      <w:r w:rsidRPr="009C285C">
        <w:rPr>
          <w:rFonts w:cs="Arial"/>
          <w:sz w:val="22"/>
          <w:szCs w:val="22"/>
        </w:rPr>
        <w:t xml:space="preserve"> </w:t>
      </w:r>
      <w:r w:rsidR="003A0F43">
        <w:rPr>
          <w:rFonts w:cs="Arial"/>
          <w:sz w:val="22"/>
          <w:szCs w:val="22"/>
        </w:rPr>
        <w:t>R</w:t>
      </w:r>
      <w:r w:rsidRPr="009C285C">
        <w:rPr>
          <w:rFonts w:cs="Arial"/>
          <w:sz w:val="22"/>
          <w:szCs w:val="22"/>
        </w:rPr>
        <w:t>eview findings, share best practices</w:t>
      </w:r>
      <w:r w:rsidR="003E3F99">
        <w:rPr>
          <w:rFonts w:cs="Arial"/>
          <w:sz w:val="22"/>
          <w:szCs w:val="22"/>
        </w:rPr>
        <w:t>,</w:t>
      </w:r>
      <w:r w:rsidR="00D82957">
        <w:rPr>
          <w:rFonts w:cs="Arial"/>
          <w:sz w:val="22"/>
          <w:szCs w:val="22"/>
        </w:rPr>
        <w:t xml:space="preserve"> and</w:t>
      </w:r>
      <w:r w:rsidRPr="009C285C">
        <w:rPr>
          <w:rFonts w:cs="Arial"/>
          <w:sz w:val="22"/>
          <w:szCs w:val="22"/>
        </w:rPr>
        <w:t xml:space="preserve"> provide feedback on the </w:t>
      </w:r>
      <w:r w:rsidR="003A0F43">
        <w:rPr>
          <w:rFonts w:cs="Arial"/>
          <w:sz w:val="22"/>
          <w:szCs w:val="22"/>
        </w:rPr>
        <w:t>R</w:t>
      </w:r>
      <w:r w:rsidRPr="009C285C">
        <w:rPr>
          <w:rFonts w:cs="Arial"/>
          <w:sz w:val="22"/>
          <w:szCs w:val="22"/>
        </w:rPr>
        <w:t xml:space="preserve">eview process and/or program settings. It will also serve as an opportunity for HCP </w:t>
      </w:r>
      <w:r w:rsidR="006536EA">
        <w:rPr>
          <w:rFonts w:cs="Arial"/>
          <w:sz w:val="22"/>
          <w:szCs w:val="22"/>
        </w:rPr>
        <w:t>p</w:t>
      </w:r>
      <w:r w:rsidRPr="009C285C">
        <w:rPr>
          <w:rFonts w:cs="Arial"/>
          <w:sz w:val="22"/>
          <w:szCs w:val="22"/>
        </w:rPr>
        <w:t>roviders to review information, develop and discuss new ideas, share resources</w:t>
      </w:r>
      <w:r w:rsidR="004B7ECD">
        <w:rPr>
          <w:rFonts w:cs="Arial"/>
          <w:sz w:val="22"/>
          <w:szCs w:val="22"/>
        </w:rPr>
        <w:t>,</w:t>
      </w:r>
      <w:r w:rsidRPr="009C285C">
        <w:rPr>
          <w:rFonts w:cs="Arial"/>
          <w:sz w:val="22"/>
          <w:szCs w:val="22"/>
        </w:rPr>
        <w:t xml:space="preserve"> and build a sense of community with other </w:t>
      </w:r>
      <w:r w:rsidR="004B7ECD">
        <w:rPr>
          <w:rFonts w:cs="Arial"/>
          <w:sz w:val="22"/>
          <w:szCs w:val="22"/>
        </w:rPr>
        <w:t>p</w:t>
      </w:r>
      <w:r w:rsidRPr="009C285C">
        <w:rPr>
          <w:rFonts w:cs="Arial"/>
          <w:sz w:val="22"/>
          <w:szCs w:val="22"/>
        </w:rPr>
        <w:t>roviders.</w:t>
      </w:r>
    </w:p>
    <w:p w14:paraId="563A18E5" w14:textId="41D1620B" w:rsidR="00056A73" w:rsidRPr="009C285C" w:rsidRDefault="00056A73" w:rsidP="00056A73">
      <w:pPr>
        <w:pStyle w:val="Paragraphtext"/>
        <w:rPr>
          <w:rFonts w:cs="Arial"/>
          <w:sz w:val="22"/>
          <w:szCs w:val="22"/>
        </w:rPr>
      </w:pPr>
      <w:r w:rsidRPr="009C285C">
        <w:rPr>
          <w:rFonts w:cs="Arial"/>
          <w:sz w:val="22"/>
          <w:szCs w:val="22"/>
        </w:rPr>
        <w:t xml:space="preserve">A web-based platform will be used for this purpose and will go live in August 2022 </w:t>
      </w:r>
      <w:r w:rsidR="00D82957">
        <w:rPr>
          <w:rFonts w:cs="Arial"/>
          <w:sz w:val="22"/>
          <w:szCs w:val="22"/>
        </w:rPr>
        <w:br/>
        <w:t>post-</w:t>
      </w:r>
      <w:r w:rsidRPr="009C285C">
        <w:rPr>
          <w:rFonts w:cs="Arial"/>
          <w:sz w:val="22"/>
          <w:szCs w:val="22"/>
        </w:rPr>
        <w:t xml:space="preserve">release of the first </w:t>
      </w:r>
      <w:r w:rsidR="003A0F43" w:rsidRPr="009C285C">
        <w:rPr>
          <w:rFonts w:cs="Arial"/>
          <w:sz w:val="22"/>
          <w:szCs w:val="22"/>
        </w:rPr>
        <w:t xml:space="preserve">Program Assurance Review </w:t>
      </w:r>
      <w:r w:rsidRPr="009C285C">
        <w:rPr>
          <w:rFonts w:cs="Arial"/>
          <w:sz w:val="22"/>
          <w:szCs w:val="22"/>
        </w:rPr>
        <w:t>summary report.</w:t>
      </w:r>
    </w:p>
    <w:p w14:paraId="013BDA4F" w14:textId="0E412C1A" w:rsidR="00056A73" w:rsidRDefault="00056A73" w:rsidP="00056A73">
      <w:pPr>
        <w:pStyle w:val="Paragraphtext"/>
        <w:rPr>
          <w:rFonts w:cs="Arial"/>
          <w:sz w:val="22"/>
          <w:szCs w:val="22"/>
        </w:rPr>
      </w:pPr>
      <w:r w:rsidRPr="009C285C">
        <w:rPr>
          <w:rFonts w:cs="Arial"/>
          <w:sz w:val="22"/>
          <w:szCs w:val="22"/>
        </w:rPr>
        <w:t xml:space="preserve">To </w:t>
      </w:r>
      <w:r w:rsidR="00D82957">
        <w:rPr>
          <w:rFonts w:cs="Arial"/>
          <w:sz w:val="22"/>
          <w:szCs w:val="22"/>
        </w:rPr>
        <w:t>successfully support</w:t>
      </w:r>
      <w:r w:rsidRPr="009C285C">
        <w:rPr>
          <w:rFonts w:cs="Arial"/>
          <w:sz w:val="22"/>
          <w:szCs w:val="22"/>
        </w:rPr>
        <w:t xml:space="preserve"> continuous improvement of the sector, the CoP will require active and good-faith participation from HCP </w:t>
      </w:r>
      <w:r w:rsidR="006536EA">
        <w:rPr>
          <w:rFonts w:cs="Arial"/>
          <w:sz w:val="22"/>
          <w:szCs w:val="22"/>
        </w:rPr>
        <w:t>p</w:t>
      </w:r>
      <w:r w:rsidRPr="009C285C">
        <w:rPr>
          <w:rFonts w:cs="Arial"/>
          <w:sz w:val="22"/>
          <w:szCs w:val="22"/>
        </w:rPr>
        <w:t>roviders and departmental representatives.</w:t>
      </w:r>
    </w:p>
    <w:p w14:paraId="4BA816D0" w14:textId="3996F574" w:rsidR="009F2DCC" w:rsidRPr="009C285C" w:rsidRDefault="009F2DCC" w:rsidP="00056A73">
      <w:pPr>
        <w:pStyle w:val="Paragraphtext"/>
        <w:rPr>
          <w:rFonts w:cs="Arial"/>
          <w:sz w:val="22"/>
          <w:szCs w:val="22"/>
        </w:rPr>
      </w:pPr>
      <w:r>
        <w:rPr>
          <w:rFonts w:cs="Arial"/>
          <w:sz w:val="22"/>
          <w:szCs w:val="22"/>
        </w:rPr>
        <w:t>Where needed, webinars will complement the web-based CoP.</w:t>
      </w:r>
    </w:p>
    <w:p w14:paraId="0EF0EA49" w14:textId="6E145CDA" w:rsidR="005B1686" w:rsidRPr="00951DC6" w:rsidRDefault="00001A2A" w:rsidP="00951DC6">
      <w:pPr>
        <w:pStyle w:val="Heading1"/>
        <w:numPr>
          <w:ilvl w:val="0"/>
          <w:numId w:val="8"/>
        </w:numPr>
        <w:rPr>
          <w:color w:val="365F91" w:themeColor="accent1" w:themeShade="BF"/>
        </w:rPr>
      </w:pPr>
      <w:bookmarkStart w:id="7" w:name="_Toc111803151"/>
      <w:r w:rsidRPr="00951DC6">
        <w:rPr>
          <w:color w:val="365F91" w:themeColor="accent1" w:themeShade="BF"/>
          <w:sz w:val="32"/>
        </w:rPr>
        <w:lastRenderedPageBreak/>
        <w:t xml:space="preserve">Findings and </w:t>
      </w:r>
      <w:r w:rsidR="00211A4F">
        <w:rPr>
          <w:color w:val="365F91" w:themeColor="accent1" w:themeShade="BF"/>
          <w:sz w:val="32"/>
        </w:rPr>
        <w:t>o</w:t>
      </w:r>
      <w:r w:rsidRPr="00951DC6">
        <w:rPr>
          <w:color w:val="365F91" w:themeColor="accent1" w:themeShade="BF"/>
          <w:sz w:val="32"/>
        </w:rPr>
        <w:t>bservations</w:t>
      </w:r>
      <w:bookmarkEnd w:id="7"/>
    </w:p>
    <w:p w14:paraId="54F1EA35" w14:textId="13F67BD4" w:rsidR="00AB7A70" w:rsidRDefault="00001A2A">
      <w:pPr>
        <w:rPr>
          <w:sz w:val="20"/>
          <w:szCs w:val="20"/>
        </w:rPr>
      </w:pPr>
      <w:r w:rsidRPr="00240C4F">
        <w:t xml:space="preserve">The </w:t>
      </w:r>
      <w:r w:rsidR="000C2330" w:rsidRPr="00240C4F">
        <w:t>findings and observations from</w:t>
      </w:r>
      <w:r w:rsidRPr="00240C4F">
        <w:t xml:space="preserve"> the </w:t>
      </w:r>
      <w:r w:rsidR="000C2330" w:rsidRPr="00240C4F">
        <w:t>inaugural P</w:t>
      </w:r>
      <w:r w:rsidR="0070687D">
        <w:t xml:space="preserve">rogram </w:t>
      </w:r>
      <w:r w:rsidR="000C2330" w:rsidRPr="00240C4F">
        <w:t>A</w:t>
      </w:r>
      <w:r w:rsidR="0070687D">
        <w:t>ssurance</w:t>
      </w:r>
      <w:r w:rsidR="000C2330" w:rsidRPr="00240C4F">
        <w:t xml:space="preserve"> Review</w:t>
      </w:r>
      <w:r w:rsidRPr="00240C4F">
        <w:t xml:space="preserve"> </w:t>
      </w:r>
      <w:r w:rsidR="00E7610B">
        <w:t xml:space="preserve">are summarised </w:t>
      </w:r>
      <w:r w:rsidRPr="00240C4F">
        <w:t>below.</w:t>
      </w:r>
    </w:p>
    <w:p w14:paraId="039C4C32" w14:textId="1F9BBAE1" w:rsidR="00A1180A" w:rsidRPr="00211A4F" w:rsidRDefault="00EA4244" w:rsidP="00211A4F">
      <w:pPr>
        <w:pStyle w:val="Heading2"/>
      </w:pPr>
      <w:bookmarkStart w:id="8" w:name="_Toc111803152"/>
      <w:r w:rsidRPr="00211A4F">
        <w:t xml:space="preserve">HCP </w:t>
      </w:r>
      <w:r w:rsidR="00211A4F">
        <w:t>p</w:t>
      </w:r>
      <w:r w:rsidRPr="00211A4F">
        <w:t xml:space="preserve">roviders’ </w:t>
      </w:r>
      <w:r w:rsidR="00211A4F">
        <w:t>p</w:t>
      </w:r>
      <w:r w:rsidRPr="00211A4F">
        <w:t>articipation</w:t>
      </w:r>
      <w:bookmarkEnd w:id="8"/>
    </w:p>
    <w:p w14:paraId="1D8DE1BB" w14:textId="5DB1A88F" w:rsidR="00EA4244" w:rsidRDefault="001E4611" w:rsidP="00EA4244">
      <w:r>
        <w:rPr>
          <w:noProof/>
        </w:rPr>
        <w:t xml:space="preserve">        </w:t>
      </w:r>
      <w:r>
        <w:rPr>
          <w:noProof/>
        </w:rPr>
        <w:drawing>
          <wp:inline distT="0" distB="0" distL="0" distR="0" wp14:anchorId="258FCA6F" wp14:editId="746A4BEB">
            <wp:extent cx="2217761" cy="2247900"/>
            <wp:effectExtent l="0" t="0" r="0" b="0"/>
            <wp:docPr id="2" name="Picture 7" descr="Proportion of providers reviewed&#10;Providers reviewed – 11%&#10;Providers not reviewed – 89%">
              <a:extLst xmlns:a="http://schemas.openxmlformats.org/drawingml/2006/main">
                <a:ext uri="{FF2B5EF4-FFF2-40B4-BE49-F238E27FC236}">
                  <a16:creationId xmlns:a16="http://schemas.microsoft.com/office/drawing/2014/main" id="{4F6D2846-A11B-4E45-877C-07BA38C4DF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Proportion of providers reviewed&#10;Providers reviewed – 11%&#10;Providers not reviewed – 89%">
                      <a:extLst>
                        <a:ext uri="{FF2B5EF4-FFF2-40B4-BE49-F238E27FC236}">
                          <a16:creationId xmlns:a16="http://schemas.microsoft.com/office/drawing/2014/main" id="{4F6D2846-A11B-4E45-877C-07BA38C4DFAC}"/>
                        </a:ext>
                      </a:extLst>
                    </pic:cNvPr>
                    <pic:cNvPicPr>
                      <a:picLocks noChangeAspect="1"/>
                    </pic:cNvPicPr>
                  </pic:nvPicPr>
                  <pic:blipFill rotWithShape="1">
                    <a:blip r:embed="rId15"/>
                    <a:srcRect l="13732" t="1590" r="15526" b="2187"/>
                    <a:stretch/>
                  </pic:blipFill>
                  <pic:spPr bwMode="auto">
                    <a:xfrm>
                      <a:off x="0" y="0"/>
                      <a:ext cx="2257288" cy="228796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30AFA2D8" wp14:editId="4914BB1D">
            <wp:extent cx="2169994" cy="2279867"/>
            <wp:effectExtent l="0" t="0" r="1905" b="6350"/>
            <wp:docPr id="3" name="Picture 8" descr="Proportion of care recipients in care with the providers reviewed&#10;In care with the providers reviewed 60%&#10;Not in care with the providers reviewed 40%">
              <a:extLst xmlns:a="http://schemas.openxmlformats.org/drawingml/2006/main">
                <a:ext uri="{FF2B5EF4-FFF2-40B4-BE49-F238E27FC236}">
                  <a16:creationId xmlns:a16="http://schemas.microsoft.com/office/drawing/2014/main" id="{7CF49116-951C-4804-9F65-33E6E87719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Proportion of care recipients in care with the providers reviewed&#10;In care with the providers reviewed 60%&#10;Not in care with the providers reviewed 40%">
                      <a:extLst>
                        <a:ext uri="{FF2B5EF4-FFF2-40B4-BE49-F238E27FC236}">
                          <a16:creationId xmlns:a16="http://schemas.microsoft.com/office/drawing/2014/main" id="{7CF49116-951C-4804-9F65-33E6E87719CB}"/>
                        </a:ext>
                      </a:extLst>
                    </pic:cNvPr>
                    <pic:cNvPicPr>
                      <a:picLocks noChangeAspect="1"/>
                    </pic:cNvPicPr>
                  </pic:nvPicPr>
                  <pic:blipFill rotWithShape="1">
                    <a:blip r:embed="rId16"/>
                    <a:srcRect l="8208" t="1152" r="8127" b="3109"/>
                    <a:stretch/>
                  </pic:blipFill>
                  <pic:spPr>
                    <a:xfrm>
                      <a:off x="0" y="0"/>
                      <a:ext cx="2182872" cy="2293397"/>
                    </a:xfrm>
                    <a:prstGeom prst="rect">
                      <a:avLst/>
                    </a:prstGeom>
                  </pic:spPr>
                </pic:pic>
              </a:graphicData>
            </a:graphic>
          </wp:inline>
        </w:drawing>
      </w:r>
    </w:p>
    <w:p w14:paraId="5EF979B9" w14:textId="77777777" w:rsidR="00A1180A" w:rsidRDefault="000C72AD" w:rsidP="001F715E">
      <w:r w:rsidRPr="00CE60F8">
        <w:rPr>
          <w:sz w:val="16"/>
          <w:szCs w:val="16"/>
        </w:rPr>
        <w:t xml:space="preserve">Note: </w:t>
      </w:r>
      <w:r w:rsidR="00CE60F8" w:rsidRPr="00CE60F8">
        <w:rPr>
          <w:sz w:val="16"/>
          <w:szCs w:val="16"/>
        </w:rPr>
        <w:t>As at 31 Sep</w:t>
      </w:r>
      <w:r w:rsidR="003A0F43">
        <w:rPr>
          <w:sz w:val="16"/>
          <w:szCs w:val="16"/>
        </w:rPr>
        <w:t>tember</w:t>
      </w:r>
      <w:r w:rsidR="00CE60F8" w:rsidRPr="00CE60F8">
        <w:rPr>
          <w:sz w:val="16"/>
          <w:szCs w:val="16"/>
        </w:rPr>
        <w:t xml:space="preserve"> 2021</w:t>
      </w:r>
    </w:p>
    <w:p w14:paraId="71B0038F" w14:textId="350F4D61" w:rsidR="00C80306" w:rsidRDefault="00303C40" w:rsidP="00CE60F8">
      <w:pPr>
        <w:rPr>
          <w:sz w:val="16"/>
          <w:szCs w:val="16"/>
        </w:rPr>
      </w:pPr>
      <w:r>
        <w:rPr>
          <w:noProof/>
        </w:rPr>
        <w:drawing>
          <wp:inline distT="0" distB="0" distL="0" distR="0" wp14:anchorId="3E11CEC2" wp14:editId="4319A57B">
            <wp:extent cx="2661585" cy="2156347"/>
            <wp:effectExtent l="0" t="0" r="5715" b="0"/>
            <wp:docPr id="11" name="Picture 10" descr="Providers reviewed by organisation type&#10;Charitable – 29%&#10;Private (For profit) – 25%&#10;Religious – 25%&#10;Community Based – 21%">
              <a:extLst xmlns:a="http://schemas.openxmlformats.org/drawingml/2006/main">
                <a:ext uri="{FF2B5EF4-FFF2-40B4-BE49-F238E27FC236}">
                  <a16:creationId xmlns:a16="http://schemas.microsoft.com/office/drawing/2014/main" id="{E996AA0D-86A3-4DF4-B8E4-C966C2ABB3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Providers reviewed by organisation type&#10;Charitable – 29%&#10;Private (For profit) – 25%&#10;Religious – 25%&#10;Community Based – 21%">
                      <a:extLst>
                        <a:ext uri="{FF2B5EF4-FFF2-40B4-BE49-F238E27FC236}">
                          <a16:creationId xmlns:a16="http://schemas.microsoft.com/office/drawing/2014/main" id="{E996AA0D-86A3-4DF4-B8E4-C966C2ABB35D}"/>
                        </a:ext>
                      </a:extLst>
                    </pic:cNvPr>
                    <pic:cNvPicPr>
                      <a:picLocks noChangeAspect="1"/>
                    </pic:cNvPicPr>
                  </pic:nvPicPr>
                  <pic:blipFill rotWithShape="1">
                    <a:blip r:embed="rId17"/>
                    <a:srcRect l="3369" t="1864" r="5669" b="4916"/>
                    <a:stretch/>
                  </pic:blipFill>
                  <pic:spPr>
                    <a:xfrm>
                      <a:off x="0" y="0"/>
                      <a:ext cx="2672238" cy="2164978"/>
                    </a:xfrm>
                    <a:prstGeom prst="rect">
                      <a:avLst/>
                    </a:prstGeom>
                  </pic:spPr>
                </pic:pic>
              </a:graphicData>
            </a:graphic>
          </wp:inline>
        </w:drawing>
      </w:r>
      <w:r w:rsidR="00C80306">
        <w:rPr>
          <w:noProof/>
        </w:rPr>
        <w:drawing>
          <wp:inline distT="0" distB="0" distL="0" distR="0" wp14:anchorId="4A7E5983" wp14:editId="3F363ADC">
            <wp:extent cx="2568690" cy="2200101"/>
            <wp:effectExtent l="0" t="0" r="3175" b="0"/>
            <wp:docPr id="8" name="Picture 8" descr="Providers reviewed by organisation purpose&#10;For profit – 25%&#10;Not for profit –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viders reviewed by organisation purpose&#10;For profit – 25%&#10;Not for profit – 7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717" t="1010" r="7776" b="2710"/>
                    <a:stretch/>
                  </pic:blipFill>
                  <pic:spPr bwMode="auto">
                    <a:xfrm>
                      <a:off x="0" y="0"/>
                      <a:ext cx="2589218" cy="2217684"/>
                    </a:xfrm>
                    <a:prstGeom prst="rect">
                      <a:avLst/>
                    </a:prstGeom>
                    <a:noFill/>
                    <a:ln>
                      <a:noFill/>
                    </a:ln>
                    <a:extLst>
                      <a:ext uri="{53640926-AAD7-44D8-BBD7-CCE9431645EC}">
                        <a14:shadowObscured xmlns:a14="http://schemas.microsoft.com/office/drawing/2010/main"/>
                      </a:ext>
                    </a:extLst>
                  </pic:spPr>
                </pic:pic>
              </a:graphicData>
            </a:graphic>
          </wp:inline>
        </w:drawing>
      </w:r>
    </w:p>
    <w:p w14:paraId="072356E7" w14:textId="77777777" w:rsidR="00A1180A" w:rsidRDefault="00C80306" w:rsidP="00CE60F8">
      <w:pPr>
        <w:rPr>
          <w:sz w:val="16"/>
          <w:szCs w:val="16"/>
        </w:rPr>
      </w:pPr>
      <w:r w:rsidRPr="00CE60F8">
        <w:rPr>
          <w:sz w:val="16"/>
          <w:szCs w:val="16"/>
        </w:rPr>
        <w:t xml:space="preserve">Note: As at </w:t>
      </w:r>
      <w:r>
        <w:rPr>
          <w:sz w:val="16"/>
          <w:szCs w:val="16"/>
        </w:rPr>
        <w:t>31 May 2022</w:t>
      </w:r>
    </w:p>
    <w:p w14:paraId="6D8B51AF" w14:textId="3FD5BC12" w:rsidR="00A1180A" w:rsidRPr="00211A4F" w:rsidRDefault="00C80306" w:rsidP="00211A4F">
      <w:pPr>
        <w:pStyle w:val="Heading3"/>
      </w:pPr>
      <w:r w:rsidRPr="00211A4F">
        <w:lastRenderedPageBreak/>
        <w:t xml:space="preserve">Geographical spread of 100 </w:t>
      </w:r>
      <w:r w:rsidR="00211A4F" w:rsidRPr="00211A4F">
        <w:t>p</w:t>
      </w:r>
      <w:r w:rsidRPr="00211A4F">
        <w:t xml:space="preserve">roviders </w:t>
      </w:r>
      <w:r w:rsidR="00211A4F" w:rsidRPr="00211A4F">
        <w:t>r</w:t>
      </w:r>
      <w:r w:rsidRPr="00211A4F">
        <w:t>eviewed and their service delivery coverage</w:t>
      </w:r>
    </w:p>
    <w:p w14:paraId="5BA91B35" w14:textId="27186299" w:rsidR="00C80306" w:rsidRDefault="00C80306" w:rsidP="00303C40">
      <w:pPr>
        <w:jc w:val="center"/>
        <w:rPr>
          <w:sz w:val="16"/>
          <w:szCs w:val="16"/>
        </w:rPr>
      </w:pPr>
      <w:r>
        <w:rPr>
          <w:noProof/>
        </w:rPr>
        <w:drawing>
          <wp:inline distT="0" distB="0" distL="0" distR="0" wp14:anchorId="67339915" wp14:editId="6ACF54AD">
            <wp:extent cx="4998720" cy="3258370"/>
            <wp:effectExtent l="0" t="0" r="0" b="0"/>
            <wp:docPr id="9" name="Picture 9" descr="Map of Australia with red dots showing location of the 100 providers reviewed, as at 31 May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 of Australia with red dots showing location of the 100 providers reviewed, as at 31 May 2022."/>
                    <pic:cNvPicPr>
                      <a:picLocks noChangeAspect="1" noChangeArrowheads="1"/>
                    </pic:cNvPicPr>
                  </pic:nvPicPr>
                  <pic:blipFill rotWithShape="1">
                    <a:blip r:embed="rId19">
                      <a:extLst>
                        <a:ext uri="{28A0092B-C50C-407E-A947-70E740481C1C}">
                          <a14:useLocalDpi xmlns:a14="http://schemas.microsoft.com/office/drawing/2010/main" val="0"/>
                        </a:ext>
                      </a:extLst>
                    </a:blip>
                    <a:srcRect l="17206" t="3960" r="23547" b="3713"/>
                    <a:stretch/>
                  </pic:blipFill>
                  <pic:spPr bwMode="auto">
                    <a:xfrm>
                      <a:off x="0" y="0"/>
                      <a:ext cx="5079654" cy="3311126"/>
                    </a:xfrm>
                    <a:prstGeom prst="rect">
                      <a:avLst/>
                    </a:prstGeom>
                    <a:noFill/>
                    <a:ln>
                      <a:noFill/>
                    </a:ln>
                    <a:extLst>
                      <a:ext uri="{53640926-AAD7-44D8-BBD7-CCE9431645EC}">
                        <a14:shadowObscured xmlns:a14="http://schemas.microsoft.com/office/drawing/2010/main"/>
                      </a:ext>
                    </a:extLst>
                  </pic:spPr>
                </pic:pic>
              </a:graphicData>
            </a:graphic>
          </wp:inline>
        </w:drawing>
      </w:r>
    </w:p>
    <w:p w14:paraId="05082751" w14:textId="1501E9A2" w:rsidR="00B6341F" w:rsidRDefault="00C80306" w:rsidP="00B6341F">
      <w:pPr>
        <w:rPr>
          <w:sz w:val="16"/>
          <w:szCs w:val="16"/>
        </w:rPr>
      </w:pPr>
      <w:r w:rsidRPr="00C80306">
        <w:rPr>
          <w:sz w:val="16"/>
          <w:szCs w:val="16"/>
        </w:rPr>
        <w:t>Note</w:t>
      </w:r>
      <w:r>
        <w:rPr>
          <w:sz w:val="16"/>
          <w:szCs w:val="16"/>
        </w:rPr>
        <w:t>:</w:t>
      </w:r>
      <w:r w:rsidRPr="00C80306">
        <w:rPr>
          <w:sz w:val="16"/>
          <w:szCs w:val="16"/>
        </w:rPr>
        <w:t xml:space="preserve"> as at 31 May 2022</w:t>
      </w:r>
    </w:p>
    <w:p w14:paraId="24D8F624" w14:textId="048D3377" w:rsidR="00B6341F" w:rsidRPr="00951DC6" w:rsidRDefault="00AF2BA7" w:rsidP="00211A4F">
      <w:pPr>
        <w:pStyle w:val="Heading3"/>
        <w:keepNext w:val="0"/>
      </w:pPr>
      <w:r w:rsidRPr="00951DC6">
        <w:t>E</w:t>
      </w:r>
      <w:r w:rsidR="00B6341F" w:rsidRPr="00951DC6">
        <w:t>ngagement</w:t>
      </w:r>
      <w:r w:rsidRPr="00951DC6">
        <w:t xml:space="preserve"> of </w:t>
      </w:r>
      <w:r w:rsidR="00211A4F">
        <w:t>r</w:t>
      </w:r>
      <w:r w:rsidR="00C03545" w:rsidRPr="00951DC6">
        <w:t xml:space="preserve">eviewed </w:t>
      </w:r>
      <w:r w:rsidR="00211A4F">
        <w:t>p</w:t>
      </w:r>
      <w:r w:rsidRPr="00951DC6">
        <w:t>roviders</w:t>
      </w:r>
    </w:p>
    <w:p w14:paraId="59289D8E" w14:textId="4A6159F6" w:rsidR="00EA4244" w:rsidRDefault="00A1443B" w:rsidP="00211A4F">
      <w:r>
        <w:rPr>
          <w:noProof/>
        </w:rPr>
        <w:drawing>
          <wp:inline distT="0" distB="0" distL="0" distR="0" wp14:anchorId="6A7DFD19" wp14:editId="31219E74">
            <wp:extent cx="5578866" cy="2105425"/>
            <wp:effectExtent l="0" t="0" r="3175" b="9525"/>
            <wp:docPr id="26" name="Picture 26" descr="Engagement of reviewed providers:&#10;100% of HCP providers engaged with the review process and supplied the requested information.&#10;47% of HCP providers requested an extension due to COVID-19 or similar reasons and were provided one.&#10;80% of HCP Providers participated in an exit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Engagement of reviewed providers:&#10;100% of HCP providers engaged with the review process and supplied the requested information.&#10;47% of HCP providers requested an extension due to COVID-19 or similar reasons and were provided one.&#10;80% of HCP Providers participated in an exit interview."/>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756" t="29506" r="8208" b="9880"/>
                    <a:stretch/>
                  </pic:blipFill>
                  <pic:spPr bwMode="auto">
                    <a:xfrm>
                      <a:off x="0" y="0"/>
                      <a:ext cx="5591293" cy="2110115"/>
                    </a:xfrm>
                    <a:prstGeom prst="rect">
                      <a:avLst/>
                    </a:prstGeom>
                    <a:noFill/>
                    <a:ln>
                      <a:noFill/>
                    </a:ln>
                    <a:extLst>
                      <a:ext uri="{53640926-AAD7-44D8-BBD7-CCE9431645EC}">
                        <a14:shadowObscured xmlns:a14="http://schemas.microsoft.com/office/drawing/2010/main"/>
                      </a:ext>
                    </a:extLst>
                  </pic:spPr>
                </pic:pic>
              </a:graphicData>
            </a:graphic>
          </wp:inline>
        </w:drawing>
      </w:r>
    </w:p>
    <w:p w14:paraId="7AC47E30" w14:textId="53D8AE66" w:rsidR="006E10B0" w:rsidRDefault="00B443F9" w:rsidP="00211A4F">
      <w:pPr>
        <w:rPr>
          <w:sz w:val="16"/>
          <w:szCs w:val="16"/>
        </w:rPr>
      </w:pPr>
      <w:r w:rsidRPr="00B443F9">
        <w:rPr>
          <w:sz w:val="16"/>
          <w:szCs w:val="16"/>
        </w:rPr>
        <w:t xml:space="preserve">Note: participation in exit </w:t>
      </w:r>
      <w:r w:rsidR="008636DA">
        <w:rPr>
          <w:sz w:val="16"/>
          <w:szCs w:val="16"/>
        </w:rPr>
        <w:t>meetings</w:t>
      </w:r>
      <w:r w:rsidR="008636DA" w:rsidRPr="00B443F9">
        <w:rPr>
          <w:sz w:val="16"/>
          <w:szCs w:val="16"/>
        </w:rPr>
        <w:t xml:space="preserve"> </w:t>
      </w:r>
      <w:r w:rsidRPr="00B443F9">
        <w:rPr>
          <w:sz w:val="16"/>
          <w:szCs w:val="16"/>
        </w:rPr>
        <w:t>was not mandatory</w:t>
      </w:r>
    </w:p>
    <w:p w14:paraId="5F29E4FB" w14:textId="2C82DADA" w:rsidR="006E10B0" w:rsidRPr="00951DC6" w:rsidRDefault="006E10B0" w:rsidP="00211A4F">
      <w:pPr>
        <w:pStyle w:val="Heading2"/>
      </w:pPr>
      <w:bookmarkStart w:id="9" w:name="_Toc111803153"/>
      <w:r w:rsidRPr="00951DC6">
        <w:lastRenderedPageBreak/>
        <w:t>What are providers charging</w:t>
      </w:r>
      <w:r w:rsidR="00E0634D" w:rsidRPr="00951DC6">
        <w:t>?</w:t>
      </w:r>
      <w:bookmarkEnd w:id="9"/>
    </w:p>
    <w:p w14:paraId="18934249" w14:textId="77777777" w:rsidR="004F5FB7" w:rsidRDefault="004F5FB7" w:rsidP="00211A4F">
      <w:pPr>
        <w:keepNext/>
      </w:pPr>
      <w:r>
        <w:t>To support easy interpretation of the graphs below, readers may wish to note the following:</w:t>
      </w:r>
    </w:p>
    <w:p w14:paraId="5E69C7AB" w14:textId="50B01A6D" w:rsidR="004F5FB7" w:rsidRDefault="006F3001" w:rsidP="00211A4F">
      <w:pPr>
        <w:pStyle w:val="ListBullet"/>
      </w:pPr>
      <w:r>
        <w:t xml:space="preserve">The distribution of </w:t>
      </w:r>
      <w:r w:rsidRPr="00951DC6">
        <w:t>fortnightly</w:t>
      </w:r>
      <w:r>
        <w:t xml:space="preserve"> fully managed care management, self-managed care management and package management prices </w:t>
      </w:r>
      <w:r w:rsidR="004F5FB7">
        <w:t xml:space="preserve">covers </w:t>
      </w:r>
      <w:r>
        <w:t xml:space="preserve">all </w:t>
      </w:r>
      <w:r w:rsidR="004B7ECD" w:rsidRPr="004B7ECD">
        <w:t>s</w:t>
      </w:r>
      <w:r w:rsidRPr="004B7ECD">
        <w:t>ervices</w:t>
      </w:r>
      <w:r>
        <w:t xml:space="preserve"> </w:t>
      </w:r>
      <w:r w:rsidR="0054779A">
        <w:t xml:space="preserve">(approx. 1,400 </w:t>
      </w:r>
      <w:r w:rsidR="004B7ECD">
        <w:t>s</w:t>
      </w:r>
      <w:r w:rsidR="0054779A">
        <w:t>ervices</w:t>
      </w:r>
      <w:r w:rsidR="00AB512C">
        <w:t xml:space="preserve"> or outlets</w:t>
      </w:r>
      <w:r w:rsidR="0054779A">
        <w:t xml:space="preserve">) </w:t>
      </w:r>
      <w:r>
        <w:t xml:space="preserve">across the 100 </w:t>
      </w:r>
      <w:r w:rsidR="004B7ECD">
        <w:t>p</w:t>
      </w:r>
      <w:r>
        <w:t>roviders reviewed</w:t>
      </w:r>
      <w:r w:rsidR="004F5FB7">
        <w:t>.</w:t>
      </w:r>
    </w:p>
    <w:p w14:paraId="38C44121" w14:textId="77777777" w:rsidR="004F5FB7" w:rsidRDefault="004F5FB7" w:rsidP="00211A4F">
      <w:pPr>
        <w:pStyle w:val="ListBullet"/>
      </w:pPr>
      <w:r>
        <w:t xml:space="preserve">This information was published on </w:t>
      </w:r>
      <w:r w:rsidR="006F3001">
        <w:t xml:space="preserve">My Aged Care as of 31 May 2022. </w:t>
      </w:r>
    </w:p>
    <w:p w14:paraId="36E0A062" w14:textId="77777777" w:rsidR="00A1180A" w:rsidRDefault="006F3001" w:rsidP="00211A4F">
      <w:pPr>
        <w:pStyle w:val="ListBullet"/>
      </w:pPr>
      <w:r>
        <w:t>Box and whisker plots are used to depict each of the distribution</w:t>
      </w:r>
      <w:r w:rsidR="000B245D">
        <w:t>s</w:t>
      </w:r>
      <w:r w:rsidR="00EF5F5D">
        <w:t xml:space="preserve"> </w:t>
      </w:r>
      <w:r w:rsidR="00EF5F5D" w:rsidRPr="00EF5F5D">
        <w:t>(fully managed care management Levels 1 to 4, self-managed care management Levels 1 to 4 and package management Levels 1 to 4)</w:t>
      </w:r>
      <w:r>
        <w:t>. The middle 50% of the distribution is represented by the box with the first quartile</w:t>
      </w:r>
      <w:r>
        <w:rPr>
          <w:rStyle w:val="FootnoteReference"/>
        </w:rPr>
        <w:footnoteReference w:id="9"/>
      </w:r>
      <w:r>
        <w:t xml:space="preserve"> (Q1) and third quartile</w:t>
      </w:r>
      <w:r>
        <w:rPr>
          <w:rStyle w:val="FootnoteReference"/>
        </w:rPr>
        <w:footnoteReference w:id="10"/>
      </w:r>
      <w:r>
        <w:t xml:space="preserve"> (Q3) enclosing the median line (Q2). The whiskers extend to the lowest and highest prices in the distribution for each HCP level.</w:t>
      </w:r>
    </w:p>
    <w:p w14:paraId="44AE803C" w14:textId="056CB822" w:rsidR="00EF5F5D" w:rsidRDefault="00EF5F5D" w:rsidP="006F3001">
      <w:r w:rsidRPr="00EF5F5D">
        <w:rPr>
          <w:noProof/>
        </w:rPr>
        <w:drawing>
          <wp:inline distT="0" distB="0" distL="0" distR="0" wp14:anchorId="3599A34D" wp14:editId="7180FC7B">
            <wp:extent cx="5579745" cy="1586230"/>
            <wp:effectExtent l="0" t="0" r="1905" b="0"/>
            <wp:docPr id="46" name="Picture 46" descr="Chart showing lowest price, first quartile (Q1) 25% of price points fall below Q1, Median (Q2) 50% of price points fall below Q2, Highest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hart showing lowest price, first quartile (Q1) 25% of price points fall below Q1, Median (Q2) 50% of price points fall below Q2, Highest pri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79745" cy="1586230"/>
                    </a:xfrm>
                    <a:prstGeom prst="rect">
                      <a:avLst/>
                    </a:prstGeom>
                    <a:noFill/>
                    <a:ln>
                      <a:noFill/>
                    </a:ln>
                  </pic:spPr>
                </pic:pic>
              </a:graphicData>
            </a:graphic>
          </wp:inline>
        </w:drawing>
      </w:r>
    </w:p>
    <w:p w14:paraId="53ADAB5B" w14:textId="77777777" w:rsidR="00A1180A" w:rsidRDefault="004F5FB7" w:rsidP="006F3001">
      <w:r>
        <w:t>The information below is deliberately sourced from reviewed providers’ published prices on My Aged Care, rather than using information collected during the Review. This approach was taken to support a fair comparison, using providers’ published information and taking into account all their services on My Aged Care, rather than only those that were reviewed. Latest information was also used (31 May 2022) to be most beneficial publicly.</w:t>
      </w:r>
    </w:p>
    <w:p w14:paraId="6F8FCC2A" w14:textId="516C22DE" w:rsidR="006F3001" w:rsidRPr="00951DC6" w:rsidRDefault="006F3001" w:rsidP="00211A4F">
      <w:pPr>
        <w:pStyle w:val="Heading3"/>
      </w:pPr>
      <w:r w:rsidRPr="00951DC6">
        <w:lastRenderedPageBreak/>
        <w:t>Fully managed care management charges</w:t>
      </w:r>
      <w:r w:rsidR="00880836" w:rsidRPr="00951DC6">
        <w:t xml:space="preserve"> per fortnight</w:t>
      </w:r>
    </w:p>
    <w:p w14:paraId="7A985F97" w14:textId="1B3A3ED9" w:rsidR="006F3001" w:rsidRDefault="006F3001" w:rsidP="006F3001">
      <w:pPr>
        <w:rPr>
          <w:sz w:val="16"/>
          <w:szCs w:val="16"/>
        </w:rPr>
      </w:pPr>
      <w:r>
        <w:rPr>
          <w:noProof/>
        </w:rPr>
        <w:drawing>
          <wp:inline distT="0" distB="0" distL="0" distR="0" wp14:anchorId="27950F59" wp14:editId="437E79C4">
            <wp:extent cx="5705341" cy="2233930"/>
            <wp:effectExtent l="0" t="0" r="0" b="0"/>
            <wp:docPr id="18" name="Picture 18" descr="Chart showing service level fortnightly charges by home care packag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showing service level fortnightly charges by home care package leve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5252" cy="2280881"/>
                    </a:xfrm>
                    <a:prstGeom prst="rect">
                      <a:avLst/>
                    </a:prstGeom>
                    <a:noFill/>
                    <a:ln>
                      <a:noFill/>
                    </a:ln>
                  </pic:spPr>
                </pic:pic>
              </a:graphicData>
            </a:graphic>
          </wp:inline>
        </w:drawing>
      </w:r>
      <w:r w:rsidRPr="00E66822">
        <w:rPr>
          <w:sz w:val="16"/>
          <w:szCs w:val="16"/>
        </w:rPr>
        <w:t>Levels 1</w:t>
      </w:r>
      <w:r>
        <w:rPr>
          <w:sz w:val="16"/>
          <w:szCs w:val="16"/>
        </w:rPr>
        <w:t xml:space="preserve">, </w:t>
      </w:r>
      <w:r w:rsidRPr="00E66822">
        <w:rPr>
          <w:sz w:val="16"/>
          <w:szCs w:val="16"/>
        </w:rPr>
        <w:t>2</w:t>
      </w:r>
      <w:r>
        <w:rPr>
          <w:sz w:val="16"/>
          <w:szCs w:val="16"/>
        </w:rPr>
        <w:t xml:space="preserve"> and 3</w:t>
      </w:r>
      <w:r w:rsidRPr="00E66822">
        <w:rPr>
          <w:sz w:val="16"/>
          <w:szCs w:val="16"/>
        </w:rPr>
        <w:t xml:space="preserve"> (n=1</w:t>
      </w:r>
      <w:r>
        <w:rPr>
          <w:sz w:val="16"/>
          <w:szCs w:val="16"/>
        </w:rPr>
        <w:t>356</w:t>
      </w:r>
      <w:r w:rsidRPr="00E66822">
        <w:rPr>
          <w:sz w:val="16"/>
          <w:szCs w:val="16"/>
        </w:rPr>
        <w:t>)</w:t>
      </w:r>
    </w:p>
    <w:p w14:paraId="633DA7CD" w14:textId="77777777" w:rsidR="00A1180A" w:rsidRDefault="006F3001" w:rsidP="006F3001">
      <w:pPr>
        <w:spacing w:after="60"/>
        <w:rPr>
          <w:sz w:val="16"/>
          <w:szCs w:val="16"/>
        </w:rPr>
      </w:pPr>
      <w:r w:rsidRPr="00E66822">
        <w:rPr>
          <w:sz w:val="16"/>
          <w:szCs w:val="16"/>
        </w:rPr>
        <w:t>Level</w:t>
      </w:r>
      <w:r>
        <w:rPr>
          <w:sz w:val="16"/>
          <w:szCs w:val="16"/>
        </w:rPr>
        <w:t xml:space="preserve"> </w:t>
      </w:r>
      <w:r w:rsidRPr="00E66822">
        <w:rPr>
          <w:sz w:val="16"/>
          <w:szCs w:val="16"/>
        </w:rPr>
        <w:t>4 (n=1</w:t>
      </w:r>
      <w:r>
        <w:rPr>
          <w:sz w:val="16"/>
          <w:szCs w:val="16"/>
        </w:rPr>
        <w:t>353</w:t>
      </w:r>
      <w:r w:rsidRPr="00E66822">
        <w:rPr>
          <w:sz w:val="16"/>
          <w:szCs w:val="16"/>
        </w:rPr>
        <w:t>)</w:t>
      </w:r>
    </w:p>
    <w:p w14:paraId="7C48C0D7" w14:textId="77777777" w:rsidR="00A1180A" w:rsidRDefault="0009553E" w:rsidP="006F3001">
      <w:pPr>
        <w:jc w:val="center"/>
        <w:rPr>
          <w:sz w:val="16"/>
          <w:szCs w:val="16"/>
        </w:rPr>
      </w:pPr>
      <w:r>
        <w:rPr>
          <w:noProof/>
        </w:rPr>
        <w:drawing>
          <wp:inline distT="0" distB="0" distL="0" distR="0" wp14:anchorId="518B1AE6" wp14:editId="44331191">
            <wp:extent cx="5447665" cy="1229445"/>
            <wp:effectExtent l="0" t="0" r="635" b="8890"/>
            <wp:docPr id="47" name="Picture 47" descr="Distribution of fully managed care management charge across all the services for the 100 providers (May 2022 Prices).&#10;&#10;Fully managed by provider per fortnight – Level 1 – Lowest price $0, first quartile $52, Median $59, Third Quartile $65, Highest Price $206&#10;Fully managed by provider per fortnight – Level 2 – Lowest price $0, first quartile $91, Median $107, Third Quartile $121, Highest Price $260.&#10;Fully managed by provider per fortnight – Level 3 – Lowest price $0, first quartile $191, Median $215, Third Quartile $233, Highest Price $566&#10;Fully managed by provider per fortnight – Level 4 – Lowest price $0, first quartile $290, Median $315, Third Quartile $360, Highest Price $70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istribution of fully managed care management charge across all the services for the 100 providers (May 2022 Prices).&#10;&#10;Fully managed by provider per fortnight – Level 1 – Lowest price $0, first quartile $52, Median $59, Third Quartile $65, Highest Price $206&#10;Fully managed by provider per fortnight – Level 2 – Lowest price $0, first quartile $91, Median $107, Third Quartile $121, Highest Price $260.&#10;Fully managed by provider per fortnight – Level 3 – Lowest price $0, first quartile $191, Median $215, Third Quartile $233, Highest Price $566&#10;Fully managed by provider per fortnight – Level 4 – Lowest price $0, first quartile $290, Median $315, Third Quartile $360, Highest Price $702.&#10;"/>
                    <pic:cNvPicPr>
                      <a:picLocks noChangeAspect="1" noChangeArrowheads="1"/>
                    </pic:cNvPicPr>
                  </pic:nvPicPr>
                  <pic:blipFill rotWithShape="1">
                    <a:blip r:embed="rId23">
                      <a:extLst>
                        <a:ext uri="{28A0092B-C50C-407E-A947-70E740481C1C}">
                          <a14:useLocalDpi xmlns:a14="http://schemas.microsoft.com/office/drawing/2010/main" val="0"/>
                        </a:ext>
                      </a:extLst>
                    </a:blip>
                    <a:srcRect r="4950" b="58283"/>
                    <a:stretch/>
                  </pic:blipFill>
                  <pic:spPr bwMode="auto">
                    <a:xfrm>
                      <a:off x="0" y="0"/>
                      <a:ext cx="5489612" cy="1238912"/>
                    </a:xfrm>
                    <a:prstGeom prst="rect">
                      <a:avLst/>
                    </a:prstGeom>
                    <a:noFill/>
                    <a:ln>
                      <a:noFill/>
                    </a:ln>
                    <a:extLst>
                      <a:ext uri="{53640926-AAD7-44D8-BBD7-CCE9431645EC}">
                        <a14:shadowObscured xmlns:a14="http://schemas.microsoft.com/office/drawing/2010/main"/>
                      </a:ext>
                    </a:extLst>
                  </pic:spPr>
                </pic:pic>
              </a:graphicData>
            </a:graphic>
          </wp:inline>
        </w:drawing>
      </w:r>
    </w:p>
    <w:p w14:paraId="1C803F45" w14:textId="4F5B4A93" w:rsidR="006F3001" w:rsidRDefault="00220E7B" w:rsidP="006F3001">
      <w:pPr>
        <w:spacing w:after="60"/>
      </w:pPr>
      <w:r>
        <w:t>As eviden</w:t>
      </w:r>
      <w:r w:rsidR="0069472F">
        <w:t>ced by</w:t>
      </w:r>
      <w:r>
        <w:t xml:space="preserve"> the graph and table above, f</w:t>
      </w:r>
      <w:r w:rsidR="006F3001">
        <w:t>ully managed</w:t>
      </w:r>
      <w:r w:rsidR="00954C14">
        <w:rPr>
          <w:rStyle w:val="FootnoteReference"/>
        </w:rPr>
        <w:footnoteReference w:id="11"/>
      </w:r>
      <w:r w:rsidR="006F3001">
        <w:t xml:space="preserve"> </w:t>
      </w:r>
      <w:r w:rsidR="00880836">
        <w:t xml:space="preserve">fortnightly </w:t>
      </w:r>
      <w:r w:rsidR="006F3001">
        <w:t xml:space="preserve">care management charges ranged from: </w:t>
      </w:r>
    </w:p>
    <w:p w14:paraId="7F07F495" w14:textId="7817D945" w:rsidR="006F3001" w:rsidRDefault="006F3001" w:rsidP="00211A4F">
      <w:pPr>
        <w:pStyle w:val="ListBullet"/>
      </w:pPr>
      <w:r>
        <w:t>$0 to $206 for HCP Level 1</w:t>
      </w:r>
    </w:p>
    <w:p w14:paraId="6F3EF302" w14:textId="45F7174A" w:rsidR="006F3001" w:rsidRDefault="006F3001" w:rsidP="00211A4F">
      <w:pPr>
        <w:pStyle w:val="ListBullet"/>
      </w:pPr>
      <w:r>
        <w:t>$0 to $260 for HCP Level 2</w:t>
      </w:r>
    </w:p>
    <w:p w14:paraId="5CFD8FBB" w14:textId="77777777" w:rsidR="006F3001" w:rsidRDefault="006F3001" w:rsidP="00211A4F">
      <w:pPr>
        <w:pStyle w:val="ListBullet"/>
      </w:pPr>
      <w:r>
        <w:t>$0 to $566 for HCP Level 3, and</w:t>
      </w:r>
    </w:p>
    <w:p w14:paraId="067FEA74" w14:textId="77777777" w:rsidR="006F3001" w:rsidRDefault="006F3001" w:rsidP="00211A4F">
      <w:pPr>
        <w:pStyle w:val="ListBullet"/>
      </w:pPr>
      <w:r>
        <w:t>$0 to $702 for HCP Level 4.</w:t>
      </w:r>
    </w:p>
    <w:p w14:paraId="3B8F6234" w14:textId="77777777" w:rsidR="00A1180A" w:rsidRDefault="006F3001" w:rsidP="006F3001">
      <w:r>
        <w:t xml:space="preserve">The </w:t>
      </w:r>
      <w:r w:rsidR="00342BE6">
        <w:t xml:space="preserve">published </w:t>
      </w:r>
      <w:r>
        <w:t xml:space="preserve">price range </w:t>
      </w:r>
      <w:r w:rsidR="00790531">
        <w:t xml:space="preserve">for care management charges </w:t>
      </w:r>
      <w:r>
        <w:t>increased as the HCP levels increased. HCP Level 4 has the widest range with care recipients being charged between $0 and $702. Services charging $0 for care management and the higher costs associated with providing care management for Level 4 care recipients could contribute to this wide range of prices. F</w:t>
      </w:r>
      <w:r w:rsidRPr="00865D2A">
        <w:t>actors</w:t>
      </w:r>
      <w:r>
        <w:t xml:space="preserve"> such as</w:t>
      </w:r>
      <w:r w:rsidR="000B245D">
        <w:t>:</w:t>
      </w:r>
      <w:r>
        <w:t xml:space="preserve"> </w:t>
      </w:r>
      <w:r w:rsidRPr="00865D2A">
        <w:t>type and duration of support and services</w:t>
      </w:r>
      <w:r w:rsidR="000B245D">
        <w:t>;</w:t>
      </w:r>
      <w:r w:rsidRPr="00865D2A">
        <w:t xml:space="preserve"> remoteness</w:t>
      </w:r>
      <w:r w:rsidR="000B245D">
        <w:t>;</w:t>
      </w:r>
      <w:r w:rsidRPr="00865D2A">
        <w:t xml:space="preserve"> </w:t>
      </w:r>
      <w:r w:rsidRPr="00865D2A">
        <w:lastRenderedPageBreak/>
        <w:t>care recipient mix</w:t>
      </w:r>
      <w:r w:rsidR="000B245D">
        <w:t>;</w:t>
      </w:r>
      <w:r w:rsidRPr="00865D2A">
        <w:t xml:space="preserve"> provider profile</w:t>
      </w:r>
      <w:r w:rsidR="000B245D">
        <w:t>;</w:t>
      </w:r>
      <w:r w:rsidRPr="00865D2A">
        <w:t xml:space="preserve"> cultural differences</w:t>
      </w:r>
      <w:r w:rsidR="000B245D">
        <w:t>;</w:t>
      </w:r>
      <w:r w:rsidRPr="00865D2A">
        <w:t xml:space="preserve"> chronic conditions</w:t>
      </w:r>
      <w:r w:rsidR="000B245D">
        <w:t>;</w:t>
      </w:r>
      <w:r w:rsidRPr="00865D2A">
        <w:t xml:space="preserve"> and others </w:t>
      </w:r>
      <w:r>
        <w:t xml:space="preserve">that </w:t>
      </w:r>
      <w:r w:rsidR="0009553E">
        <w:t xml:space="preserve">may </w:t>
      </w:r>
      <w:r>
        <w:t xml:space="preserve">also </w:t>
      </w:r>
      <w:r w:rsidRPr="00865D2A">
        <w:t xml:space="preserve">impact </w:t>
      </w:r>
      <w:r>
        <w:t>charges</w:t>
      </w:r>
      <w:r w:rsidRPr="00865D2A">
        <w:t xml:space="preserve"> for service delivery on the ground</w:t>
      </w:r>
      <w:r w:rsidR="000B245D">
        <w:t>. These</w:t>
      </w:r>
      <w:r>
        <w:t xml:space="preserve"> are not considered in this analysis</w:t>
      </w:r>
      <w:r w:rsidRPr="00865D2A">
        <w:t>.</w:t>
      </w:r>
    </w:p>
    <w:p w14:paraId="3DB9CA34" w14:textId="0E1AF756" w:rsidR="0076718C" w:rsidRPr="009A4A8E" w:rsidRDefault="0076718C" w:rsidP="0076718C">
      <w:bookmarkStart w:id="10" w:name="_Hlk105592449"/>
      <w:r w:rsidRPr="009A4A8E">
        <w:t>Based on published prices on My Aged Care (as at 31 May 2022)</w:t>
      </w:r>
      <w:r w:rsidR="000A6C6D">
        <w:t>,</w:t>
      </w:r>
      <w:r w:rsidRPr="009A4A8E">
        <w:t xml:space="preserve"> for the 100 </w:t>
      </w:r>
      <w:r w:rsidR="002F1370">
        <w:t>p</w:t>
      </w:r>
      <w:r w:rsidRPr="009A4A8E">
        <w:t>roviders reviewed, on average, fully managed care management charges represent:</w:t>
      </w:r>
    </w:p>
    <w:p w14:paraId="1B8EF5B9" w14:textId="2E84AB48" w:rsidR="0076718C" w:rsidRPr="009A4A8E" w:rsidRDefault="0076718C" w:rsidP="00211A4F">
      <w:pPr>
        <w:pStyle w:val="ListBullet"/>
      </w:pPr>
      <w:r w:rsidRPr="009A4A8E">
        <w:t xml:space="preserve">17% of the total HCP </w:t>
      </w:r>
      <w:r w:rsidR="006173F1">
        <w:t>subsidy</w:t>
      </w:r>
      <w:r w:rsidR="006173F1" w:rsidRPr="009A4A8E">
        <w:t xml:space="preserve"> </w:t>
      </w:r>
      <w:r w:rsidRPr="009A4A8E">
        <w:t>for Level 1 (ranging between 0% and 60%)</w:t>
      </w:r>
    </w:p>
    <w:p w14:paraId="567582F6" w14:textId="32ABC086" w:rsidR="0076718C" w:rsidRPr="009A4A8E" w:rsidRDefault="0076718C" w:rsidP="00211A4F">
      <w:pPr>
        <w:pStyle w:val="ListBullet"/>
      </w:pPr>
      <w:r w:rsidRPr="009A4A8E">
        <w:t xml:space="preserve">17% of the total HCP </w:t>
      </w:r>
      <w:r w:rsidR="006173F1">
        <w:t>subsidy</w:t>
      </w:r>
      <w:r w:rsidRPr="009A4A8E">
        <w:t xml:space="preserve"> for Level 2 (ranging between 0% and 43%)</w:t>
      </w:r>
    </w:p>
    <w:p w14:paraId="752DFF84" w14:textId="0205A695" w:rsidR="0076718C" w:rsidRPr="009A4A8E" w:rsidRDefault="0076718C" w:rsidP="00211A4F">
      <w:pPr>
        <w:pStyle w:val="ListBullet"/>
      </w:pPr>
      <w:r w:rsidRPr="009A4A8E">
        <w:t xml:space="preserve">16% of the total HCP </w:t>
      </w:r>
      <w:r w:rsidR="006173F1">
        <w:t>subsidy</w:t>
      </w:r>
      <w:r w:rsidRPr="009A4A8E">
        <w:t xml:space="preserve"> for Level 3 (ranging between 0% and 43%)</w:t>
      </w:r>
    </w:p>
    <w:p w14:paraId="3029A287" w14:textId="2DD443B3" w:rsidR="00CD4030" w:rsidRPr="009A4A8E" w:rsidRDefault="0076718C" w:rsidP="00211A4F">
      <w:pPr>
        <w:pStyle w:val="ListBullet"/>
      </w:pPr>
      <w:r w:rsidRPr="009A4A8E">
        <w:t xml:space="preserve">16% of the total HCP </w:t>
      </w:r>
      <w:r w:rsidR="006173F1">
        <w:t>subsidy</w:t>
      </w:r>
      <w:r w:rsidRPr="009A4A8E">
        <w:t xml:space="preserve"> for Level 4 (ranging between 0% and 35%)</w:t>
      </w:r>
    </w:p>
    <w:p w14:paraId="0D71EDCA" w14:textId="7D4EC1C2" w:rsidR="006F3001" w:rsidRPr="00951DC6" w:rsidRDefault="006F3001" w:rsidP="00211A4F">
      <w:pPr>
        <w:pStyle w:val="Heading3"/>
      </w:pPr>
      <w:r w:rsidRPr="00951DC6">
        <w:t>Self-managed care management charges</w:t>
      </w:r>
    </w:p>
    <w:bookmarkEnd w:id="10"/>
    <w:p w14:paraId="66BC099D" w14:textId="6D0BE64F" w:rsidR="006F3001" w:rsidRDefault="006F3001" w:rsidP="006F3001">
      <w:pPr>
        <w:rPr>
          <w:sz w:val="16"/>
          <w:szCs w:val="16"/>
        </w:rPr>
      </w:pPr>
      <w:r>
        <w:rPr>
          <w:noProof/>
        </w:rPr>
        <w:drawing>
          <wp:inline distT="0" distB="0" distL="0" distR="0" wp14:anchorId="0DF770B3" wp14:editId="27920B12">
            <wp:extent cx="5550795" cy="2131060"/>
            <wp:effectExtent l="0" t="0" r="0" b="2540"/>
            <wp:docPr id="20" name="Picture 20" descr="Distribution of self-managed care management charges across all the services for the 100 providers (May 2022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stribution of self-managed care management charges across all the services for the 100 providers (May 2022 pric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978" cy="2246306"/>
                    </a:xfrm>
                    <a:prstGeom prst="rect">
                      <a:avLst/>
                    </a:prstGeom>
                    <a:noFill/>
                    <a:ln>
                      <a:noFill/>
                    </a:ln>
                  </pic:spPr>
                </pic:pic>
              </a:graphicData>
            </a:graphic>
          </wp:inline>
        </w:drawing>
      </w:r>
      <w:r w:rsidRPr="00E66822">
        <w:rPr>
          <w:sz w:val="16"/>
          <w:szCs w:val="16"/>
        </w:rPr>
        <w:t>Level</w:t>
      </w:r>
      <w:r>
        <w:rPr>
          <w:sz w:val="16"/>
          <w:szCs w:val="16"/>
        </w:rPr>
        <w:t>s</w:t>
      </w:r>
      <w:r w:rsidRPr="00E66822">
        <w:rPr>
          <w:sz w:val="16"/>
          <w:szCs w:val="16"/>
        </w:rPr>
        <w:t xml:space="preserve"> 1</w:t>
      </w:r>
      <w:r>
        <w:rPr>
          <w:sz w:val="16"/>
          <w:szCs w:val="16"/>
        </w:rPr>
        <w:t>, 3 and 4</w:t>
      </w:r>
      <w:r w:rsidRPr="00E66822">
        <w:rPr>
          <w:sz w:val="16"/>
          <w:szCs w:val="16"/>
        </w:rPr>
        <w:t xml:space="preserve"> </w:t>
      </w:r>
      <w:r>
        <w:rPr>
          <w:sz w:val="16"/>
          <w:szCs w:val="16"/>
        </w:rPr>
        <w:t>(n= 4</w:t>
      </w:r>
      <w:r w:rsidR="00A20361">
        <w:rPr>
          <w:sz w:val="16"/>
          <w:szCs w:val="16"/>
        </w:rPr>
        <w:t>88</w:t>
      </w:r>
      <w:r>
        <w:rPr>
          <w:sz w:val="16"/>
          <w:szCs w:val="16"/>
        </w:rPr>
        <w:t>)</w:t>
      </w:r>
    </w:p>
    <w:p w14:paraId="3D7B8E4A" w14:textId="77777777" w:rsidR="00A1180A" w:rsidRDefault="006F3001" w:rsidP="006F3001">
      <w:pPr>
        <w:spacing w:after="60"/>
        <w:rPr>
          <w:sz w:val="16"/>
          <w:szCs w:val="16"/>
        </w:rPr>
      </w:pPr>
      <w:r>
        <w:rPr>
          <w:sz w:val="16"/>
          <w:szCs w:val="16"/>
        </w:rPr>
        <w:t>Level 2 (n=4</w:t>
      </w:r>
      <w:r w:rsidR="00A20361">
        <w:rPr>
          <w:sz w:val="16"/>
          <w:szCs w:val="16"/>
        </w:rPr>
        <w:t>89</w:t>
      </w:r>
      <w:r>
        <w:rPr>
          <w:sz w:val="16"/>
          <w:szCs w:val="16"/>
        </w:rPr>
        <w:t>)</w:t>
      </w:r>
    </w:p>
    <w:p w14:paraId="6F702318" w14:textId="77777777" w:rsidR="00A1180A" w:rsidRPr="005911B5" w:rsidRDefault="00F54F09" w:rsidP="006F3001">
      <w:pPr>
        <w:jc w:val="center"/>
      </w:pPr>
      <w:r>
        <w:rPr>
          <w:noProof/>
        </w:rPr>
        <w:drawing>
          <wp:inline distT="0" distB="0" distL="0" distR="0" wp14:anchorId="7E7FF063" wp14:editId="2F9B49A1">
            <wp:extent cx="5532505" cy="1229307"/>
            <wp:effectExtent l="0" t="0" r="0" b="9525"/>
            <wp:docPr id="48" name="Picture 48" descr="Self-managed by you per fortnight – HCP level 1 – Lowest price - $0, first quartile - $31, median - $41, third quartile - $46, highest prices $120&#10;Self-managed by you per fortnight – HCP level 2 – Lowest price - $0, first quartile - $49, median - $52, third quartile - $61, highest prices $153&#10;Self-managed by you per fortnight – HCP level 3 – Lowest price - $0, first quartile - $57, median - $90, third quartile - $129, highest prices $328&#10;Self-managed by you per fortnight – HCP level 4 – Lowest price - $0, first quartile - $69, median - $120, third quartile - $179, highest prices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elf-managed by you per fortnight – HCP level 1 – Lowest price - $0, first quartile - $31, median - $41, third quartile - $46, highest prices $120&#10;Self-managed by you per fortnight – HCP level 2 – Lowest price - $0, first quartile - $49, median - $52, third quartile - $61, highest prices $153&#10;Self-managed by you per fortnight – HCP level 3 – Lowest price - $0, first quartile - $57, median - $90, third quartile - $129, highest prices $328&#10;Self-managed by you per fortnight – HCP level 4 – Lowest price - $0, first quartile - $69, median - $120, third quartile - $179, highest prices $464."/>
                    <pic:cNvPicPr>
                      <a:picLocks noChangeAspect="1" noChangeArrowheads="1"/>
                    </pic:cNvPicPr>
                  </pic:nvPicPr>
                  <pic:blipFill rotWithShape="1">
                    <a:blip r:embed="rId25">
                      <a:extLst>
                        <a:ext uri="{28A0092B-C50C-407E-A947-70E740481C1C}">
                          <a14:useLocalDpi xmlns:a14="http://schemas.microsoft.com/office/drawing/2010/main" val="0"/>
                        </a:ext>
                      </a:extLst>
                    </a:blip>
                    <a:srcRect r="5378" b="58280"/>
                    <a:stretch/>
                  </pic:blipFill>
                  <pic:spPr bwMode="auto">
                    <a:xfrm>
                      <a:off x="0" y="0"/>
                      <a:ext cx="5650627" cy="1255553"/>
                    </a:xfrm>
                    <a:prstGeom prst="rect">
                      <a:avLst/>
                    </a:prstGeom>
                    <a:noFill/>
                    <a:ln>
                      <a:noFill/>
                    </a:ln>
                    <a:extLst>
                      <a:ext uri="{53640926-AAD7-44D8-BBD7-CCE9431645EC}">
                        <a14:shadowObscured xmlns:a14="http://schemas.microsoft.com/office/drawing/2010/main"/>
                      </a:ext>
                    </a:extLst>
                  </pic:spPr>
                </pic:pic>
              </a:graphicData>
            </a:graphic>
          </wp:inline>
        </w:drawing>
      </w:r>
    </w:p>
    <w:p w14:paraId="6356FE97" w14:textId="480E80CD" w:rsidR="006F3001" w:rsidRDefault="006F3001" w:rsidP="004D672F">
      <w:pPr>
        <w:keepNext/>
        <w:spacing w:after="60"/>
      </w:pPr>
      <w:r>
        <w:lastRenderedPageBreak/>
        <w:t>Self-managed</w:t>
      </w:r>
      <w:r w:rsidR="002B5285">
        <w:rPr>
          <w:rStyle w:val="FootnoteReference"/>
        </w:rPr>
        <w:footnoteReference w:id="12"/>
      </w:r>
      <w:r>
        <w:t xml:space="preserve"> care management charges ranged from: </w:t>
      </w:r>
    </w:p>
    <w:p w14:paraId="1B71DCB8" w14:textId="5B7D25A6" w:rsidR="006F3001" w:rsidRDefault="006F3001" w:rsidP="004D672F">
      <w:pPr>
        <w:pStyle w:val="ListBullet"/>
        <w:keepNext/>
      </w:pPr>
      <w:r>
        <w:t>$0 to $120 for HCP Level 1</w:t>
      </w:r>
    </w:p>
    <w:p w14:paraId="7A2D4DF7" w14:textId="6B1A473D" w:rsidR="006F3001" w:rsidRDefault="006F3001" w:rsidP="00211A4F">
      <w:pPr>
        <w:pStyle w:val="ListBullet"/>
      </w:pPr>
      <w:r>
        <w:t>$0 to $153 for HCP Level 2</w:t>
      </w:r>
    </w:p>
    <w:p w14:paraId="3714F5BE" w14:textId="31FADB00" w:rsidR="006F3001" w:rsidRDefault="006F3001" w:rsidP="00211A4F">
      <w:pPr>
        <w:pStyle w:val="ListBullet"/>
      </w:pPr>
      <w:r>
        <w:t>$0 to $328 for HCP Level 3</w:t>
      </w:r>
      <w:r w:rsidR="009A4A8E">
        <w:t>,</w:t>
      </w:r>
      <w:r>
        <w:t xml:space="preserve"> and</w:t>
      </w:r>
    </w:p>
    <w:p w14:paraId="3A243AFD" w14:textId="77777777" w:rsidR="006F3001" w:rsidRDefault="006F3001" w:rsidP="00211A4F">
      <w:pPr>
        <w:pStyle w:val="ListBullet"/>
      </w:pPr>
      <w:r>
        <w:t>$0 to $464 for HCP Level 4.</w:t>
      </w:r>
    </w:p>
    <w:p w14:paraId="1AF7C1E5" w14:textId="57B9DEA0" w:rsidR="006F3001" w:rsidRDefault="009F7344" w:rsidP="006F3001">
      <w:r>
        <w:t>The p</w:t>
      </w:r>
      <w:r w:rsidR="006F3001">
        <w:t xml:space="preserve">rice range for self-managed care management </w:t>
      </w:r>
      <w:r w:rsidR="00790531">
        <w:t xml:space="preserve">charges </w:t>
      </w:r>
      <w:r w:rsidR="006F3001">
        <w:t xml:space="preserve">also increased as the HCP levels increased. HCP Level 4 has the widest range with care recipients being charged between $0 and $464, across the 100 </w:t>
      </w:r>
      <w:r w:rsidR="00D553A4">
        <w:t>p</w:t>
      </w:r>
      <w:r w:rsidR="006F3001">
        <w:t>roviders. Contributing factors discussed under fully managed care management also apply to self-managed care management charges. Overall, self-managed care management costs 42% less for HCP Levels 1 and 3,</w:t>
      </w:r>
      <w:r w:rsidR="00A66F20">
        <w:t xml:space="preserve"> </w:t>
      </w:r>
      <w:r w:rsidR="006F3001">
        <w:t>41% less for HCP Level 2 and 34% less for HCP Level 4.</w:t>
      </w:r>
    </w:p>
    <w:p w14:paraId="1DC182CB" w14:textId="50420EB2" w:rsidR="0076718C" w:rsidRDefault="0076718C" w:rsidP="0076718C">
      <w:r>
        <w:t>On average, self-managed care management charges (in May 2022) represented:</w:t>
      </w:r>
    </w:p>
    <w:p w14:paraId="23C372D9" w14:textId="3BD946B4" w:rsidR="0076718C" w:rsidRDefault="0076718C" w:rsidP="004D672F">
      <w:pPr>
        <w:pStyle w:val="ListBullet"/>
      </w:pPr>
      <w:r>
        <w:t xml:space="preserve">12% of the total HCP </w:t>
      </w:r>
      <w:r w:rsidR="006173F1">
        <w:t>subsidy</w:t>
      </w:r>
      <w:r>
        <w:t xml:space="preserve"> for Level 1 (ranging between 0% and 35%)</w:t>
      </w:r>
    </w:p>
    <w:p w14:paraId="1C19C527" w14:textId="197A37F1" w:rsidR="0076718C" w:rsidRDefault="0076718C" w:rsidP="004D672F">
      <w:pPr>
        <w:pStyle w:val="ListBullet"/>
      </w:pPr>
      <w:r>
        <w:t xml:space="preserve">9% of the total HCP </w:t>
      </w:r>
      <w:r w:rsidR="006173F1">
        <w:t>subsidy</w:t>
      </w:r>
      <w:r>
        <w:t xml:space="preserve"> for Level 2 (ranging between 0% and 25%)</w:t>
      </w:r>
    </w:p>
    <w:p w14:paraId="23AD263D" w14:textId="00C0D625" w:rsidR="0076718C" w:rsidRDefault="0076718C" w:rsidP="004D672F">
      <w:pPr>
        <w:pStyle w:val="ListBullet"/>
      </w:pPr>
      <w:r>
        <w:t xml:space="preserve">7% of the total HCP </w:t>
      </w:r>
      <w:r w:rsidR="006173F1">
        <w:t>subsidy</w:t>
      </w:r>
      <w:r>
        <w:t xml:space="preserve"> for Level 3 (ranging between 0% and 25%)</w:t>
      </w:r>
    </w:p>
    <w:p w14:paraId="6A8D0A7A" w14:textId="00E408C3" w:rsidR="0076718C" w:rsidRDefault="0076718C" w:rsidP="004D672F">
      <w:pPr>
        <w:pStyle w:val="ListBullet"/>
      </w:pPr>
      <w:r>
        <w:t xml:space="preserve">7% of the total HCP </w:t>
      </w:r>
      <w:r w:rsidR="006173F1">
        <w:t>subsidy</w:t>
      </w:r>
      <w:r>
        <w:t xml:space="preserve"> for Level 4 (ranging between 0% and 23%)</w:t>
      </w:r>
    </w:p>
    <w:p w14:paraId="49A4A558" w14:textId="77777777" w:rsidR="00A1180A" w:rsidRDefault="0008690E" w:rsidP="006F3001">
      <w:r>
        <w:t>It is important to note that care management (full or self-managed) is a specific service and not an indirect charge.</w:t>
      </w:r>
    </w:p>
    <w:p w14:paraId="7800F588" w14:textId="6B800FF5" w:rsidR="006F3001" w:rsidRDefault="006F3001" w:rsidP="00211A4F">
      <w:pPr>
        <w:pStyle w:val="Heading3"/>
      </w:pPr>
      <w:r w:rsidRPr="00951DC6">
        <w:lastRenderedPageBreak/>
        <w:t>Package management charges</w:t>
      </w:r>
    </w:p>
    <w:p w14:paraId="57D851C0" w14:textId="209E8602" w:rsidR="006F3001" w:rsidRDefault="006F3001" w:rsidP="006F3001">
      <w:pPr>
        <w:rPr>
          <w:sz w:val="16"/>
          <w:szCs w:val="16"/>
        </w:rPr>
      </w:pPr>
      <w:r>
        <w:rPr>
          <w:noProof/>
        </w:rPr>
        <w:drawing>
          <wp:inline distT="0" distB="0" distL="0" distR="0" wp14:anchorId="7644FA2A" wp14:editId="637CB5C2">
            <wp:extent cx="5357612" cy="2176145"/>
            <wp:effectExtent l="0" t="0" r="0" b="0"/>
            <wp:docPr id="28" name="Picture 28" descr="Distribution of package management charges across all the services for the 100 providers (May 2022 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Distribution of package management charges across all the services for the 100 providers (May 2022 pric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13396" cy="2239421"/>
                    </a:xfrm>
                    <a:prstGeom prst="rect">
                      <a:avLst/>
                    </a:prstGeom>
                    <a:noFill/>
                    <a:ln>
                      <a:noFill/>
                    </a:ln>
                  </pic:spPr>
                </pic:pic>
              </a:graphicData>
            </a:graphic>
          </wp:inline>
        </w:drawing>
      </w:r>
      <w:r w:rsidRPr="00E66822">
        <w:rPr>
          <w:sz w:val="16"/>
          <w:szCs w:val="16"/>
        </w:rPr>
        <w:t xml:space="preserve">Level 1 </w:t>
      </w:r>
      <w:r>
        <w:rPr>
          <w:sz w:val="16"/>
          <w:szCs w:val="16"/>
        </w:rPr>
        <w:t>(n= 1375)</w:t>
      </w:r>
    </w:p>
    <w:p w14:paraId="20C50998" w14:textId="77777777" w:rsidR="006F3001" w:rsidRDefault="006F3001" w:rsidP="006F3001">
      <w:pPr>
        <w:spacing w:after="60"/>
        <w:rPr>
          <w:sz w:val="16"/>
          <w:szCs w:val="16"/>
        </w:rPr>
      </w:pPr>
      <w:r>
        <w:rPr>
          <w:sz w:val="16"/>
          <w:szCs w:val="16"/>
        </w:rPr>
        <w:t>Levels 2, 3 and 4 (n= 1393)</w:t>
      </w:r>
    </w:p>
    <w:p w14:paraId="420DD3B3" w14:textId="53227191" w:rsidR="006F3001" w:rsidRDefault="003450F4" w:rsidP="006F3001">
      <w:pPr>
        <w:jc w:val="center"/>
        <w:rPr>
          <w:b/>
          <w:bCs/>
        </w:rPr>
      </w:pPr>
      <w:r>
        <w:rPr>
          <w:noProof/>
        </w:rPr>
        <w:drawing>
          <wp:inline distT="0" distB="0" distL="0" distR="0" wp14:anchorId="219E5F7A" wp14:editId="7C69AEB9">
            <wp:extent cx="5608027" cy="1262418"/>
            <wp:effectExtent l="0" t="0" r="0" b="0"/>
            <wp:docPr id="49" name="Picture 49" descr="Distribution of package management charges across all the services for the 100 providers (May 2022 prices)&#10;Package management – level 1 – Lowest prices $1, first quartile - $29, median - $35, third quartile - $41, highest price - $104&#10;Package management – level 2 – Lowest prices $18, first quartile - $50, median - $61, third quartile - $77, highest price - $188&#10;Package management – level 3 – Lowest prices $39, first quartile - $105, median - $133, third quartile - $164, highest price - $413&#10;Package management – level 4 – Lowest prices $57, first quartile - $153, median - $201, third quartile - $252, highest price -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istribution of package management charges across all the services for the 100 providers (May 2022 prices)&#10;Package management – level 1 – Lowest prices $1, first quartile - $29, median - $35, third quartile - $41, highest price - $104&#10;Package management – level 2 – Lowest prices $18, first quartile - $50, median - $61, third quartile - $77, highest price - $188&#10;Package management – level 3 – Lowest prices $39, first quartile - $105, median - $133, third quartile - $164, highest price - $413&#10;Package management – level 4 – Lowest prices $57, first quartile - $153, median - $201, third quartile - $252, highest price - $629."/>
                    <pic:cNvPicPr>
                      <a:picLocks noChangeAspect="1" noChangeArrowheads="1"/>
                    </pic:cNvPicPr>
                  </pic:nvPicPr>
                  <pic:blipFill rotWithShape="1">
                    <a:blip r:embed="rId27">
                      <a:extLst>
                        <a:ext uri="{28A0092B-C50C-407E-A947-70E740481C1C}">
                          <a14:useLocalDpi xmlns:a14="http://schemas.microsoft.com/office/drawing/2010/main" val="0"/>
                        </a:ext>
                      </a:extLst>
                    </a:blip>
                    <a:srcRect r="6803" b="57304"/>
                    <a:stretch/>
                  </pic:blipFill>
                  <pic:spPr bwMode="auto">
                    <a:xfrm>
                      <a:off x="0" y="0"/>
                      <a:ext cx="5650479" cy="1271974"/>
                    </a:xfrm>
                    <a:prstGeom prst="rect">
                      <a:avLst/>
                    </a:prstGeom>
                    <a:noFill/>
                    <a:ln>
                      <a:noFill/>
                    </a:ln>
                    <a:extLst>
                      <a:ext uri="{53640926-AAD7-44D8-BBD7-CCE9431645EC}">
                        <a14:shadowObscured xmlns:a14="http://schemas.microsoft.com/office/drawing/2010/main"/>
                      </a:ext>
                    </a:extLst>
                  </pic:spPr>
                </pic:pic>
              </a:graphicData>
            </a:graphic>
          </wp:inline>
        </w:drawing>
      </w:r>
    </w:p>
    <w:p w14:paraId="277F5ECF" w14:textId="77777777" w:rsidR="006F3001" w:rsidRDefault="006F3001" w:rsidP="006F3001">
      <w:pPr>
        <w:spacing w:after="60"/>
      </w:pPr>
      <w:r>
        <w:t xml:space="preserve">Package management charges ranged from: </w:t>
      </w:r>
    </w:p>
    <w:p w14:paraId="5C64EA70" w14:textId="30C37EE0" w:rsidR="006F3001" w:rsidRDefault="006F3001" w:rsidP="00895ADC">
      <w:pPr>
        <w:pStyle w:val="ListBullet"/>
      </w:pPr>
      <w:r>
        <w:t>$1 to $104 for HCP Level 1</w:t>
      </w:r>
    </w:p>
    <w:p w14:paraId="2682B038" w14:textId="56E71A82" w:rsidR="006F3001" w:rsidRDefault="006F3001" w:rsidP="00895ADC">
      <w:pPr>
        <w:pStyle w:val="ListBullet"/>
      </w:pPr>
      <w:r>
        <w:t>$18 to $188 for HCP Level 2</w:t>
      </w:r>
    </w:p>
    <w:p w14:paraId="7EAF0C89" w14:textId="77777777" w:rsidR="006F3001" w:rsidRDefault="006F3001" w:rsidP="00895ADC">
      <w:pPr>
        <w:pStyle w:val="ListBullet"/>
      </w:pPr>
      <w:r>
        <w:t>$39 to $413 for HCP Level 3, and</w:t>
      </w:r>
    </w:p>
    <w:p w14:paraId="1C80ECD1" w14:textId="77777777" w:rsidR="006F3001" w:rsidRDefault="006F3001" w:rsidP="00895ADC">
      <w:pPr>
        <w:pStyle w:val="ListBullet"/>
      </w:pPr>
      <w:r>
        <w:t>$57 to $629 for HCP Level 4.</w:t>
      </w:r>
    </w:p>
    <w:p w14:paraId="7B2DD7B5" w14:textId="77777777" w:rsidR="00A1180A" w:rsidRDefault="006F3001" w:rsidP="006F3001">
      <w:r>
        <w:t>Price range for package management also increase</w:t>
      </w:r>
      <w:r w:rsidR="00C417B5">
        <w:t>s</w:t>
      </w:r>
      <w:r>
        <w:t xml:space="preserve"> as the HCP levels increased. HCP Level 4 has the widest range with care recipients being charged between $57 and $629, across the 100 </w:t>
      </w:r>
      <w:r w:rsidR="002F1370">
        <w:t>p</w:t>
      </w:r>
      <w:r>
        <w:t>roviders reviewed. Contributing factors discussed under fully managed care management also apply to package management charges. Unlike fully managed and self-managed care management charges, minimum charges for package management increase from HCP Level 1 ($1) to HCP Level 4 ($57).</w:t>
      </w:r>
    </w:p>
    <w:p w14:paraId="40864BD4" w14:textId="5F0FC60D" w:rsidR="0076718C" w:rsidRDefault="0076718C" w:rsidP="005911B5">
      <w:pPr>
        <w:keepNext/>
      </w:pPr>
      <w:bookmarkStart w:id="11" w:name="_Hlk107128929"/>
      <w:r>
        <w:lastRenderedPageBreak/>
        <w:t>On average, package management charges (in May 2022) represented:</w:t>
      </w:r>
    </w:p>
    <w:p w14:paraId="7B17E4AB" w14:textId="4730C09C" w:rsidR="0076718C" w:rsidRDefault="0076718C" w:rsidP="00895ADC">
      <w:pPr>
        <w:pStyle w:val="ListBullet"/>
      </w:pPr>
      <w:r>
        <w:t xml:space="preserve">10% of the total HCP </w:t>
      </w:r>
      <w:r w:rsidR="006173F1">
        <w:t>subsidy</w:t>
      </w:r>
      <w:r w:rsidR="006173F1" w:rsidDel="006173F1">
        <w:t xml:space="preserve"> </w:t>
      </w:r>
      <w:r>
        <w:t>for Level 1 (ranging between 0.3%</w:t>
      </w:r>
      <w:r w:rsidR="006B3480">
        <w:rPr>
          <w:rStyle w:val="FootnoteReference"/>
        </w:rPr>
        <w:footnoteReference w:id="13"/>
      </w:r>
      <w:r>
        <w:t xml:space="preserve"> and 30%)</w:t>
      </w:r>
    </w:p>
    <w:p w14:paraId="5EAC8076" w14:textId="345A069C" w:rsidR="0076718C" w:rsidRDefault="0076718C" w:rsidP="00895ADC">
      <w:pPr>
        <w:pStyle w:val="ListBullet"/>
      </w:pPr>
      <w:r>
        <w:t xml:space="preserve">11% of the total HCP </w:t>
      </w:r>
      <w:r w:rsidR="006173F1">
        <w:t>subsidy</w:t>
      </w:r>
      <w:r>
        <w:t xml:space="preserve"> for Level 2 (ranging between 3% and 31%)</w:t>
      </w:r>
    </w:p>
    <w:p w14:paraId="1AC910F3" w14:textId="7CBC6968" w:rsidR="0076718C" w:rsidRDefault="0076718C" w:rsidP="00895ADC">
      <w:pPr>
        <w:pStyle w:val="ListBullet"/>
      </w:pPr>
      <w:r>
        <w:t xml:space="preserve">10% of the total HCP </w:t>
      </w:r>
      <w:r w:rsidR="006173F1">
        <w:t>subsidy</w:t>
      </w:r>
      <w:r>
        <w:t xml:space="preserve"> for Level 3 (ranging between 3% and 31%)</w:t>
      </w:r>
      <w:r w:rsidR="00685BAE">
        <w:t>, and</w:t>
      </w:r>
    </w:p>
    <w:p w14:paraId="191B7D2E" w14:textId="6324B9B5" w:rsidR="0076718C" w:rsidRDefault="0076718C" w:rsidP="00895ADC">
      <w:pPr>
        <w:pStyle w:val="ListBullet"/>
      </w:pPr>
      <w:r>
        <w:t xml:space="preserve">10% of the total HCP </w:t>
      </w:r>
      <w:r w:rsidR="006173F1">
        <w:t>subsidy</w:t>
      </w:r>
      <w:r>
        <w:t xml:space="preserve"> for Level 4 (ranging between 3% and 31%)</w:t>
      </w:r>
    </w:p>
    <w:bookmarkEnd w:id="11"/>
    <w:p w14:paraId="61E73F7A" w14:textId="77777777" w:rsidR="00A1180A" w:rsidRDefault="005E4BD8" w:rsidP="006E10B0">
      <w:r>
        <w:t xml:space="preserve">Package management is not the only indirect charge applicable. Based on the Review’s findings, it is likely that most care recipients also pay other indirect charges such as staff travel to the HCP address and third-party invoice processing surcharges. As such, the total cost of indirect charges to </w:t>
      </w:r>
      <w:proofErr w:type="gramStart"/>
      <w:r>
        <w:t>a</w:t>
      </w:r>
      <w:proofErr w:type="gramEnd"/>
      <w:r>
        <w:t xml:space="preserve"> HCP package would be higher than just the package management charges listed here.</w:t>
      </w:r>
    </w:p>
    <w:p w14:paraId="187CE45F" w14:textId="5077C115" w:rsidR="00965D17" w:rsidRPr="00716ED0" w:rsidRDefault="00965D17" w:rsidP="006E10B0">
      <w:r>
        <w:t xml:space="preserve">In addition to the above </w:t>
      </w:r>
      <w:r w:rsidR="00635346">
        <w:t>(</w:t>
      </w:r>
      <w:r w:rsidR="00AD7F24">
        <w:t>s</w:t>
      </w:r>
      <w:r w:rsidR="00635346">
        <w:t xml:space="preserve">ervice level) </w:t>
      </w:r>
      <w:r>
        <w:t xml:space="preserve">analysis, </w:t>
      </w:r>
      <w:r w:rsidR="009C6111">
        <w:t xml:space="preserve">the distribution of </w:t>
      </w:r>
      <w:r w:rsidR="009C6111" w:rsidRPr="00951DC6">
        <w:t>median</w:t>
      </w:r>
      <w:r w:rsidR="009C6111">
        <w:t xml:space="preserve"> fortnightly charges for the 100 </w:t>
      </w:r>
      <w:r w:rsidR="009B62FA">
        <w:t>p</w:t>
      </w:r>
      <w:r w:rsidR="009C6111">
        <w:t xml:space="preserve">roviders reviewed </w:t>
      </w:r>
      <w:r w:rsidR="00635346">
        <w:t>(</w:t>
      </w:r>
      <w:r w:rsidR="009B62FA">
        <w:t>p</w:t>
      </w:r>
      <w:r w:rsidR="00635346">
        <w:t xml:space="preserve">rovider level) </w:t>
      </w:r>
      <w:r w:rsidR="009C6111">
        <w:t xml:space="preserve">is presented at </w:t>
      </w:r>
      <w:hyperlink w:anchor="_Attachment_B:_Distribution" w:history="1">
        <w:r w:rsidR="007718FD" w:rsidRPr="005911B5">
          <w:rPr>
            <w:rStyle w:val="Hyperlink"/>
          </w:rPr>
          <w:t>Attachment B</w:t>
        </w:r>
      </w:hyperlink>
      <w:r w:rsidR="007718FD" w:rsidRPr="005911B5">
        <w:t>.</w:t>
      </w:r>
      <w:r w:rsidR="00716ED0" w:rsidRPr="005911B5">
        <w:t xml:space="preserve"> </w:t>
      </w:r>
      <w:r w:rsidR="00716ED0">
        <w:t xml:space="preserve">This is to facilitate pricing comparison across the 100 </w:t>
      </w:r>
      <w:r w:rsidR="009B62FA">
        <w:t>p</w:t>
      </w:r>
      <w:r w:rsidR="00716ED0">
        <w:t xml:space="preserve">roviders </w:t>
      </w:r>
      <w:r w:rsidR="009773AB">
        <w:t xml:space="preserve">(not individually identified in this Report) </w:t>
      </w:r>
      <w:r w:rsidR="00716ED0">
        <w:t xml:space="preserve">and understand the number of providers that sit in the different quartile ranges from lowest median price to highest median price. As there are </w:t>
      </w:r>
      <w:r w:rsidR="00716ED0" w:rsidRPr="00716ED0">
        <w:t>approximately 1,</w:t>
      </w:r>
      <w:r w:rsidR="00716ED0">
        <w:t>400</w:t>
      </w:r>
      <w:r w:rsidR="00716ED0" w:rsidRPr="00716ED0">
        <w:t xml:space="preserve"> </w:t>
      </w:r>
      <w:r w:rsidR="009B62FA">
        <w:t>s</w:t>
      </w:r>
      <w:r w:rsidR="00716ED0" w:rsidRPr="00716ED0">
        <w:t xml:space="preserve">ervices across the 100 </w:t>
      </w:r>
      <w:r w:rsidR="009B62FA">
        <w:t>p</w:t>
      </w:r>
      <w:r w:rsidR="00716ED0" w:rsidRPr="00716ED0">
        <w:t>roviders on My Aged Care</w:t>
      </w:r>
      <w:r w:rsidR="00716ED0">
        <w:t>,</w:t>
      </w:r>
      <w:r w:rsidR="00716ED0" w:rsidRPr="00716ED0">
        <w:t xml:space="preserve"> </w:t>
      </w:r>
      <w:r w:rsidR="00716ED0">
        <w:t>m</w:t>
      </w:r>
      <w:r w:rsidR="00716ED0" w:rsidRPr="00716ED0">
        <w:t xml:space="preserve">edian prices for each service type and level </w:t>
      </w:r>
      <w:r w:rsidR="00716ED0">
        <w:t>we</w:t>
      </w:r>
      <w:r w:rsidR="00716ED0" w:rsidRPr="00716ED0">
        <w:t xml:space="preserve">re derived for each of the 100 </w:t>
      </w:r>
      <w:r w:rsidR="009B62FA">
        <w:t>p</w:t>
      </w:r>
      <w:r w:rsidR="00716ED0" w:rsidRPr="00716ED0">
        <w:t>roviders to form the distributions</w:t>
      </w:r>
      <w:r w:rsidR="00716ED0">
        <w:t xml:space="preserve">. Please refer to </w:t>
      </w:r>
      <w:hyperlink w:anchor="_Attachment_B:_Distribution" w:history="1">
        <w:r w:rsidR="00716ED0" w:rsidRPr="005911B5">
          <w:rPr>
            <w:rStyle w:val="Hyperlink"/>
          </w:rPr>
          <w:t>Attachment B</w:t>
        </w:r>
      </w:hyperlink>
      <w:r w:rsidR="00716ED0">
        <w:t xml:space="preserve"> for this comparison.</w:t>
      </w:r>
    </w:p>
    <w:p w14:paraId="04B30481" w14:textId="24C92536" w:rsidR="00203CFC" w:rsidRPr="00951DC6" w:rsidRDefault="00203CFC" w:rsidP="00895ADC">
      <w:pPr>
        <w:pStyle w:val="Heading2"/>
      </w:pPr>
      <w:bookmarkStart w:id="12" w:name="_Toc111803154"/>
      <w:r w:rsidRPr="00951DC6">
        <w:t>Pricing methodologies</w:t>
      </w:r>
      <w:bookmarkEnd w:id="12"/>
      <w:r w:rsidR="00823B03" w:rsidRPr="006F2BC0">
        <w:t xml:space="preserve"> </w:t>
      </w:r>
    </w:p>
    <w:p w14:paraId="31673AB1" w14:textId="77777777" w:rsidR="00A1180A" w:rsidRDefault="00C72549" w:rsidP="00C9092E">
      <w:bookmarkStart w:id="13" w:name="_Hlk105507248"/>
      <w:r>
        <w:t>T</w:t>
      </w:r>
      <w:r w:rsidRPr="001B7D64">
        <w:t xml:space="preserve">he </w:t>
      </w:r>
      <w:r w:rsidR="00203CFC" w:rsidRPr="001B7D64">
        <w:t xml:space="preserve">Review found that </w:t>
      </w:r>
      <w:r w:rsidR="002D1710">
        <w:t>some</w:t>
      </w:r>
      <w:r w:rsidR="002D1710" w:rsidRPr="001B7D64">
        <w:t xml:space="preserve"> </w:t>
      </w:r>
      <w:r w:rsidR="00203CFC" w:rsidRPr="001B7D64">
        <w:t xml:space="preserve">HCP </w:t>
      </w:r>
      <w:r w:rsidR="006536EA">
        <w:t>p</w:t>
      </w:r>
      <w:r w:rsidR="00203CFC" w:rsidRPr="001B7D64">
        <w:t>roviders ha</w:t>
      </w:r>
      <w:r w:rsidR="004C4C2A" w:rsidRPr="001B7D64">
        <w:t>ve</w:t>
      </w:r>
      <w:r w:rsidR="00203CFC" w:rsidRPr="001B7D64">
        <w:t xml:space="preserve"> </w:t>
      </w:r>
      <w:r w:rsidR="00125086">
        <w:t>basic</w:t>
      </w:r>
      <w:r w:rsidR="00203CFC" w:rsidRPr="001B7D64">
        <w:t xml:space="preserve"> pricing methodologies</w:t>
      </w:r>
      <w:r w:rsidR="00C03545">
        <w:t>. T</w:t>
      </w:r>
      <w:r w:rsidR="004C4C2A" w:rsidRPr="001B7D64">
        <w:t xml:space="preserve">heir approach is </w:t>
      </w:r>
      <w:r w:rsidR="00203CFC" w:rsidRPr="001B7D64">
        <w:t xml:space="preserve">based on either market comparison or increasing </w:t>
      </w:r>
      <w:r w:rsidR="004C4C2A" w:rsidRPr="001B7D64">
        <w:t xml:space="preserve">charges </w:t>
      </w:r>
      <w:r w:rsidR="00203CFC" w:rsidRPr="001B7D64">
        <w:t>annually to cover increasing costs</w:t>
      </w:r>
      <w:bookmarkEnd w:id="13"/>
      <w:r w:rsidR="00203CFC" w:rsidRPr="001B7D64">
        <w:t xml:space="preserve">. </w:t>
      </w:r>
      <w:r w:rsidR="00790531">
        <w:t>A</w:t>
      </w:r>
      <w:r w:rsidR="0090069D">
        <w:t xml:space="preserve"> f</w:t>
      </w:r>
      <w:r w:rsidR="00203CFC" w:rsidRPr="001B7D64">
        <w:t xml:space="preserve">ew HCP </w:t>
      </w:r>
      <w:r w:rsidR="006536EA">
        <w:t>p</w:t>
      </w:r>
      <w:r w:rsidR="00203CFC" w:rsidRPr="001B7D64">
        <w:t>roviders were able to demonstrate more mature methodologies for determining charges</w:t>
      </w:r>
      <w:r w:rsidR="0090069D">
        <w:t>, such as</w:t>
      </w:r>
      <w:r w:rsidR="00C9092E" w:rsidRPr="001B7D64">
        <w:rPr>
          <w:lang w:eastAsia="en-US"/>
        </w:rPr>
        <w:t xml:space="preserve"> considering both components of cost to deliver as well as market pricing.</w:t>
      </w:r>
      <w:r w:rsidR="0005705F" w:rsidRPr="001B7D64">
        <w:rPr>
          <w:lang w:eastAsia="en-US"/>
        </w:rPr>
        <w:t xml:space="preserve"> </w:t>
      </w:r>
      <w:r w:rsidR="00790531">
        <w:t xml:space="preserve">Only a small number of </w:t>
      </w:r>
      <w:r w:rsidR="00790531">
        <w:rPr>
          <w:rFonts w:eastAsia="Times New Roman"/>
        </w:rPr>
        <w:t>p</w:t>
      </w:r>
      <w:r w:rsidR="00790531" w:rsidRPr="00A96E75">
        <w:rPr>
          <w:rFonts w:eastAsia="Times New Roman"/>
        </w:rPr>
        <w:t>rovider</w:t>
      </w:r>
      <w:r w:rsidR="00790531">
        <w:rPr>
          <w:rFonts w:eastAsia="Times New Roman"/>
        </w:rPr>
        <w:t xml:space="preserve">s determined charges </w:t>
      </w:r>
      <w:proofErr w:type="gramStart"/>
      <w:r w:rsidR="00790531">
        <w:rPr>
          <w:rFonts w:eastAsia="Times New Roman"/>
        </w:rPr>
        <w:t>through the use of</w:t>
      </w:r>
      <w:proofErr w:type="gramEnd"/>
      <w:r w:rsidR="00790531">
        <w:rPr>
          <w:rFonts w:eastAsia="Times New Roman"/>
        </w:rPr>
        <w:t xml:space="preserve"> </w:t>
      </w:r>
      <w:r w:rsidR="00790531" w:rsidRPr="00A96E75">
        <w:rPr>
          <w:rFonts w:eastAsia="Times New Roman"/>
        </w:rPr>
        <w:t xml:space="preserve">financial modelling incorporating projected revenue. </w:t>
      </w:r>
    </w:p>
    <w:p w14:paraId="14DAF3A2" w14:textId="77777777" w:rsidR="00A1180A" w:rsidRDefault="007E33CB" w:rsidP="00C9092E">
      <w:r>
        <w:rPr>
          <w:rFonts w:eastAsia="Times New Roman"/>
        </w:rPr>
        <w:t>S</w:t>
      </w:r>
      <w:r w:rsidR="00662629">
        <w:rPr>
          <w:lang w:eastAsia="en-US"/>
        </w:rPr>
        <w:t>ome of the</w:t>
      </w:r>
      <w:r w:rsidR="0090069D">
        <w:rPr>
          <w:lang w:eastAsia="en-US"/>
        </w:rPr>
        <w:t xml:space="preserve"> reviewed providers </w:t>
      </w:r>
      <w:r w:rsidR="0005705F" w:rsidRPr="001B7D64">
        <w:rPr>
          <w:lang w:eastAsia="en-US"/>
        </w:rPr>
        <w:t>include</w:t>
      </w:r>
      <w:r w:rsidR="00BB0D93">
        <w:rPr>
          <w:lang w:eastAsia="en-US"/>
        </w:rPr>
        <w:t>d</w:t>
      </w:r>
      <w:r w:rsidR="0005705F" w:rsidRPr="001B7D64">
        <w:rPr>
          <w:lang w:eastAsia="en-US"/>
        </w:rPr>
        <w:t xml:space="preserve"> their indirect charges in their </w:t>
      </w:r>
      <w:r w:rsidR="00790531">
        <w:rPr>
          <w:lang w:eastAsia="en-US"/>
        </w:rPr>
        <w:t xml:space="preserve">charge for </w:t>
      </w:r>
      <w:r w:rsidR="0005705F" w:rsidRPr="001B7D64">
        <w:t>common service</w:t>
      </w:r>
      <w:r w:rsidR="00F33829">
        <w:t>s</w:t>
      </w:r>
      <w:r w:rsidR="00662629">
        <w:t xml:space="preserve">. </w:t>
      </w:r>
      <w:r w:rsidR="0005705F" w:rsidRPr="001B7D64">
        <w:t>They calculate</w:t>
      </w:r>
      <w:r w:rsidR="00BB0D93">
        <w:t>d</w:t>
      </w:r>
      <w:r w:rsidR="0005705F" w:rsidRPr="001B7D64">
        <w:t xml:space="preserve"> this by including staff costs (such as carer wages, </w:t>
      </w:r>
      <w:r w:rsidR="0005705F" w:rsidRPr="001B7D64">
        <w:lastRenderedPageBreak/>
        <w:t>superannuation, payroll tax, and workers compensation)</w:t>
      </w:r>
      <w:r w:rsidR="001F50B1">
        <w:t>,</w:t>
      </w:r>
      <w:r w:rsidR="0005705F" w:rsidRPr="001B7D64">
        <w:t xml:space="preserve"> overheads (business costs </w:t>
      </w:r>
      <w:r w:rsidR="001F50B1">
        <w:t>such as</w:t>
      </w:r>
      <w:r w:rsidR="0005705F" w:rsidRPr="001B7D64">
        <w:t xml:space="preserve"> business insurance) and regulatory costs</w:t>
      </w:r>
      <w:r w:rsidR="002D2EA2">
        <w:t>.</w:t>
      </w:r>
    </w:p>
    <w:p w14:paraId="62729B18" w14:textId="60436733" w:rsidR="00DE11A7" w:rsidRDefault="00DE11A7" w:rsidP="00C9092E">
      <w:r>
        <w:t xml:space="preserve">While the Review team acknowledges that a pricing methodology is not a program requirement, it was important to review this aspect to understand how providers determine charges in what is a competitive market. </w:t>
      </w:r>
    </w:p>
    <w:p w14:paraId="627F967E" w14:textId="77777777" w:rsidR="00AB7A77" w:rsidRPr="00951DC6" w:rsidRDefault="00AB7A77" w:rsidP="00895ADC">
      <w:pPr>
        <w:pStyle w:val="Heading2"/>
      </w:pPr>
      <w:bookmarkStart w:id="14" w:name="_Toc111803155"/>
      <w:r w:rsidRPr="00951DC6">
        <w:t>Pricing transparency is sub-optimal</w:t>
      </w:r>
      <w:bookmarkEnd w:id="14"/>
    </w:p>
    <w:p w14:paraId="1D18D08E" w14:textId="174822C9" w:rsidR="00AB7A77" w:rsidRPr="00951DC6" w:rsidRDefault="00AB7A77" w:rsidP="00895ADC">
      <w:pPr>
        <w:pStyle w:val="Heading3"/>
      </w:pPr>
      <w:r w:rsidRPr="00951DC6">
        <w:t>Review findings</w:t>
      </w:r>
    </w:p>
    <w:p w14:paraId="4AD0D8B3" w14:textId="77777777" w:rsidR="00A1180A" w:rsidRDefault="00A70C1F" w:rsidP="00951DC6">
      <w:pPr>
        <w:pStyle w:val="ListParagraph"/>
        <w:ind w:left="0"/>
      </w:pPr>
      <w:r>
        <w:t xml:space="preserve">The Review </w:t>
      </w:r>
      <w:r w:rsidR="00685BAE">
        <w:t xml:space="preserve">team </w:t>
      </w:r>
      <w:r w:rsidR="00BB0D93">
        <w:t xml:space="preserve">noted with </w:t>
      </w:r>
      <w:r>
        <w:t>concern the sub-optimal pricing transparency</w:t>
      </w:r>
      <w:r w:rsidRPr="009B4CAE">
        <w:rPr>
          <w:rStyle w:val="FootnoteReference"/>
        </w:rPr>
        <w:footnoteReference w:id="14"/>
      </w:r>
      <w:r>
        <w:t xml:space="preserve"> </w:t>
      </w:r>
      <w:r w:rsidR="00BB0D93">
        <w:t>o</w:t>
      </w:r>
      <w:r>
        <w:t>f many providers</w:t>
      </w:r>
      <w:r w:rsidR="009B5A4E">
        <w:t>. Pricing transparency is integral to supporting care recipients to exercise effective choice and control</w:t>
      </w:r>
      <w:r w:rsidR="00BB0D93">
        <w:t xml:space="preserve"> </w:t>
      </w:r>
      <w:r w:rsidR="00C743DA">
        <w:t>over</w:t>
      </w:r>
      <w:r w:rsidR="00BB0D93">
        <w:t xml:space="preserve"> the level of care that they receive</w:t>
      </w:r>
      <w:r w:rsidR="009B5A4E">
        <w:t xml:space="preserve">. Care recipients should have </w:t>
      </w:r>
      <w:r w:rsidR="00BB0D93">
        <w:t xml:space="preserve">complete </w:t>
      </w:r>
      <w:r w:rsidR="009B5A4E">
        <w:t xml:space="preserve">and correct information, </w:t>
      </w:r>
      <w:r w:rsidR="00BB0D93">
        <w:t xml:space="preserve">which is </w:t>
      </w:r>
      <w:r w:rsidR="009B5A4E">
        <w:t>easily understandable and comparable across all providers for the same types of charges. This was not always the case as eviden</w:t>
      </w:r>
      <w:r w:rsidR="00685BAE">
        <w:t>ced</w:t>
      </w:r>
      <w:r w:rsidR="00BB0D93">
        <w:t xml:space="preserve"> </w:t>
      </w:r>
      <w:r w:rsidR="00F37444">
        <w:t>from</w:t>
      </w:r>
      <w:r w:rsidR="009B5A4E">
        <w:t xml:space="preserve"> the following findings:</w:t>
      </w:r>
    </w:p>
    <w:p w14:paraId="484C00C1" w14:textId="2EC15B1B" w:rsidR="00AB7A77" w:rsidRDefault="00AB7A77" w:rsidP="00951DC6">
      <w:pPr>
        <w:pStyle w:val="ListParagraph"/>
        <w:numPr>
          <w:ilvl w:val="0"/>
          <w:numId w:val="6"/>
        </w:numPr>
      </w:pPr>
      <w:r w:rsidRPr="00951DC6">
        <w:rPr>
          <w:i/>
        </w:rPr>
        <w:t xml:space="preserve">Pricing schedules </w:t>
      </w:r>
      <w:proofErr w:type="gramStart"/>
      <w:r w:rsidRPr="00951DC6">
        <w:rPr>
          <w:i/>
        </w:rPr>
        <w:t xml:space="preserve">not </w:t>
      </w:r>
      <w:r w:rsidR="00662629" w:rsidRPr="00951DC6">
        <w:rPr>
          <w:i/>
        </w:rPr>
        <w:t>reviewed</w:t>
      </w:r>
      <w:proofErr w:type="gramEnd"/>
      <w:r w:rsidRPr="009B4CAE">
        <w:t xml:space="preserve"> </w:t>
      </w:r>
      <w:r w:rsidRPr="00951DC6">
        <w:rPr>
          <w:i/>
        </w:rPr>
        <w:t>every 12 months</w:t>
      </w:r>
      <w:r w:rsidR="00C743DA">
        <w:t xml:space="preserve"> </w:t>
      </w:r>
      <w:r w:rsidR="001B6E42">
        <w:t>–</w:t>
      </w:r>
      <w:r w:rsidR="00C743DA">
        <w:t xml:space="preserve"> </w:t>
      </w:r>
      <w:r w:rsidRPr="009B4CAE">
        <w:t xml:space="preserve">as </w:t>
      </w:r>
      <w:r w:rsidR="00E31BE4">
        <w:t xml:space="preserve">required under section 19D of the User Rights Principles </w:t>
      </w:r>
      <w:r w:rsidR="00944A8B">
        <w:t xml:space="preserve">2014 </w:t>
      </w:r>
      <w:r w:rsidRPr="009B4CAE">
        <w:t>[</w:t>
      </w:r>
      <w:r w:rsidR="00685BAE">
        <w:t xml:space="preserve">Note </w:t>
      </w:r>
      <w:r w:rsidRPr="009B4CAE">
        <w:t xml:space="preserve">some providers have </w:t>
      </w:r>
      <w:r w:rsidR="009D3017">
        <w:t>reviewed/</w:t>
      </w:r>
      <w:r w:rsidRPr="009B4CAE">
        <w:t>updated their pricing schedules since engaging with the Review team]</w:t>
      </w:r>
      <w:r w:rsidR="008F50FE" w:rsidRPr="009B4CAE">
        <w:t>.</w:t>
      </w:r>
    </w:p>
    <w:p w14:paraId="5AF31BD8" w14:textId="660F397E" w:rsidR="0075168B" w:rsidRPr="009B4CAE" w:rsidRDefault="0075168B" w:rsidP="00951DC6">
      <w:pPr>
        <w:pStyle w:val="ListParagraph"/>
        <w:numPr>
          <w:ilvl w:val="0"/>
          <w:numId w:val="6"/>
        </w:numPr>
      </w:pPr>
      <w:r w:rsidRPr="00951DC6">
        <w:rPr>
          <w:i/>
        </w:rPr>
        <w:t>Applicable pricing schedules not attached</w:t>
      </w:r>
      <w:r w:rsidR="00023D87" w:rsidRPr="00951DC6">
        <w:rPr>
          <w:i/>
        </w:rPr>
        <w:t xml:space="preserve"> </w:t>
      </w:r>
      <w:r w:rsidRPr="009B4CAE">
        <w:t xml:space="preserve">to some sampled </w:t>
      </w:r>
      <w:r w:rsidR="00BF6E69" w:rsidRPr="009B4CAE">
        <w:t>Home Care Agreements</w:t>
      </w:r>
      <w:r w:rsidRPr="009B4CAE">
        <w:t xml:space="preserve">. </w:t>
      </w:r>
    </w:p>
    <w:p w14:paraId="26C5D76A" w14:textId="58D605CE" w:rsidR="00AB7A77" w:rsidRPr="009B4CAE" w:rsidRDefault="00AB7A77" w:rsidP="00951DC6">
      <w:pPr>
        <w:pStyle w:val="ListParagraph"/>
        <w:numPr>
          <w:ilvl w:val="0"/>
          <w:numId w:val="6"/>
        </w:numPr>
      </w:pPr>
      <w:r w:rsidRPr="00951DC6">
        <w:rPr>
          <w:i/>
        </w:rPr>
        <w:t xml:space="preserve">Providers claim N/A or $0 </w:t>
      </w:r>
      <w:r w:rsidR="008F50FE" w:rsidRPr="00951DC6">
        <w:rPr>
          <w:i/>
        </w:rPr>
        <w:t>for some charges</w:t>
      </w:r>
      <w:r w:rsidR="00BC2088">
        <w:t xml:space="preserve"> </w:t>
      </w:r>
      <w:r w:rsidR="001B6E42">
        <w:t>–</w:t>
      </w:r>
      <w:r w:rsidR="00E71473">
        <w:t xml:space="preserve"> </w:t>
      </w:r>
      <w:r w:rsidR="00BC2088">
        <w:t>noting</w:t>
      </w:r>
      <w:r w:rsidR="008F50FE" w:rsidRPr="009B4CAE">
        <w:t xml:space="preserve"> this could be because such costs are covered through other charges or the hourly rate for direct services.</w:t>
      </w:r>
    </w:p>
    <w:p w14:paraId="666A06BF" w14:textId="766C487D" w:rsidR="008F50FE" w:rsidRPr="009B4CAE" w:rsidRDefault="005B7661" w:rsidP="00951DC6">
      <w:pPr>
        <w:pStyle w:val="ListParagraph"/>
        <w:numPr>
          <w:ilvl w:val="0"/>
          <w:numId w:val="6"/>
        </w:numPr>
      </w:pPr>
      <w:r w:rsidRPr="00951DC6">
        <w:rPr>
          <w:i/>
        </w:rPr>
        <w:t>C</w:t>
      </w:r>
      <w:r w:rsidR="00AB7A77" w:rsidRPr="00951DC6">
        <w:rPr>
          <w:i/>
        </w:rPr>
        <w:t>harges</w:t>
      </w:r>
      <w:r w:rsidR="00500FB8" w:rsidRPr="00951DC6">
        <w:rPr>
          <w:i/>
        </w:rPr>
        <w:t xml:space="preserve"> </w:t>
      </w:r>
      <w:r w:rsidRPr="00951DC6">
        <w:rPr>
          <w:i/>
        </w:rPr>
        <w:t xml:space="preserve">not listed </w:t>
      </w:r>
      <w:r w:rsidR="00500FB8" w:rsidRPr="00951DC6">
        <w:rPr>
          <w:i/>
        </w:rPr>
        <w:t>clearly</w:t>
      </w:r>
      <w:r w:rsidR="00500FB8">
        <w:t xml:space="preserve"> </w:t>
      </w:r>
      <w:r w:rsidR="001B6E42">
        <w:t>–</w:t>
      </w:r>
      <w:r w:rsidR="00500FB8">
        <w:t xml:space="preserve"> s</w:t>
      </w:r>
      <w:r w:rsidR="00AB7A77" w:rsidRPr="009B4CAE">
        <w:t xml:space="preserve">uch as </w:t>
      </w:r>
      <w:r w:rsidR="0075168B">
        <w:t xml:space="preserve">the full cost of </w:t>
      </w:r>
      <w:r w:rsidR="00AB7A77" w:rsidRPr="009B4CAE">
        <w:t>care or package management</w:t>
      </w:r>
      <w:r w:rsidR="008F50FE" w:rsidRPr="009B4CAE">
        <w:t>.</w:t>
      </w:r>
    </w:p>
    <w:p w14:paraId="0EE5B52F" w14:textId="4CF08E82" w:rsidR="00AB7A77" w:rsidRPr="009B4CAE" w:rsidRDefault="005B7661" w:rsidP="00951DC6">
      <w:pPr>
        <w:pStyle w:val="ListParagraph"/>
        <w:numPr>
          <w:ilvl w:val="0"/>
          <w:numId w:val="6"/>
        </w:numPr>
      </w:pPr>
      <w:r w:rsidRPr="00951DC6">
        <w:rPr>
          <w:i/>
        </w:rPr>
        <w:t>Not listing all charges</w:t>
      </w:r>
      <w:r w:rsidR="00500FB8">
        <w:t xml:space="preserve"> </w:t>
      </w:r>
      <w:r w:rsidR="001B6E42">
        <w:t>–</w:t>
      </w:r>
      <w:r w:rsidR="00500FB8">
        <w:t xml:space="preserve"> s</w:t>
      </w:r>
      <w:r w:rsidR="00500FB8" w:rsidRPr="009B4CAE">
        <w:t>ome information was only available to the Review team</w:t>
      </w:r>
      <w:r>
        <w:t xml:space="preserve"> and was not </w:t>
      </w:r>
      <w:r w:rsidR="00500FB8" w:rsidRPr="009B4CAE">
        <w:t>on the published My Aged Care pricing schedules</w:t>
      </w:r>
      <w:r>
        <w:t>/</w:t>
      </w:r>
      <w:r w:rsidR="00500FB8" w:rsidRPr="009B4CAE">
        <w:t xml:space="preserve">providers </w:t>
      </w:r>
      <w:r w:rsidR="00FD5ABC" w:rsidRPr="009B4CAE">
        <w:t>website</w:t>
      </w:r>
      <w:r w:rsidR="00FD5ABC">
        <w:t xml:space="preserve"> or</w:t>
      </w:r>
      <w:r w:rsidR="00500FB8" w:rsidRPr="009B4CAE">
        <w:t xml:space="preserve"> was not easily </w:t>
      </w:r>
      <w:r w:rsidR="00685BAE">
        <w:t>located</w:t>
      </w:r>
      <w:r w:rsidR="00500FB8" w:rsidRPr="009B4CAE">
        <w:t xml:space="preserve"> on the provider’s website. </w:t>
      </w:r>
      <w:r w:rsidR="00500FB8">
        <w:t xml:space="preserve">For example, exit amounts were not in </w:t>
      </w:r>
      <w:r w:rsidR="0075168B">
        <w:t xml:space="preserve">some </w:t>
      </w:r>
      <w:r w:rsidR="00500FB8">
        <w:t>providers</w:t>
      </w:r>
      <w:r w:rsidR="007A5B9D">
        <w:t>’</w:t>
      </w:r>
      <w:r w:rsidR="00500FB8">
        <w:t xml:space="preserve"> </w:t>
      </w:r>
      <w:r w:rsidR="00AB7A77" w:rsidRPr="009B4CAE">
        <w:t xml:space="preserve">pricing schedules but </w:t>
      </w:r>
      <w:r w:rsidR="004B4C53">
        <w:t>were</w:t>
      </w:r>
      <w:r w:rsidR="00AB7A77" w:rsidRPr="009B4CAE">
        <w:t xml:space="preserve"> charged</w:t>
      </w:r>
      <w:r w:rsidR="00EB6B13" w:rsidRPr="009B4CAE">
        <w:t>.</w:t>
      </w:r>
      <w:r w:rsidR="00E950C4">
        <w:t xml:space="preserve"> Providers are reminded they cannot charge this if not listed in the pricing schedule.</w:t>
      </w:r>
    </w:p>
    <w:p w14:paraId="0370450F" w14:textId="350AE965" w:rsidR="00EB6B13" w:rsidRPr="009B4CAE" w:rsidRDefault="00500FB8" w:rsidP="00951DC6">
      <w:pPr>
        <w:pStyle w:val="ListParagraph"/>
        <w:numPr>
          <w:ilvl w:val="0"/>
          <w:numId w:val="6"/>
        </w:numPr>
      </w:pPr>
      <w:r w:rsidRPr="00951DC6">
        <w:rPr>
          <w:i/>
        </w:rPr>
        <w:t xml:space="preserve">Waiving of some charges </w:t>
      </w:r>
      <w:r w:rsidR="0000670F" w:rsidRPr="00951DC6">
        <w:rPr>
          <w:i/>
        </w:rPr>
        <w:t xml:space="preserve">appeared </w:t>
      </w:r>
      <w:r w:rsidRPr="00951DC6">
        <w:rPr>
          <w:i/>
        </w:rPr>
        <w:t>discretionary</w:t>
      </w:r>
      <w:r>
        <w:t xml:space="preserve"> </w:t>
      </w:r>
      <w:r w:rsidR="001B6E42">
        <w:t>–</w:t>
      </w:r>
      <w:r>
        <w:t xml:space="preserve"> s</w:t>
      </w:r>
      <w:r w:rsidR="00EB6B13" w:rsidRPr="009B4CAE">
        <w:t>ome charges were applied/waived at the discretion of a staff member, but it was not evident to the Review team whether there w</w:t>
      </w:r>
      <w:r w:rsidR="004B4C53">
        <w:t>ere</w:t>
      </w:r>
      <w:r w:rsidR="00EB6B13" w:rsidRPr="009B4CAE">
        <w:t xml:space="preserve"> standard operating procedures</w:t>
      </w:r>
      <w:r w:rsidR="00E81E86">
        <w:t xml:space="preserve"> or governance</w:t>
      </w:r>
      <w:r w:rsidR="00EB6B13" w:rsidRPr="009B4CAE">
        <w:t xml:space="preserve"> to </w:t>
      </w:r>
      <w:r w:rsidR="0000670F">
        <w:t>ensure fair and equitable decision-making</w:t>
      </w:r>
      <w:r w:rsidR="00EB6B13" w:rsidRPr="009B4CAE">
        <w:t>.</w:t>
      </w:r>
    </w:p>
    <w:p w14:paraId="71C4E7FD" w14:textId="77777777" w:rsidR="00A1180A" w:rsidRDefault="00500FB8" w:rsidP="00951DC6">
      <w:pPr>
        <w:pStyle w:val="ListParagraph"/>
        <w:numPr>
          <w:ilvl w:val="0"/>
          <w:numId w:val="6"/>
        </w:numPr>
      </w:pPr>
      <w:r w:rsidRPr="00951DC6">
        <w:rPr>
          <w:i/>
        </w:rPr>
        <w:lastRenderedPageBreak/>
        <w:t>Annual increases and agreement of care recipients</w:t>
      </w:r>
      <w:r>
        <w:t xml:space="preserve"> </w:t>
      </w:r>
      <w:r w:rsidR="001B6E42">
        <w:t>–</w:t>
      </w:r>
      <w:r>
        <w:t xml:space="preserve"> s</w:t>
      </w:r>
      <w:r w:rsidR="00976FFA" w:rsidRPr="009B4CAE">
        <w:t xml:space="preserve">ome </w:t>
      </w:r>
      <w:r w:rsidR="00BF6E69">
        <w:t>H</w:t>
      </w:r>
      <w:r w:rsidR="00BF6E69" w:rsidRPr="009B4CAE">
        <w:t xml:space="preserve">ome </w:t>
      </w:r>
      <w:r w:rsidR="00BF6E69">
        <w:t>C</w:t>
      </w:r>
      <w:r w:rsidR="00BF6E69" w:rsidRPr="009B4CAE">
        <w:t xml:space="preserve">are </w:t>
      </w:r>
      <w:r w:rsidR="00BF6E69">
        <w:t>A</w:t>
      </w:r>
      <w:r w:rsidR="00BF6E69" w:rsidRPr="009B4CAE">
        <w:t xml:space="preserve">greements </w:t>
      </w:r>
      <w:r w:rsidR="00AB7A77" w:rsidRPr="009B4CAE">
        <w:t xml:space="preserve">had an annual increase </w:t>
      </w:r>
      <w:r w:rsidR="00024A74">
        <w:t xml:space="preserve">mentioned, but the actual amount of increase was only advised by letter each year to care recipients. In such cases it </w:t>
      </w:r>
      <w:r w:rsidR="00E57FB7">
        <w:t>was unclear</w:t>
      </w:r>
      <w:r w:rsidR="00AB7A77" w:rsidRPr="009B4CAE">
        <w:t xml:space="preserve"> how overt agreement was sought from the care recipients for this. [</w:t>
      </w:r>
      <w:r w:rsidR="004B4C53">
        <w:t>N</w:t>
      </w:r>
      <w:r w:rsidR="00AB7A77" w:rsidRPr="009B4CAE">
        <w:t>ote this was an incidental finding and not within scope of the Review.]</w:t>
      </w:r>
    </w:p>
    <w:p w14:paraId="73A08122" w14:textId="49162637" w:rsidR="00AB7A77" w:rsidRPr="00951DC6" w:rsidRDefault="00AB7A77" w:rsidP="00895ADC">
      <w:pPr>
        <w:pStyle w:val="Heading3"/>
      </w:pPr>
      <w:r w:rsidRPr="00951DC6">
        <w:t>Review observations</w:t>
      </w:r>
    </w:p>
    <w:p w14:paraId="16C107AA" w14:textId="77777777" w:rsidR="00A1180A" w:rsidRDefault="00AB7A77" w:rsidP="00F865B9">
      <w:r w:rsidRPr="00A94D89">
        <w:t xml:space="preserve">Some providers </w:t>
      </w:r>
      <w:r w:rsidR="00FD6D98" w:rsidRPr="00A94D89">
        <w:t>commented on the</w:t>
      </w:r>
      <w:r w:rsidRPr="00FD6D98">
        <w:t xml:space="preserve"> challenges with My Aged Care</w:t>
      </w:r>
      <w:r w:rsidR="00A814D4">
        <w:t>,</w:t>
      </w:r>
      <w:r w:rsidR="00976FFA" w:rsidRPr="00A94D89">
        <w:t xml:space="preserve"> claiming that </w:t>
      </w:r>
      <w:r w:rsidRPr="00A94D89">
        <w:t>it d</w:t>
      </w:r>
      <w:r w:rsidR="00FD6D98" w:rsidRPr="00A94D89">
        <w:t>id</w:t>
      </w:r>
      <w:r w:rsidRPr="00FD6D98">
        <w:t xml:space="preserve"> not support provision of details to enhance pricing transparency/justification.</w:t>
      </w:r>
      <w:r w:rsidR="00E4712E">
        <w:t xml:space="preserve"> </w:t>
      </w:r>
      <w:r w:rsidR="006E25E3">
        <w:t>However</w:t>
      </w:r>
      <w:r w:rsidR="00F865B9">
        <w:t>, it was evident to the Review team that s</w:t>
      </w:r>
      <w:r w:rsidR="00F865B9" w:rsidRPr="009B4CAE">
        <w:t xml:space="preserve">ome providers </w:t>
      </w:r>
      <w:proofErr w:type="gramStart"/>
      <w:r w:rsidR="00F865B9" w:rsidRPr="009B4CAE">
        <w:t>are able to</w:t>
      </w:r>
      <w:proofErr w:type="gramEnd"/>
      <w:r w:rsidR="00F865B9" w:rsidRPr="009B4CAE">
        <w:t xml:space="preserve"> provide the requisite pricing transparency to their care recipients via My Aged Care and their own websites.</w:t>
      </w:r>
    </w:p>
    <w:p w14:paraId="3C4A3CBC" w14:textId="77777777" w:rsidR="00A1180A" w:rsidRDefault="00AB7A77" w:rsidP="00AB7A77">
      <w:r w:rsidRPr="00FD6D98">
        <w:t xml:space="preserve">Some providers stated that their own systems </w:t>
      </w:r>
      <w:r w:rsidR="00FD6D98" w:rsidRPr="00A94D89">
        <w:t>wer</w:t>
      </w:r>
      <w:r w:rsidRPr="00FD6D98">
        <w:t>e such that they c</w:t>
      </w:r>
      <w:r w:rsidR="00FD6D98" w:rsidRPr="00A94D89">
        <w:t>ould not</w:t>
      </w:r>
      <w:r w:rsidRPr="00FD6D98">
        <w:t xml:space="preserve"> </w:t>
      </w:r>
      <w:r w:rsidR="005F35E5" w:rsidRPr="00FD6D98">
        <w:t>meet</w:t>
      </w:r>
      <w:r w:rsidRPr="00FD6D98">
        <w:t xml:space="preserve"> the HCP Program’s transparency requirements (such as producing an itemised monthly </w:t>
      </w:r>
      <w:r w:rsidR="00B977B2">
        <w:t xml:space="preserve">financial information </w:t>
      </w:r>
      <w:r w:rsidRPr="00FD6D98">
        <w:t>statement for care recipients).</w:t>
      </w:r>
      <w:r w:rsidR="00B977B2">
        <w:t xml:space="preserve"> </w:t>
      </w:r>
    </w:p>
    <w:p w14:paraId="78DCB599" w14:textId="77777777" w:rsidR="00A1180A" w:rsidRDefault="00AB7A77" w:rsidP="00996433">
      <w:r w:rsidRPr="00FD6D98">
        <w:t xml:space="preserve">Notwithstanding these challenges, providers must adhere to pricing transparency requirements. </w:t>
      </w:r>
      <w:r w:rsidR="00B977B2">
        <w:t xml:space="preserve">For example, the requirement to issue itemised monthly financial information statements has been in place for some time and Approved Providers must issue these. </w:t>
      </w:r>
    </w:p>
    <w:p w14:paraId="2E6545F0" w14:textId="77777777" w:rsidR="00A1180A" w:rsidRDefault="00A860FC" w:rsidP="00996433">
      <w:r>
        <w:t xml:space="preserve">Providers </w:t>
      </w:r>
      <w:r w:rsidR="003C6CA5">
        <w:t xml:space="preserve">also </w:t>
      </w:r>
      <w:r>
        <w:t xml:space="preserve">open themselves up to risk if they do not have in place a valid </w:t>
      </w:r>
      <w:r w:rsidR="00944A8B">
        <w:t>H</w:t>
      </w:r>
      <w:r>
        <w:t xml:space="preserve">ome </w:t>
      </w:r>
      <w:r w:rsidR="00944A8B">
        <w:t>C</w:t>
      </w:r>
      <w:r>
        <w:t xml:space="preserve">are </w:t>
      </w:r>
      <w:r w:rsidR="00944A8B">
        <w:t>A</w:t>
      </w:r>
      <w:r>
        <w:t xml:space="preserve">greement, as one of the conditions of subsidy being payable is that a </w:t>
      </w:r>
      <w:r w:rsidR="00944A8B">
        <w:t>H</w:t>
      </w:r>
      <w:r>
        <w:t xml:space="preserve">ome </w:t>
      </w:r>
      <w:r w:rsidR="00944A8B">
        <w:t>C</w:t>
      </w:r>
      <w:r>
        <w:t xml:space="preserve">are </w:t>
      </w:r>
      <w:r w:rsidR="00944A8B">
        <w:t>A</w:t>
      </w:r>
      <w:r>
        <w:t>greement is in force.</w:t>
      </w:r>
    </w:p>
    <w:p w14:paraId="64F6B2BA" w14:textId="49AAD144" w:rsidR="00A1180A" w:rsidRDefault="00AB7A77" w:rsidP="00996433">
      <w:r w:rsidRPr="00FD6D98">
        <w:t xml:space="preserve">Pricing transparency is a central tenet of Consumer Directed Care. Given the lack of comparable negotiation power between providers and care recipients in what is a home care </w:t>
      </w:r>
      <w:r w:rsidR="00D66B56">
        <w:t>‘</w:t>
      </w:r>
      <w:r w:rsidRPr="00FD6D98">
        <w:t>market</w:t>
      </w:r>
      <w:r w:rsidR="00D66B56">
        <w:t>’</w:t>
      </w:r>
      <w:r w:rsidRPr="00FD6D98">
        <w:t xml:space="preserve">, pricing transparency is </w:t>
      </w:r>
      <w:r w:rsidR="000C4575" w:rsidRPr="00FD6D98">
        <w:t>key to</w:t>
      </w:r>
      <w:r w:rsidRPr="00FD6D98">
        <w:t xml:space="preserve"> care recipients </w:t>
      </w:r>
      <w:r w:rsidR="000C4575" w:rsidRPr="00FD6D98">
        <w:t>exercising</w:t>
      </w:r>
      <w:r w:rsidRPr="00FD6D98">
        <w:t xml:space="preserve"> choice </w:t>
      </w:r>
      <w:r w:rsidR="005C270D" w:rsidRPr="00FD6D98">
        <w:t xml:space="preserve">and </w:t>
      </w:r>
      <w:r w:rsidR="000C4575" w:rsidRPr="00FD6D98">
        <w:t>control</w:t>
      </w:r>
      <w:r w:rsidRPr="00FD6D98">
        <w:t xml:space="preserve">. </w:t>
      </w:r>
      <w:r w:rsidR="00F60AC3">
        <w:t>The Australian Competition and Consumer Commission</w:t>
      </w:r>
      <w:r w:rsidR="001A2755">
        <w:t xml:space="preserve"> (ACCC)</w:t>
      </w:r>
      <w:r w:rsidR="00F60AC3">
        <w:t xml:space="preserve"> also has pricing requirements</w:t>
      </w:r>
      <w:r w:rsidR="00F60AC3">
        <w:rPr>
          <w:rStyle w:val="FootnoteReference"/>
        </w:rPr>
        <w:footnoteReference w:id="15"/>
      </w:r>
      <w:r w:rsidR="00F60AC3">
        <w:t xml:space="preserve"> in this context</w:t>
      </w:r>
      <w:r w:rsidR="00A814D4">
        <w:t xml:space="preserve">, including price display obligations. </w:t>
      </w:r>
      <w:r w:rsidRPr="00FD6D98">
        <w:t xml:space="preserve">Most pricing transparency requirements </w:t>
      </w:r>
      <w:r w:rsidR="004C768B">
        <w:t xml:space="preserve">(under Aged Care Law or Australian Consumer Law) </w:t>
      </w:r>
      <w:r w:rsidRPr="00FD6D98">
        <w:t xml:space="preserve">are long-standing and clear and therefore there is no </w:t>
      </w:r>
      <w:r w:rsidR="00B6341F">
        <w:t>satisfactory</w:t>
      </w:r>
      <w:r w:rsidR="00B6341F" w:rsidRPr="00FD6D98">
        <w:t xml:space="preserve"> </w:t>
      </w:r>
      <w:r w:rsidRPr="00FD6D98">
        <w:t>reason for providers not to adhere to these.</w:t>
      </w:r>
      <w:r w:rsidR="00996433">
        <w:t xml:space="preserve"> </w:t>
      </w:r>
    </w:p>
    <w:p w14:paraId="398AC40B" w14:textId="77777777" w:rsidR="00A1180A" w:rsidRDefault="00955444" w:rsidP="00955444">
      <w:r w:rsidRPr="00FD6D98">
        <w:lastRenderedPageBreak/>
        <w:t xml:space="preserve">Given the </w:t>
      </w:r>
      <w:r w:rsidR="007A4F93">
        <w:t>insufficient</w:t>
      </w:r>
      <w:r w:rsidRPr="00FD6D98">
        <w:t xml:space="preserve"> pricing transparency found by the Review team, there is benefit in prioritising pricing transparency </w:t>
      </w:r>
      <w:r w:rsidR="00E367E8">
        <w:t xml:space="preserve">on My Aged Care </w:t>
      </w:r>
      <w:r w:rsidRPr="00FD6D98">
        <w:t xml:space="preserve">related program assurance activity across </w:t>
      </w:r>
      <w:r w:rsidR="009A7338">
        <w:t>HCP</w:t>
      </w:r>
      <w:r w:rsidR="00A23603" w:rsidRPr="00FD6D98">
        <w:t xml:space="preserve"> </w:t>
      </w:r>
      <w:r w:rsidRPr="00FD6D98">
        <w:t>providers.</w:t>
      </w:r>
      <w:r w:rsidR="005A5CB6">
        <w:t xml:space="preserve"> This will be for the purposes of assuring program integrity (and not </w:t>
      </w:r>
      <w:r w:rsidR="003C6CA5">
        <w:t xml:space="preserve">for </w:t>
      </w:r>
      <w:r w:rsidR="005A5CB6">
        <w:t>regulatory purposes</w:t>
      </w:r>
      <w:r w:rsidR="009B62FA">
        <w:t xml:space="preserve"> which</w:t>
      </w:r>
      <w:r w:rsidR="005A5CB6">
        <w:t xml:space="preserve"> is the Commission’s purview).</w:t>
      </w:r>
    </w:p>
    <w:p w14:paraId="6410FAC0" w14:textId="673363DB" w:rsidR="00AB7A77" w:rsidRPr="00951DC6" w:rsidRDefault="00AB7A77" w:rsidP="00895ADC">
      <w:pPr>
        <w:pStyle w:val="Heading3"/>
      </w:pPr>
      <w:r w:rsidRPr="00951DC6">
        <w:t>Program guidance improvement</w:t>
      </w:r>
    </w:p>
    <w:p w14:paraId="6F2D15DD" w14:textId="77777777" w:rsidR="00A1180A" w:rsidRDefault="00AB7A77" w:rsidP="0038457C">
      <w:r w:rsidRPr="009B4CAE">
        <w:t>Nil</w:t>
      </w:r>
      <w:r w:rsidR="0038457C">
        <w:t xml:space="preserve"> </w:t>
      </w:r>
      <w:r w:rsidR="001B6E42">
        <w:t>–</w:t>
      </w:r>
      <w:r w:rsidR="0038457C">
        <w:t xml:space="preserve"> however, please note that for individual topics discussed below</w:t>
      </w:r>
      <w:r w:rsidR="00944A8B">
        <w:t>,</w:t>
      </w:r>
      <w:r w:rsidR="0038457C">
        <w:t xml:space="preserve"> improvement suggestions are included where relevant.</w:t>
      </w:r>
    </w:p>
    <w:p w14:paraId="78B6533F" w14:textId="1B8F9AA9" w:rsidR="00C82A9D" w:rsidRPr="00A90039" w:rsidRDefault="00FD6D98" w:rsidP="00A90039">
      <w:r w:rsidRPr="00A90039">
        <w:t xml:space="preserve">The quarterly publication of the </w:t>
      </w:r>
      <w:hyperlink r:id="rId28" w:history="1">
        <w:r w:rsidR="007A3BB1" w:rsidRPr="00A90039">
          <w:rPr>
            <w:rStyle w:val="Hyperlink"/>
          </w:rPr>
          <w:t>national median prices for common home care services, care management and package management</w:t>
        </w:r>
      </w:hyperlink>
      <w:r w:rsidRPr="00A90039">
        <w:t xml:space="preserve"> </w:t>
      </w:r>
      <w:r w:rsidR="00916961" w:rsidRPr="00A90039">
        <w:t>is helping to</w:t>
      </w:r>
      <w:r w:rsidRPr="00A90039">
        <w:t xml:space="preserve"> enhance pricing transparency for consumers</w:t>
      </w:r>
      <w:r w:rsidR="007A3BB1" w:rsidRPr="00A90039">
        <w:t xml:space="preserve">. </w:t>
      </w:r>
      <w:r w:rsidR="00E664A9" w:rsidRPr="00A90039">
        <w:t xml:space="preserve">In this context, it is important that Approved Providers </w:t>
      </w:r>
      <w:r w:rsidR="00996433" w:rsidRPr="00A90039">
        <w:t xml:space="preserve">familiarise themselves with the definitions </w:t>
      </w:r>
      <w:r w:rsidR="003C6CA5" w:rsidRPr="00A90039">
        <w:t xml:space="preserve">of </w:t>
      </w:r>
      <w:r w:rsidR="00996433" w:rsidRPr="00A90039">
        <w:t>and guidance on common home care services, care management and package</w:t>
      </w:r>
      <w:r w:rsidR="00944A8B" w:rsidRPr="00A90039">
        <w:t xml:space="preserve"> management</w:t>
      </w:r>
      <w:r w:rsidR="00996433" w:rsidRPr="00A90039">
        <w:t>, plus make use of the free text fields on the My Aged Care pricing schedule to accurately describe their approach to delivering common home care services, care management and package management.</w:t>
      </w:r>
      <w:r w:rsidR="00E664A9" w:rsidRPr="00A90039">
        <w:t xml:space="preserve"> </w:t>
      </w:r>
    </w:p>
    <w:p w14:paraId="47BE2E08" w14:textId="05A4A1AF" w:rsidR="0056080D" w:rsidRPr="009B4CAE" w:rsidRDefault="00FD6D98" w:rsidP="005C270D">
      <w:r>
        <w:rPr>
          <w:color w:val="313131"/>
          <w:shd w:val="clear" w:color="auto" w:fill="FFFFFF"/>
        </w:rPr>
        <w:t>Further,</w:t>
      </w:r>
      <w:r w:rsidR="0056080D" w:rsidRPr="009B4CAE">
        <w:t xml:space="preserve"> new tools </w:t>
      </w:r>
      <w:r>
        <w:t xml:space="preserve">are also </w:t>
      </w:r>
      <w:r w:rsidR="0056080D" w:rsidRPr="009B4CAE">
        <w:t xml:space="preserve">available on the </w:t>
      </w:r>
      <w:hyperlink r:id="rId29" w:history="1">
        <w:r w:rsidR="0056080D" w:rsidRPr="009B4CAE">
          <w:rPr>
            <w:rStyle w:val="Hyperlink"/>
          </w:rPr>
          <w:t>My Aged Care Website</w:t>
        </w:r>
      </w:hyperlink>
      <w:r w:rsidR="0056080D" w:rsidRPr="009B4CAE">
        <w:t>, including:</w:t>
      </w:r>
    </w:p>
    <w:p w14:paraId="5F0F66B0" w14:textId="668E0B24" w:rsidR="0056080D" w:rsidRPr="009B4CAE" w:rsidRDefault="0056080D" w:rsidP="00951DC6">
      <w:pPr>
        <w:pStyle w:val="ListParagraph"/>
        <w:numPr>
          <w:ilvl w:val="0"/>
          <w:numId w:val="20"/>
        </w:numPr>
      </w:pPr>
      <w:r w:rsidRPr="009B4CAE">
        <w:t>an improved layout to display Provider Costs</w:t>
      </w:r>
    </w:p>
    <w:p w14:paraId="2B1D9D2B" w14:textId="77777777" w:rsidR="0056080D" w:rsidRPr="009B4CAE" w:rsidRDefault="0056080D" w:rsidP="00951DC6">
      <w:pPr>
        <w:pStyle w:val="ListParagraph"/>
        <w:numPr>
          <w:ilvl w:val="0"/>
          <w:numId w:val="20"/>
        </w:numPr>
      </w:pPr>
      <w:r w:rsidRPr="009B4CAE">
        <w:t>a new Quick Costs Checker tool, and</w:t>
      </w:r>
    </w:p>
    <w:p w14:paraId="11B3AABA" w14:textId="77777777" w:rsidR="00A1180A" w:rsidRDefault="0056080D" w:rsidP="00995AF3">
      <w:pPr>
        <w:pStyle w:val="ListParagraph"/>
        <w:numPr>
          <w:ilvl w:val="0"/>
          <w:numId w:val="20"/>
        </w:numPr>
      </w:pPr>
      <w:r w:rsidRPr="009B4CAE">
        <w:t xml:space="preserve">Cost Comparison indicators. </w:t>
      </w:r>
    </w:p>
    <w:p w14:paraId="52D01EBC" w14:textId="2FACC2A3" w:rsidR="000C4575" w:rsidRPr="009B4CAE" w:rsidRDefault="00CA6BC0" w:rsidP="00AB7A77">
      <w:r>
        <w:t xml:space="preserve">These tools are dependent on providers following My Aged Care pricing transparency requirements. </w:t>
      </w:r>
      <w:r w:rsidR="0056080D" w:rsidRPr="009B4CAE">
        <w:t xml:space="preserve">The changes will better inform </w:t>
      </w:r>
      <w:r w:rsidR="003C6CA5">
        <w:t>older</w:t>
      </w:r>
      <w:r w:rsidR="0056080D" w:rsidRPr="009B4CAE">
        <w:t xml:space="preserve"> Australians about the breakdown of </w:t>
      </w:r>
      <w:r w:rsidR="00944A8B">
        <w:t>HCP</w:t>
      </w:r>
      <w:r w:rsidR="0056080D" w:rsidRPr="009B4CAE">
        <w:t xml:space="preserve"> </w:t>
      </w:r>
      <w:r w:rsidR="006173F1">
        <w:t>funding</w:t>
      </w:r>
      <w:r w:rsidR="0056080D" w:rsidRPr="009B4CAE">
        <w:t>, by package level, and enable them to compare the prices of like services between providers.</w:t>
      </w:r>
    </w:p>
    <w:p w14:paraId="703A8510" w14:textId="77777777" w:rsidR="00AB7A77" w:rsidRPr="00951DC6" w:rsidRDefault="00AB7A77" w:rsidP="00895ADC">
      <w:pPr>
        <w:pStyle w:val="Heading2"/>
      </w:pPr>
      <w:bookmarkStart w:id="15" w:name="_Toc111803156"/>
      <w:r w:rsidRPr="00951DC6">
        <w:t>Value for money is not always evident/justified</w:t>
      </w:r>
      <w:bookmarkEnd w:id="15"/>
    </w:p>
    <w:p w14:paraId="461DC3ED" w14:textId="5470A9E1" w:rsidR="00AB7A77" w:rsidRPr="00951DC6" w:rsidRDefault="00AB7A77" w:rsidP="00895ADC">
      <w:pPr>
        <w:pStyle w:val="Heading3"/>
      </w:pPr>
      <w:r w:rsidRPr="00951DC6">
        <w:t>Review findings</w:t>
      </w:r>
    </w:p>
    <w:p w14:paraId="7EF23B27" w14:textId="2B85C15A" w:rsidR="00AB7A77" w:rsidRPr="00C4690B" w:rsidRDefault="00AB7A77" w:rsidP="007C2B99">
      <w:pPr>
        <w:spacing w:before="60" w:after="60"/>
      </w:pPr>
      <w:r w:rsidRPr="00C4690B">
        <w:t>The Review found that value for money is not always evident or justified. For example:</w:t>
      </w:r>
    </w:p>
    <w:p w14:paraId="2DD44220" w14:textId="34DE1E57" w:rsidR="00AB7A77" w:rsidRPr="00C4690B" w:rsidRDefault="004D0234" w:rsidP="00951DC6">
      <w:pPr>
        <w:pStyle w:val="ListParagraph"/>
        <w:numPr>
          <w:ilvl w:val="0"/>
          <w:numId w:val="7"/>
        </w:numPr>
        <w:spacing w:before="60" w:after="60"/>
        <w:contextualSpacing w:val="0"/>
      </w:pPr>
      <w:r w:rsidRPr="00C4690B">
        <w:t>S</w:t>
      </w:r>
      <w:r w:rsidR="00AB7A77" w:rsidRPr="00C4690B">
        <w:t>ome providers</w:t>
      </w:r>
      <w:r w:rsidR="008512F6">
        <w:t xml:space="preserve"> have a sur</w:t>
      </w:r>
      <w:r w:rsidR="00AB7A77" w:rsidRPr="00C4690B">
        <w:t xml:space="preserve">charge for third-party invoice processing (services and goods), some only </w:t>
      </w:r>
      <w:r w:rsidR="008512F6">
        <w:t>have a sur</w:t>
      </w:r>
      <w:r w:rsidR="00AB7A77" w:rsidRPr="00C4690B">
        <w:t>charge for goods</w:t>
      </w:r>
      <w:r w:rsidR="008512F6">
        <w:t xml:space="preserve"> acquisition</w:t>
      </w:r>
      <w:r w:rsidR="00AB7A77" w:rsidRPr="00C4690B">
        <w:t xml:space="preserve">, </w:t>
      </w:r>
      <w:r w:rsidR="00AC3033">
        <w:t xml:space="preserve">and </w:t>
      </w:r>
      <w:r w:rsidR="00AB7A77" w:rsidRPr="00C4690B">
        <w:t xml:space="preserve">some do not </w:t>
      </w:r>
      <w:r w:rsidR="008512F6">
        <w:t>have a sur</w:t>
      </w:r>
      <w:r w:rsidR="00AB7A77" w:rsidRPr="00C4690B">
        <w:t>charge</w:t>
      </w:r>
      <w:r w:rsidRPr="00C4690B">
        <w:t>.</w:t>
      </w:r>
      <w:r w:rsidR="00C57D82">
        <w:t xml:space="preserve"> </w:t>
      </w:r>
    </w:p>
    <w:p w14:paraId="42F9A250" w14:textId="4E632D5A" w:rsidR="00AB7A77" w:rsidRPr="00C4690B" w:rsidRDefault="004D0234" w:rsidP="00951DC6">
      <w:pPr>
        <w:pStyle w:val="ListParagraph"/>
        <w:numPr>
          <w:ilvl w:val="0"/>
          <w:numId w:val="7"/>
        </w:numPr>
        <w:spacing w:before="60" w:after="60"/>
        <w:contextualSpacing w:val="0"/>
      </w:pPr>
      <w:r w:rsidRPr="00C4690B">
        <w:t>S</w:t>
      </w:r>
      <w:r w:rsidR="00AB7A77" w:rsidRPr="00C4690B">
        <w:t xml:space="preserve">ome have a cap for such charges </w:t>
      </w:r>
      <w:r w:rsidR="00E31BE4">
        <w:t xml:space="preserve">noting that section 21L of the User Rights </w:t>
      </w:r>
      <w:r w:rsidR="00E425FD">
        <w:t>P</w:t>
      </w:r>
      <w:r w:rsidR="00E31BE4">
        <w:t xml:space="preserve">rinciples </w:t>
      </w:r>
      <w:r w:rsidR="00944A8B">
        <w:t xml:space="preserve">2014 </w:t>
      </w:r>
      <w:r w:rsidR="00E31BE4">
        <w:t>require</w:t>
      </w:r>
      <w:r w:rsidR="005E68F1">
        <w:t>s</w:t>
      </w:r>
      <w:r w:rsidR="00E31BE4">
        <w:t xml:space="preserve"> </w:t>
      </w:r>
      <w:r w:rsidR="003C6CA5">
        <w:t xml:space="preserve">that </w:t>
      </w:r>
      <w:r w:rsidR="00E31BE4">
        <w:t>Approved Providers not charge more than a reasonable amount</w:t>
      </w:r>
      <w:r w:rsidRPr="00C4690B">
        <w:t>.</w:t>
      </w:r>
      <w:r w:rsidR="006D4E04">
        <w:t xml:space="preserve"> </w:t>
      </w:r>
      <w:r w:rsidR="006D4E04" w:rsidRPr="00C4690B">
        <w:t>(</w:t>
      </w:r>
      <w:r w:rsidR="00E367E8">
        <w:t>T</w:t>
      </w:r>
      <w:r w:rsidR="006D4E04">
        <w:t xml:space="preserve">he cap </w:t>
      </w:r>
      <w:r w:rsidR="00685BAE">
        <w:t>appeare</w:t>
      </w:r>
      <w:r w:rsidR="006D4E04">
        <w:t>d relatively</w:t>
      </w:r>
      <w:r w:rsidR="006D4E04" w:rsidRPr="00C4690B">
        <w:t xml:space="preserve"> high</w:t>
      </w:r>
      <w:r w:rsidR="006D4E04">
        <w:t xml:space="preserve"> to the Review team in some cases when </w:t>
      </w:r>
      <w:r w:rsidR="006D4E04">
        <w:lastRenderedPageBreak/>
        <w:t xml:space="preserve">compared with other providers among the 100, although justification was not overtly sought from providers as </w:t>
      </w:r>
      <w:r w:rsidR="00D66B56">
        <w:t>‘</w:t>
      </w:r>
      <w:r w:rsidR="006D4E04">
        <w:t>reasonableness</w:t>
      </w:r>
      <w:r w:rsidR="00D66B56">
        <w:t>’</w:t>
      </w:r>
      <w:r w:rsidR="006D4E04">
        <w:t xml:space="preserve"> of charges was not within scope of this Review).</w:t>
      </w:r>
    </w:p>
    <w:p w14:paraId="7DD4A4FC" w14:textId="3E7478E3" w:rsidR="00AB7A77" w:rsidRPr="00C4690B" w:rsidRDefault="004D0234" w:rsidP="00951DC6">
      <w:pPr>
        <w:pStyle w:val="ListParagraph"/>
        <w:numPr>
          <w:ilvl w:val="0"/>
          <w:numId w:val="7"/>
        </w:numPr>
        <w:spacing w:before="60" w:after="60"/>
        <w:contextualSpacing w:val="0"/>
      </w:pPr>
      <w:r w:rsidRPr="00C4690B">
        <w:t>S</w:t>
      </w:r>
      <w:r w:rsidR="00AB7A77" w:rsidRPr="00C4690B">
        <w:t xml:space="preserve">ome </w:t>
      </w:r>
      <w:r w:rsidR="000C06BF">
        <w:t xml:space="preserve">providers do not consider it </w:t>
      </w:r>
      <w:r w:rsidR="00AB7A77" w:rsidRPr="00C4690B">
        <w:t xml:space="preserve">practicable to charge </w:t>
      </w:r>
      <w:r w:rsidR="00BC2088">
        <w:t>a dollar figure</w:t>
      </w:r>
      <w:r w:rsidR="00AB7A77" w:rsidRPr="00C4690B">
        <w:t xml:space="preserve"> and thus charge</w:t>
      </w:r>
      <w:r w:rsidR="00BC2088">
        <w:t xml:space="preserve"> a percentage</w:t>
      </w:r>
      <w:r w:rsidR="00BA6D87">
        <w:t>. H</w:t>
      </w:r>
      <w:r w:rsidR="00AB7A77" w:rsidRPr="00C4690B">
        <w:t xml:space="preserve">owever, others have a flat </w:t>
      </w:r>
      <w:r w:rsidR="00BC2088">
        <w:t xml:space="preserve">dollar </w:t>
      </w:r>
      <w:r w:rsidR="00AB7A77" w:rsidRPr="00C4690B">
        <w:t xml:space="preserve">rate which in some cases is charged </w:t>
      </w:r>
      <w:r w:rsidR="008512F6">
        <w:t>for the full hour</w:t>
      </w:r>
      <w:r w:rsidR="00AB7A77" w:rsidRPr="00C4690B">
        <w:t xml:space="preserve"> whereas others charge in </w:t>
      </w:r>
      <w:r w:rsidRPr="00C4690B">
        <w:t>15</w:t>
      </w:r>
      <w:r w:rsidR="00C16164">
        <w:t>-</w:t>
      </w:r>
      <w:r w:rsidRPr="00C4690B">
        <w:t xml:space="preserve">minute </w:t>
      </w:r>
      <w:r w:rsidR="00AB7A77" w:rsidRPr="00C4690B">
        <w:t>increments</w:t>
      </w:r>
      <w:r w:rsidRPr="00C4690B">
        <w:t>.</w:t>
      </w:r>
    </w:p>
    <w:p w14:paraId="2DA50210" w14:textId="68A23543" w:rsidR="00497FAF" w:rsidRDefault="004D0234" w:rsidP="00951DC6">
      <w:pPr>
        <w:pStyle w:val="ListParagraph"/>
        <w:numPr>
          <w:ilvl w:val="0"/>
          <w:numId w:val="7"/>
        </w:numPr>
        <w:spacing w:before="60" w:after="60"/>
        <w:contextualSpacing w:val="0"/>
      </w:pPr>
      <w:r w:rsidRPr="00C4690B">
        <w:t>S</w:t>
      </w:r>
      <w:r w:rsidR="00AB7A77" w:rsidRPr="00C4690B">
        <w:t xml:space="preserve">ome </w:t>
      </w:r>
      <w:r w:rsidR="00497FAF">
        <w:t xml:space="preserve">of the </w:t>
      </w:r>
      <w:r w:rsidR="00AB7A77" w:rsidRPr="00C4690B">
        <w:t>charg</w:t>
      </w:r>
      <w:r w:rsidR="00497FAF">
        <w:t>ing methods include:</w:t>
      </w:r>
    </w:p>
    <w:p w14:paraId="3AA48E67" w14:textId="77777777" w:rsidR="00895ADC" w:rsidRDefault="00497FAF" w:rsidP="00FA0FC3">
      <w:pPr>
        <w:pStyle w:val="ListParagraph"/>
        <w:numPr>
          <w:ilvl w:val="1"/>
          <w:numId w:val="7"/>
        </w:numPr>
        <w:spacing w:before="60" w:after="60"/>
        <w:contextualSpacing w:val="0"/>
      </w:pPr>
      <w:r>
        <w:t xml:space="preserve">charge </w:t>
      </w:r>
      <w:r w:rsidR="00AB7A77" w:rsidRPr="00C4690B">
        <w:t>per</w:t>
      </w:r>
      <w:r w:rsidR="00C57D82">
        <w:t xml:space="preserve"> </w:t>
      </w:r>
      <w:r w:rsidR="00AB7A77" w:rsidRPr="00C4690B">
        <w:t>kilometre for staff travel</w:t>
      </w:r>
    </w:p>
    <w:p w14:paraId="1853AC5A" w14:textId="6F7A1C82" w:rsidR="00497FAF" w:rsidRDefault="00AB7A77" w:rsidP="00FA0FC3">
      <w:pPr>
        <w:pStyle w:val="ListParagraph"/>
        <w:numPr>
          <w:ilvl w:val="1"/>
          <w:numId w:val="7"/>
        </w:numPr>
        <w:spacing w:before="60" w:after="60"/>
        <w:contextualSpacing w:val="0"/>
      </w:pPr>
      <w:r w:rsidRPr="00C4690B">
        <w:t xml:space="preserve">charge per kilometre but have a higher charge for nurses </w:t>
      </w:r>
      <w:r w:rsidR="00497FAF">
        <w:t>and less for</w:t>
      </w:r>
      <w:r w:rsidRPr="00C4690B">
        <w:t xml:space="preserve"> personal care staff</w:t>
      </w:r>
      <w:r w:rsidR="00927601">
        <w:rPr>
          <w:rStyle w:val="FootnoteReference"/>
        </w:rPr>
        <w:footnoteReference w:id="16"/>
      </w:r>
    </w:p>
    <w:p w14:paraId="09E73241" w14:textId="77777777" w:rsidR="00497FAF" w:rsidRDefault="00AB7A77" w:rsidP="00951DC6">
      <w:pPr>
        <w:pStyle w:val="ListParagraph"/>
        <w:numPr>
          <w:ilvl w:val="1"/>
          <w:numId w:val="7"/>
        </w:numPr>
        <w:spacing w:before="60" w:after="60"/>
        <w:contextualSpacing w:val="0"/>
      </w:pPr>
      <w:r w:rsidRPr="00C4690B">
        <w:t>charge with a cap to be fairer to care recipients</w:t>
      </w:r>
    </w:p>
    <w:p w14:paraId="153A48A0" w14:textId="7ECD4F14" w:rsidR="00497FAF" w:rsidRDefault="00AB7A77" w:rsidP="00951DC6">
      <w:pPr>
        <w:pStyle w:val="ListParagraph"/>
        <w:numPr>
          <w:ilvl w:val="1"/>
          <w:numId w:val="7"/>
        </w:numPr>
        <w:spacing w:before="60" w:after="60"/>
        <w:contextualSpacing w:val="0"/>
      </w:pPr>
      <w:r w:rsidRPr="00C4690B">
        <w:t>charge to the care recipient</w:t>
      </w:r>
      <w:r w:rsidR="004D0234" w:rsidRPr="00C4690B">
        <w:t>’</w:t>
      </w:r>
      <w:r w:rsidRPr="00C4690B">
        <w:t>s place of residence and back</w:t>
      </w:r>
    </w:p>
    <w:p w14:paraId="229E5570" w14:textId="1770EB66" w:rsidR="00497FAF" w:rsidRDefault="00AB7A77" w:rsidP="00951DC6">
      <w:pPr>
        <w:pStyle w:val="ListParagraph"/>
        <w:numPr>
          <w:ilvl w:val="1"/>
          <w:numId w:val="7"/>
        </w:numPr>
        <w:spacing w:before="60" w:after="60"/>
        <w:contextualSpacing w:val="0"/>
      </w:pPr>
      <w:r w:rsidRPr="00C4690B">
        <w:t xml:space="preserve">charge </w:t>
      </w:r>
      <w:r w:rsidR="00C57D82">
        <w:t xml:space="preserve">one way </w:t>
      </w:r>
      <w:r w:rsidRPr="00C4690B">
        <w:t>and not a round trip charge</w:t>
      </w:r>
      <w:r w:rsidR="00497FAF">
        <w:t>, and</w:t>
      </w:r>
    </w:p>
    <w:p w14:paraId="61CA5427" w14:textId="29CD49CD" w:rsidR="00AB7A77" w:rsidRPr="00C4690B" w:rsidRDefault="00497FAF" w:rsidP="00951DC6">
      <w:pPr>
        <w:pStyle w:val="ListParagraph"/>
        <w:numPr>
          <w:ilvl w:val="1"/>
          <w:numId w:val="7"/>
        </w:numPr>
        <w:spacing w:before="60" w:after="60"/>
        <w:contextualSpacing w:val="0"/>
      </w:pPr>
      <w:r>
        <w:t xml:space="preserve">some </w:t>
      </w:r>
      <w:r w:rsidR="00AB7A77" w:rsidRPr="00C4690B">
        <w:t xml:space="preserve">have a fairer method for calculating this charge (for example, beyond a certain distance from the city centre, or measuring the </w:t>
      </w:r>
      <w:r w:rsidR="00C57D82">
        <w:t>kilometres</w:t>
      </w:r>
      <w:r w:rsidR="00C57D82" w:rsidRPr="00C4690B">
        <w:t xml:space="preserve"> </w:t>
      </w:r>
      <w:r w:rsidR="00AB7A77" w:rsidRPr="00C4690B">
        <w:t>from the city centre to the residence rather than from the provider’s office to the residence)</w:t>
      </w:r>
      <w:r w:rsidR="004D0234" w:rsidRPr="00C4690B">
        <w:t>.</w:t>
      </w:r>
    </w:p>
    <w:p w14:paraId="2A0B38B5" w14:textId="605AF9A2" w:rsidR="00AB7A77" w:rsidRPr="00C4690B" w:rsidRDefault="004D0234" w:rsidP="00951DC6">
      <w:pPr>
        <w:pStyle w:val="ListParagraph"/>
        <w:numPr>
          <w:ilvl w:val="0"/>
          <w:numId w:val="7"/>
        </w:numPr>
        <w:spacing w:before="60" w:after="60"/>
        <w:contextualSpacing w:val="0"/>
      </w:pPr>
      <w:r w:rsidRPr="00C4690B">
        <w:t>S</w:t>
      </w:r>
      <w:r w:rsidR="00AB7A77" w:rsidRPr="00C4690B">
        <w:t xml:space="preserve">ome charge relatively low </w:t>
      </w:r>
      <w:r w:rsidR="00F1197D">
        <w:t>prices</w:t>
      </w:r>
      <w:r w:rsidR="00AB7A77" w:rsidRPr="00C4690B">
        <w:t xml:space="preserve"> for self-management, </w:t>
      </w:r>
      <w:r w:rsidR="003011F9">
        <w:t xml:space="preserve">which may appeal to </w:t>
      </w:r>
      <w:r w:rsidR="0072641F">
        <w:t xml:space="preserve">some </w:t>
      </w:r>
      <w:r w:rsidR="003011F9">
        <w:t>care recipients</w:t>
      </w:r>
      <w:r w:rsidR="0072641F">
        <w:t xml:space="preserve"> looking for more control over their HCP package management in return for reduced charges</w:t>
      </w:r>
      <w:r w:rsidR="003011F9">
        <w:t xml:space="preserve">. However, in some such cases, it was unclear to the Review team whether providers </w:t>
      </w:r>
      <w:r w:rsidR="0072641F">
        <w:t>were fully meeting</w:t>
      </w:r>
      <w:r w:rsidR="003011F9">
        <w:t xml:space="preserve"> their </w:t>
      </w:r>
      <w:r w:rsidR="00AB7A77" w:rsidRPr="00C4690B">
        <w:t xml:space="preserve">mandatory care management </w:t>
      </w:r>
      <w:r w:rsidR="00BA6D87">
        <w:t>obligations</w:t>
      </w:r>
      <w:r w:rsidRPr="00C4690B">
        <w:t>.</w:t>
      </w:r>
      <w:r w:rsidR="008512F6">
        <w:t xml:space="preserve"> [Not</w:t>
      </w:r>
      <w:r w:rsidR="009B7D9A">
        <w:t>e</w:t>
      </w:r>
      <w:r w:rsidR="008E2C00">
        <w:t>:</w:t>
      </w:r>
      <w:r w:rsidR="008512F6">
        <w:t xml:space="preserve"> </w:t>
      </w:r>
      <w:r w:rsidR="004D557D">
        <w:t xml:space="preserve">reviewing care management obligations being delivered </w:t>
      </w:r>
      <w:r w:rsidR="008512F6">
        <w:t>was out of scope.]</w:t>
      </w:r>
    </w:p>
    <w:p w14:paraId="0DD7B9CD" w14:textId="4EE0E30B" w:rsidR="00242A3D" w:rsidRPr="00F37AC1" w:rsidRDefault="004D0234" w:rsidP="00951DC6">
      <w:pPr>
        <w:pStyle w:val="ListParagraph"/>
        <w:numPr>
          <w:ilvl w:val="0"/>
          <w:numId w:val="7"/>
        </w:numPr>
        <w:spacing w:before="60" w:after="60"/>
        <w:contextualSpacing w:val="0"/>
      </w:pPr>
      <w:r w:rsidRPr="00C4690B">
        <w:t>F</w:t>
      </w:r>
      <w:r w:rsidR="00AB7A77" w:rsidRPr="00C4690B">
        <w:t xml:space="preserve">ranchising business models seem to have lower charges relative to other business models. </w:t>
      </w:r>
      <w:r w:rsidR="006E1DB1">
        <w:t>Generally,</w:t>
      </w:r>
      <w:r w:rsidR="00242A3D">
        <w:t xml:space="preserve"> HCP franchisors do not appear to mandate charges and franchisees can deter</w:t>
      </w:r>
      <w:r w:rsidR="00242A3D" w:rsidRPr="00F37AC1">
        <w:t xml:space="preserve">mine their own pricing to ensure that franchisee and </w:t>
      </w:r>
      <w:r w:rsidR="00832FF0">
        <w:t>care recipient</w:t>
      </w:r>
      <w:r w:rsidR="00832FF0" w:rsidRPr="00F37AC1">
        <w:t xml:space="preserve"> </w:t>
      </w:r>
      <w:r w:rsidR="00242A3D" w:rsidRPr="00F37AC1">
        <w:t xml:space="preserve">circumstances are considered in the actual charge. Franchisees can </w:t>
      </w:r>
      <w:r w:rsidR="00242A3D">
        <w:t xml:space="preserve">also </w:t>
      </w:r>
      <w:r w:rsidR="00242A3D" w:rsidRPr="00F37AC1">
        <w:t>set their own charge rates for the services which they provide directly. These charges are based on the local market competitiveness, industrial awards, inflation and profitability.</w:t>
      </w:r>
    </w:p>
    <w:p w14:paraId="7071511C" w14:textId="503E5342" w:rsidR="00F37AC1" w:rsidRDefault="00AB7A77" w:rsidP="00951DC6">
      <w:pPr>
        <w:pStyle w:val="ListParagraph"/>
        <w:numPr>
          <w:ilvl w:val="1"/>
          <w:numId w:val="7"/>
        </w:numPr>
        <w:spacing w:before="60" w:after="60"/>
        <w:contextualSpacing w:val="0"/>
      </w:pPr>
      <w:r w:rsidRPr="00C4690B">
        <w:t xml:space="preserve">However, it is unclear </w:t>
      </w:r>
      <w:r w:rsidRPr="006F2BC0">
        <w:t>in some cases</w:t>
      </w:r>
      <w:r w:rsidRPr="00C4690B">
        <w:t xml:space="preserve"> how franchisors</w:t>
      </w:r>
      <w:r w:rsidR="00AA2B0B">
        <w:t xml:space="preserve">, who have many franchisees delivering HCP services under the franchisor’s Approved Provider </w:t>
      </w:r>
      <w:r w:rsidR="00AA2B0B">
        <w:lastRenderedPageBreak/>
        <w:t xml:space="preserve">status, </w:t>
      </w:r>
      <w:r w:rsidR="003E3F99">
        <w:t xml:space="preserve">are </w:t>
      </w:r>
      <w:r w:rsidR="00AA2B0B">
        <w:t xml:space="preserve">successfully </w:t>
      </w:r>
      <w:r w:rsidR="00AA2B0B" w:rsidRPr="00C4690B">
        <w:t>balanc</w:t>
      </w:r>
      <w:r w:rsidR="00497FAF">
        <w:t>ing</w:t>
      </w:r>
      <w:r w:rsidR="00AA2B0B" w:rsidRPr="00C4690B">
        <w:t xml:space="preserve"> their franchising regulatory requirements </w:t>
      </w:r>
      <w:r w:rsidR="00AA2B0B">
        <w:t>against</w:t>
      </w:r>
      <w:r w:rsidR="00AA2B0B" w:rsidRPr="00C4690B">
        <w:t xml:space="preserve"> their </w:t>
      </w:r>
      <w:r w:rsidR="00AA2B0B">
        <w:t xml:space="preserve">HCP Program </w:t>
      </w:r>
      <w:r w:rsidR="00AA2B0B" w:rsidRPr="00C4690B">
        <w:t xml:space="preserve">requirements. </w:t>
      </w:r>
      <w:r w:rsidR="00F37AC1">
        <w:t xml:space="preserve">Some appear to </w:t>
      </w:r>
      <w:r w:rsidR="00E46103">
        <w:t>have a</w:t>
      </w:r>
      <w:r w:rsidR="006D0BC5">
        <w:t xml:space="preserve"> </w:t>
      </w:r>
      <w:r w:rsidR="006D0BC5" w:rsidRPr="00C4690B">
        <w:t>relatively hands</w:t>
      </w:r>
      <w:r w:rsidR="006D0BC5">
        <w:t>-</w:t>
      </w:r>
      <w:r w:rsidR="006D0BC5" w:rsidRPr="00C4690B">
        <w:t xml:space="preserve">off </w:t>
      </w:r>
      <w:r w:rsidR="006D0BC5">
        <w:t xml:space="preserve">approach, </w:t>
      </w:r>
      <w:r w:rsidR="00E46103">
        <w:t xml:space="preserve">stating that </w:t>
      </w:r>
      <w:r w:rsidR="006D0BC5">
        <w:t xml:space="preserve">as franchisors they cannot dictate pricing approaches to their franchisees under the </w:t>
      </w:r>
      <w:r w:rsidR="00C1607F">
        <w:t>ACCC</w:t>
      </w:r>
      <w:r w:rsidR="006D0BC5">
        <w:t>’s franchising regulations. However, it was unclear why they cannot have in place processes that assure value for money towards care recipients and program integrity of funds</w:t>
      </w:r>
      <w:r w:rsidR="000A0A45">
        <w:t xml:space="preserve"> across their franchisees</w:t>
      </w:r>
      <w:r w:rsidR="006D0BC5">
        <w:t xml:space="preserve">. </w:t>
      </w:r>
    </w:p>
    <w:p w14:paraId="4B14C5D3" w14:textId="5C9940EB" w:rsidR="00F37AC1" w:rsidRPr="00F37AC1" w:rsidRDefault="00AA2B0B" w:rsidP="00951DC6">
      <w:pPr>
        <w:pStyle w:val="ListParagraph"/>
        <w:numPr>
          <w:ilvl w:val="1"/>
          <w:numId w:val="7"/>
        </w:numPr>
        <w:spacing w:before="60" w:after="60"/>
        <w:contextualSpacing w:val="0"/>
      </w:pPr>
      <w:r w:rsidRPr="00C4690B">
        <w:t>Reassuringly, in some cases, franchisors</w:t>
      </w:r>
      <w:r w:rsidR="000A0A45">
        <w:t>,</w:t>
      </w:r>
      <w:r w:rsidRPr="00C4690B">
        <w:t xml:space="preserve"> </w:t>
      </w:r>
      <w:r w:rsidR="00BA6D87">
        <w:t>as</w:t>
      </w:r>
      <w:r w:rsidRPr="00C4690B">
        <w:t xml:space="preserve"> HCP Approved Providers</w:t>
      </w:r>
      <w:r w:rsidR="000A0A45">
        <w:t>,</w:t>
      </w:r>
      <w:r>
        <w:t xml:space="preserve"> </w:t>
      </w:r>
      <w:r w:rsidR="002654BA" w:rsidRPr="00C4690B">
        <w:t>claimed to</w:t>
      </w:r>
      <w:r w:rsidR="00AB7A77" w:rsidRPr="00C4690B">
        <w:t xml:space="preserve"> have strong quality assurance and system-based controls</w:t>
      </w:r>
      <w:r w:rsidR="006D0BC5">
        <w:t xml:space="preserve"> and appeared to </w:t>
      </w:r>
      <w:r w:rsidR="002231E3">
        <w:t xml:space="preserve">effectively </w:t>
      </w:r>
      <w:r w:rsidR="006D0BC5">
        <w:t>balance their franchisor and HCP Approved Provider obligations</w:t>
      </w:r>
      <w:r w:rsidR="000D1A25">
        <w:t xml:space="preserve">. </w:t>
      </w:r>
    </w:p>
    <w:p w14:paraId="62F93372" w14:textId="77777777" w:rsidR="00A1180A" w:rsidRDefault="00FD44FD" w:rsidP="00951DC6">
      <w:pPr>
        <w:pStyle w:val="ListParagraph"/>
        <w:numPr>
          <w:ilvl w:val="0"/>
          <w:numId w:val="7"/>
        </w:numPr>
        <w:spacing w:before="60"/>
        <w:ind w:left="357" w:hanging="357"/>
        <w:contextualSpacing w:val="0"/>
      </w:pPr>
      <w:r w:rsidRPr="00C4690B">
        <w:t>W</w:t>
      </w:r>
      <w:r w:rsidR="00AB7A77" w:rsidRPr="00C4690B">
        <w:t xml:space="preserve">hile out of scope for the Review, incidental findings around </w:t>
      </w:r>
      <w:r w:rsidR="00A86C24">
        <w:t xml:space="preserve">the </w:t>
      </w:r>
      <w:r w:rsidR="00AB7A77" w:rsidRPr="00C4690B">
        <w:t xml:space="preserve">use of HCP funds for purchasing excluded items suggest that program funds </w:t>
      </w:r>
      <w:r w:rsidR="008A0D66">
        <w:t>are being</w:t>
      </w:r>
      <w:r w:rsidR="008A0D66" w:rsidRPr="00C4690B">
        <w:t xml:space="preserve"> </w:t>
      </w:r>
      <w:r w:rsidR="008A0D66">
        <w:t>used for purchases that should be funded by general income (noting general income purchases are a legislated exclusion),</w:t>
      </w:r>
      <w:r w:rsidR="00497FAF">
        <w:t xml:space="preserve"> </w:t>
      </w:r>
      <w:r w:rsidR="006F12FD">
        <w:t xml:space="preserve">thus undermining value for money for Australian </w:t>
      </w:r>
      <w:r w:rsidR="00ED259D">
        <w:t>taxpayers</w:t>
      </w:r>
      <w:r w:rsidR="00AB7A77" w:rsidRPr="00C4690B">
        <w:t xml:space="preserve">. </w:t>
      </w:r>
    </w:p>
    <w:p w14:paraId="56147D9D" w14:textId="34A96E4C" w:rsidR="00AB7A77" w:rsidRPr="00951DC6" w:rsidRDefault="00AB7A77" w:rsidP="00895ADC">
      <w:pPr>
        <w:pStyle w:val="Heading3"/>
      </w:pPr>
      <w:r w:rsidRPr="00951DC6">
        <w:t>Review observations</w:t>
      </w:r>
    </w:p>
    <w:p w14:paraId="2846D92B" w14:textId="77777777" w:rsidR="00A1180A" w:rsidRDefault="00AB7A77" w:rsidP="00AB7A77">
      <w:r w:rsidRPr="00C4690B">
        <w:t xml:space="preserve">Program funds must be used for the purposes </w:t>
      </w:r>
      <w:r w:rsidR="00A86C24">
        <w:t>provided for under the Aged Care legislation</w:t>
      </w:r>
      <w:r w:rsidR="00D262B8">
        <w:t xml:space="preserve"> (</w:t>
      </w:r>
      <w:r w:rsidR="00D262B8" w:rsidRPr="009C285C">
        <w:rPr>
          <w:i/>
          <w:iCs/>
        </w:rPr>
        <w:t>Aged Care Act 1997</w:t>
      </w:r>
      <w:r w:rsidR="00D262B8">
        <w:t xml:space="preserve"> and relevant subordinate legislation)</w:t>
      </w:r>
      <w:r w:rsidRPr="00C4690B">
        <w:t xml:space="preserve">. Taxpayers </w:t>
      </w:r>
      <w:r w:rsidR="001773C6">
        <w:t>need to</w:t>
      </w:r>
      <w:r w:rsidRPr="00C4690B">
        <w:t xml:space="preserve"> </w:t>
      </w:r>
      <w:r w:rsidR="001773C6">
        <w:t xml:space="preserve">have confidence that funds are being </w:t>
      </w:r>
      <w:r w:rsidR="00CB555B">
        <w:t>effectively</w:t>
      </w:r>
      <w:r w:rsidR="001773C6">
        <w:t xml:space="preserve"> administered and used</w:t>
      </w:r>
      <w:r w:rsidR="00CB555B">
        <w:t xml:space="preserve"> by providers</w:t>
      </w:r>
      <w:r w:rsidR="001773C6">
        <w:t xml:space="preserve"> for approved</w:t>
      </w:r>
      <w:r w:rsidR="00273F86">
        <w:t xml:space="preserve"> program</w:t>
      </w:r>
      <w:r w:rsidR="001773C6">
        <w:t xml:space="preserve"> purposes</w:t>
      </w:r>
      <w:r w:rsidRPr="00C4690B">
        <w:t>.</w:t>
      </w:r>
      <w:r w:rsidR="001773C6">
        <w:t xml:space="preserve"> </w:t>
      </w:r>
    </w:p>
    <w:p w14:paraId="215A9496" w14:textId="77777777" w:rsidR="00A1180A" w:rsidRDefault="00BA6D87" w:rsidP="00AB7A77">
      <w:proofErr w:type="gramStart"/>
      <w:r>
        <w:t>T</w:t>
      </w:r>
      <w:r w:rsidR="00AB7A77" w:rsidRPr="00C4690B">
        <w:t>he majority of</w:t>
      </w:r>
      <w:proofErr w:type="gramEnd"/>
      <w:r w:rsidR="00AB7A77" w:rsidRPr="00C4690B">
        <w:t xml:space="preserve"> funds must be </w:t>
      </w:r>
      <w:r w:rsidR="00273F86">
        <w:t>used</w:t>
      </w:r>
      <w:r w:rsidR="00AB7A77" w:rsidRPr="00C4690B">
        <w:t xml:space="preserve"> by providers </w:t>
      </w:r>
      <w:r w:rsidR="004F6728">
        <w:t>for</w:t>
      </w:r>
      <w:r w:rsidR="00894B0D">
        <w:t xml:space="preserve"> </w:t>
      </w:r>
      <w:r w:rsidR="00AB7A77" w:rsidRPr="00C4690B">
        <w:t>the direct care and services support for HCP care recipients</w:t>
      </w:r>
      <w:r w:rsidR="00664A63" w:rsidRPr="00C4690B">
        <w:t>, and business costs and other costs should be covered through the common/direct services hourly rate</w:t>
      </w:r>
      <w:r w:rsidR="00AB7A77" w:rsidRPr="00C4690B">
        <w:t xml:space="preserve">. However, there are legitimate care management and indirect charges that providers must </w:t>
      </w:r>
      <w:proofErr w:type="gramStart"/>
      <w:r w:rsidR="00AB7A77" w:rsidRPr="00C4690B">
        <w:t>charge, if</w:t>
      </w:r>
      <w:proofErr w:type="gramEnd"/>
      <w:r w:rsidR="00AB7A77" w:rsidRPr="00C4690B">
        <w:t xml:space="preserve"> they are to fulfil their regulatory obligations as Approved Providers of the HCP Program</w:t>
      </w:r>
      <w:r w:rsidR="00894B0D">
        <w:t xml:space="preserve"> and to run viable businesses</w:t>
      </w:r>
      <w:r w:rsidR="00AB7A77" w:rsidRPr="00C4690B">
        <w:t xml:space="preserve">. </w:t>
      </w:r>
    </w:p>
    <w:p w14:paraId="2EB57E7A" w14:textId="77777777" w:rsidR="00A1180A" w:rsidRDefault="001464C7" w:rsidP="001464C7">
      <w:r w:rsidRPr="00C4690B">
        <w:t xml:space="preserve">Value for money considerations can be subjective to provider and care recipient needs/contexts. Accurate pricing transparency is thus essential to support value for money considerations for both care recipients and providers. If care recipients </w:t>
      </w:r>
      <w:r w:rsidR="00763D49">
        <w:t>and</w:t>
      </w:r>
      <w:r w:rsidRPr="00C4690B">
        <w:t xml:space="preserve"> their </w:t>
      </w:r>
      <w:r w:rsidR="00763D49">
        <w:t>loved ones</w:t>
      </w:r>
      <w:r w:rsidRPr="00C4690B">
        <w:t xml:space="preserve"> can make confident, like for like comparisons between providers, they can move to a different provider</w:t>
      </w:r>
      <w:r w:rsidR="00BD36A7">
        <w:t xml:space="preserve"> (where they have choice of providers</w:t>
      </w:r>
      <w:r w:rsidR="00486A65">
        <w:t xml:space="preserve"> – this may not always be possible, for example in remote and very remote areas</w:t>
      </w:r>
      <w:r w:rsidR="00BD36A7">
        <w:t>)</w:t>
      </w:r>
      <w:r w:rsidRPr="00C4690B">
        <w:t xml:space="preserve"> to secure better value for money</w:t>
      </w:r>
      <w:r w:rsidR="006E25E3">
        <w:t xml:space="preserve"> in line with their expectations</w:t>
      </w:r>
      <w:r w:rsidR="0049470A">
        <w:t xml:space="preserve"> and </w:t>
      </w:r>
      <w:r w:rsidR="006E25E3">
        <w:t>care needs</w:t>
      </w:r>
      <w:r w:rsidRPr="00C4690B">
        <w:t xml:space="preserve">. </w:t>
      </w:r>
    </w:p>
    <w:p w14:paraId="402827C0" w14:textId="77777777" w:rsidR="00A1180A" w:rsidRDefault="009C3491" w:rsidP="001464C7">
      <w:r>
        <w:lastRenderedPageBreak/>
        <w:t>T</w:t>
      </w:r>
      <w:r w:rsidR="001464C7" w:rsidRPr="00C4690B">
        <w:t xml:space="preserve">he </w:t>
      </w:r>
      <w:r w:rsidR="004350A7">
        <w:t>R</w:t>
      </w:r>
      <w:r w:rsidR="001464C7" w:rsidRPr="00C4690B">
        <w:t xml:space="preserve">eview team’s observation is that not all providers are currently supporting this outcome – this could be due to lack of clarity about program requirements in some instances, but </w:t>
      </w:r>
      <w:r>
        <w:t>mostly</w:t>
      </w:r>
      <w:r w:rsidR="001464C7" w:rsidRPr="00C4690B">
        <w:t xml:space="preserve"> it appears to be </w:t>
      </w:r>
      <w:r w:rsidR="00B72068">
        <w:t>lack of awareness</w:t>
      </w:r>
      <w:r w:rsidR="009B7D9A" w:rsidRPr="00C4690B">
        <w:t xml:space="preserve"> </w:t>
      </w:r>
      <w:r w:rsidR="001464C7" w:rsidRPr="00C4690B">
        <w:t xml:space="preserve">or </w:t>
      </w:r>
      <w:r>
        <w:t xml:space="preserve">due to </w:t>
      </w:r>
      <w:r w:rsidR="00B72068">
        <w:t xml:space="preserve">business </w:t>
      </w:r>
      <w:r w:rsidR="001464C7" w:rsidRPr="00C4690B">
        <w:t xml:space="preserve">need </w:t>
      </w:r>
      <w:r w:rsidR="00B6341F">
        <w:t>or preferences</w:t>
      </w:r>
      <w:r w:rsidR="00B6341F" w:rsidRPr="00C4690B">
        <w:t xml:space="preserve"> </w:t>
      </w:r>
      <w:r w:rsidR="001464C7" w:rsidRPr="00C4690B">
        <w:t xml:space="preserve">(administrative ease, old practices, systems-based constraints, misunderstanding that if the care recipient agrees to it or does not complain then it must be </w:t>
      </w:r>
      <w:r w:rsidR="007B1433">
        <w:t>acceptable</w:t>
      </w:r>
      <w:r w:rsidR="001464C7" w:rsidRPr="00C4690B">
        <w:t>).</w:t>
      </w:r>
    </w:p>
    <w:p w14:paraId="259E85F5" w14:textId="21EEF0A2" w:rsidR="00AB7A77" w:rsidRPr="00951DC6" w:rsidRDefault="00AB7A77" w:rsidP="00895ADC">
      <w:pPr>
        <w:pStyle w:val="Heading3"/>
      </w:pPr>
      <w:r w:rsidRPr="00951DC6">
        <w:t xml:space="preserve">Program </w:t>
      </w:r>
      <w:r w:rsidR="00895ADC">
        <w:t>g</w:t>
      </w:r>
      <w:r w:rsidRPr="00951DC6">
        <w:t>uidance improvement</w:t>
      </w:r>
    </w:p>
    <w:p w14:paraId="41F78E01" w14:textId="77777777" w:rsidR="00A1180A" w:rsidRDefault="00272335" w:rsidP="00AB7A77">
      <w:pPr>
        <w:rPr>
          <w:i/>
          <w:iCs/>
        </w:rPr>
      </w:pPr>
      <w:r w:rsidRPr="00272335">
        <w:t>Nothing specific</w:t>
      </w:r>
      <w:r w:rsidR="00C00BB3">
        <w:t xml:space="preserve"> noting there may be relevant findings in the following sections</w:t>
      </w:r>
      <w:r w:rsidRPr="00272335">
        <w:t>.</w:t>
      </w:r>
      <w:r>
        <w:rPr>
          <w:i/>
          <w:iCs/>
        </w:rPr>
        <w:t xml:space="preserve"> </w:t>
      </w:r>
    </w:p>
    <w:p w14:paraId="4D85C299" w14:textId="5F89BBD4" w:rsidR="00AB7A77" w:rsidRPr="00C4690B" w:rsidRDefault="00491A64" w:rsidP="00AB7A77">
      <w:r w:rsidRPr="00C4690B">
        <w:t xml:space="preserve">The Review team found that </w:t>
      </w:r>
      <w:proofErr w:type="gramStart"/>
      <w:r w:rsidR="00ED43EC">
        <w:t>overall</w:t>
      </w:r>
      <w:proofErr w:type="gramEnd"/>
      <w:r w:rsidR="00C31F65">
        <w:t xml:space="preserve"> </w:t>
      </w:r>
      <w:r w:rsidRPr="00C4690B">
        <w:t>there is sufficient</w:t>
      </w:r>
      <w:r w:rsidR="00AB7A77" w:rsidRPr="00C4690B">
        <w:t xml:space="preserve"> </w:t>
      </w:r>
      <w:r w:rsidRPr="00C4690B">
        <w:t xml:space="preserve">program </w:t>
      </w:r>
      <w:r w:rsidR="00AB7A77" w:rsidRPr="00C4690B">
        <w:t xml:space="preserve">guidance available to providers. While this </w:t>
      </w:r>
      <w:r w:rsidR="007B1433">
        <w:t xml:space="preserve">guidance </w:t>
      </w:r>
      <w:r w:rsidR="00AB7A77" w:rsidRPr="00C4690B">
        <w:t xml:space="preserve">would benefit from consolidation and further clarity, Approved Providers are aware, by virtue of being Approved Providers, that they are obliged legislatively to understand and deliver to the HCP requirements as articulated in </w:t>
      </w:r>
      <w:r w:rsidR="001C196E">
        <w:t xml:space="preserve">the </w:t>
      </w:r>
      <w:r w:rsidR="001C196E" w:rsidRPr="00D6040D">
        <w:rPr>
          <w:i/>
          <w:iCs/>
        </w:rPr>
        <w:t xml:space="preserve">Aged Care Act </w:t>
      </w:r>
      <w:r w:rsidR="00D6040D" w:rsidRPr="00D6040D">
        <w:rPr>
          <w:i/>
          <w:iCs/>
        </w:rPr>
        <w:t>1997</w:t>
      </w:r>
      <w:r w:rsidR="00D6040D">
        <w:t xml:space="preserve"> </w:t>
      </w:r>
      <w:r w:rsidR="001C196E" w:rsidRPr="001C196E">
        <w:t>and relevant Aged Care Principles</w:t>
      </w:r>
      <w:r w:rsidR="00AB7A77" w:rsidRPr="00C4690B">
        <w:t xml:space="preserve">. </w:t>
      </w:r>
    </w:p>
    <w:p w14:paraId="42D53D78" w14:textId="2702C4C4" w:rsidR="006E10B0" w:rsidRPr="00951DC6" w:rsidRDefault="006E10B0" w:rsidP="00895ADC">
      <w:pPr>
        <w:pStyle w:val="Heading2"/>
      </w:pPr>
      <w:bookmarkStart w:id="16" w:name="_Toc111803157"/>
      <w:r w:rsidRPr="00951DC6">
        <w:t>Care management</w:t>
      </w:r>
      <w:r w:rsidR="0049470A" w:rsidRPr="00951DC6">
        <w:t xml:space="preserve"> and </w:t>
      </w:r>
      <w:r w:rsidRPr="00951DC6">
        <w:t>package management charges</w:t>
      </w:r>
      <w:bookmarkEnd w:id="16"/>
    </w:p>
    <w:p w14:paraId="720AD4DC" w14:textId="46259F75" w:rsidR="000D2D42" w:rsidRPr="00951DC6" w:rsidRDefault="000D2D42" w:rsidP="00895ADC">
      <w:pPr>
        <w:pStyle w:val="Heading3"/>
      </w:pPr>
      <w:r w:rsidRPr="00951DC6">
        <w:t>Review findings</w:t>
      </w:r>
    </w:p>
    <w:p w14:paraId="5EDF709A" w14:textId="77777777" w:rsidR="00A1180A" w:rsidRDefault="000B0D30" w:rsidP="006E10B0">
      <w:proofErr w:type="gramStart"/>
      <w:r>
        <w:t>The m</w:t>
      </w:r>
      <w:r w:rsidR="006E10B0" w:rsidRPr="00C37E31">
        <w:t>ajority of</w:t>
      </w:r>
      <w:proofErr w:type="gramEnd"/>
      <w:r w:rsidR="006E10B0" w:rsidRPr="00C37E31">
        <w:t xml:space="preserve"> providers are charging for package management and care management</w:t>
      </w:r>
      <w:r w:rsidR="00C37E31" w:rsidRPr="00C37E31">
        <w:t>,</w:t>
      </w:r>
      <w:r w:rsidR="006E10B0" w:rsidRPr="00C37E31">
        <w:t xml:space="preserve"> </w:t>
      </w:r>
      <w:r w:rsidR="00A75C22" w:rsidRPr="00C37E31">
        <w:t>and generally</w:t>
      </w:r>
      <w:r w:rsidR="006E10B0" w:rsidRPr="00C37E31">
        <w:t xml:space="preserve"> as a </w:t>
      </w:r>
      <w:r>
        <w:t>percentage</w:t>
      </w:r>
      <w:r w:rsidR="006E10B0" w:rsidRPr="00C37E31">
        <w:t xml:space="preserve"> of the total </w:t>
      </w:r>
      <w:r w:rsidR="00A75C22" w:rsidRPr="00C37E31">
        <w:t>HCP</w:t>
      </w:r>
      <w:r w:rsidR="006E10B0" w:rsidRPr="00C37E31">
        <w:t>. This means that where a person moves from a lower package to a higher</w:t>
      </w:r>
      <w:r w:rsidR="00716841">
        <w:t>-</w:t>
      </w:r>
      <w:r w:rsidR="006E10B0" w:rsidRPr="00C37E31">
        <w:t xml:space="preserve">level package, their package and care management charges in actual dollar terms increase. </w:t>
      </w:r>
      <w:r w:rsidR="00F65D7B">
        <w:t>A common</w:t>
      </w:r>
      <w:r w:rsidR="001F50B1" w:rsidRPr="001B7D64">
        <w:t xml:space="preserve"> rationale</w:t>
      </w:r>
      <w:r w:rsidR="001F50B1">
        <w:t xml:space="preserve"> for charging a </w:t>
      </w:r>
      <w:r>
        <w:t>percentage</w:t>
      </w:r>
      <w:r w:rsidR="001F50B1" w:rsidRPr="001B7D64">
        <w:t xml:space="preserve"> appears to be that this is simpler for the </w:t>
      </w:r>
      <w:r w:rsidR="00497FAF">
        <w:t>p</w:t>
      </w:r>
      <w:r w:rsidR="001F50B1" w:rsidRPr="001B7D64">
        <w:t xml:space="preserve">rovider to calculate and the care recipient to understand. </w:t>
      </w:r>
    </w:p>
    <w:p w14:paraId="53A3EA3A" w14:textId="77777777" w:rsidR="00A1180A" w:rsidRDefault="005217A7" w:rsidP="00951DC6">
      <w:pPr>
        <w:contextualSpacing/>
        <w:rPr>
          <w:color w:val="000000" w:themeColor="text1"/>
        </w:rPr>
      </w:pPr>
      <w:r w:rsidRPr="005217A7">
        <w:t xml:space="preserve">An </w:t>
      </w:r>
      <w:r w:rsidR="009173E0">
        <w:t>alternat</w:t>
      </w:r>
      <w:r w:rsidR="003E3F99">
        <w:t>iv</w:t>
      </w:r>
      <w:r w:rsidR="009173E0">
        <w:t>e</w:t>
      </w:r>
      <w:r w:rsidRPr="005217A7">
        <w:t xml:space="preserve"> approach observed by the Review was </w:t>
      </w:r>
      <w:r w:rsidRPr="00951DC6">
        <w:rPr>
          <w:color w:val="000000" w:themeColor="text1"/>
        </w:rPr>
        <w:t xml:space="preserve">percentage rates </w:t>
      </w:r>
      <w:r w:rsidRPr="00951DC6">
        <w:rPr>
          <w:i/>
          <w:color w:val="000000" w:themeColor="text1"/>
        </w:rPr>
        <w:t xml:space="preserve">decreasing </w:t>
      </w:r>
      <w:r w:rsidRPr="00951DC6">
        <w:rPr>
          <w:color w:val="000000" w:themeColor="text1"/>
        </w:rPr>
        <w:t xml:space="preserve">for fully managed care management charges, self-managed care management charges and package management charges as the HCP level increases. This approach </w:t>
      </w:r>
      <w:r w:rsidR="004731A1" w:rsidRPr="00951DC6">
        <w:rPr>
          <w:color w:val="000000" w:themeColor="text1"/>
        </w:rPr>
        <w:t xml:space="preserve">was deliberate to leave </w:t>
      </w:r>
      <w:r w:rsidRPr="00951DC6">
        <w:rPr>
          <w:color w:val="000000" w:themeColor="text1"/>
        </w:rPr>
        <w:t>higher level care recipients with more funds available for other direct care and support services.</w:t>
      </w:r>
    </w:p>
    <w:p w14:paraId="6D3252F0" w14:textId="77777777" w:rsidR="00A1180A" w:rsidRDefault="006E10B0" w:rsidP="006E10B0">
      <w:r w:rsidRPr="00C37E31">
        <w:lastRenderedPageBreak/>
        <w:t>Some providers charge for both care</w:t>
      </w:r>
      <w:r w:rsidR="00413D76" w:rsidRPr="00C37E31">
        <w:rPr>
          <w:rStyle w:val="FootnoteReference"/>
        </w:rPr>
        <w:footnoteReference w:id="17"/>
      </w:r>
      <w:r w:rsidR="00413D76" w:rsidRPr="00C37E31">
        <w:t xml:space="preserve"> </w:t>
      </w:r>
      <w:r w:rsidRPr="00C37E31">
        <w:t>and package management together, even though these are distinctly different types of activities.</w:t>
      </w:r>
      <w:r w:rsidR="0070666F">
        <w:t xml:space="preserve"> </w:t>
      </w:r>
    </w:p>
    <w:p w14:paraId="51488EE6" w14:textId="77777777" w:rsidR="00A1180A" w:rsidRDefault="0011288C" w:rsidP="0011288C">
      <w:r w:rsidRPr="00C37E31">
        <w:t xml:space="preserve">Some providers do not clearly list the total charges for care management, making it </w:t>
      </w:r>
      <w:r w:rsidR="00716841">
        <w:t>difficult</w:t>
      </w:r>
      <w:r w:rsidRPr="00C37E31">
        <w:t xml:space="preserve"> to compare like with like. For example, the care management charge is listed for a minimum number of hours on My Aged Care, and beyond these hours, there is an additional hourly rate. </w:t>
      </w:r>
      <w:r w:rsidR="000B0D30">
        <w:t>In contrast</w:t>
      </w:r>
      <w:r w:rsidRPr="00C37E31">
        <w:t>, some providers offer unlimited care management despite having a minimum number of hours listed on My Aged Care as a guide.</w:t>
      </w:r>
    </w:p>
    <w:p w14:paraId="58CEE074" w14:textId="77777777" w:rsidR="00A1180A" w:rsidRDefault="0070666F" w:rsidP="006E10B0">
      <w:r w:rsidRPr="00A96E75">
        <w:rPr>
          <w:rFonts w:eastAsia="Times New Roman"/>
        </w:rPr>
        <w:t>Some providers were of the view that care management charged at an hourly rate results in care recipients with complex care needs choosing a lower level of care management in favour of retaining funds for direct services</w:t>
      </w:r>
      <w:r w:rsidR="00F43A47">
        <w:rPr>
          <w:rFonts w:eastAsia="Times New Roman"/>
        </w:rPr>
        <w:t xml:space="preserve">. </w:t>
      </w:r>
    </w:p>
    <w:p w14:paraId="2FFABB71" w14:textId="679EF94D" w:rsidR="000C3E50" w:rsidRDefault="006E10B0" w:rsidP="00895ADC">
      <w:pPr>
        <w:pStyle w:val="Heading3"/>
      </w:pPr>
      <w:r w:rsidRPr="00951DC6">
        <w:t>Review observation</w:t>
      </w:r>
      <w:r w:rsidR="00AF12DF" w:rsidRPr="00951DC6">
        <w:t>s</w:t>
      </w:r>
    </w:p>
    <w:p w14:paraId="098C890A" w14:textId="77777777" w:rsidR="00A1180A" w:rsidRDefault="00C31F65" w:rsidP="006E10B0">
      <w:r>
        <w:t>Charging a percentage for care management/package management is not aligned with legislative requirements</w:t>
      </w:r>
      <w:r w:rsidR="008A0D66">
        <w:t xml:space="preserve"> and </w:t>
      </w:r>
      <w:r w:rsidR="00DD76F2">
        <w:t>impinges</w:t>
      </w:r>
      <w:r w:rsidR="008A0D66">
        <w:t xml:space="preserve"> on care recipients’ ability to easily </w:t>
      </w:r>
      <w:proofErr w:type="gramStart"/>
      <w:r w:rsidR="008A0D66">
        <w:t>compare and contrast</w:t>
      </w:r>
      <w:proofErr w:type="gramEnd"/>
      <w:r w:rsidR="008A0D66">
        <w:t xml:space="preserve"> prices.</w:t>
      </w:r>
    </w:p>
    <w:p w14:paraId="0084D027" w14:textId="77777777" w:rsidR="00A1180A" w:rsidRDefault="00841B01" w:rsidP="006E10B0">
      <w:r>
        <w:t>In addition</w:t>
      </w:r>
      <w:r w:rsidR="00E11F66">
        <w:t>, charging for care management and package management together is also not consistent with legislative requirements.</w:t>
      </w:r>
    </w:p>
    <w:p w14:paraId="5686A42F" w14:textId="77777777" w:rsidR="00A1180A" w:rsidRDefault="006E10B0" w:rsidP="006E10B0">
      <w:r w:rsidRPr="00C37E31">
        <w:t xml:space="preserve">Value for money for care recipients requires that actual effort/support from the provider increases to justify increased package and care management charges. This was not </w:t>
      </w:r>
      <w:r w:rsidR="005E0A44" w:rsidRPr="00C37E31">
        <w:t xml:space="preserve">always </w:t>
      </w:r>
      <w:r w:rsidRPr="00C37E31">
        <w:t xml:space="preserve">evident to the Review </w:t>
      </w:r>
      <w:r w:rsidR="00841B01">
        <w:t>t</w:t>
      </w:r>
      <w:r w:rsidRPr="00C37E31">
        <w:t>eam.</w:t>
      </w:r>
    </w:p>
    <w:p w14:paraId="1969A401" w14:textId="77777777" w:rsidR="00A1180A" w:rsidRDefault="001B1AD2" w:rsidP="001B1AD2">
      <w:pPr>
        <w:rPr>
          <w:lang w:eastAsia="en-US"/>
        </w:rPr>
      </w:pPr>
      <w:r w:rsidRPr="00C37E31">
        <w:t>Regarding care management</w:t>
      </w:r>
      <w:r w:rsidR="00D265EA" w:rsidRPr="00C37E31">
        <w:t xml:space="preserve"> (a direct support service)</w:t>
      </w:r>
      <w:r w:rsidRPr="00C37E31">
        <w:t xml:space="preserve">, the majority of providers, when queried, advised that this arrangement </w:t>
      </w:r>
      <w:r w:rsidR="00D265EA" w:rsidRPr="00C37E31">
        <w:t xml:space="preserve">(of charging a </w:t>
      </w:r>
      <w:r w:rsidR="000B0D30">
        <w:t>percentage</w:t>
      </w:r>
      <w:r w:rsidR="00D265EA" w:rsidRPr="00C37E31">
        <w:t xml:space="preserve"> against the package level) </w:t>
      </w:r>
      <w:r w:rsidRPr="00C37E31">
        <w:t>was justified as</w:t>
      </w:r>
      <w:r w:rsidR="008A0D66">
        <w:t xml:space="preserve"> care management activities increase proportionately in both frequency and complexity</w:t>
      </w:r>
      <w:r w:rsidRPr="00C37E31">
        <w:t xml:space="preserve"> </w:t>
      </w:r>
      <w:r w:rsidR="008A0D66">
        <w:rPr>
          <w:lang w:eastAsia="en-US"/>
        </w:rPr>
        <w:t>of the</w:t>
      </w:r>
      <w:r w:rsidRPr="00C37E31">
        <w:rPr>
          <w:lang w:eastAsia="en-US"/>
        </w:rPr>
        <w:t xml:space="preserve"> higher </w:t>
      </w:r>
      <w:r w:rsidR="008A0D66">
        <w:rPr>
          <w:lang w:eastAsia="en-US"/>
        </w:rPr>
        <w:t xml:space="preserve">the level of </w:t>
      </w:r>
      <w:r w:rsidRPr="00C37E31">
        <w:rPr>
          <w:lang w:eastAsia="en-US"/>
        </w:rPr>
        <w:t xml:space="preserve">HCP </w:t>
      </w:r>
      <w:r w:rsidR="008A0D66">
        <w:rPr>
          <w:lang w:eastAsia="en-US"/>
        </w:rPr>
        <w:t xml:space="preserve">received. </w:t>
      </w:r>
      <w:r w:rsidRPr="00C37E31">
        <w:rPr>
          <w:lang w:eastAsia="en-US"/>
        </w:rPr>
        <w:t xml:space="preserve">This </w:t>
      </w:r>
      <w:r w:rsidR="008A0D66">
        <w:rPr>
          <w:lang w:eastAsia="en-US"/>
        </w:rPr>
        <w:t>may be</w:t>
      </w:r>
      <w:r w:rsidR="008A0D66" w:rsidRPr="00C37E31">
        <w:rPr>
          <w:lang w:eastAsia="en-US"/>
        </w:rPr>
        <w:t xml:space="preserve"> </w:t>
      </w:r>
      <w:r w:rsidRPr="00C37E31">
        <w:rPr>
          <w:lang w:eastAsia="en-US"/>
        </w:rPr>
        <w:t xml:space="preserve">justified </w:t>
      </w:r>
      <w:r w:rsidR="008A0D66">
        <w:rPr>
          <w:lang w:eastAsia="en-US"/>
        </w:rPr>
        <w:t xml:space="preserve">in </w:t>
      </w:r>
      <w:r w:rsidR="008A0D66">
        <w:rPr>
          <w:lang w:eastAsia="en-US"/>
        </w:rPr>
        <w:lastRenderedPageBreak/>
        <w:t xml:space="preserve">cases </w:t>
      </w:r>
      <w:r w:rsidRPr="00C37E31">
        <w:rPr>
          <w:lang w:eastAsia="en-US"/>
        </w:rPr>
        <w:t xml:space="preserve">where care </w:t>
      </w:r>
      <w:r w:rsidRPr="00273A8F">
        <w:rPr>
          <w:lang w:eastAsia="en-US"/>
        </w:rPr>
        <w:t xml:space="preserve">recipients on higher levels of packages require more complex </w:t>
      </w:r>
      <w:r w:rsidR="00763D49">
        <w:rPr>
          <w:lang w:eastAsia="en-US"/>
        </w:rPr>
        <w:t>support</w:t>
      </w:r>
      <w:r w:rsidR="008A0D66">
        <w:rPr>
          <w:lang w:eastAsia="en-US"/>
        </w:rPr>
        <w:t>, and there is evidence that there is a care plan in place, individualised budget and frequent deliver</w:t>
      </w:r>
      <w:r w:rsidR="00D47EE7">
        <w:rPr>
          <w:lang w:eastAsia="en-US"/>
        </w:rPr>
        <w:t>y</w:t>
      </w:r>
      <w:r w:rsidR="008A0D66">
        <w:rPr>
          <w:lang w:eastAsia="en-US"/>
        </w:rPr>
        <w:t xml:space="preserve"> of care and services</w:t>
      </w:r>
      <w:r w:rsidR="003E3F99">
        <w:rPr>
          <w:lang w:eastAsia="en-US"/>
        </w:rPr>
        <w:t>.</w:t>
      </w:r>
    </w:p>
    <w:p w14:paraId="2697B152" w14:textId="77777777" w:rsidR="00A1180A" w:rsidRDefault="006E10B0" w:rsidP="006E10B0">
      <w:r w:rsidRPr="00273A8F">
        <w:rPr>
          <w:lang w:eastAsia="en-US"/>
        </w:rPr>
        <w:t>Regarding package management</w:t>
      </w:r>
      <w:r w:rsidR="006E12BD" w:rsidRPr="00273A8F">
        <w:rPr>
          <w:lang w:eastAsia="en-US"/>
        </w:rPr>
        <w:t xml:space="preserve"> (an indirect charge)</w:t>
      </w:r>
      <w:r w:rsidRPr="00273A8F">
        <w:rPr>
          <w:lang w:eastAsia="en-US"/>
        </w:rPr>
        <w:t xml:space="preserve">, some providers, when queried, advised that </w:t>
      </w:r>
      <w:r w:rsidR="003C2890">
        <w:t>p</w:t>
      </w:r>
      <w:r w:rsidRPr="00273A8F">
        <w:t>ackage management resourcing requirements to administer the HCP increase depending on the subsidy level of the care recipient</w:t>
      </w:r>
      <w:r w:rsidR="003C2890">
        <w:t xml:space="preserve">. Accordingly, to them this </w:t>
      </w:r>
      <w:r w:rsidRPr="00273A8F">
        <w:t xml:space="preserve">justifies the increased amount that higher level care recipients are charged. However, as </w:t>
      </w:r>
      <w:r w:rsidR="008F4DE2">
        <w:t>many</w:t>
      </w:r>
      <w:r w:rsidR="008F4DE2" w:rsidRPr="00273A8F">
        <w:t xml:space="preserve"> </w:t>
      </w:r>
      <w:r w:rsidRPr="00273A8F">
        <w:t>providers do charge the care recipient for additional effort involved in sourcing third-party providers/goods/services, the justification for also charging a higher package management charge with a higher</w:t>
      </w:r>
      <w:r w:rsidR="00716841">
        <w:t>-</w:t>
      </w:r>
      <w:r w:rsidRPr="00273A8F">
        <w:t xml:space="preserve">level </w:t>
      </w:r>
      <w:r w:rsidR="00763D49">
        <w:t xml:space="preserve">package </w:t>
      </w:r>
      <w:r w:rsidRPr="00273A8F">
        <w:t xml:space="preserve">was not </w:t>
      </w:r>
      <w:r w:rsidR="003C2890">
        <w:t xml:space="preserve">always </w:t>
      </w:r>
      <w:r w:rsidRPr="00273A8F">
        <w:t>evident</w:t>
      </w:r>
      <w:r w:rsidR="009421E0">
        <w:t>.</w:t>
      </w:r>
      <w:r w:rsidRPr="00273A8F">
        <w:t xml:space="preserve"> </w:t>
      </w:r>
    </w:p>
    <w:p w14:paraId="054BA42D" w14:textId="283C6AA6" w:rsidR="00A1180A" w:rsidRDefault="003C2890" w:rsidP="006E10B0">
      <w:r>
        <w:t xml:space="preserve">Package management charges should be </w:t>
      </w:r>
      <w:r w:rsidR="00D66B56">
        <w:t>‘</w:t>
      </w:r>
      <w:r>
        <w:t>reasonable</w:t>
      </w:r>
      <w:r w:rsidR="00D66B56">
        <w:t>’</w:t>
      </w:r>
      <w:r>
        <w:t xml:space="preserve"> as per the</w:t>
      </w:r>
      <w:r w:rsidR="00F330A0" w:rsidRPr="00273A8F">
        <w:t xml:space="preserve"> </w:t>
      </w:r>
      <w:r w:rsidR="00F330A0" w:rsidRPr="00273A8F">
        <w:rPr>
          <w:i/>
          <w:iCs/>
        </w:rPr>
        <w:t>User Rights Principles 2014</w:t>
      </w:r>
      <w:r w:rsidR="00413D76" w:rsidRPr="00273A8F">
        <w:rPr>
          <w:rStyle w:val="FootnoteReference"/>
        </w:rPr>
        <w:footnoteReference w:id="18"/>
      </w:r>
      <w:r w:rsidR="00413D76">
        <w:t>.</w:t>
      </w:r>
      <w:r>
        <w:t xml:space="preserve"> </w:t>
      </w:r>
      <w:r w:rsidRPr="00273A8F">
        <w:t xml:space="preserve">The Review team did not examine </w:t>
      </w:r>
      <w:r w:rsidR="00D66B56">
        <w:t>‘</w:t>
      </w:r>
      <w:r w:rsidRPr="00273A8F">
        <w:t>reasonableness</w:t>
      </w:r>
      <w:r w:rsidR="00D66B56">
        <w:t>’</w:t>
      </w:r>
      <w:r w:rsidRPr="00273A8F">
        <w:t xml:space="preserve"> of such charges</w:t>
      </w:r>
      <w:r w:rsidR="00F330A0" w:rsidRPr="00273A8F">
        <w:t xml:space="preserve">. </w:t>
      </w:r>
    </w:p>
    <w:p w14:paraId="13CE9B31" w14:textId="247A5CED" w:rsidR="006E10B0" w:rsidRPr="00951DC6" w:rsidRDefault="006E10B0" w:rsidP="00A90039">
      <w:pPr>
        <w:pStyle w:val="Heading3"/>
      </w:pPr>
      <w:r w:rsidRPr="00951DC6">
        <w:t>Program guidance improvement</w:t>
      </w:r>
    </w:p>
    <w:p w14:paraId="0AAABEA0" w14:textId="3F508F67" w:rsidR="008A0D66" w:rsidRPr="00273A8F" w:rsidRDefault="008A0D66" w:rsidP="008A0D66">
      <w:r>
        <w:t>While w</w:t>
      </w:r>
      <w:r w:rsidRPr="00273A8F">
        <w:t xml:space="preserve">hat is </w:t>
      </w:r>
      <w:r>
        <w:t>considered a</w:t>
      </w:r>
      <w:r w:rsidRPr="00273A8F">
        <w:t xml:space="preserve"> </w:t>
      </w:r>
      <w:r w:rsidR="00D66B56">
        <w:t>‘</w:t>
      </w:r>
      <w:r w:rsidRPr="00273A8F">
        <w:t>reasonable</w:t>
      </w:r>
      <w:r w:rsidR="00D66B56">
        <w:t>’</w:t>
      </w:r>
      <w:r>
        <w:t xml:space="preserve"> charge </w:t>
      </w:r>
      <w:r w:rsidRPr="007F5B78">
        <w:t>will vary depending on the specific circumstances</w:t>
      </w:r>
      <w:r>
        <w:t xml:space="preserve">, further program guidance on assessing what is ‘reasonable’ would assist providers in setting prices. </w:t>
      </w:r>
    </w:p>
    <w:p w14:paraId="53AC8864" w14:textId="4A518693" w:rsidR="006E10B0" w:rsidRPr="00951DC6" w:rsidRDefault="00BE4104" w:rsidP="00895ADC">
      <w:pPr>
        <w:pStyle w:val="Heading2"/>
      </w:pPr>
      <w:bookmarkStart w:id="17" w:name="_Toc111803158"/>
      <w:bookmarkStart w:id="18" w:name="_Hlk103748712"/>
      <w:r w:rsidRPr="00951DC6">
        <w:t>Providers charging $0</w:t>
      </w:r>
      <w:r w:rsidR="006E10B0" w:rsidRPr="00951DC6">
        <w:t xml:space="preserve"> for care management</w:t>
      </w:r>
      <w:bookmarkEnd w:id="17"/>
    </w:p>
    <w:bookmarkEnd w:id="18"/>
    <w:p w14:paraId="30DA448B" w14:textId="0CB50FAE" w:rsidR="009B3EF1" w:rsidRDefault="006E10B0" w:rsidP="00895ADC">
      <w:pPr>
        <w:pStyle w:val="Heading3"/>
      </w:pPr>
      <w:r w:rsidRPr="00951DC6">
        <w:t xml:space="preserve">Review </w:t>
      </w:r>
      <w:r w:rsidR="009B3EF1" w:rsidRPr="00951DC6">
        <w:t>f</w:t>
      </w:r>
      <w:r w:rsidRPr="00951DC6">
        <w:t>inding</w:t>
      </w:r>
      <w:r w:rsidR="009B3EF1" w:rsidRPr="00951DC6">
        <w:t>s</w:t>
      </w:r>
    </w:p>
    <w:p w14:paraId="31DBD16B" w14:textId="77777777" w:rsidR="00A1180A" w:rsidRDefault="006E10B0" w:rsidP="006E10B0">
      <w:r w:rsidRPr="00B13D76">
        <w:t xml:space="preserve">The Review found that a </w:t>
      </w:r>
      <w:r w:rsidR="00C53793">
        <w:t xml:space="preserve">few providers </w:t>
      </w:r>
      <w:r w:rsidRPr="00B13D76">
        <w:t xml:space="preserve">do not charge </w:t>
      </w:r>
      <w:r w:rsidR="008A0D66">
        <w:t xml:space="preserve">separately </w:t>
      </w:r>
      <w:r w:rsidRPr="00B13D76">
        <w:t xml:space="preserve">for care and/or package management. In some cases, providers are transparent about this, by listing $0 on My Aged Care. </w:t>
      </w:r>
      <w:r w:rsidR="008A0D66">
        <w:t>In some cases</w:t>
      </w:r>
      <w:r w:rsidR="00924E7C">
        <w:t>,</w:t>
      </w:r>
      <w:r w:rsidR="008A0D66">
        <w:t xml:space="preserve"> providers indicated that they had incorporated the cost of care management into an all-inclusive service price.</w:t>
      </w:r>
    </w:p>
    <w:p w14:paraId="1ACBB9AA" w14:textId="77777777" w:rsidR="00A1180A" w:rsidRDefault="008A0D66" w:rsidP="006E10B0">
      <w:r>
        <w:t xml:space="preserve">Care management is a mandatory requirement and must be delivered to all </w:t>
      </w:r>
      <w:r w:rsidR="007A6A6B">
        <w:t>c</w:t>
      </w:r>
      <w:r>
        <w:t>are recipients, irrespective of whether they are fully managed or self-managed.</w:t>
      </w:r>
    </w:p>
    <w:p w14:paraId="1D2272D7" w14:textId="77777777" w:rsidR="00A1180A" w:rsidRDefault="008A0D66" w:rsidP="006E10B0">
      <w:r>
        <w:lastRenderedPageBreak/>
        <w:t>While some providers did not separately charge for care management,</w:t>
      </w:r>
      <w:r w:rsidR="00B6341F">
        <w:t xml:space="preserve"> it raises the question as to whether mandatory care management was being delivered, </w:t>
      </w:r>
      <w:r w:rsidR="00DD3810">
        <w:t>noting that</w:t>
      </w:r>
      <w:r w:rsidR="00B6341F">
        <w:t xml:space="preserve"> this</w:t>
      </w:r>
      <w:r>
        <w:t xml:space="preserve"> was out of scope for the Review</w:t>
      </w:r>
      <w:r w:rsidR="00B6341F">
        <w:t>.</w:t>
      </w:r>
      <w:r>
        <w:t xml:space="preserve">  </w:t>
      </w:r>
    </w:p>
    <w:p w14:paraId="2D99FCF9" w14:textId="149E6F59" w:rsidR="00AF12DF" w:rsidRPr="00951DC6" w:rsidRDefault="006E10B0" w:rsidP="00895ADC">
      <w:pPr>
        <w:pStyle w:val="Heading3"/>
      </w:pPr>
      <w:r w:rsidRPr="00951DC6">
        <w:t>Review observation</w:t>
      </w:r>
      <w:r w:rsidR="00AF12DF" w:rsidRPr="00951DC6">
        <w:t>s</w:t>
      </w:r>
    </w:p>
    <w:p w14:paraId="02A2DA43" w14:textId="77777777" w:rsidR="00A1180A" w:rsidRDefault="00B93F86" w:rsidP="00B93F86">
      <w:pPr>
        <w:rPr>
          <w:rFonts w:eastAsia="Times New Roman"/>
        </w:rPr>
      </w:pPr>
      <w:r>
        <w:t xml:space="preserve">From a provider’s perspective, </w:t>
      </w:r>
      <w:r w:rsidRPr="00B13D76">
        <w:t xml:space="preserve">Aged Care </w:t>
      </w:r>
      <w:r w:rsidRPr="00B13D76">
        <w:rPr>
          <w:rFonts w:eastAsia="Times New Roman"/>
        </w:rPr>
        <w:t xml:space="preserve">legislation does not explicitly require a price to be greater than $0. The </w:t>
      </w:r>
      <w:r w:rsidR="00E22644">
        <w:rPr>
          <w:rFonts w:eastAsia="Times New Roman"/>
        </w:rPr>
        <w:t>HCP Program Operational</w:t>
      </w:r>
      <w:r w:rsidRPr="00B13D76">
        <w:rPr>
          <w:rFonts w:eastAsia="Times New Roman"/>
        </w:rPr>
        <w:t xml:space="preserve"> Manual is also not explicit on whether the price for care management needs to be more than $0.</w:t>
      </w:r>
    </w:p>
    <w:p w14:paraId="7FE2747E" w14:textId="4D9C5CD9" w:rsidR="006E10B0" w:rsidRPr="00C32DC6" w:rsidRDefault="006E10B0" w:rsidP="006E10B0">
      <w:pPr>
        <w:rPr>
          <w:rFonts w:eastAsia="Times New Roman"/>
        </w:rPr>
      </w:pPr>
      <w:r w:rsidRPr="00C32DC6">
        <w:rPr>
          <w:rFonts w:eastAsia="Times New Roman"/>
        </w:rPr>
        <w:t>To provide clarity for providers, the current HCP Program position on care management is:</w:t>
      </w:r>
    </w:p>
    <w:p w14:paraId="2D9C07C7" w14:textId="3D0F609F" w:rsidR="006E10B0" w:rsidRPr="00C32DC6" w:rsidRDefault="006E10B0" w:rsidP="00951DC6">
      <w:pPr>
        <w:pStyle w:val="ListParagraph"/>
        <w:numPr>
          <w:ilvl w:val="0"/>
          <w:numId w:val="4"/>
        </w:numPr>
        <w:spacing w:before="60" w:after="60"/>
        <w:ind w:left="426" w:hanging="426"/>
        <w:contextualSpacing w:val="0"/>
      </w:pPr>
      <w:r w:rsidRPr="00C32DC6">
        <w:rPr>
          <w:rFonts w:eastAsia="Times New Roman"/>
        </w:rPr>
        <w:t xml:space="preserve">Care management is a defined support service that </w:t>
      </w:r>
      <w:r w:rsidRPr="00C32DC6">
        <w:t xml:space="preserve">must be provided to </w:t>
      </w:r>
      <w:r w:rsidRPr="00951DC6">
        <w:t>both</w:t>
      </w:r>
      <w:r w:rsidRPr="00C32DC6">
        <w:t xml:space="preserve"> self-managed and fully managed care recipients.</w:t>
      </w:r>
    </w:p>
    <w:p w14:paraId="55E31676" w14:textId="01A8B02F" w:rsidR="006E10B0" w:rsidRPr="00C32DC6" w:rsidRDefault="006E10B0" w:rsidP="00951DC6">
      <w:pPr>
        <w:pStyle w:val="ListParagraph"/>
        <w:numPr>
          <w:ilvl w:val="0"/>
          <w:numId w:val="4"/>
        </w:numPr>
        <w:spacing w:before="60" w:after="60"/>
        <w:ind w:left="426" w:hanging="426"/>
        <w:contextualSpacing w:val="0"/>
      </w:pPr>
      <w:r w:rsidRPr="00C32DC6">
        <w:t xml:space="preserve">If there is no charge for care management (the price is $0), the Department would be concerned </w:t>
      </w:r>
      <w:r w:rsidR="003E3F99">
        <w:t xml:space="preserve">if </w:t>
      </w:r>
      <w:r w:rsidRPr="00C32DC6">
        <w:t>it is not being provided</w:t>
      </w:r>
      <w:r w:rsidR="00E90E8F" w:rsidRPr="00C32DC6">
        <w:t>, as required under relevant</w:t>
      </w:r>
      <w:r w:rsidRPr="00C32DC6">
        <w:t xml:space="preserve"> legislative responsibilities:</w:t>
      </w:r>
    </w:p>
    <w:p w14:paraId="03E19D6A" w14:textId="28CFC299" w:rsidR="006E10B0" w:rsidRPr="00C32DC6" w:rsidRDefault="006E10B0" w:rsidP="00A90039">
      <w:pPr>
        <w:pStyle w:val="ListBullet2"/>
      </w:pPr>
      <w:r w:rsidRPr="00951DC6">
        <w:t>Quality of Care Principles 2014</w:t>
      </w:r>
      <w:r w:rsidRPr="00A90039">
        <w:t xml:space="preserve"> Schedule 3, Part 1(2)</w:t>
      </w:r>
      <w:r w:rsidR="0008362A" w:rsidRPr="00A90039">
        <w:footnoteReference w:id="19"/>
      </w:r>
      <w:r w:rsidR="0008362A" w:rsidRPr="00A90039">
        <w:t xml:space="preserve"> </w:t>
      </w:r>
      <w:r w:rsidRPr="00A90039">
        <w:t>as a specific support service.</w:t>
      </w:r>
    </w:p>
    <w:p w14:paraId="0160983F" w14:textId="77777777" w:rsidR="006E10B0" w:rsidRPr="00C32DC6" w:rsidRDefault="006E10B0" w:rsidP="00A90039">
      <w:pPr>
        <w:pStyle w:val="ListBullet2"/>
      </w:pPr>
      <w:r w:rsidRPr="00951DC6">
        <w:t>Aged Care Quality Standards</w:t>
      </w:r>
      <w:r w:rsidRPr="00951DC6">
        <w:rPr>
          <w:i/>
        </w:rPr>
        <w:t>:</w:t>
      </w:r>
      <w:r w:rsidRPr="00C32DC6">
        <w:t xml:space="preserve"> Standard 2 – Ongoing assessment and planning.</w:t>
      </w:r>
    </w:p>
    <w:p w14:paraId="71BD46DB" w14:textId="3223A633" w:rsidR="006E10B0" w:rsidRPr="00C32DC6" w:rsidRDefault="006E10B0" w:rsidP="00A90039">
      <w:pPr>
        <w:pStyle w:val="ListBullet2"/>
      </w:pPr>
      <w:r w:rsidRPr="00C32DC6">
        <w:rPr>
          <w:rFonts w:eastAsia="Times New Roman"/>
          <w:i/>
          <w:iCs/>
        </w:rPr>
        <w:t>User Rights Principles 2014</w:t>
      </w:r>
      <w:r w:rsidRPr="00C32DC6">
        <w:rPr>
          <w:rFonts w:eastAsia="Times New Roman"/>
        </w:rPr>
        <w:t xml:space="preserve">: 19B Notice of common care and services and prices and fees, s(1)(a)(vi) care management; 19C Notice of all care and services and prices and fees – for </w:t>
      </w:r>
      <w:r w:rsidR="00D66B56">
        <w:rPr>
          <w:rFonts w:eastAsia="Times New Roman"/>
        </w:rPr>
        <w:t>‘</w:t>
      </w:r>
      <w:r w:rsidRPr="00C32DC6">
        <w:rPr>
          <w:rFonts w:eastAsia="Times New Roman"/>
        </w:rPr>
        <w:t>each kind of care and each service</w:t>
      </w:r>
      <w:r w:rsidR="00D66B56">
        <w:rPr>
          <w:rFonts w:eastAsia="Times New Roman"/>
        </w:rPr>
        <w:t>’</w:t>
      </w:r>
      <w:r w:rsidR="0008362A" w:rsidRPr="00C32DC6">
        <w:rPr>
          <w:rStyle w:val="FootnoteReference"/>
          <w:rFonts w:eastAsia="Times New Roman"/>
        </w:rPr>
        <w:footnoteReference w:id="20"/>
      </w:r>
      <w:r w:rsidR="00D6040D" w:rsidRPr="00C32DC6">
        <w:rPr>
          <w:rFonts w:eastAsia="Times New Roman"/>
        </w:rPr>
        <w:t>.</w:t>
      </w:r>
    </w:p>
    <w:p w14:paraId="05543294" w14:textId="6FCC39AF" w:rsidR="006E10B0" w:rsidRPr="00C32DC6" w:rsidRDefault="006E10B0" w:rsidP="00951DC6">
      <w:pPr>
        <w:pStyle w:val="ListParagraph"/>
        <w:numPr>
          <w:ilvl w:val="0"/>
          <w:numId w:val="4"/>
        </w:numPr>
        <w:spacing w:before="60" w:after="60"/>
        <w:ind w:left="426" w:hanging="426"/>
        <w:contextualSpacing w:val="0"/>
      </w:pPr>
      <w:r w:rsidRPr="00C32DC6">
        <w:lastRenderedPageBreak/>
        <w:t xml:space="preserve">It is in line with the policy intent of the </w:t>
      </w:r>
      <w:r w:rsidRPr="00951DC6">
        <w:t>User Rights Principles 2014</w:t>
      </w:r>
      <w:r w:rsidRPr="00C32DC6">
        <w:t xml:space="preserve"> that providers charge separately for care management to provide transparency for consumers.</w:t>
      </w:r>
    </w:p>
    <w:p w14:paraId="42D0B32E" w14:textId="2CADF668" w:rsidR="00A1180A" w:rsidRDefault="006E10B0" w:rsidP="00951DC6">
      <w:pPr>
        <w:pStyle w:val="ListParagraph"/>
        <w:numPr>
          <w:ilvl w:val="0"/>
          <w:numId w:val="4"/>
        </w:numPr>
        <w:spacing w:before="60" w:after="60"/>
        <w:ind w:left="426" w:hanging="426"/>
        <w:contextualSpacing w:val="0"/>
        <w:rPr>
          <w:rStyle w:val="Hyperlink"/>
          <w:color w:val="auto"/>
        </w:rPr>
      </w:pPr>
      <w:r w:rsidRPr="00C32DC6">
        <w:t xml:space="preserve">For any charge (package management, care management or any other charge) listing a $0 for a service that a provider intends to charge for may be inconsistent with </w:t>
      </w:r>
      <w:hyperlink r:id="rId30" w:history="1">
        <w:r w:rsidRPr="00895ADC">
          <w:rPr>
            <w:rStyle w:val="Hyperlink"/>
          </w:rPr>
          <w:t xml:space="preserve">Australian </w:t>
        </w:r>
        <w:r w:rsidR="00A90039">
          <w:rPr>
            <w:rStyle w:val="Hyperlink"/>
          </w:rPr>
          <w:t>c</w:t>
        </w:r>
        <w:r w:rsidRPr="00895ADC">
          <w:rPr>
            <w:rStyle w:val="Hyperlink"/>
          </w:rPr>
          <w:t xml:space="preserve">onsumer </w:t>
        </w:r>
        <w:r w:rsidR="00A90039">
          <w:rPr>
            <w:rStyle w:val="Hyperlink"/>
          </w:rPr>
          <w:t>l</w:t>
        </w:r>
        <w:r w:rsidRPr="00895ADC">
          <w:rPr>
            <w:rStyle w:val="Hyperlink"/>
          </w:rPr>
          <w:t>aw</w:t>
        </w:r>
      </w:hyperlink>
      <w:r w:rsidRPr="00C32DC6">
        <w:t>.</w:t>
      </w:r>
    </w:p>
    <w:p w14:paraId="78686E2A" w14:textId="77777777" w:rsidR="00A1180A" w:rsidRDefault="00C705BA" w:rsidP="00C705BA">
      <w:pPr>
        <w:rPr>
          <w:rFonts w:eastAsia="Times New Roman"/>
        </w:rPr>
      </w:pPr>
      <w:r>
        <w:t xml:space="preserve">Consistent </w:t>
      </w:r>
      <w:r w:rsidRPr="00B13D76">
        <w:t xml:space="preserve">with the policy intent of the </w:t>
      </w:r>
      <w:r w:rsidRPr="00951DC6">
        <w:t>User Rights Principles 2014</w:t>
      </w:r>
      <w:r>
        <w:t xml:space="preserve">, </w:t>
      </w:r>
      <w:r>
        <w:rPr>
          <w:rFonts w:eastAsia="Times New Roman"/>
        </w:rPr>
        <w:t>care recipients and the public should be able to compare the costs for care management across providers easily and to understand what service they will receive for this charge. Bundling of care management, for example with package management charges or in an all-inclusive service cost, does not support this outcome and may be an indicator that required care management services are not being provided.</w:t>
      </w:r>
    </w:p>
    <w:p w14:paraId="0320E17F" w14:textId="77777777" w:rsidR="00A1180A" w:rsidRDefault="00C705BA" w:rsidP="00C705BA">
      <w:pPr>
        <w:rPr>
          <w:rFonts w:eastAsia="Times New Roman"/>
        </w:rPr>
      </w:pPr>
      <w:r w:rsidRPr="00B13D76">
        <w:rPr>
          <w:rFonts w:eastAsia="Times New Roman"/>
        </w:rPr>
        <w:t>For package management, which is an administrative charge, listing</w:t>
      </w:r>
      <w:r w:rsidRPr="00B13D76">
        <w:t xml:space="preserve"> $0 (and not N/A</w:t>
      </w:r>
      <w:r w:rsidRPr="00B13D76">
        <w:rPr>
          <w:rStyle w:val="FootnoteReference"/>
        </w:rPr>
        <w:footnoteReference w:id="21"/>
      </w:r>
      <w:r w:rsidRPr="00B13D76">
        <w:t>) is appropriate where this is not charged</w:t>
      </w:r>
      <w:r>
        <w:t xml:space="preserve"> separately</w:t>
      </w:r>
      <w:r w:rsidRPr="00B13D76">
        <w:rPr>
          <w:rStyle w:val="FootnoteReference"/>
        </w:rPr>
        <w:footnoteReference w:id="22"/>
      </w:r>
      <w:r w:rsidRPr="00B13D76">
        <w:rPr>
          <w:rFonts w:eastAsia="Times New Roman"/>
        </w:rPr>
        <w:t xml:space="preserve">. </w:t>
      </w:r>
      <w:r>
        <w:rPr>
          <w:rFonts w:eastAsia="Times New Roman"/>
        </w:rPr>
        <w:t xml:space="preserve">However, administrative activities are required to support delivery of home care packages and </w:t>
      </w:r>
      <w:r w:rsidRPr="00B13D76">
        <w:rPr>
          <w:rFonts w:eastAsia="Times New Roman"/>
        </w:rPr>
        <w:t xml:space="preserve">care recipients </w:t>
      </w:r>
      <w:r>
        <w:rPr>
          <w:rFonts w:eastAsia="Times New Roman"/>
        </w:rPr>
        <w:t xml:space="preserve">need to </w:t>
      </w:r>
      <w:r w:rsidRPr="00B13D76">
        <w:rPr>
          <w:rFonts w:eastAsia="Times New Roman"/>
        </w:rPr>
        <w:t xml:space="preserve">understand how they may be charged for this. </w:t>
      </w:r>
      <w:r>
        <w:rPr>
          <w:rFonts w:eastAsia="Times New Roman"/>
        </w:rPr>
        <w:t xml:space="preserve">Where providers </w:t>
      </w:r>
      <w:r w:rsidRPr="00B13D76">
        <w:rPr>
          <w:rFonts w:eastAsia="Times New Roman"/>
        </w:rPr>
        <w:t xml:space="preserve">have </w:t>
      </w:r>
      <w:r>
        <w:rPr>
          <w:rFonts w:eastAsia="Times New Roman"/>
        </w:rPr>
        <w:t>incorporated package management into the service cost</w:t>
      </w:r>
      <w:r w:rsidRPr="00B13D76">
        <w:rPr>
          <w:rFonts w:eastAsia="Times New Roman"/>
        </w:rPr>
        <w:t xml:space="preserve"> then </w:t>
      </w:r>
      <w:r>
        <w:rPr>
          <w:rFonts w:eastAsia="Times New Roman"/>
        </w:rPr>
        <w:t>this should be</w:t>
      </w:r>
      <w:r w:rsidRPr="00B13D76">
        <w:rPr>
          <w:rFonts w:eastAsia="Times New Roman"/>
        </w:rPr>
        <w:t xml:space="preserve"> transparent</w:t>
      </w:r>
      <w:r w:rsidRPr="00B13D76">
        <w:rPr>
          <w:rStyle w:val="FootnoteReference"/>
          <w:rFonts w:eastAsia="Times New Roman"/>
        </w:rPr>
        <w:footnoteReference w:id="23"/>
      </w:r>
      <w:r w:rsidRPr="00B13D76">
        <w:rPr>
          <w:rFonts w:eastAsia="Times New Roman"/>
        </w:rPr>
        <w:t xml:space="preserve"> to care recipients.</w:t>
      </w:r>
      <w:r>
        <w:rPr>
          <w:rFonts w:eastAsia="Times New Roman"/>
        </w:rPr>
        <w:t xml:space="preserve"> </w:t>
      </w:r>
    </w:p>
    <w:p w14:paraId="7486CBC6" w14:textId="28D2BA84" w:rsidR="006E10B0" w:rsidRPr="00951DC6" w:rsidRDefault="006E10B0" w:rsidP="00895ADC">
      <w:pPr>
        <w:pStyle w:val="Heading3"/>
      </w:pPr>
      <w:r w:rsidRPr="00951DC6">
        <w:t>Program guidance improvement</w:t>
      </w:r>
    </w:p>
    <w:p w14:paraId="72445061" w14:textId="79EDC853" w:rsidR="006E10B0" w:rsidRPr="00B13D76" w:rsidRDefault="006E10B0" w:rsidP="006E10B0">
      <w:r w:rsidRPr="00B13D76">
        <w:t xml:space="preserve">The HCP Program guidance should be reviewed to make the distinction between care management and package management clear (specific support service vs administrative activity respectively) and if or when it is appropriate for providers to list N/A </w:t>
      </w:r>
      <w:r w:rsidR="00DF680E" w:rsidRPr="00B13D76">
        <w:t>or</w:t>
      </w:r>
      <w:r w:rsidRPr="00B13D76">
        <w:t xml:space="preserve"> $0. Further, all relevant public-facing program guidance materials should be reviewed to ensure </w:t>
      </w:r>
      <w:r w:rsidRPr="00B13D76">
        <w:lastRenderedPageBreak/>
        <w:t xml:space="preserve">consistency. Ideally these should be consolidated for ease of reference of providers, </w:t>
      </w:r>
      <w:r w:rsidR="006773A0">
        <w:t>care recipients</w:t>
      </w:r>
      <w:r w:rsidRPr="00B13D76">
        <w:t xml:space="preserve"> and the public.</w:t>
      </w:r>
    </w:p>
    <w:p w14:paraId="55BD6FD6" w14:textId="77777777" w:rsidR="006E10B0" w:rsidRPr="00951DC6" w:rsidRDefault="006E10B0" w:rsidP="00895ADC">
      <w:pPr>
        <w:pStyle w:val="Heading2"/>
      </w:pPr>
      <w:bookmarkStart w:id="19" w:name="_Toc111803159"/>
      <w:r w:rsidRPr="00951DC6">
        <w:t>Self-management charges</w:t>
      </w:r>
      <w:bookmarkEnd w:id="19"/>
    </w:p>
    <w:p w14:paraId="21CF39C5" w14:textId="77777777" w:rsidR="006E10B0" w:rsidRPr="00951DC6" w:rsidRDefault="006E10B0" w:rsidP="00895ADC">
      <w:pPr>
        <w:pStyle w:val="Heading3"/>
      </w:pPr>
      <w:r w:rsidRPr="00951DC6">
        <w:t>Review findings</w:t>
      </w:r>
    </w:p>
    <w:p w14:paraId="479CB6B7" w14:textId="77777777" w:rsidR="00A1180A" w:rsidRDefault="00F7148B" w:rsidP="006E10B0">
      <w:r>
        <w:t>Some</w:t>
      </w:r>
      <w:r w:rsidR="00D45219">
        <w:rPr>
          <w:rStyle w:val="FootnoteReference"/>
        </w:rPr>
        <w:footnoteReference w:id="24"/>
      </w:r>
      <w:r>
        <w:t xml:space="preserve"> </w:t>
      </w:r>
      <w:r w:rsidR="006E10B0" w:rsidRPr="003F7A12">
        <w:t>providers offer self-management as part of their suite of care</w:t>
      </w:r>
      <w:r w:rsidR="00E22644">
        <w:t xml:space="preserve"> </w:t>
      </w:r>
      <w:r w:rsidR="006E10B0" w:rsidRPr="003F7A12">
        <w:t>management options. Some providers do not offer a self-management option for business reasons</w:t>
      </w:r>
      <w:r w:rsidR="007365BE">
        <w:t>,</w:t>
      </w:r>
      <w:r w:rsidR="006E3470" w:rsidRPr="003F7A12">
        <w:t xml:space="preserve"> </w:t>
      </w:r>
      <w:r w:rsidR="00727AF7">
        <w:t>such as</w:t>
      </w:r>
      <w:r w:rsidR="006E3470" w:rsidRPr="003F7A12">
        <w:t xml:space="preserve"> </w:t>
      </w:r>
      <w:r w:rsidR="006E10B0" w:rsidRPr="003F7A12">
        <w:t>self-management not being consistent with the provider’s care management philosophy. Some do not overtly advertise it but can offer it where a care recipient requests it</w:t>
      </w:r>
      <w:r w:rsidR="006E10B0" w:rsidRPr="00D974C8">
        <w:t xml:space="preserve">. </w:t>
      </w:r>
      <w:r w:rsidR="00C97586" w:rsidRPr="006F2BC0">
        <w:t>A</w:t>
      </w:r>
      <w:r w:rsidR="00D974C8" w:rsidRPr="006F2BC0">
        <w:t xml:space="preserve"> very small number of </w:t>
      </w:r>
      <w:r w:rsidR="006E10B0" w:rsidRPr="006F2BC0">
        <w:t>providers</w:t>
      </w:r>
      <w:r w:rsidR="007365BE">
        <w:t xml:space="preserve"> </w:t>
      </w:r>
      <w:r w:rsidR="006E10B0" w:rsidRPr="006F2BC0">
        <w:t>exclusively offer</w:t>
      </w:r>
      <w:r w:rsidR="007365BE">
        <w:t>ed</w:t>
      </w:r>
      <w:r w:rsidR="006E10B0" w:rsidRPr="006F2BC0">
        <w:t xml:space="preserve"> only self-management.</w:t>
      </w:r>
      <w:r w:rsidR="006E10B0" w:rsidRPr="003F7A12">
        <w:t xml:space="preserve"> </w:t>
      </w:r>
    </w:p>
    <w:p w14:paraId="2981AFB9" w14:textId="77777777" w:rsidR="00A1180A" w:rsidRDefault="00C477C6" w:rsidP="006E10B0">
      <w:r>
        <w:t>S</w:t>
      </w:r>
      <w:r w:rsidR="006E10B0" w:rsidRPr="006F2BC0">
        <w:t>elf-management charges were found to be generally lower than fully managed charges</w:t>
      </w:r>
      <w:r>
        <w:t>. The Review found that t</w:t>
      </w:r>
      <w:r w:rsidR="006E10B0" w:rsidRPr="006F2BC0">
        <w:t>here was variation in the level of support offered for self-management purposes.</w:t>
      </w:r>
      <w:r w:rsidR="006E10B0" w:rsidRPr="008F00E8">
        <w:t xml:space="preserve"> </w:t>
      </w:r>
    </w:p>
    <w:p w14:paraId="4E0AA9C8" w14:textId="621A642B" w:rsidR="00AF12DF" w:rsidRPr="00951DC6" w:rsidRDefault="006E10B0" w:rsidP="00B8056A">
      <w:pPr>
        <w:pStyle w:val="Heading3"/>
      </w:pPr>
      <w:r w:rsidRPr="00951DC6">
        <w:t>Review observations</w:t>
      </w:r>
    </w:p>
    <w:p w14:paraId="4A2AD870" w14:textId="34E09E0C" w:rsidR="006E10B0" w:rsidRPr="008F00E8" w:rsidRDefault="00453CBB" w:rsidP="006E10B0">
      <w:r w:rsidRPr="008F00E8">
        <w:t xml:space="preserve">The Review team is concerned that some providers, in offering self-management, </w:t>
      </w:r>
      <w:r w:rsidR="00FF6ECA">
        <w:t xml:space="preserve">inadvertently </w:t>
      </w:r>
      <w:r w:rsidRPr="008F00E8">
        <w:t xml:space="preserve">may not be </w:t>
      </w:r>
      <w:r w:rsidR="006E10B0" w:rsidRPr="008F00E8">
        <w:t>fulfilling their care management obligations towards self-managed care recipients. Providers are reminded that c</w:t>
      </w:r>
      <w:r w:rsidR="006E10B0" w:rsidRPr="008F00E8">
        <w:rPr>
          <w:rFonts w:eastAsia="Times New Roman"/>
        </w:rPr>
        <w:t xml:space="preserve">are management is a service that </w:t>
      </w:r>
      <w:r w:rsidR="006E10B0" w:rsidRPr="00951DC6">
        <w:t>must</w:t>
      </w:r>
      <w:r w:rsidR="00413D76" w:rsidRPr="003A3C12">
        <w:rPr>
          <w:rStyle w:val="FootnoteReference"/>
          <w:rFonts w:eastAsia="Times New Roman"/>
        </w:rPr>
        <w:footnoteReference w:id="25"/>
      </w:r>
      <w:r w:rsidR="00413D76" w:rsidRPr="003A3C12">
        <w:rPr>
          <w:rFonts w:eastAsia="Times New Roman"/>
        </w:rPr>
        <w:t xml:space="preserve"> </w:t>
      </w:r>
      <w:r w:rsidR="006E10B0" w:rsidRPr="008F00E8">
        <w:rPr>
          <w:rFonts w:eastAsia="Times New Roman"/>
        </w:rPr>
        <w:t>be provided to both self-managed and fully managed care recipients. Care management is</w:t>
      </w:r>
      <w:r w:rsidR="006E10B0" w:rsidRPr="008F00E8">
        <w:t xml:space="preserve"> a specified support service under legislation. As such, while self-managed care recipients may </w:t>
      </w:r>
      <w:r w:rsidR="00393F0B" w:rsidRPr="008F00E8">
        <w:t xml:space="preserve">wish </w:t>
      </w:r>
      <w:r w:rsidR="006E10B0" w:rsidRPr="008F00E8">
        <w:t xml:space="preserve">to </w:t>
      </w:r>
      <w:r w:rsidR="00D66B56">
        <w:t>‘</w:t>
      </w:r>
      <w:r w:rsidR="006E10B0" w:rsidRPr="008F00E8">
        <w:t>trade in</w:t>
      </w:r>
      <w:r w:rsidR="00D66B56">
        <w:t>’</w:t>
      </w:r>
      <w:r w:rsidR="006E10B0" w:rsidRPr="008F00E8">
        <w:t xml:space="preserve"> support from the Approved Provider in return for low administrati</w:t>
      </w:r>
      <w:r w:rsidR="00393F0B" w:rsidRPr="008F00E8">
        <w:t>on</w:t>
      </w:r>
      <w:r w:rsidR="006E10B0" w:rsidRPr="008F00E8">
        <w:t xml:space="preserve"> charges, Approved Provider</w:t>
      </w:r>
      <w:r w:rsidR="00A301EA" w:rsidRPr="008F00E8">
        <w:t>s</w:t>
      </w:r>
      <w:r w:rsidR="006E10B0" w:rsidRPr="008F00E8">
        <w:t xml:space="preserve"> </w:t>
      </w:r>
      <w:r w:rsidR="00A301EA" w:rsidRPr="008F00E8">
        <w:t xml:space="preserve">must still comply with </w:t>
      </w:r>
      <w:r w:rsidR="006E10B0" w:rsidRPr="008F00E8">
        <w:t>their legislative responsibilities:</w:t>
      </w:r>
    </w:p>
    <w:p w14:paraId="68BE0F5C" w14:textId="3D3CFFA7" w:rsidR="006E10B0" w:rsidRPr="00B8056A" w:rsidRDefault="006E10B0" w:rsidP="00B8056A">
      <w:pPr>
        <w:pStyle w:val="ListBullet"/>
        <w:ind w:left="357" w:hanging="357"/>
      </w:pPr>
      <w:r w:rsidRPr="00B8056A">
        <w:lastRenderedPageBreak/>
        <w:t>Quality of Care Principles 2014 Schedule 3, Part 1(2)</w:t>
      </w:r>
      <w:r w:rsidR="004C2290" w:rsidRPr="00A90039">
        <w:rPr>
          <w:vertAlign w:val="superscript"/>
        </w:rPr>
        <w:footnoteReference w:id="26"/>
      </w:r>
      <w:r w:rsidR="004C2290" w:rsidRPr="00B8056A">
        <w:t xml:space="preserve"> </w:t>
      </w:r>
      <w:r w:rsidRPr="00B8056A">
        <w:t>as a specific support service.</w:t>
      </w:r>
    </w:p>
    <w:p w14:paraId="5E6031FC" w14:textId="77777777" w:rsidR="006E10B0" w:rsidRPr="00B8056A" w:rsidRDefault="006E10B0" w:rsidP="00B8056A">
      <w:pPr>
        <w:pStyle w:val="ListBullet"/>
        <w:ind w:left="357" w:hanging="357"/>
      </w:pPr>
      <w:r w:rsidRPr="00B8056A">
        <w:t>Aged Care Quality Standards: Standard 2 – Ongoing assessment and planning.</w:t>
      </w:r>
    </w:p>
    <w:p w14:paraId="600EA0CB" w14:textId="35FE6593" w:rsidR="00A1180A" w:rsidRPr="00B8056A" w:rsidRDefault="006E10B0" w:rsidP="00B8056A">
      <w:pPr>
        <w:pStyle w:val="ListBullet"/>
        <w:ind w:left="357" w:hanging="357"/>
      </w:pPr>
      <w:r w:rsidRPr="00B8056A">
        <w:t xml:space="preserve">User Rights Principles 2014: 19B Notice of common care and services and prices and fees, s(1)(a)(vi) care management; 19C Notice of all care and services and prices and fees – for </w:t>
      </w:r>
      <w:r w:rsidR="00D66B56" w:rsidRPr="00B8056A">
        <w:t>‘</w:t>
      </w:r>
      <w:r w:rsidRPr="00B8056A">
        <w:t>each kind of care and each service</w:t>
      </w:r>
      <w:r w:rsidR="00D66B56" w:rsidRPr="00B8056A">
        <w:t>’</w:t>
      </w:r>
      <w:r w:rsidR="0008362A" w:rsidRPr="00A90039">
        <w:rPr>
          <w:vertAlign w:val="superscript"/>
        </w:rPr>
        <w:footnoteReference w:id="27"/>
      </w:r>
      <w:r w:rsidR="00EC573F" w:rsidRPr="00B8056A">
        <w:t>.</w:t>
      </w:r>
    </w:p>
    <w:p w14:paraId="1500786B" w14:textId="6F3F0779" w:rsidR="006E10B0" w:rsidRPr="00951DC6" w:rsidRDefault="006E10B0" w:rsidP="00B8056A">
      <w:pPr>
        <w:pStyle w:val="Heading3"/>
      </w:pPr>
      <w:r w:rsidRPr="00951DC6">
        <w:t>Program guidance improvement</w:t>
      </w:r>
    </w:p>
    <w:p w14:paraId="026C46DA" w14:textId="77777777" w:rsidR="00A1180A" w:rsidRDefault="006E10B0" w:rsidP="006E10B0">
      <w:r w:rsidRPr="008F00E8">
        <w:t xml:space="preserve">Program guidance could </w:t>
      </w:r>
      <w:r w:rsidR="00843A60" w:rsidRPr="008F00E8">
        <w:t xml:space="preserve">be improved to </w:t>
      </w:r>
      <w:r w:rsidRPr="008F00E8">
        <w:t xml:space="preserve">clearly articulate the minimum requirements for providers in relation to self-managed options. </w:t>
      </w:r>
    </w:p>
    <w:p w14:paraId="0B08EBF1" w14:textId="2C3B850E" w:rsidR="006E10B0" w:rsidRPr="008F00E8" w:rsidRDefault="006E10B0" w:rsidP="006E10B0">
      <w:r w:rsidRPr="008F00E8">
        <w:t xml:space="preserve">In this context, and this is relevant to various other findings, the Review team observes that a challenge for the Program area is how to keep published guidance regularly updated, particularly where </w:t>
      </w:r>
      <w:r w:rsidR="003F7A12" w:rsidRPr="008F00E8">
        <w:t xml:space="preserve">advice </w:t>
      </w:r>
      <w:r w:rsidR="00B25337">
        <w:t>to individual providers</w:t>
      </w:r>
      <w:r w:rsidR="00F36F83">
        <w:t xml:space="preserve"> (provided 1:1</w:t>
      </w:r>
      <w:r w:rsidR="00C81BDF">
        <w:t xml:space="preserve"> but may be on the same issue) indicates a theme over time that needs to be conveyed more broadly to the sector</w:t>
      </w:r>
      <w:r w:rsidRPr="008F00E8">
        <w:t xml:space="preserve">. </w:t>
      </w:r>
    </w:p>
    <w:p w14:paraId="312DE3E0" w14:textId="57C62950" w:rsidR="006E10B0" w:rsidRPr="00951DC6" w:rsidRDefault="006E10B0" w:rsidP="00B8056A">
      <w:pPr>
        <w:pStyle w:val="Heading2"/>
      </w:pPr>
      <w:bookmarkStart w:id="20" w:name="_Toc105592637"/>
      <w:bookmarkStart w:id="21" w:name="_Toc111803160"/>
      <w:bookmarkEnd w:id="20"/>
      <w:r w:rsidRPr="00951DC6">
        <w:t xml:space="preserve">Brokerage and sub-contracting charges </w:t>
      </w:r>
      <w:r w:rsidR="00BC3A4A" w:rsidRPr="00951DC6">
        <w:t xml:space="preserve">– third party invoice processing </w:t>
      </w:r>
      <w:r w:rsidR="00351341" w:rsidRPr="00951DC6">
        <w:t>surcharge</w:t>
      </w:r>
      <w:bookmarkEnd w:id="21"/>
    </w:p>
    <w:p w14:paraId="3883AB64" w14:textId="77777777" w:rsidR="006E10B0" w:rsidRPr="00951DC6" w:rsidRDefault="006E10B0" w:rsidP="00B8056A">
      <w:pPr>
        <w:pStyle w:val="Heading3"/>
      </w:pPr>
      <w:r w:rsidRPr="00951DC6">
        <w:t>Review findings</w:t>
      </w:r>
    </w:p>
    <w:p w14:paraId="4688FCB2" w14:textId="77777777" w:rsidR="00A1180A" w:rsidRDefault="006E10B0" w:rsidP="006E10B0">
      <w:pPr>
        <w:widowControl w:val="0"/>
      </w:pPr>
      <w:r w:rsidRPr="00BB5CDB">
        <w:t>According to the pricing definitions</w:t>
      </w:r>
      <w:r w:rsidRPr="00BB5CDB">
        <w:rPr>
          <w:rStyle w:val="FootnoteReference"/>
        </w:rPr>
        <w:footnoteReference w:id="28"/>
      </w:r>
      <w:r w:rsidRPr="00BB5CDB">
        <w:t xml:space="preserve"> for the HCP Program, subcontracted/brokered </w:t>
      </w:r>
      <w:r w:rsidRPr="00BB5CDB">
        <w:lastRenderedPageBreak/>
        <w:t>services are defined as:</w:t>
      </w:r>
    </w:p>
    <w:p w14:paraId="5C1F65DF" w14:textId="77777777" w:rsidR="00A1180A" w:rsidRDefault="006E10B0" w:rsidP="00A90039">
      <w:pPr>
        <w:ind w:left="720"/>
      </w:pPr>
      <w:r w:rsidRPr="00951DC6">
        <w:t xml:space="preserve">The amount the provider charges for any services they coordinate for the care recipient but which another provider delivers, and how it is charged. For example, whether it is charged as a separate cost; or included in the service price. </w:t>
      </w:r>
    </w:p>
    <w:p w14:paraId="3A64AEAA" w14:textId="77777777" w:rsidR="00A1180A" w:rsidRDefault="00DF5B2F" w:rsidP="006F2BC0">
      <w:pPr>
        <w:pStyle w:val="NormalWeb"/>
        <w:shd w:val="clear" w:color="auto" w:fill="FFFFFF"/>
        <w:spacing w:before="0" w:beforeAutospacing="0" w:after="0" w:afterAutospacing="0"/>
        <w:rPr>
          <w:rFonts w:ascii="Arial" w:eastAsia="Arial" w:hAnsi="Arial" w:cs="Arial"/>
          <w:sz w:val="22"/>
          <w:szCs w:val="22"/>
        </w:rPr>
      </w:pPr>
      <w:r w:rsidRPr="006F2BC0">
        <w:rPr>
          <w:rFonts w:ascii="Arial" w:eastAsia="Arial" w:hAnsi="Arial" w:cs="Arial"/>
          <w:sz w:val="22"/>
          <w:szCs w:val="22"/>
        </w:rPr>
        <w:t>As a general principle, where a provider chooses to use a subcontractor</w:t>
      </w:r>
      <w:r w:rsidR="006F4478" w:rsidRPr="006F2BC0">
        <w:rPr>
          <w:rFonts w:ascii="Arial" w:eastAsia="Arial" w:hAnsi="Arial" w:cs="Arial"/>
          <w:sz w:val="22"/>
          <w:szCs w:val="22"/>
        </w:rPr>
        <w:t>, p</w:t>
      </w:r>
      <w:r w:rsidRPr="006F2BC0">
        <w:rPr>
          <w:rFonts w:ascii="Arial" w:eastAsia="Arial" w:hAnsi="Arial" w:cs="Arial"/>
          <w:sz w:val="22"/>
          <w:szCs w:val="22"/>
        </w:rPr>
        <w:t xml:space="preserve">roviders must not charge care recipients more than a reasonable amount for sub-contracting arrangements. </w:t>
      </w:r>
      <w:r w:rsidR="004D7B71" w:rsidRPr="006F2BC0">
        <w:rPr>
          <w:rFonts w:ascii="Arial" w:eastAsia="Arial" w:hAnsi="Arial" w:cs="Arial"/>
          <w:sz w:val="22"/>
          <w:szCs w:val="22"/>
        </w:rPr>
        <w:t>If subcontracting is</w:t>
      </w:r>
      <w:r w:rsidR="00B07D85" w:rsidRPr="006F2BC0">
        <w:rPr>
          <w:rFonts w:ascii="Arial" w:eastAsia="Arial" w:hAnsi="Arial" w:cs="Arial"/>
          <w:sz w:val="22"/>
          <w:szCs w:val="22"/>
        </w:rPr>
        <w:t xml:space="preserve"> 1) </w:t>
      </w:r>
      <w:r w:rsidR="00C156F7">
        <w:rPr>
          <w:rFonts w:ascii="Arial" w:eastAsia="Arial" w:hAnsi="Arial" w:cs="Arial"/>
          <w:sz w:val="22"/>
          <w:szCs w:val="22"/>
        </w:rPr>
        <w:t xml:space="preserve">the provider’s </w:t>
      </w:r>
      <w:r w:rsidR="004D7B71" w:rsidRPr="006F2BC0">
        <w:rPr>
          <w:rFonts w:ascii="Arial" w:eastAsia="Arial" w:hAnsi="Arial" w:cs="Arial"/>
          <w:sz w:val="22"/>
          <w:szCs w:val="22"/>
        </w:rPr>
        <w:t xml:space="preserve">decision, </w:t>
      </w:r>
      <w:r w:rsidR="00C156F7">
        <w:rPr>
          <w:rFonts w:ascii="Arial" w:eastAsia="Arial" w:hAnsi="Arial" w:cs="Arial"/>
          <w:sz w:val="22"/>
          <w:szCs w:val="22"/>
        </w:rPr>
        <w:t xml:space="preserve">the provider </w:t>
      </w:r>
      <w:r w:rsidR="004D7B71" w:rsidRPr="006F2BC0">
        <w:rPr>
          <w:rFonts w:ascii="Arial" w:eastAsia="Arial" w:hAnsi="Arial" w:cs="Arial"/>
          <w:sz w:val="22"/>
          <w:szCs w:val="22"/>
        </w:rPr>
        <w:t>must include the extra cost in the service price (</w:t>
      </w:r>
      <w:r w:rsidR="00C156F7">
        <w:rPr>
          <w:rFonts w:ascii="Arial" w:eastAsia="Arial" w:hAnsi="Arial" w:cs="Arial"/>
          <w:sz w:val="22"/>
          <w:szCs w:val="22"/>
        </w:rPr>
        <w:t>a provider</w:t>
      </w:r>
      <w:r w:rsidR="004D7B71" w:rsidRPr="006F2BC0">
        <w:rPr>
          <w:rFonts w:ascii="Arial" w:eastAsia="Arial" w:hAnsi="Arial" w:cs="Arial"/>
          <w:sz w:val="22"/>
          <w:szCs w:val="22"/>
        </w:rPr>
        <w:t xml:space="preserve"> cannot charge for it separately)</w:t>
      </w:r>
      <w:r w:rsidR="00B93F86">
        <w:rPr>
          <w:rFonts w:ascii="Arial" w:eastAsia="Arial" w:hAnsi="Arial" w:cs="Arial"/>
          <w:sz w:val="22"/>
          <w:szCs w:val="22"/>
        </w:rPr>
        <w:t xml:space="preserve"> as this would be considered a business cost and therefore cannot be charged separately</w:t>
      </w:r>
      <w:r w:rsidR="00B07D85" w:rsidRPr="006F2BC0">
        <w:rPr>
          <w:rFonts w:ascii="Arial" w:eastAsia="Arial" w:hAnsi="Arial" w:cs="Arial"/>
          <w:sz w:val="22"/>
          <w:szCs w:val="22"/>
        </w:rPr>
        <w:t xml:space="preserve">, and 2) </w:t>
      </w:r>
      <w:r w:rsidR="004D7B71" w:rsidRPr="006F2BC0">
        <w:rPr>
          <w:rFonts w:ascii="Arial" w:eastAsia="Arial" w:hAnsi="Arial" w:cs="Arial"/>
          <w:sz w:val="22"/>
          <w:szCs w:val="22"/>
        </w:rPr>
        <w:t xml:space="preserve">the care recipient's choice, </w:t>
      </w:r>
      <w:r w:rsidR="00C156F7">
        <w:rPr>
          <w:rFonts w:ascii="Arial" w:eastAsia="Arial" w:hAnsi="Arial" w:cs="Arial"/>
          <w:sz w:val="22"/>
          <w:szCs w:val="22"/>
        </w:rPr>
        <w:t>the provider mus</w:t>
      </w:r>
      <w:r w:rsidR="00B62FFE">
        <w:rPr>
          <w:rFonts w:ascii="Arial" w:eastAsia="Arial" w:hAnsi="Arial" w:cs="Arial"/>
          <w:sz w:val="22"/>
          <w:szCs w:val="22"/>
        </w:rPr>
        <w:t>t</w:t>
      </w:r>
      <w:r w:rsidR="00C156F7">
        <w:rPr>
          <w:rFonts w:ascii="Arial" w:eastAsia="Arial" w:hAnsi="Arial" w:cs="Arial"/>
          <w:sz w:val="22"/>
          <w:szCs w:val="22"/>
        </w:rPr>
        <w:t xml:space="preserve"> </w:t>
      </w:r>
      <w:r w:rsidR="004D7B71" w:rsidRPr="006F2BC0">
        <w:rPr>
          <w:rFonts w:ascii="Arial" w:eastAsia="Arial" w:hAnsi="Arial" w:cs="Arial"/>
          <w:sz w:val="22"/>
          <w:szCs w:val="22"/>
        </w:rPr>
        <w:t xml:space="preserve">explain how </w:t>
      </w:r>
      <w:r w:rsidR="00C156F7">
        <w:rPr>
          <w:rFonts w:ascii="Arial" w:eastAsia="Arial" w:hAnsi="Arial" w:cs="Arial"/>
          <w:sz w:val="22"/>
          <w:szCs w:val="22"/>
        </w:rPr>
        <w:t>they</w:t>
      </w:r>
      <w:r w:rsidR="004D7B71" w:rsidRPr="006F2BC0">
        <w:rPr>
          <w:rFonts w:ascii="Arial" w:eastAsia="Arial" w:hAnsi="Arial" w:cs="Arial"/>
          <w:sz w:val="22"/>
          <w:szCs w:val="22"/>
        </w:rPr>
        <w:t xml:space="preserve"> will charge the extra cost in the </w:t>
      </w:r>
      <w:r w:rsidR="00C156F7">
        <w:rPr>
          <w:rFonts w:ascii="Arial" w:eastAsia="Arial" w:hAnsi="Arial" w:cs="Arial"/>
          <w:sz w:val="22"/>
          <w:szCs w:val="22"/>
        </w:rPr>
        <w:t xml:space="preserve">pricing </w:t>
      </w:r>
      <w:r w:rsidR="004D7B71" w:rsidRPr="006F2BC0">
        <w:rPr>
          <w:rFonts w:ascii="Arial" w:eastAsia="Arial" w:hAnsi="Arial" w:cs="Arial"/>
          <w:sz w:val="22"/>
          <w:szCs w:val="22"/>
        </w:rPr>
        <w:t>schedule.</w:t>
      </w:r>
    </w:p>
    <w:p w14:paraId="269FB2DF" w14:textId="77777777" w:rsidR="00A1180A" w:rsidRDefault="006E10B0" w:rsidP="006E10B0">
      <w:r w:rsidRPr="00BB5CDB">
        <w:t xml:space="preserve">The Review found that </w:t>
      </w:r>
      <w:r w:rsidR="008F4DE2">
        <w:t>many</w:t>
      </w:r>
      <w:r w:rsidR="008F4DE2" w:rsidRPr="00BB5CDB">
        <w:t xml:space="preserve"> </w:t>
      </w:r>
      <w:r w:rsidRPr="00BB5CDB">
        <w:t xml:space="preserve">providers </w:t>
      </w:r>
      <w:r w:rsidR="00FF6ECA">
        <w:t>ha</w:t>
      </w:r>
      <w:r w:rsidR="00B07D85">
        <w:t>d</w:t>
      </w:r>
      <w:r w:rsidR="00FF6ECA">
        <w:t xml:space="preserve"> a sur</w:t>
      </w:r>
      <w:r w:rsidRPr="00BB5CDB">
        <w:t xml:space="preserve">charge for third-party service provision </w:t>
      </w:r>
      <w:r w:rsidR="00B93F86">
        <w:t>if the care recipient requested to use the</w:t>
      </w:r>
      <w:r w:rsidR="005B455F">
        <w:t>ir</w:t>
      </w:r>
      <w:r w:rsidRPr="00BB5CDB">
        <w:t xml:space="preserve"> </w:t>
      </w:r>
      <w:r w:rsidR="00347B59" w:rsidRPr="00BB5CDB">
        <w:t>prefer</w:t>
      </w:r>
      <w:r w:rsidR="00347B59">
        <w:t>red</w:t>
      </w:r>
      <w:r w:rsidR="00347B59" w:rsidRPr="00BB5CDB">
        <w:t xml:space="preserve"> </w:t>
      </w:r>
      <w:r w:rsidRPr="00BB5CDB">
        <w:t xml:space="preserve">provider. </w:t>
      </w:r>
      <w:r w:rsidR="00B93F86">
        <w:t>Many</w:t>
      </w:r>
      <w:r w:rsidR="0058169C" w:rsidRPr="00BB5CDB">
        <w:t xml:space="preserve"> providers </w:t>
      </w:r>
      <w:r w:rsidR="009B6E61">
        <w:t>also</w:t>
      </w:r>
      <w:r w:rsidRPr="00BB5CDB">
        <w:t xml:space="preserve"> </w:t>
      </w:r>
      <w:r w:rsidR="00F11E97">
        <w:t>imposed a</w:t>
      </w:r>
      <w:r w:rsidR="00347B59">
        <w:t xml:space="preserve"> surcharge on the </w:t>
      </w:r>
      <w:r w:rsidRPr="00BB5CDB">
        <w:t xml:space="preserve">provisioning </w:t>
      </w:r>
      <w:r w:rsidR="009B6E61">
        <w:t xml:space="preserve">of </w:t>
      </w:r>
      <w:r w:rsidRPr="00BB5CDB">
        <w:t>goods</w:t>
      </w:r>
      <w:r w:rsidR="009B6E61">
        <w:t>.</w:t>
      </w:r>
    </w:p>
    <w:p w14:paraId="268BD389" w14:textId="438D8121" w:rsidR="006E10B0" w:rsidRPr="00BB5CDB" w:rsidRDefault="006E10B0" w:rsidP="007C2B99">
      <w:pPr>
        <w:spacing w:before="60" w:after="60"/>
      </w:pPr>
      <w:r w:rsidRPr="00BB5CDB">
        <w:t xml:space="preserve">The </w:t>
      </w:r>
      <w:r w:rsidR="00C477C6" w:rsidRPr="00BB5CDB">
        <w:t xml:space="preserve">approach </w:t>
      </w:r>
      <w:r w:rsidR="00C477C6">
        <w:t xml:space="preserve">to </w:t>
      </w:r>
      <w:r w:rsidRPr="00BB5CDB">
        <w:t xml:space="preserve">charging </w:t>
      </w:r>
      <w:r w:rsidR="005A5CB6">
        <w:t xml:space="preserve">a surcharge for </w:t>
      </w:r>
      <w:r w:rsidR="00C477C6">
        <w:t xml:space="preserve">third party </w:t>
      </w:r>
      <w:r w:rsidR="005A5CB6">
        <w:t>providers</w:t>
      </w:r>
      <w:r w:rsidR="00C477C6">
        <w:t xml:space="preserve"> </w:t>
      </w:r>
      <w:r w:rsidRPr="00BB5CDB">
        <w:t xml:space="preserve">was </w:t>
      </w:r>
      <w:r w:rsidR="005D3B25">
        <w:t xml:space="preserve">also </w:t>
      </w:r>
      <w:r w:rsidRPr="00BB5CDB">
        <w:t>variable</w:t>
      </w:r>
      <w:r w:rsidR="00AF12DF">
        <w:t xml:space="preserve"> across providers</w:t>
      </w:r>
      <w:r w:rsidRPr="00BB5CDB">
        <w:t xml:space="preserve"> and the rationale for this was not always evident to the Review team. For example:</w:t>
      </w:r>
    </w:p>
    <w:p w14:paraId="555CC44D" w14:textId="12B9C6CF" w:rsidR="006E10B0" w:rsidRDefault="008F4DE2" w:rsidP="00951DC6">
      <w:pPr>
        <w:pStyle w:val="ListParagraph"/>
        <w:numPr>
          <w:ilvl w:val="0"/>
          <w:numId w:val="5"/>
        </w:numPr>
        <w:spacing w:before="60" w:after="60"/>
        <w:contextualSpacing w:val="0"/>
      </w:pPr>
      <w:r>
        <w:t>Many</w:t>
      </w:r>
      <w:r w:rsidRPr="00BB5CDB">
        <w:t xml:space="preserve"> </w:t>
      </w:r>
      <w:r w:rsidR="006E10B0" w:rsidRPr="00BB5CDB">
        <w:t xml:space="preserve">providers listed such charges as a </w:t>
      </w:r>
      <w:r w:rsidR="00AF12DF">
        <w:t>percentage</w:t>
      </w:r>
      <w:r w:rsidR="006E10B0" w:rsidRPr="00BB5CDB">
        <w:t xml:space="preserve"> rather than </w:t>
      </w:r>
      <w:r w:rsidR="005407F8">
        <w:t xml:space="preserve">in </w:t>
      </w:r>
      <w:r w:rsidR="006E10B0" w:rsidRPr="00BB5CDB">
        <w:t xml:space="preserve">whole </w:t>
      </w:r>
      <w:r w:rsidR="00AF12DF">
        <w:t>dollar</w:t>
      </w:r>
      <w:r w:rsidR="005407F8">
        <w:t>s</w:t>
      </w:r>
      <w:r w:rsidR="00567A22" w:rsidRPr="00BB5CDB">
        <w:t xml:space="preserve"> or a range</w:t>
      </w:r>
      <w:r w:rsidR="006E10B0" w:rsidRPr="00BB5CDB">
        <w:t xml:space="preserve">, claiming that it would not be practicable to list whole </w:t>
      </w:r>
      <w:r w:rsidR="00AF12DF">
        <w:t>dollar</w:t>
      </w:r>
      <w:r w:rsidR="005407F8">
        <w:t>s</w:t>
      </w:r>
      <w:r w:rsidR="006E10B0" w:rsidRPr="00BB5CDB">
        <w:t xml:space="preserve"> for </w:t>
      </w:r>
      <w:r w:rsidR="005407F8">
        <w:t>such</w:t>
      </w:r>
      <w:r w:rsidR="006E10B0" w:rsidRPr="00BB5CDB">
        <w:t xml:space="preserve"> charges.</w:t>
      </w:r>
    </w:p>
    <w:p w14:paraId="4C1AB4B3" w14:textId="472C6AB2" w:rsidR="00702F6F" w:rsidRPr="00BB5CDB" w:rsidRDefault="00702F6F" w:rsidP="00951DC6">
      <w:pPr>
        <w:pStyle w:val="ListParagraph"/>
        <w:numPr>
          <w:ilvl w:val="1"/>
          <w:numId w:val="5"/>
        </w:numPr>
        <w:spacing w:before="60" w:after="60"/>
        <w:ind w:left="851" w:hanging="425"/>
        <w:contextualSpacing w:val="0"/>
      </w:pPr>
      <w:r>
        <w:t xml:space="preserve">Some providers </w:t>
      </w:r>
      <w:r w:rsidR="00FF6ECA">
        <w:t>stated</w:t>
      </w:r>
      <w:r>
        <w:t xml:space="preserve"> that charging a modest </w:t>
      </w:r>
      <w:r w:rsidR="00AF12DF">
        <w:t>percentage</w:t>
      </w:r>
      <w:r>
        <w:t xml:space="preserve"> surcharge overcomes the challenge of a fixed </w:t>
      </w:r>
      <w:r w:rsidR="00AF12DF">
        <w:t>dollar</w:t>
      </w:r>
      <w:r>
        <w:t xml:space="preserve"> charge which may be disproportionate to consumers when purchasing small items.</w:t>
      </w:r>
    </w:p>
    <w:p w14:paraId="62E3A1C6" w14:textId="7BEA1A7E" w:rsidR="006E10B0" w:rsidRPr="00BB5CDB" w:rsidRDefault="006E10B0" w:rsidP="00951DC6">
      <w:pPr>
        <w:pStyle w:val="ListParagraph"/>
        <w:numPr>
          <w:ilvl w:val="0"/>
          <w:numId w:val="5"/>
        </w:numPr>
        <w:spacing w:before="60" w:after="60"/>
        <w:contextualSpacing w:val="0"/>
      </w:pPr>
      <w:r w:rsidRPr="00BB5CDB">
        <w:t>Some providers did not have a cap on the amount charged</w:t>
      </w:r>
      <w:r w:rsidR="00B07D85">
        <w:t>,</w:t>
      </w:r>
      <w:r w:rsidRPr="00BB5CDB">
        <w:t xml:space="preserve"> thereby leaving care recipients exposed to charges that could be fairly high.</w:t>
      </w:r>
    </w:p>
    <w:p w14:paraId="51C22709" w14:textId="13D8FD0B" w:rsidR="006E10B0" w:rsidRPr="00BB5CDB" w:rsidRDefault="006E10B0" w:rsidP="00951DC6">
      <w:pPr>
        <w:pStyle w:val="ListParagraph"/>
        <w:numPr>
          <w:ilvl w:val="0"/>
          <w:numId w:val="5"/>
        </w:numPr>
        <w:spacing w:before="60" w:after="60"/>
        <w:contextualSpacing w:val="0"/>
      </w:pPr>
      <w:r w:rsidRPr="00BB5CDB">
        <w:t>Some providers d</w:t>
      </w:r>
      <w:r w:rsidR="00B07D85">
        <w:t>id</w:t>
      </w:r>
      <w:r w:rsidRPr="00BB5CDB">
        <w:t xml:space="preserve"> cap such charges, but the cap </w:t>
      </w:r>
      <w:r w:rsidR="00DD49AC">
        <w:t>did not seem</w:t>
      </w:r>
      <w:r w:rsidRPr="00BB5CDB">
        <w:t xml:space="preserve"> </w:t>
      </w:r>
      <w:r w:rsidR="00D66B56">
        <w:t>‘</w:t>
      </w:r>
      <w:r w:rsidRPr="00BB5CDB">
        <w:t>reasonable</w:t>
      </w:r>
      <w:r w:rsidR="00D66B56">
        <w:t>’</w:t>
      </w:r>
      <w:r w:rsidR="0008362A" w:rsidRPr="00BB5CDB">
        <w:rPr>
          <w:rStyle w:val="FootnoteReference"/>
        </w:rPr>
        <w:footnoteReference w:id="29"/>
      </w:r>
      <w:r w:rsidR="002C77A9">
        <w:t xml:space="preserve"> based on a comparison by the </w:t>
      </w:r>
      <w:r w:rsidR="004E2D4E">
        <w:t>R</w:t>
      </w:r>
      <w:r w:rsidR="002C77A9">
        <w:t xml:space="preserve">eview team among the </w:t>
      </w:r>
      <w:r w:rsidR="005D6D41">
        <w:t>relevant</w:t>
      </w:r>
      <w:r w:rsidR="002C77A9">
        <w:t xml:space="preserve"> providers it reviewed</w:t>
      </w:r>
      <w:r w:rsidR="0008362A" w:rsidRPr="00BB5CDB">
        <w:t>.</w:t>
      </w:r>
    </w:p>
    <w:p w14:paraId="206052A6" w14:textId="3B7FC8BD" w:rsidR="006E10B0" w:rsidRPr="00BB5CDB" w:rsidRDefault="00567A22" w:rsidP="00951DC6">
      <w:pPr>
        <w:pStyle w:val="ListParagraph"/>
        <w:numPr>
          <w:ilvl w:val="0"/>
          <w:numId w:val="5"/>
        </w:numPr>
        <w:spacing w:before="60" w:after="60"/>
        <w:contextualSpacing w:val="0"/>
      </w:pPr>
      <w:r w:rsidRPr="00BB5CDB">
        <w:lastRenderedPageBreak/>
        <w:t>Only a</w:t>
      </w:r>
      <w:r w:rsidR="006E10B0" w:rsidRPr="00BB5CDB">
        <w:t xml:space="preserve"> few providers ha</w:t>
      </w:r>
      <w:r w:rsidR="00B07D85">
        <w:t>d</w:t>
      </w:r>
      <w:r w:rsidR="006E10B0" w:rsidRPr="00BB5CDB">
        <w:t xml:space="preserve"> a fixed </w:t>
      </w:r>
      <w:r w:rsidR="00AF12DF">
        <w:t xml:space="preserve">dollar </w:t>
      </w:r>
      <w:r w:rsidR="006E10B0" w:rsidRPr="00BB5CDB">
        <w:t>amount</w:t>
      </w:r>
      <w:r w:rsidR="000274D9">
        <w:t xml:space="preserve">. </w:t>
      </w:r>
      <w:r w:rsidR="00F73782">
        <w:t>Occasionally</w:t>
      </w:r>
      <w:r w:rsidR="005A6C85">
        <w:t xml:space="preserve">, the </w:t>
      </w:r>
      <w:r w:rsidR="00535DEF">
        <w:t>R</w:t>
      </w:r>
      <w:r w:rsidR="005A6C85">
        <w:t xml:space="preserve">eview team </w:t>
      </w:r>
      <w:r w:rsidR="000274D9">
        <w:t>observed</w:t>
      </w:r>
      <w:r w:rsidR="005A6C85">
        <w:t xml:space="preserve"> that</w:t>
      </w:r>
      <w:r w:rsidR="000274D9">
        <w:t xml:space="preserve"> </w:t>
      </w:r>
      <w:r w:rsidR="006E10B0" w:rsidRPr="00BB5CDB">
        <w:t xml:space="preserve">the care recipient </w:t>
      </w:r>
      <w:r w:rsidR="00A62A63" w:rsidRPr="00BB5CDB">
        <w:t>pa</w:t>
      </w:r>
      <w:r w:rsidR="00A62A63">
        <w:t>id</w:t>
      </w:r>
      <w:r w:rsidR="008D4B57">
        <w:t xml:space="preserve"> the difference</w:t>
      </w:r>
      <w:r w:rsidR="00A62A63" w:rsidRPr="00BB5CDB">
        <w:t xml:space="preserve"> </w:t>
      </w:r>
      <w:r w:rsidR="006E10B0" w:rsidRPr="00BB5CDB">
        <w:t xml:space="preserve">if the charge </w:t>
      </w:r>
      <w:r w:rsidR="00B07D85">
        <w:t>wa</w:t>
      </w:r>
      <w:r w:rsidR="006E10B0" w:rsidRPr="00BB5CDB">
        <w:t xml:space="preserve">s above this fixed </w:t>
      </w:r>
      <w:r w:rsidR="00AF12DF">
        <w:t>dollar</w:t>
      </w:r>
      <w:r w:rsidR="006E10B0" w:rsidRPr="00BB5CDB">
        <w:t xml:space="preserve"> amount</w:t>
      </w:r>
      <w:r w:rsidR="008D4B57">
        <w:t xml:space="preserve">. On the other hand, </w:t>
      </w:r>
      <w:r w:rsidR="006E10B0" w:rsidRPr="00BB5CDB">
        <w:t xml:space="preserve">if the actual amount </w:t>
      </w:r>
      <w:r w:rsidR="00B07D85">
        <w:t>wa</w:t>
      </w:r>
      <w:r w:rsidR="006E10B0" w:rsidRPr="00BB5CDB">
        <w:t xml:space="preserve">s lower than this fixed </w:t>
      </w:r>
      <w:r w:rsidR="00AF12DF">
        <w:t>dollar</w:t>
      </w:r>
      <w:r w:rsidR="006E10B0" w:rsidRPr="00BB5CDB">
        <w:t xml:space="preserve"> amount</w:t>
      </w:r>
      <w:r w:rsidR="008D4B57">
        <w:t>,</w:t>
      </w:r>
      <w:r w:rsidR="006E10B0" w:rsidRPr="00BB5CDB">
        <w:t xml:space="preserve"> then the provider </w:t>
      </w:r>
      <w:r w:rsidR="00D66B56">
        <w:t>‘</w:t>
      </w:r>
      <w:r w:rsidR="00A62A63" w:rsidRPr="00BB5CDB">
        <w:t>pocket</w:t>
      </w:r>
      <w:r w:rsidR="00A62A63">
        <w:t>ed</w:t>
      </w:r>
      <w:r w:rsidR="00D66B56">
        <w:t>’</w:t>
      </w:r>
      <w:r w:rsidR="006E10B0" w:rsidRPr="00BB5CDB">
        <w:t xml:space="preserve"> the difference. Th</w:t>
      </w:r>
      <w:r w:rsidR="00353BCB">
        <w:t>is was considered a s</w:t>
      </w:r>
      <w:r w:rsidR="006E10B0" w:rsidRPr="00BB5CDB">
        <w:t>impler way to administer such charges</w:t>
      </w:r>
      <w:r w:rsidR="00353BCB">
        <w:t xml:space="preserve"> </w:t>
      </w:r>
      <w:r w:rsidR="003029AC">
        <w:t>but</w:t>
      </w:r>
      <w:r w:rsidR="0080515F">
        <w:t xml:space="preserve"> is of concern to the </w:t>
      </w:r>
      <w:r w:rsidR="00535DEF">
        <w:t>R</w:t>
      </w:r>
      <w:r w:rsidR="0080515F">
        <w:t>eview team</w:t>
      </w:r>
      <w:r w:rsidR="006E10B0" w:rsidRPr="00BB5CDB">
        <w:t>.</w:t>
      </w:r>
    </w:p>
    <w:p w14:paraId="2A4F5DA2" w14:textId="10514827" w:rsidR="006E10B0" w:rsidRDefault="006E10B0" w:rsidP="00951DC6">
      <w:pPr>
        <w:pStyle w:val="ListParagraph"/>
        <w:numPr>
          <w:ilvl w:val="0"/>
          <w:numId w:val="5"/>
        </w:numPr>
        <w:spacing w:before="60" w:after="60"/>
        <w:contextualSpacing w:val="0"/>
      </w:pPr>
      <w:r w:rsidRPr="00BB5CDB">
        <w:t>A few providers ha</w:t>
      </w:r>
      <w:r w:rsidR="00B07D85">
        <w:t>d</w:t>
      </w:r>
      <w:r w:rsidRPr="00BB5CDB">
        <w:t xml:space="preserve"> a fixed hourly rate and charge</w:t>
      </w:r>
      <w:r w:rsidR="00286608">
        <w:t>d</w:t>
      </w:r>
      <w:r w:rsidRPr="00BB5CDB">
        <w:t xml:space="preserve"> based on work effort involved. </w:t>
      </w:r>
      <w:r w:rsidR="00286608">
        <w:t>T</w:t>
      </w:r>
      <w:r w:rsidRPr="00BB5CDB">
        <w:t>he first time they process an invoice from a new</w:t>
      </w:r>
      <w:r w:rsidR="00286608">
        <w:t xml:space="preserve"> third-party</w:t>
      </w:r>
      <w:r w:rsidRPr="00BB5CDB">
        <w:t xml:space="preserve"> provider, they might charge for the full hour. However, in future, they might only need 15 minutes of effort, so they </w:t>
      </w:r>
      <w:r w:rsidR="00286608">
        <w:t>only charge for those</w:t>
      </w:r>
      <w:r w:rsidRPr="00BB5CDB">
        <w:t xml:space="preserve"> 15 minutes. </w:t>
      </w:r>
    </w:p>
    <w:p w14:paraId="191AC2D4" w14:textId="3EF2EAC8" w:rsidR="00702F6F" w:rsidRDefault="00702F6F" w:rsidP="00951DC6">
      <w:pPr>
        <w:pStyle w:val="ListParagraph"/>
        <w:numPr>
          <w:ilvl w:val="0"/>
          <w:numId w:val="5"/>
        </w:numPr>
        <w:spacing w:before="60" w:after="60"/>
        <w:contextualSpacing w:val="0"/>
      </w:pPr>
      <w:r>
        <w:t>Some providers only ha</w:t>
      </w:r>
      <w:r w:rsidR="009C1255">
        <w:t>d</w:t>
      </w:r>
      <w:r>
        <w:t xml:space="preserve"> a surcharge for third-party invoices where a care recipient d</w:t>
      </w:r>
      <w:r w:rsidR="00767F91">
        <w:t>id</w:t>
      </w:r>
      <w:r>
        <w:t xml:space="preserve"> not pick a provider from their preferred provider list. </w:t>
      </w:r>
    </w:p>
    <w:p w14:paraId="5BDC0CAD" w14:textId="77777777" w:rsidR="00A1180A" w:rsidRDefault="00FB52D0" w:rsidP="00951DC6">
      <w:pPr>
        <w:pStyle w:val="ListParagraph"/>
        <w:numPr>
          <w:ilvl w:val="0"/>
          <w:numId w:val="5"/>
        </w:numPr>
        <w:contextualSpacing w:val="0"/>
      </w:pPr>
      <w:r>
        <w:t>Very few providers ha</w:t>
      </w:r>
      <w:r w:rsidR="009C1255">
        <w:t>d</w:t>
      </w:r>
      <w:r>
        <w:t xml:space="preserve"> a one-off administration charge, or no charge at all, for third-party arrangements.</w:t>
      </w:r>
    </w:p>
    <w:p w14:paraId="2A0D0320" w14:textId="579DCD5B" w:rsidR="006E10B0" w:rsidRPr="00951DC6" w:rsidRDefault="006E10B0" w:rsidP="00B8056A">
      <w:pPr>
        <w:pStyle w:val="Heading3"/>
      </w:pPr>
      <w:r w:rsidRPr="00951DC6">
        <w:t>Review observations</w:t>
      </w:r>
    </w:p>
    <w:p w14:paraId="424B2B39" w14:textId="77777777" w:rsidR="00A1180A" w:rsidRDefault="006E10B0" w:rsidP="006E10B0">
      <w:r w:rsidRPr="00BB5CDB">
        <w:t xml:space="preserve">It was evident to the Review team that </w:t>
      </w:r>
      <w:r w:rsidR="008F4DE2">
        <w:t>several</w:t>
      </w:r>
      <w:r w:rsidR="008F4DE2" w:rsidRPr="00BB5CDB">
        <w:t xml:space="preserve"> </w:t>
      </w:r>
      <w:r w:rsidRPr="00BB5CDB">
        <w:t xml:space="preserve">providers did not understand why listing a </w:t>
      </w:r>
      <w:r w:rsidR="00AF12DF">
        <w:t>percentage</w:t>
      </w:r>
      <w:r w:rsidRPr="00BB5CDB">
        <w:t xml:space="preserve"> charge was </w:t>
      </w:r>
      <w:r w:rsidR="00FF6ECA">
        <w:t>un</w:t>
      </w:r>
      <w:r w:rsidRPr="00BB5CDB">
        <w:t>acceptable</w:t>
      </w:r>
      <w:r w:rsidR="00FF6ECA">
        <w:t xml:space="preserve">. The Review team found the </w:t>
      </w:r>
      <w:r w:rsidR="00E57FB7">
        <w:t>P</w:t>
      </w:r>
      <w:r w:rsidRPr="00BB5CDB">
        <w:t xml:space="preserve">rogram guidance unclear on this. The Review team has worked with the </w:t>
      </w:r>
      <w:r w:rsidR="004E2D4E">
        <w:t xml:space="preserve">Department’s </w:t>
      </w:r>
      <w:r w:rsidRPr="00BB5CDB">
        <w:t>Program Area to confirm the following requirements:</w:t>
      </w:r>
    </w:p>
    <w:p w14:paraId="3D9759A5" w14:textId="77777777" w:rsidR="00A1180A" w:rsidRDefault="006E10B0" w:rsidP="00A90039">
      <w:pPr>
        <w:ind w:left="720"/>
      </w:pPr>
      <w:r w:rsidRPr="00951DC6">
        <w:t>Subcontracting and brokering costs should be incorporated into care management (e.g. coordinating and scheduling services) and/or package management (e.g. managing package funds such as invoicing) charges.</w:t>
      </w:r>
    </w:p>
    <w:p w14:paraId="0D3B1AAA" w14:textId="77777777" w:rsidR="00A1180A" w:rsidRDefault="006E10B0" w:rsidP="00A90039">
      <w:pPr>
        <w:ind w:left="720"/>
      </w:pPr>
      <w:r w:rsidRPr="00951DC6">
        <w:t xml:space="preserve">Additional costs that may arise, for example to provide care or services through a subcontracting arrangement that gives effect to a care recipient’s request, can be charged separately. Additional charges must be justifiable and reasonable. The provider must explain within the Pricing Schedule why they charge extra for this service, what it covers, how it is calculated, and how it will be applied. </w:t>
      </w:r>
    </w:p>
    <w:p w14:paraId="10243C7D" w14:textId="77777777" w:rsidR="00A1180A" w:rsidRDefault="006E10B0" w:rsidP="00A90039">
      <w:pPr>
        <w:ind w:left="720"/>
      </w:pPr>
      <w:r w:rsidRPr="00951DC6">
        <w:t>Where costs are variable, providers may publish minimum and maximum dollar figure price points. Published prices must be a dollar figure and not percentage. If a percentage is used to calculate the variable charge within the min/max dollar figure range, it also must be justifiable and reasonable for the types of services coordinated.</w:t>
      </w:r>
    </w:p>
    <w:p w14:paraId="4F1A7A3E" w14:textId="3EF4CAAD" w:rsidR="00A1180A" w:rsidRDefault="006E10B0" w:rsidP="006E10B0">
      <w:r w:rsidRPr="00BB5CDB">
        <w:lastRenderedPageBreak/>
        <w:t xml:space="preserve">The Review team considers the lack of a reasonable cap </w:t>
      </w:r>
      <w:r w:rsidR="00E1756C">
        <w:t>on third party surcharge</w:t>
      </w:r>
      <w:r w:rsidR="0059186D">
        <w:t>s</w:t>
      </w:r>
      <w:r w:rsidR="00E1756C">
        <w:t xml:space="preserve"> </w:t>
      </w:r>
      <w:r w:rsidRPr="00BB5CDB">
        <w:t xml:space="preserve">by some providers, whether it is for third party goods or services, as detrimental to care recipients’ value for money outcomes. In addition, the Review team does not consider it appropriate for providers to </w:t>
      </w:r>
      <w:r w:rsidR="00D66B56">
        <w:t>‘</w:t>
      </w:r>
      <w:r w:rsidRPr="00BB5CDB">
        <w:t>pocket</w:t>
      </w:r>
      <w:r w:rsidR="00D66B56">
        <w:t>’</w:t>
      </w:r>
      <w:r w:rsidRPr="00BB5CDB">
        <w:t xml:space="preserve"> the differen</w:t>
      </w:r>
      <w:r w:rsidR="00767F91">
        <w:t>ces</w:t>
      </w:r>
      <w:r w:rsidRPr="00BB5CDB">
        <w:t xml:space="preserve"> between the HCP </w:t>
      </w:r>
      <w:r w:rsidR="00E57FB7">
        <w:t>Home Care A</w:t>
      </w:r>
      <w:r w:rsidRPr="00BB5CDB">
        <w:t xml:space="preserve">greement’s agreed </w:t>
      </w:r>
      <w:r w:rsidR="00AF12DF">
        <w:t>dollar</w:t>
      </w:r>
      <w:r w:rsidRPr="00BB5CDB">
        <w:t xml:space="preserve"> amount and the actual charge </w:t>
      </w:r>
      <w:r w:rsidR="00567A22" w:rsidRPr="00BB5CDB">
        <w:t>(when this is</w:t>
      </w:r>
      <w:r w:rsidRPr="00BB5CDB">
        <w:t xml:space="preserve"> lower</w:t>
      </w:r>
      <w:r w:rsidR="00567A22" w:rsidRPr="00BB5CDB">
        <w:t>)</w:t>
      </w:r>
      <w:r w:rsidRPr="00BB5CDB">
        <w:t xml:space="preserve">. Providers need to establish arrangements that are fair and transparent </w:t>
      </w:r>
      <w:r w:rsidR="00567A22" w:rsidRPr="00BB5CDB">
        <w:t>for the care recipient</w:t>
      </w:r>
      <w:r w:rsidRPr="00BB5CDB">
        <w:t xml:space="preserve">. In </w:t>
      </w:r>
      <w:r w:rsidR="0059186D">
        <w:t>the case where a third-party provider of the care recipient’s choice is used</w:t>
      </w:r>
      <w:r w:rsidRPr="00BB5CDB">
        <w:t>, if there are invoice processing costs</w:t>
      </w:r>
      <w:r w:rsidR="0059186D">
        <w:t xml:space="preserve"> (</w:t>
      </w:r>
      <w:r w:rsidR="00FC1419">
        <w:t>i.e.</w:t>
      </w:r>
      <w:r w:rsidR="0059186D">
        <w:t xml:space="preserve"> a surcharge)</w:t>
      </w:r>
      <w:r w:rsidRPr="00BB5CDB">
        <w:t xml:space="preserve"> that a provider needs to recover, </w:t>
      </w:r>
      <w:r w:rsidR="00567A22" w:rsidRPr="00BB5CDB">
        <w:t xml:space="preserve">then </w:t>
      </w:r>
      <w:r w:rsidRPr="00BB5CDB">
        <w:t xml:space="preserve">these should be clearly listed separately so the care recipient understands and informedly agrees to when these would be charged. Such charges should not be </w:t>
      </w:r>
      <w:r w:rsidR="00D66B56">
        <w:t>‘</w:t>
      </w:r>
      <w:r w:rsidRPr="00BB5CDB">
        <w:t>hidden</w:t>
      </w:r>
      <w:r w:rsidR="00D66B56">
        <w:t>’</w:t>
      </w:r>
      <w:r w:rsidRPr="00BB5CDB">
        <w:t xml:space="preserve"> inadvertently due to the desire for administrative ease. The Review team </w:t>
      </w:r>
      <w:r w:rsidR="00562718">
        <w:t>finds it</w:t>
      </w:r>
      <w:r w:rsidR="00567A22" w:rsidRPr="00BB5CDB">
        <w:t xml:space="preserve"> unlikely that </w:t>
      </w:r>
      <w:r w:rsidRPr="00BB5CDB">
        <w:t xml:space="preserve">invoice management </w:t>
      </w:r>
      <w:r w:rsidR="00567A22" w:rsidRPr="00BB5CDB">
        <w:t>for the same service from the same provider would require the same effort time after time</w:t>
      </w:r>
      <w:r w:rsidRPr="00BB5CDB">
        <w:t>, particularly where a third</w:t>
      </w:r>
      <w:r w:rsidR="00767F91">
        <w:t>-</w:t>
      </w:r>
      <w:r w:rsidRPr="00BB5CDB">
        <w:t>party provider is already set up in the</w:t>
      </w:r>
      <w:r w:rsidR="00567A22" w:rsidRPr="00BB5CDB">
        <w:t xml:space="preserve"> </w:t>
      </w:r>
      <w:r w:rsidR="00562718">
        <w:t xml:space="preserve">HCP </w:t>
      </w:r>
      <w:r w:rsidR="00567A22" w:rsidRPr="00BB5CDB">
        <w:t>provider’s</w:t>
      </w:r>
      <w:r w:rsidRPr="00BB5CDB">
        <w:t xml:space="preserve"> system. </w:t>
      </w:r>
      <w:r w:rsidR="00562718">
        <w:t>This approach</w:t>
      </w:r>
      <w:r w:rsidRPr="00BB5CDB">
        <w:t xml:space="preserve"> does not support value for money outcomes for care recipients. </w:t>
      </w:r>
    </w:p>
    <w:p w14:paraId="2436B472" w14:textId="7328A568" w:rsidR="006E10B0" w:rsidRPr="00951DC6" w:rsidRDefault="006E10B0" w:rsidP="00B8056A">
      <w:pPr>
        <w:pStyle w:val="Heading3"/>
      </w:pPr>
      <w:r w:rsidRPr="00951DC6">
        <w:t>Program guidance improvement</w:t>
      </w:r>
    </w:p>
    <w:p w14:paraId="6981DDA5" w14:textId="77777777" w:rsidR="00A1180A" w:rsidRDefault="004E2F1B" w:rsidP="006E10B0">
      <w:r>
        <w:t xml:space="preserve">The requirements (captured above) </w:t>
      </w:r>
      <w:r w:rsidR="00E77FA0">
        <w:t>should</w:t>
      </w:r>
      <w:r>
        <w:t xml:space="preserve"> </w:t>
      </w:r>
      <w:r w:rsidR="001C45CF" w:rsidRPr="00BB5CDB">
        <w:t xml:space="preserve">be </w:t>
      </w:r>
      <w:r w:rsidR="00351341">
        <w:t>included</w:t>
      </w:r>
      <w:r w:rsidR="001C45CF" w:rsidRPr="00BB5CDB">
        <w:t xml:space="preserve"> in the published </w:t>
      </w:r>
      <w:r w:rsidR="00E57FB7">
        <w:t>P</w:t>
      </w:r>
      <w:r w:rsidR="001C45CF" w:rsidRPr="00BB5CDB">
        <w:t xml:space="preserve">rogram guidance. </w:t>
      </w:r>
    </w:p>
    <w:p w14:paraId="7C08F13D" w14:textId="45D07769" w:rsidR="007C2B99" w:rsidRDefault="00E77FA0">
      <w:r>
        <w:t xml:space="preserve">The </w:t>
      </w:r>
      <w:hyperlink r:id="rId31" w:history="1">
        <w:r w:rsidRPr="00E77FA0">
          <w:rPr>
            <w:rStyle w:val="Hyperlink"/>
            <w:i/>
            <w:iCs/>
          </w:rPr>
          <w:t>Home Care Pricing Schedule Definitions</w:t>
        </w:r>
      </w:hyperlink>
      <w:r>
        <w:t xml:space="preserve"> document</w:t>
      </w:r>
      <w:r w:rsidR="007D53AA" w:rsidRPr="00BB5CDB">
        <w:t xml:space="preserve"> </w:t>
      </w:r>
      <w:r w:rsidR="00134E74" w:rsidRPr="00BB5CDB">
        <w:t>was found by the Review team to be a very useful resource</w:t>
      </w:r>
      <w:r w:rsidR="00EA4B45" w:rsidRPr="00BB5CDB">
        <w:t xml:space="preserve"> in engaging with providers on indirect and care management charges. It was last published in 2019 and </w:t>
      </w:r>
      <w:r>
        <w:t>will</w:t>
      </w:r>
      <w:r w:rsidR="00134E74" w:rsidRPr="00BB5CDB">
        <w:t xml:space="preserve"> benefit from </w:t>
      </w:r>
      <w:r>
        <w:t>a review for currency</w:t>
      </w:r>
      <w:r w:rsidR="007D53AA" w:rsidRPr="00BB5CDB">
        <w:t xml:space="preserve">. </w:t>
      </w:r>
    </w:p>
    <w:p w14:paraId="0967ADC1" w14:textId="77777777" w:rsidR="006E10B0" w:rsidRPr="00951DC6" w:rsidRDefault="006E10B0" w:rsidP="00B8056A">
      <w:pPr>
        <w:pStyle w:val="Heading2"/>
      </w:pPr>
      <w:bookmarkStart w:id="22" w:name="_Toc111803161"/>
      <w:r w:rsidRPr="00951DC6">
        <w:t>Monthly statements do not clearly list costs separately</w:t>
      </w:r>
      <w:bookmarkEnd w:id="22"/>
    </w:p>
    <w:p w14:paraId="25F0CD8D" w14:textId="77777777" w:rsidR="006E10B0" w:rsidRPr="00951DC6" w:rsidRDefault="006E10B0" w:rsidP="00B8056A">
      <w:pPr>
        <w:pStyle w:val="Heading3"/>
      </w:pPr>
      <w:r w:rsidRPr="00951DC6">
        <w:t>Review findings</w:t>
      </w:r>
    </w:p>
    <w:p w14:paraId="288B9642" w14:textId="79C29A6D" w:rsidR="00A1180A" w:rsidRDefault="006E10B0" w:rsidP="006E10B0">
      <w:r w:rsidRPr="00B31CF0">
        <w:t xml:space="preserve">The Review found that </w:t>
      </w:r>
      <w:r w:rsidR="008F4DE2">
        <w:t>several</w:t>
      </w:r>
      <w:r w:rsidR="008F4DE2" w:rsidRPr="00B31CF0">
        <w:t xml:space="preserve"> </w:t>
      </w:r>
      <w:r w:rsidRPr="00B31CF0">
        <w:t xml:space="preserve">providers do not list the third-party services/goods handling charges separately in monthly </w:t>
      </w:r>
      <w:r w:rsidR="001576C7">
        <w:t>statements</w:t>
      </w:r>
      <w:r w:rsidRPr="00B31CF0">
        <w:t xml:space="preserve">. In limited cases, </w:t>
      </w:r>
      <w:r w:rsidR="004E2D4E">
        <w:t>it was</w:t>
      </w:r>
      <w:r w:rsidRPr="00B31CF0">
        <w:t xml:space="preserve"> found that providers use generic, </w:t>
      </w:r>
      <w:r w:rsidR="00D66B56">
        <w:t>‘</w:t>
      </w:r>
      <w:r w:rsidRPr="00B31CF0">
        <w:t>catch all</w:t>
      </w:r>
      <w:r w:rsidR="00D66B56">
        <w:t>’</w:t>
      </w:r>
      <w:r w:rsidRPr="00B31CF0">
        <w:t xml:space="preserve"> descriptions for care and services delivered. In these cases, care recipients would not </w:t>
      </w:r>
      <w:r w:rsidR="00C477C6">
        <w:t>be able to check if</w:t>
      </w:r>
      <w:r w:rsidRPr="00B31CF0">
        <w:t xml:space="preserve"> they were being charged correctly and only for services they agreed to receive</w:t>
      </w:r>
      <w:r w:rsidR="000E4737" w:rsidRPr="00B31CF0">
        <w:t>,</w:t>
      </w:r>
      <w:r w:rsidRPr="00B31CF0">
        <w:t xml:space="preserve"> and in the right month. Some providers stated that this was a new requirement</w:t>
      </w:r>
      <w:r w:rsidR="000E4737" w:rsidRPr="00B31CF0">
        <w:t xml:space="preserve"> (which is not the case)</w:t>
      </w:r>
      <w:r w:rsidRPr="00B31CF0">
        <w:t xml:space="preserve">. </w:t>
      </w:r>
    </w:p>
    <w:p w14:paraId="733E822C" w14:textId="3620EF5D" w:rsidR="006E10B0" w:rsidRPr="00951DC6" w:rsidRDefault="006E10B0" w:rsidP="00B8056A">
      <w:pPr>
        <w:pStyle w:val="Heading3"/>
      </w:pPr>
      <w:r w:rsidRPr="00951DC6">
        <w:lastRenderedPageBreak/>
        <w:t>Review observations</w:t>
      </w:r>
    </w:p>
    <w:p w14:paraId="1C137DCC" w14:textId="77777777" w:rsidR="00A1180A" w:rsidRDefault="006E10B0" w:rsidP="006E10B0">
      <w:pPr>
        <w:shd w:val="clear" w:color="auto" w:fill="FFFFFF"/>
      </w:pPr>
      <w:r w:rsidRPr="00B31CF0">
        <w:t xml:space="preserve">Care recipients require full transparency </w:t>
      </w:r>
      <w:r w:rsidR="00C477C6">
        <w:t xml:space="preserve">of all charges </w:t>
      </w:r>
      <w:r w:rsidRPr="00B31CF0">
        <w:t>to make informed decisions and to keep providers accountable for the</w:t>
      </w:r>
      <w:r w:rsidR="007A3BB1" w:rsidRPr="00B31CF0">
        <w:t>ir</w:t>
      </w:r>
      <w:r w:rsidRPr="00B31CF0">
        <w:t xml:space="preserve"> HCP funds. The requirement for an itemised list of care and services in monthly statements is </w:t>
      </w:r>
      <w:r w:rsidRPr="006F2BC0">
        <w:rPr>
          <w:i/>
          <w:iCs/>
        </w:rPr>
        <w:t>not</w:t>
      </w:r>
      <w:r w:rsidRPr="00B31CF0">
        <w:t xml:space="preserve"> a new requirement.</w:t>
      </w:r>
    </w:p>
    <w:p w14:paraId="16EC0AF6" w14:textId="06232B37" w:rsidR="00A1180A" w:rsidRDefault="004E2D4E" w:rsidP="006E10B0">
      <w:pPr>
        <w:shd w:val="clear" w:color="auto" w:fill="FFFFFF"/>
        <w:rPr>
          <w:rFonts w:eastAsia="Times New Roman"/>
        </w:rPr>
      </w:pPr>
      <w:r>
        <w:t>P</w:t>
      </w:r>
      <w:r w:rsidR="006E10B0" w:rsidRPr="00B31CF0">
        <w:t xml:space="preserve">roviders </w:t>
      </w:r>
      <w:r>
        <w:t xml:space="preserve">are reminded </w:t>
      </w:r>
      <w:r w:rsidR="006E10B0" w:rsidRPr="00B31CF0">
        <w:t xml:space="preserve">that the </w:t>
      </w:r>
      <w:hyperlink r:id="rId32" w:history="1">
        <w:r w:rsidR="006E10B0" w:rsidRPr="008D223B">
          <w:rPr>
            <w:rStyle w:val="Hyperlink"/>
            <w:rFonts w:eastAsia="Times New Roman"/>
          </w:rPr>
          <w:t xml:space="preserve">HCP </w:t>
        </w:r>
        <w:r w:rsidR="001576C7" w:rsidRPr="008D223B">
          <w:rPr>
            <w:rStyle w:val="Hyperlink"/>
            <w:rFonts w:eastAsia="Times New Roman"/>
          </w:rPr>
          <w:t xml:space="preserve">Program Operational </w:t>
        </w:r>
        <w:r w:rsidR="006E10B0" w:rsidRPr="008D223B">
          <w:rPr>
            <w:rStyle w:val="Hyperlink"/>
            <w:rFonts w:eastAsia="Times New Roman"/>
          </w:rPr>
          <w:t>Manual</w:t>
        </w:r>
      </w:hyperlink>
      <w:r w:rsidR="006E10B0" w:rsidRPr="00B31CF0">
        <w:rPr>
          <w:rFonts w:eastAsia="Times New Roman"/>
        </w:rPr>
        <w:t xml:space="preserve">, Section 10 reiterates that monthly statements include an itemised list of care and services provided to the care recipient during the month, including any travel, any subcontracting arrangements and package management, for which the care recipient was charged. This must include total and line-item dollar amounts. Regarding sub-contracting, </w:t>
      </w:r>
      <w:r w:rsidR="006E10B0" w:rsidRPr="00951DC6">
        <w:t>Section 21B – Financial Information statements for payment periods of the User Rights Principles 2014</w:t>
      </w:r>
      <w:r w:rsidR="006E10B0" w:rsidRPr="00B31CF0">
        <w:rPr>
          <w:rFonts w:eastAsia="Times New Roman"/>
        </w:rPr>
        <w:t xml:space="preserve"> states that an itemised list of any subcontracting arrangements for which the care recipient is charged must be included on the care recipient’s monthly statements. </w:t>
      </w:r>
    </w:p>
    <w:p w14:paraId="11F386BF" w14:textId="77777777" w:rsidR="00A1180A" w:rsidRDefault="006E10B0" w:rsidP="006E10B0">
      <w:r w:rsidRPr="00B31CF0">
        <w:t>In this context, the Review team notes that the Program</w:t>
      </w:r>
      <w:r w:rsidR="00920A18">
        <w:t xml:space="preserve"> area </w:t>
      </w:r>
      <w:r w:rsidR="00D705BF">
        <w:t>of</w:t>
      </w:r>
      <w:r w:rsidR="00920A18">
        <w:t xml:space="preserve"> the Department </w:t>
      </w:r>
      <w:r w:rsidRPr="00B31CF0">
        <w:t xml:space="preserve">has issued a </w:t>
      </w:r>
      <w:r w:rsidR="002B3418">
        <w:t>B</w:t>
      </w:r>
      <w:r w:rsidR="002B3418" w:rsidRPr="00B31CF0">
        <w:t xml:space="preserve">etter </w:t>
      </w:r>
      <w:r w:rsidR="002B3418">
        <w:t>P</w:t>
      </w:r>
      <w:r w:rsidR="002B3418" w:rsidRPr="00B31CF0">
        <w:t xml:space="preserve">ractice </w:t>
      </w:r>
      <w:r w:rsidR="002B3418">
        <w:t>M</w:t>
      </w:r>
      <w:r w:rsidR="002B3418" w:rsidRPr="00B31CF0">
        <w:t xml:space="preserve">onthly </w:t>
      </w:r>
      <w:r w:rsidR="002B3418">
        <w:t>S</w:t>
      </w:r>
      <w:r w:rsidR="002B3418" w:rsidRPr="00B31CF0">
        <w:t xml:space="preserve">tatement </w:t>
      </w:r>
      <w:r w:rsidRPr="00B31CF0">
        <w:t xml:space="preserve">earlier this year. This was co-designed with consumers, </w:t>
      </w:r>
      <w:proofErr w:type="gramStart"/>
      <w:r w:rsidRPr="00B31CF0">
        <w:t>providers</w:t>
      </w:r>
      <w:proofErr w:type="gramEnd"/>
      <w:r w:rsidRPr="00B31CF0">
        <w:t xml:space="preserve"> and peak bodies over a three</w:t>
      </w:r>
      <w:r w:rsidR="004D7B71">
        <w:t>-</w:t>
      </w:r>
      <w:r w:rsidRPr="00B31CF0">
        <w:t xml:space="preserve">year period to support the implementation of the Improved Payments </w:t>
      </w:r>
      <w:r w:rsidR="003029AC" w:rsidRPr="00B31CF0">
        <w:t>Arrangements and</w:t>
      </w:r>
      <w:r w:rsidRPr="00B31CF0">
        <w:t xml:space="preserve"> was also in response to Recommendation 124 made by the Royal Commission into Aged Care Quality and Safety. </w:t>
      </w:r>
    </w:p>
    <w:p w14:paraId="76C6F83B" w14:textId="1A5C012A" w:rsidR="00A1180A" w:rsidRDefault="006E10B0" w:rsidP="006E10B0">
      <w:r w:rsidRPr="00B31CF0">
        <w:t xml:space="preserve">The purpose of the </w:t>
      </w:r>
      <w:r w:rsidR="002B3418">
        <w:t>B</w:t>
      </w:r>
      <w:r w:rsidR="002B3418" w:rsidRPr="00B31CF0">
        <w:t xml:space="preserve">etter </w:t>
      </w:r>
      <w:r w:rsidR="002B3418">
        <w:t>P</w:t>
      </w:r>
      <w:r w:rsidR="002B3418" w:rsidRPr="00B31CF0">
        <w:t xml:space="preserve">ractice </w:t>
      </w:r>
      <w:r w:rsidR="002B3418">
        <w:t>M</w:t>
      </w:r>
      <w:r w:rsidR="002B3418" w:rsidRPr="00B31CF0">
        <w:t xml:space="preserve">onthly </w:t>
      </w:r>
      <w:r w:rsidR="002B3418">
        <w:t>S</w:t>
      </w:r>
      <w:r w:rsidR="002B3418" w:rsidRPr="00B31CF0">
        <w:t xml:space="preserve">tatement </w:t>
      </w:r>
      <w:r w:rsidRPr="00B31CF0">
        <w:t xml:space="preserve">is to provide practical advice to providers and consumers on how to interpret section 21B of the </w:t>
      </w:r>
      <w:r w:rsidRPr="00951DC6">
        <w:t>User Rights Principles 2014</w:t>
      </w:r>
      <w:r w:rsidRPr="00B31CF0">
        <w:t xml:space="preserve">. </w:t>
      </w:r>
      <w:r w:rsidRPr="00B31CF0">
        <w:rPr>
          <w:shd w:val="clear" w:color="auto" w:fill="FFFFFF"/>
        </w:rPr>
        <w:t>The template will support providers to improve the overall quality of their HCP statements, making it easier for care recipients to understand and be supported to make informed choices around use of Package funds for their care.</w:t>
      </w:r>
      <w:r w:rsidRPr="00B31CF0">
        <w:t xml:space="preserve"> The template can be found here</w:t>
      </w:r>
      <w:r w:rsidRPr="00B8056A">
        <w:t xml:space="preserve">: </w:t>
      </w:r>
      <w:hyperlink r:id="rId33" w:history="1">
        <w:r w:rsidR="008D223B">
          <w:rPr>
            <w:rStyle w:val="Hyperlink"/>
          </w:rPr>
          <w:t>Monthly statements for Home Care Packages</w:t>
        </w:r>
      </w:hyperlink>
      <w:r w:rsidR="008D223B">
        <w:t>.</w:t>
      </w:r>
    </w:p>
    <w:p w14:paraId="5E85DB03" w14:textId="77777777" w:rsidR="00A1180A" w:rsidRDefault="006E10B0" w:rsidP="006E10B0">
      <w:r w:rsidRPr="00B31CF0">
        <w:t>While the bet</w:t>
      </w:r>
      <w:r w:rsidR="000F7D19">
        <w:t>ter</w:t>
      </w:r>
      <w:r w:rsidRPr="00B31CF0">
        <w:t xml:space="preserve"> practice template is not mandatory, it is important</w:t>
      </w:r>
      <w:r w:rsidR="004D0DEC" w:rsidRPr="00B31CF0">
        <w:t xml:space="preserve"> </w:t>
      </w:r>
      <w:r w:rsidRPr="00B31CF0">
        <w:t>that providers understand that some monthly statement requirements are mandatory</w:t>
      </w:r>
      <w:r w:rsidR="00E401A6" w:rsidRPr="00B31CF0">
        <w:rPr>
          <w:rStyle w:val="FootnoteReference"/>
        </w:rPr>
        <w:footnoteReference w:id="30"/>
      </w:r>
      <w:r w:rsidRPr="00B31CF0">
        <w:t xml:space="preserve"> (regardless of which template providers use) and </w:t>
      </w:r>
      <w:r w:rsidR="004D0DEC" w:rsidRPr="00B31CF0">
        <w:t>providers</w:t>
      </w:r>
      <w:r w:rsidRPr="00B31CF0">
        <w:t xml:space="preserve"> must remain compliant with those.</w:t>
      </w:r>
    </w:p>
    <w:p w14:paraId="20F47890" w14:textId="4A2DEA64" w:rsidR="006E10B0" w:rsidRPr="00951DC6" w:rsidRDefault="006E10B0" w:rsidP="00B8056A">
      <w:pPr>
        <w:pStyle w:val="Heading3"/>
      </w:pPr>
      <w:r w:rsidRPr="00951DC6">
        <w:lastRenderedPageBreak/>
        <w:t>Program guidance improvement</w:t>
      </w:r>
    </w:p>
    <w:p w14:paraId="5B0BBD7B" w14:textId="795E80B0" w:rsidR="00A1180A" w:rsidRDefault="006E10B0" w:rsidP="006E10B0">
      <w:r w:rsidRPr="00B31CF0">
        <w:t>Nil.</w:t>
      </w:r>
    </w:p>
    <w:p w14:paraId="5DC1E0E9" w14:textId="502FF661" w:rsidR="006E10B0" w:rsidRPr="00B31CF0" w:rsidRDefault="006E10B0" w:rsidP="006E10B0">
      <w:r w:rsidRPr="00B31CF0">
        <w:t xml:space="preserve">The Review </w:t>
      </w:r>
      <w:r w:rsidR="00E1756C">
        <w:t>notes</w:t>
      </w:r>
      <w:r w:rsidRPr="00B31CF0">
        <w:t xml:space="preserve"> that the </w:t>
      </w:r>
      <w:r w:rsidR="001E5516">
        <w:t>Department</w:t>
      </w:r>
      <w:r w:rsidRPr="00B31CF0">
        <w:t xml:space="preserve"> has good resources and explanations </w:t>
      </w:r>
      <w:r w:rsidR="004D0DEC" w:rsidRPr="00B31CF0">
        <w:t>regarding</w:t>
      </w:r>
      <w:r w:rsidRPr="00B31CF0">
        <w:t xml:space="preserve"> monthly statements, including consumer guidance</w:t>
      </w:r>
      <w:r w:rsidR="001E5516">
        <w:t xml:space="preserve">, and </w:t>
      </w:r>
      <w:r w:rsidRPr="00B31CF0">
        <w:t>that the monthly statement template (and associated materials) ha</w:t>
      </w:r>
      <w:r w:rsidR="00767F91">
        <w:t>s</w:t>
      </w:r>
      <w:r w:rsidRPr="00B31CF0">
        <w:t xml:space="preserve"> been developed after significant co-design and consultation effort.</w:t>
      </w:r>
    </w:p>
    <w:p w14:paraId="751B98D5" w14:textId="77777777" w:rsidR="006E10B0" w:rsidRPr="00951DC6" w:rsidRDefault="006E10B0" w:rsidP="00B8056A">
      <w:pPr>
        <w:pStyle w:val="Heading2"/>
      </w:pPr>
      <w:bookmarkStart w:id="23" w:name="_Toc111803162"/>
      <w:r w:rsidRPr="00951DC6">
        <w:t>Incorrect allocation of business costs to indirect charges</w:t>
      </w:r>
      <w:bookmarkEnd w:id="23"/>
    </w:p>
    <w:p w14:paraId="1058784E" w14:textId="0F1E3651" w:rsidR="00162E62" w:rsidRPr="00951DC6" w:rsidRDefault="00162E62" w:rsidP="008D223B">
      <w:pPr>
        <w:pStyle w:val="Heading3"/>
      </w:pPr>
      <w:r w:rsidRPr="00951DC6">
        <w:t>Review finding</w:t>
      </w:r>
    </w:p>
    <w:p w14:paraId="44530ED3" w14:textId="77777777" w:rsidR="00A1180A" w:rsidRDefault="00C8726D" w:rsidP="00951DC6">
      <w:pPr>
        <w:pStyle w:val="ListParagraph"/>
        <w:ind w:left="0"/>
      </w:pPr>
      <w:r>
        <w:t>B</w:t>
      </w:r>
      <w:r w:rsidR="000F0A34" w:rsidRPr="00126DAB">
        <w:t xml:space="preserve">usiness costs are costs of running a business (for example, business insurance, general training of staff, rent etc). </w:t>
      </w:r>
      <w:r w:rsidR="00BE098F" w:rsidRPr="00126DAB">
        <w:t xml:space="preserve">Where such </w:t>
      </w:r>
      <w:r w:rsidR="000F0A34" w:rsidRPr="00126DAB">
        <w:t xml:space="preserve">charges need to be covered </w:t>
      </w:r>
      <w:r w:rsidR="00BE098F" w:rsidRPr="00126DAB">
        <w:t xml:space="preserve">through HCP funds, </w:t>
      </w:r>
      <w:r w:rsidR="000F0A34" w:rsidRPr="00126DAB">
        <w:t xml:space="preserve">a reasonable component </w:t>
      </w:r>
      <w:r w:rsidR="00BE098F" w:rsidRPr="00126DAB">
        <w:t xml:space="preserve">can be </w:t>
      </w:r>
      <w:r w:rsidR="000F0A34" w:rsidRPr="00126DAB">
        <w:t>added to the unit price of HCP services provide</w:t>
      </w:r>
      <w:r w:rsidR="00BE098F" w:rsidRPr="00126DAB">
        <w:t>d</w:t>
      </w:r>
      <w:r w:rsidR="000F0A34" w:rsidRPr="00126DAB">
        <w:t xml:space="preserve"> to care recipients.</w:t>
      </w:r>
    </w:p>
    <w:p w14:paraId="42BC2A39" w14:textId="6C70F425" w:rsidR="00162E62" w:rsidRPr="00951DC6" w:rsidRDefault="00162E62" w:rsidP="008D223B">
      <w:pPr>
        <w:pStyle w:val="Heading3"/>
      </w:pPr>
      <w:r w:rsidRPr="00951DC6">
        <w:t>Review observation</w:t>
      </w:r>
      <w:r w:rsidR="00AF12DF" w:rsidRPr="00951DC6">
        <w:t>s</w:t>
      </w:r>
    </w:p>
    <w:p w14:paraId="7DF67A2E" w14:textId="5C9FA2CD" w:rsidR="00A1180A" w:rsidRDefault="004F2156" w:rsidP="00951DC6">
      <w:pPr>
        <w:pStyle w:val="ListParagraph"/>
        <w:ind w:left="0"/>
      </w:pPr>
      <w:r>
        <w:t>I</w:t>
      </w:r>
      <w:r w:rsidR="000807DB" w:rsidRPr="00126DAB">
        <w:t xml:space="preserve">n a </w:t>
      </w:r>
      <w:r w:rsidR="001E5516">
        <w:t>small</w:t>
      </w:r>
      <w:r w:rsidR="000807DB" w:rsidRPr="00126DAB">
        <w:t xml:space="preserve"> number of cases (and where this was evident based on documentation before </w:t>
      </w:r>
      <w:r w:rsidR="00AD7842">
        <w:t>the Review team</w:t>
      </w:r>
      <w:r w:rsidR="000807DB" w:rsidRPr="00126DAB">
        <w:t xml:space="preserve">) </w:t>
      </w:r>
      <w:r w:rsidR="001E5516">
        <w:t>it was</w:t>
      </w:r>
      <w:r w:rsidR="000807DB" w:rsidRPr="00126DAB">
        <w:t xml:space="preserve"> observed that some providers </w:t>
      </w:r>
      <w:r w:rsidR="001E5516">
        <w:t>were</w:t>
      </w:r>
      <w:r w:rsidR="000807DB" w:rsidRPr="00126DAB">
        <w:t xml:space="preserve"> incorrectly charging business costs in package management or other indirect charges.</w:t>
      </w:r>
      <w:r w:rsidR="00E50659" w:rsidRPr="00126DAB">
        <w:t xml:space="preserve"> It was also unclear whether there was an inadvertent </w:t>
      </w:r>
      <w:r w:rsidR="00D66B56">
        <w:t>‘</w:t>
      </w:r>
      <w:r w:rsidR="00E50659" w:rsidRPr="00126DAB">
        <w:t>double dipping</w:t>
      </w:r>
      <w:r w:rsidR="00D66B56">
        <w:t>’</w:t>
      </w:r>
      <w:r w:rsidR="00E50659" w:rsidRPr="00126DAB">
        <w:t xml:space="preserve"> in relation to such charges – that is, </w:t>
      </w:r>
      <w:r w:rsidR="00FA3116" w:rsidRPr="00126DAB">
        <w:t xml:space="preserve">a </w:t>
      </w:r>
      <w:r w:rsidR="00E50659" w:rsidRPr="00126DAB">
        <w:t xml:space="preserve">provider could have built these into their </w:t>
      </w:r>
      <w:r w:rsidR="00B660FF">
        <w:t>hourly rates for services</w:t>
      </w:r>
      <w:r w:rsidR="00E50659" w:rsidRPr="00126DAB">
        <w:t xml:space="preserve"> </w:t>
      </w:r>
      <w:proofErr w:type="gramStart"/>
      <w:r w:rsidR="00E50659" w:rsidRPr="00126DAB">
        <w:t>and also</w:t>
      </w:r>
      <w:proofErr w:type="gramEnd"/>
      <w:r w:rsidR="00E50659" w:rsidRPr="00126DAB">
        <w:t xml:space="preserve"> charging these through package management</w:t>
      </w:r>
      <w:r w:rsidR="00FA3116" w:rsidRPr="00126DAB">
        <w:t xml:space="preserve"> charges</w:t>
      </w:r>
      <w:r w:rsidR="00E50659" w:rsidRPr="00126DAB">
        <w:t>.</w:t>
      </w:r>
    </w:p>
    <w:p w14:paraId="0305CF6C" w14:textId="416C9755" w:rsidR="00162E62" w:rsidRPr="00951DC6" w:rsidRDefault="00162E62" w:rsidP="008D223B">
      <w:pPr>
        <w:pStyle w:val="Heading3"/>
      </w:pPr>
      <w:r w:rsidRPr="00951DC6">
        <w:t>Program guidance improvement</w:t>
      </w:r>
    </w:p>
    <w:p w14:paraId="4BA56C10" w14:textId="77777777" w:rsidR="00A1180A" w:rsidRPr="008D223B" w:rsidRDefault="00ED53A9" w:rsidP="008D223B">
      <w:r w:rsidRPr="008D223B">
        <w:t>T</w:t>
      </w:r>
      <w:r w:rsidR="00162E62" w:rsidRPr="008D223B">
        <w:t xml:space="preserve">his requirement was found to be clear in the published program materials including, for example, the </w:t>
      </w:r>
      <w:hyperlink r:id="rId34" w:history="1">
        <w:r w:rsidR="00162E62" w:rsidRPr="008D223B">
          <w:rPr>
            <w:rStyle w:val="Hyperlink"/>
          </w:rPr>
          <w:t xml:space="preserve">HCP </w:t>
        </w:r>
        <w:r w:rsidR="00A96131" w:rsidRPr="008D223B">
          <w:rPr>
            <w:rStyle w:val="Hyperlink"/>
          </w:rPr>
          <w:t xml:space="preserve">Program </w:t>
        </w:r>
        <w:r w:rsidR="00162E62" w:rsidRPr="008D223B">
          <w:rPr>
            <w:rStyle w:val="Hyperlink"/>
          </w:rPr>
          <w:t>Operational Manual for Providers</w:t>
        </w:r>
      </w:hyperlink>
      <w:r w:rsidR="004716A7" w:rsidRPr="008D223B">
        <w:t xml:space="preserve"> and </w:t>
      </w:r>
      <w:hyperlink r:id="rId35" w:anchor="pricing-schedule" w:history="1">
        <w:r w:rsidR="004716A7" w:rsidRPr="008D223B">
          <w:rPr>
            <w:rStyle w:val="Hyperlink"/>
          </w:rPr>
          <w:t xml:space="preserve">pricing </w:t>
        </w:r>
        <w:r w:rsidRPr="008D223B">
          <w:rPr>
            <w:rStyle w:val="Hyperlink"/>
          </w:rPr>
          <w:t>transparency</w:t>
        </w:r>
      </w:hyperlink>
      <w:r w:rsidR="004716A7" w:rsidRPr="008D223B">
        <w:t xml:space="preserve"> information</w:t>
      </w:r>
      <w:r w:rsidR="00162E62" w:rsidRPr="008D223B">
        <w:t>.</w:t>
      </w:r>
    </w:p>
    <w:p w14:paraId="1CDFC48E" w14:textId="73BA42E6" w:rsidR="00ED53A9" w:rsidRPr="00126DAB" w:rsidRDefault="00ED53A9" w:rsidP="008D223B">
      <w:r w:rsidRPr="008D223B">
        <w:t xml:space="preserve">However the Program area may wish to consider </w:t>
      </w:r>
      <w:r w:rsidR="00353C12" w:rsidRPr="008D223B">
        <w:t xml:space="preserve">a simple revision to the </w:t>
      </w:r>
      <w:r w:rsidR="00A96131" w:rsidRPr="008D223B">
        <w:t xml:space="preserve">Home Care </w:t>
      </w:r>
      <w:hyperlink r:id="rId36" w:history="1">
        <w:r w:rsidR="00A96131" w:rsidRPr="008D223B">
          <w:rPr>
            <w:rStyle w:val="Hyperlink"/>
          </w:rPr>
          <w:t>Pricing Schedule Definitions document</w:t>
        </w:r>
      </w:hyperlink>
      <w:r w:rsidRPr="008D223B">
        <w:t xml:space="preserve"> to </w:t>
      </w:r>
      <w:r w:rsidR="00353C12" w:rsidRPr="008D223B">
        <w:t xml:space="preserve">clearly call out </w:t>
      </w:r>
      <w:r w:rsidRPr="008D223B">
        <w:t>business costs</w:t>
      </w:r>
      <w:r w:rsidR="00353C12" w:rsidRPr="008D223B">
        <w:t xml:space="preserve"> under a separate heading (at present these are referred to under the heading of package management and</w:t>
      </w:r>
      <w:r w:rsidR="00353C12" w:rsidRPr="00126DAB">
        <w:t xml:space="preserve"> could be missed)</w:t>
      </w:r>
      <w:r w:rsidRPr="00126DAB">
        <w:t>.</w:t>
      </w:r>
    </w:p>
    <w:p w14:paraId="216DD832" w14:textId="2343CFDF" w:rsidR="00007C6F" w:rsidRPr="00951DC6" w:rsidRDefault="00007C6F" w:rsidP="00951DC6">
      <w:pPr>
        <w:pStyle w:val="Heading1"/>
        <w:numPr>
          <w:ilvl w:val="0"/>
          <w:numId w:val="8"/>
        </w:numPr>
        <w:rPr>
          <w:color w:val="365F91" w:themeColor="accent1" w:themeShade="BF"/>
        </w:rPr>
      </w:pPr>
      <w:bookmarkStart w:id="24" w:name="_Toc111803163"/>
      <w:r w:rsidRPr="00951DC6">
        <w:rPr>
          <w:color w:val="365F91" w:themeColor="accent1" w:themeShade="BF"/>
          <w:sz w:val="32"/>
        </w:rPr>
        <w:lastRenderedPageBreak/>
        <w:t xml:space="preserve">Additional </w:t>
      </w:r>
      <w:r w:rsidR="008D223B">
        <w:rPr>
          <w:color w:val="365F91" w:themeColor="accent1" w:themeShade="BF"/>
          <w:sz w:val="32"/>
        </w:rPr>
        <w:t>o</w:t>
      </w:r>
      <w:r w:rsidRPr="00951DC6">
        <w:rPr>
          <w:color w:val="365F91" w:themeColor="accent1" w:themeShade="BF"/>
          <w:sz w:val="32"/>
        </w:rPr>
        <w:t>bservations</w:t>
      </w:r>
      <w:bookmarkEnd w:id="24"/>
    </w:p>
    <w:p w14:paraId="36B2A527" w14:textId="6D7FC2CC" w:rsidR="002D06BA" w:rsidRPr="00CA4C0F" w:rsidRDefault="002D06BA" w:rsidP="002D06BA">
      <w:bookmarkStart w:id="25" w:name="_1ol9akoq08l9" w:colFirst="0" w:colLast="0"/>
      <w:bookmarkEnd w:id="25"/>
      <w:r w:rsidRPr="00CA4C0F">
        <w:t xml:space="preserve">While out </w:t>
      </w:r>
      <w:r w:rsidR="00C8726D">
        <w:t>of scope of</w:t>
      </w:r>
      <w:r w:rsidRPr="00CA4C0F">
        <w:t xml:space="preserve"> the Review, the Review team also observed the following</w:t>
      </w:r>
      <w:r w:rsidR="005E00C0" w:rsidRPr="00CA4C0F">
        <w:t>. Th</w:t>
      </w:r>
      <w:r w:rsidR="00413EE0" w:rsidRPr="00CA4C0F">
        <w:t>ese</w:t>
      </w:r>
      <w:r w:rsidR="005E00C0" w:rsidRPr="00CA4C0F">
        <w:t xml:space="preserve"> </w:t>
      </w:r>
      <w:r w:rsidR="00695F7E">
        <w:t>were</w:t>
      </w:r>
      <w:r w:rsidR="005E00C0" w:rsidRPr="00CA4C0F">
        <w:t xml:space="preserve"> </w:t>
      </w:r>
      <w:r w:rsidR="001E5516">
        <w:t>included</w:t>
      </w:r>
      <w:r w:rsidR="005E00C0" w:rsidRPr="00CA4C0F">
        <w:t xml:space="preserve"> </w:t>
      </w:r>
      <w:r w:rsidR="005A47F8">
        <w:t>in providers’</w:t>
      </w:r>
      <w:r w:rsidR="005E00C0" w:rsidRPr="00CA4C0F">
        <w:t xml:space="preserve"> individual reports</w:t>
      </w:r>
      <w:r w:rsidR="00472E35">
        <w:t xml:space="preserve"> where relevant</w:t>
      </w:r>
      <w:r w:rsidRPr="00CA4C0F">
        <w:t>:</w:t>
      </w:r>
    </w:p>
    <w:p w14:paraId="399770CB" w14:textId="61104E4A" w:rsidR="002D06BA" w:rsidRPr="00F32A50" w:rsidRDefault="002D06BA" w:rsidP="008D223B">
      <w:pPr>
        <w:pStyle w:val="Heading2"/>
      </w:pPr>
      <w:bookmarkStart w:id="26" w:name="_Toc111803164"/>
      <w:r w:rsidRPr="00F32A50">
        <w:t>Exclusions/</w:t>
      </w:r>
      <w:r w:rsidR="00A90039">
        <w:t>i</w:t>
      </w:r>
      <w:r w:rsidRPr="00F32A50">
        <w:t>nclusions</w:t>
      </w:r>
      <w:bookmarkEnd w:id="26"/>
    </w:p>
    <w:p w14:paraId="4C908860" w14:textId="669B31C0" w:rsidR="00A1180A" w:rsidRDefault="000514B1" w:rsidP="000514B1">
      <w:r>
        <w:t xml:space="preserve">While </w:t>
      </w:r>
      <w:r w:rsidR="00D66B56">
        <w:t>‘</w:t>
      </w:r>
      <w:r>
        <w:t>excluded/included items</w:t>
      </w:r>
      <w:r w:rsidR="00D66B56">
        <w:t>’</w:t>
      </w:r>
      <w:r>
        <w:t xml:space="preserve"> were out of scope for the Review, the Review team has a responsibility under the </w:t>
      </w:r>
      <w:r w:rsidRPr="4C379D8C">
        <w:rPr>
          <w:i/>
          <w:iCs/>
        </w:rPr>
        <w:t xml:space="preserve">Australian Public Service Act 1999 </w:t>
      </w:r>
      <w:r>
        <w:t xml:space="preserve">and the </w:t>
      </w:r>
      <w:r w:rsidRPr="4C379D8C">
        <w:rPr>
          <w:i/>
          <w:iCs/>
        </w:rPr>
        <w:t>Public Governance, Performance and Accountability Act 2013</w:t>
      </w:r>
      <w:r>
        <w:t xml:space="preserve"> to identify and report any issues it incidentally finds while examining providers’ documentation, regarding the use of Commonwealth funds.</w:t>
      </w:r>
    </w:p>
    <w:p w14:paraId="47F79C3D" w14:textId="77777777" w:rsidR="00A1180A" w:rsidRDefault="000514B1" w:rsidP="002D06BA">
      <w:r>
        <w:t>As such</w:t>
      </w:r>
      <w:r w:rsidR="002D06BA" w:rsidRPr="00CA4C0F">
        <w:t xml:space="preserve">, where these were found in monthly statements and </w:t>
      </w:r>
      <w:r w:rsidR="008A252F">
        <w:t>reasons for purchase were unclear</w:t>
      </w:r>
      <w:r w:rsidR="002D06BA" w:rsidRPr="00CA4C0F">
        <w:t>, then the Review team was obliged to record this.</w:t>
      </w:r>
      <w:r w:rsidR="008A252F">
        <w:t xml:space="preserve"> These items were individual</w:t>
      </w:r>
      <w:r w:rsidR="00D47EE7">
        <w:t>ly</w:t>
      </w:r>
      <w:r w:rsidR="008A252F">
        <w:t xml:space="preserve"> raised with relevant providers to seek justification. </w:t>
      </w:r>
      <w:r w:rsidR="00041933">
        <w:t>I</w:t>
      </w:r>
      <w:r w:rsidR="008A252F">
        <w:t xml:space="preserve">n some circumstances, </w:t>
      </w:r>
      <w:r w:rsidR="00041933">
        <w:t xml:space="preserve">such </w:t>
      </w:r>
      <w:r w:rsidR="008A252F">
        <w:t>items could reflect an assessed care need.</w:t>
      </w:r>
      <w:r w:rsidR="002D06BA" w:rsidRPr="00CA4C0F">
        <w:t xml:space="preserve"> </w:t>
      </w:r>
    </w:p>
    <w:p w14:paraId="6B6FFB5B" w14:textId="77777777" w:rsidR="00A1180A" w:rsidRDefault="008A252F" w:rsidP="002D06BA">
      <w:r>
        <w:t>T</w:t>
      </w:r>
      <w:r w:rsidR="002D06BA" w:rsidRPr="00CA4C0F">
        <w:t xml:space="preserve">he following </w:t>
      </w:r>
      <w:r w:rsidR="00C477C6">
        <w:t xml:space="preserve">excluded items </w:t>
      </w:r>
      <w:r w:rsidR="002D06BA" w:rsidRPr="00CA4C0F">
        <w:t xml:space="preserve">were </w:t>
      </w:r>
      <w:r w:rsidR="002F496C" w:rsidRPr="00CA4C0F">
        <w:t>noticed</w:t>
      </w:r>
      <w:r w:rsidR="00797308" w:rsidRPr="00CA4C0F">
        <w:t xml:space="preserve"> in one or more instances</w:t>
      </w:r>
      <w:r w:rsidR="002D06BA" w:rsidRPr="00CA4C0F">
        <w:t>:</w:t>
      </w:r>
    </w:p>
    <w:p w14:paraId="519ED937" w14:textId="0131B817" w:rsidR="005B7F0D" w:rsidRPr="00CA4C0F" w:rsidRDefault="00B4339E" w:rsidP="008D223B">
      <w:pPr>
        <w:pStyle w:val="ListBullet"/>
      </w:pPr>
      <w:r w:rsidRPr="00CA4C0F">
        <w:t>fuel gift cards</w:t>
      </w:r>
    </w:p>
    <w:p w14:paraId="3E22E8BB" w14:textId="1DABE2D9" w:rsidR="00F825D8" w:rsidRPr="00CA4C0F" w:rsidRDefault="00F825D8" w:rsidP="008D223B">
      <w:pPr>
        <w:pStyle w:val="ListBullet"/>
      </w:pPr>
      <w:r w:rsidRPr="00CA4C0F">
        <w:t>p</w:t>
      </w:r>
      <w:r w:rsidR="002D06BA" w:rsidRPr="00CA4C0F">
        <w:t>urchases of TVs</w:t>
      </w:r>
      <w:r w:rsidRPr="00CA4C0F">
        <w:t>, entertainment items</w:t>
      </w:r>
    </w:p>
    <w:p w14:paraId="44D85A5F" w14:textId="0261FE54" w:rsidR="00CD1FC7" w:rsidRPr="00CA4C0F" w:rsidRDefault="00F825D8" w:rsidP="008D223B">
      <w:pPr>
        <w:pStyle w:val="ListBullet"/>
      </w:pPr>
      <w:r w:rsidRPr="00CA4C0F">
        <w:t>air conditioners</w:t>
      </w:r>
    </w:p>
    <w:p w14:paraId="49B70D5A" w14:textId="6FA01E92" w:rsidR="00F825D8" w:rsidRPr="00CA4C0F" w:rsidRDefault="00F825D8" w:rsidP="008D223B">
      <w:pPr>
        <w:pStyle w:val="ListBullet"/>
      </w:pPr>
      <w:r w:rsidRPr="00CA4C0F">
        <w:t>kitchen appliances and vacuum cleaners</w:t>
      </w:r>
    </w:p>
    <w:p w14:paraId="3B0FBAF0" w14:textId="4EDA8E02" w:rsidR="00CD1FC7" w:rsidRPr="00CA4C0F" w:rsidRDefault="009B6E61" w:rsidP="008D223B">
      <w:pPr>
        <w:pStyle w:val="ListBullet"/>
      </w:pPr>
      <w:r>
        <w:t xml:space="preserve">holidays including </w:t>
      </w:r>
      <w:r w:rsidR="00CD1FC7" w:rsidRPr="00CA4C0F">
        <w:t xml:space="preserve">flights, accommodation </w:t>
      </w:r>
      <w:r w:rsidR="00F825D8" w:rsidRPr="00CA4C0F">
        <w:t>(</w:t>
      </w:r>
      <w:r>
        <w:t xml:space="preserve">categorised </w:t>
      </w:r>
      <w:r w:rsidR="00CD1FC7" w:rsidRPr="00CA4C0F">
        <w:t>as respite</w:t>
      </w:r>
      <w:r w:rsidR="00F825D8" w:rsidRPr="00CA4C0F">
        <w:t>)</w:t>
      </w:r>
    </w:p>
    <w:p w14:paraId="65836D84" w14:textId="7F25056D" w:rsidR="00CD1FC7" w:rsidRPr="00CA4C0F" w:rsidRDefault="00CD1FC7" w:rsidP="008D223B">
      <w:pPr>
        <w:pStyle w:val="ListBullet"/>
      </w:pPr>
      <w:r w:rsidRPr="00CA4C0F">
        <w:t>non-specialised furniture</w:t>
      </w:r>
      <w:r w:rsidR="00F825D8" w:rsidRPr="00CA4C0F">
        <w:t xml:space="preserve"> such as beds, mattresses, recliners </w:t>
      </w:r>
    </w:p>
    <w:p w14:paraId="4A4E2C6B" w14:textId="4EF5BF03" w:rsidR="00B4339E" w:rsidRPr="00CA4C0F" w:rsidRDefault="00B4339E" w:rsidP="008D223B">
      <w:pPr>
        <w:pStyle w:val="ListBullet"/>
      </w:pPr>
      <w:r w:rsidRPr="00CA4C0F">
        <w:t>significant gardening expenditure in the one month</w:t>
      </w:r>
    </w:p>
    <w:p w14:paraId="7E0D431B" w14:textId="5D4D353D" w:rsidR="00CD1FC7" w:rsidRPr="00CA4C0F" w:rsidRDefault="00CD1FC7" w:rsidP="008D223B">
      <w:pPr>
        <w:pStyle w:val="ListBullet"/>
      </w:pPr>
      <w:r w:rsidRPr="00CA4C0F">
        <w:t xml:space="preserve">using HCP funds to cover contributions </w:t>
      </w:r>
      <w:r w:rsidR="009B6E61">
        <w:t>for permanent/respite care in a residential aged care service</w:t>
      </w:r>
      <w:r w:rsidRPr="00CA4C0F">
        <w:t xml:space="preserve"> </w:t>
      </w:r>
    </w:p>
    <w:p w14:paraId="111B82C1" w14:textId="24F6657C" w:rsidR="00F825D8" w:rsidRPr="00CA4C0F" w:rsidRDefault="00F825D8" w:rsidP="008D223B">
      <w:pPr>
        <w:pStyle w:val="ListBullet"/>
      </w:pPr>
      <w:r w:rsidRPr="00CA4C0F">
        <w:t>subscription services</w:t>
      </w:r>
    </w:p>
    <w:p w14:paraId="368CAE88" w14:textId="7FBC9CC6" w:rsidR="00F825D8" w:rsidRDefault="00F825D8" w:rsidP="008D223B">
      <w:pPr>
        <w:pStyle w:val="ListBullet"/>
      </w:pPr>
      <w:r w:rsidRPr="00CA4C0F">
        <w:t xml:space="preserve">large household maintenance/renovations </w:t>
      </w:r>
      <w:r w:rsidR="009B6E61">
        <w:t>(not specific to accessibility)</w:t>
      </w:r>
    </w:p>
    <w:p w14:paraId="01D7446E" w14:textId="6AAF6C54" w:rsidR="009B6E61" w:rsidRPr="00CA4C0F" w:rsidRDefault="009B6E61" w:rsidP="008D223B">
      <w:pPr>
        <w:pStyle w:val="ListBullet"/>
      </w:pPr>
      <w:r>
        <w:t>medicine</w:t>
      </w:r>
    </w:p>
    <w:p w14:paraId="33007F56" w14:textId="77777777" w:rsidR="00A1180A" w:rsidRDefault="00F825D8" w:rsidP="008D223B">
      <w:pPr>
        <w:pStyle w:val="ListBullet"/>
      </w:pPr>
      <w:r w:rsidRPr="00CA4C0F">
        <w:t>grocery charges</w:t>
      </w:r>
      <w:r w:rsidR="007425CF" w:rsidRPr="00CA4C0F">
        <w:t>.</w:t>
      </w:r>
    </w:p>
    <w:p w14:paraId="0729219F" w14:textId="420ACA52" w:rsidR="0085224E" w:rsidRDefault="002D06BA" w:rsidP="002D06BA">
      <w:r w:rsidRPr="00CA4C0F">
        <w:t xml:space="preserve">While it </w:t>
      </w:r>
      <w:r w:rsidR="007425CF" w:rsidRPr="00CA4C0F">
        <w:t>i</w:t>
      </w:r>
      <w:r w:rsidRPr="00CA4C0F">
        <w:t xml:space="preserve">s evident to the Review team that the </w:t>
      </w:r>
      <w:r w:rsidR="00A96131" w:rsidRPr="00CA4C0F">
        <w:t>P</w:t>
      </w:r>
      <w:r w:rsidRPr="00CA4C0F">
        <w:t>rogram guidance around exclu</w:t>
      </w:r>
      <w:r w:rsidR="001E2FD8">
        <w:t>ded</w:t>
      </w:r>
      <w:r w:rsidRPr="00CA4C0F">
        <w:t>/inclu</w:t>
      </w:r>
      <w:r w:rsidR="001E2FD8">
        <w:t>ded items</w:t>
      </w:r>
      <w:r w:rsidRPr="00CA4C0F">
        <w:t xml:space="preserve"> could be </w:t>
      </w:r>
      <w:r w:rsidR="00012616">
        <w:t>enhanced</w:t>
      </w:r>
      <w:r w:rsidRPr="00CA4C0F">
        <w:t xml:space="preserve"> (and the Program area is </w:t>
      </w:r>
      <w:r w:rsidR="009B6E61">
        <w:t>consulting with the sector on inclusions/exclusions</w:t>
      </w:r>
      <w:r w:rsidRPr="00CA4C0F">
        <w:t xml:space="preserve">), </w:t>
      </w:r>
      <w:r w:rsidR="001E5516">
        <w:t xml:space="preserve">it </w:t>
      </w:r>
      <w:r w:rsidRPr="00CA4C0F">
        <w:t>also notes that the requirements around exclu</w:t>
      </w:r>
      <w:r w:rsidR="00C8726D">
        <w:t>ded items</w:t>
      </w:r>
      <w:r w:rsidRPr="00CA4C0F">
        <w:t xml:space="preserve"> are relatively clear. What is </w:t>
      </w:r>
      <w:r w:rsidR="00FC43E2">
        <w:t>particularly concerning</w:t>
      </w:r>
      <w:r w:rsidRPr="00CA4C0F">
        <w:t xml:space="preserve"> is that</w:t>
      </w:r>
      <w:r w:rsidR="003E3F99">
        <w:t xml:space="preserve"> </w:t>
      </w:r>
      <w:r w:rsidR="00FC43E2">
        <w:t xml:space="preserve">the Review </w:t>
      </w:r>
      <w:r w:rsidR="000B5FF7">
        <w:t>t</w:t>
      </w:r>
      <w:r w:rsidR="00FC43E2">
        <w:t>eam</w:t>
      </w:r>
      <w:r w:rsidRPr="00CA4C0F">
        <w:t xml:space="preserve"> was not </w:t>
      </w:r>
      <w:r w:rsidR="000E5A33">
        <w:lastRenderedPageBreak/>
        <w:t xml:space="preserve">deliberately </w:t>
      </w:r>
      <w:r w:rsidRPr="00CA4C0F">
        <w:t xml:space="preserve">looking at expenditure on </w:t>
      </w:r>
      <w:r w:rsidR="00FC43E2">
        <w:t>such items</w:t>
      </w:r>
      <w:r w:rsidRPr="00CA4C0F">
        <w:t xml:space="preserve"> </w:t>
      </w:r>
      <w:r w:rsidR="0021587C">
        <w:t xml:space="preserve">(as these were </w:t>
      </w:r>
      <w:r w:rsidR="000E5A33">
        <w:t>out of scope for this Review</w:t>
      </w:r>
      <w:r w:rsidR="0021587C">
        <w:t>)</w:t>
      </w:r>
      <w:r w:rsidR="003E3F99">
        <w:t>,</w:t>
      </w:r>
      <w:r w:rsidR="0021587C">
        <w:t xml:space="preserve"> however,</w:t>
      </w:r>
      <w:r w:rsidR="00C8726D">
        <w:t xml:space="preserve"> </w:t>
      </w:r>
      <w:r w:rsidR="003E3F99">
        <w:t>t</w:t>
      </w:r>
      <w:r w:rsidRPr="00CA4C0F">
        <w:t>hese examples</w:t>
      </w:r>
      <w:r w:rsidR="00C8726D">
        <w:t xml:space="preserve"> were</w:t>
      </w:r>
      <w:r w:rsidRPr="00CA4C0F">
        <w:t xml:space="preserve"> </w:t>
      </w:r>
      <w:r w:rsidR="0021587C">
        <w:t xml:space="preserve">hard to miss as they were </w:t>
      </w:r>
      <w:r w:rsidR="00012616">
        <w:t xml:space="preserve">quite explicit in </w:t>
      </w:r>
      <w:r w:rsidR="0021587C">
        <w:t>some of</w:t>
      </w:r>
      <w:r w:rsidRPr="00CA4C0F">
        <w:t xml:space="preserve"> </w:t>
      </w:r>
      <w:r w:rsidR="00A77C78">
        <w:t xml:space="preserve">the </w:t>
      </w:r>
      <w:r w:rsidRPr="00CA4C0F">
        <w:t xml:space="preserve">monthly statements and invoices </w:t>
      </w:r>
      <w:r w:rsidR="00EB4638" w:rsidRPr="00CA4C0F">
        <w:t>reviewed</w:t>
      </w:r>
      <w:r w:rsidR="004E599A" w:rsidRPr="00CA4C0F">
        <w:t>.</w:t>
      </w:r>
    </w:p>
    <w:p w14:paraId="7CAC271E" w14:textId="77777777" w:rsidR="00897C75" w:rsidRPr="00F32A50" w:rsidRDefault="00897C75" w:rsidP="008D223B">
      <w:pPr>
        <w:pStyle w:val="Heading2"/>
      </w:pPr>
      <w:bookmarkStart w:id="27" w:name="_Toc105592644"/>
      <w:bookmarkStart w:id="28" w:name="_Toc111803165"/>
      <w:bookmarkEnd w:id="27"/>
      <w:r w:rsidRPr="00F32A50">
        <w:t>Charging for contingency funds</w:t>
      </w:r>
      <w:bookmarkEnd w:id="28"/>
    </w:p>
    <w:p w14:paraId="6CE99677" w14:textId="33C5E90A" w:rsidR="00A1180A" w:rsidRDefault="00897C75" w:rsidP="00897C75">
      <w:r w:rsidRPr="00267560">
        <w:t xml:space="preserve">The Review found that a very small number of providers were accumulating </w:t>
      </w:r>
      <w:r w:rsidR="00D66B56">
        <w:t>‘</w:t>
      </w:r>
      <w:r w:rsidRPr="00267560">
        <w:t>contingency funds</w:t>
      </w:r>
      <w:r w:rsidR="00D66B56">
        <w:t>’</w:t>
      </w:r>
      <w:r w:rsidRPr="00267560">
        <w:t xml:space="preserve"> on behalf of care recipient</w:t>
      </w:r>
      <w:r w:rsidR="00E1756C">
        <w:t>s</w:t>
      </w:r>
      <w:r w:rsidRPr="00267560">
        <w:t xml:space="preserve">. These were not a </w:t>
      </w:r>
      <w:r w:rsidR="00D66B56">
        <w:t>‘</w:t>
      </w:r>
      <w:r w:rsidRPr="00267560">
        <w:t>charge</w:t>
      </w:r>
      <w:r w:rsidR="00D66B56">
        <w:t>’</w:t>
      </w:r>
      <w:r w:rsidRPr="00267560">
        <w:t xml:space="preserve"> but </w:t>
      </w:r>
      <w:r w:rsidR="006D5B20">
        <w:t>appeared</w:t>
      </w:r>
      <w:r w:rsidRPr="00267560">
        <w:t xml:space="preserve"> as such on the relevant monthly statements</w:t>
      </w:r>
      <w:r w:rsidR="006D5B20">
        <w:t xml:space="preserve">, hence </w:t>
      </w:r>
      <w:r w:rsidR="00C8726D">
        <w:t xml:space="preserve">drawing </w:t>
      </w:r>
      <w:r w:rsidR="006D5B20">
        <w:t xml:space="preserve">the Review </w:t>
      </w:r>
      <w:r w:rsidR="001E5516">
        <w:t>team</w:t>
      </w:r>
      <w:r w:rsidR="006D5B20">
        <w:t>’s attention</w:t>
      </w:r>
      <w:r w:rsidRPr="00267560">
        <w:t xml:space="preserve">. When queried by the Review team, it was evident that these were essentially unspent funds by another name, being held for </w:t>
      </w:r>
      <w:r w:rsidR="00D66B56">
        <w:t>‘</w:t>
      </w:r>
      <w:r w:rsidRPr="00267560">
        <w:t>a rainy day</w:t>
      </w:r>
      <w:r w:rsidR="00D66B56">
        <w:t>’</w:t>
      </w:r>
      <w:r w:rsidRPr="00267560">
        <w:t xml:space="preserve"> for a care recipient</w:t>
      </w:r>
      <w:r w:rsidR="00267560" w:rsidRPr="00267560">
        <w:t xml:space="preserve">, with </w:t>
      </w:r>
      <w:r w:rsidR="00E1756C">
        <w:t xml:space="preserve">their </w:t>
      </w:r>
      <w:r w:rsidR="00267560" w:rsidRPr="00267560">
        <w:t>agreement</w:t>
      </w:r>
      <w:r w:rsidRPr="00267560">
        <w:t xml:space="preserve">. </w:t>
      </w:r>
    </w:p>
    <w:p w14:paraId="695E8324" w14:textId="517B09AD" w:rsidR="00A1180A" w:rsidRDefault="00267560" w:rsidP="00897C75">
      <w:pPr>
        <w:rPr>
          <w:i/>
          <w:iCs/>
        </w:rPr>
      </w:pPr>
      <w:r w:rsidRPr="00267560">
        <w:t>The</w:t>
      </w:r>
      <w:r w:rsidR="00897C75" w:rsidRPr="00267560">
        <w:t xml:space="preserve"> Review team </w:t>
      </w:r>
      <w:r w:rsidRPr="00267560">
        <w:t>reminds</w:t>
      </w:r>
      <w:r w:rsidR="00897C75" w:rsidRPr="00267560">
        <w:t xml:space="preserve"> HCP providers that </w:t>
      </w:r>
      <w:r w:rsidRPr="00267560">
        <w:t xml:space="preserve">the </w:t>
      </w:r>
      <w:r w:rsidR="00897C75" w:rsidRPr="00267560">
        <w:t xml:space="preserve">practice of charging for </w:t>
      </w:r>
      <w:r w:rsidR="00D66B56">
        <w:t>‘</w:t>
      </w:r>
      <w:r w:rsidR="00897C75" w:rsidRPr="00267560">
        <w:t>contingency</w:t>
      </w:r>
      <w:r w:rsidR="00D66B56">
        <w:t>’</w:t>
      </w:r>
      <w:r w:rsidR="00897C75" w:rsidRPr="00267560">
        <w:t xml:space="preserve"> is not consistent with the policy intent of the HCP Program. Care recipients should not be charged for future needs. Under Improved Payment Arrangements (IPA), from </w:t>
      </w:r>
      <w:r w:rsidR="00012616">
        <w:br/>
      </w:r>
      <w:r w:rsidR="00897C75" w:rsidRPr="00267560">
        <w:t xml:space="preserve">1 September 2021, the new payment by Services Australia is only paid in arrears for services </w:t>
      </w:r>
      <w:r w:rsidR="00897C75" w:rsidRPr="00267560">
        <w:rPr>
          <w:i/>
          <w:iCs/>
        </w:rPr>
        <w:t>already delivered</w:t>
      </w:r>
      <w:r w:rsidR="00897C75" w:rsidRPr="00267560">
        <w:t xml:space="preserve"> and </w:t>
      </w:r>
      <w:r w:rsidR="00897C75" w:rsidRPr="00267560">
        <w:rPr>
          <w:i/>
          <w:iCs/>
        </w:rPr>
        <w:t>providers should no longer be accruing unspent funds</w:t>
      </w:r>
      <w:r w:rsidR="00897C75" w:rsidRPr="00267560">
        <w:t xml:space="preserve">. </w:t>
      </w:r>
    </w:p>
    <w:p w14:paraId="5C3CE6CD" w14:textId="731F9F24" w:rsidR="00897C75" w:rsidRDefault="00897C75" w:rsidP="00897C75">
      <w:r w:rsidRPr="00267560">
        <w:t xml:space="preserve">Despite the IPA reforms being now in place for some months, some providers may </w:t>
      </w:r>
      <w:r w:rsidR="00267560" w:rsidRPr="00267560">
        <w:t>still</w:t>
      </w:r>
      <w:r w:rsidRPr="00267560">
        <w:t xml:space="preserve"> be unaware that this is not acceptable. As such, the Program area should consider clearly listing </w:t>
      </w:r>
      <w:r w:rsidR="00D66B56">
        <w:t>‘</w:t>
      </w:r>
      <w:r w:rsidRPr="00267560">
        <w:t>contingency charges/funds</w:t>
      </w:r>
      <w:r w:rsidR="00D66B56">
        <w:t>’</w:t>
      </w:r>
      <w:r w:rsidRPr="00267560">
        <w:t xml:space="preserve"> as </w:t>
      </w:r>
      <w:r w:rsidR="003E3F99">
        <w:t>an un</w:t>
      </w:r>
      <w:r w:rsidRPr="00267560">
        <w:t xml:space="preserve">acceptable practice </w:t>
      </w:r>
      <w:r w:rsidR="00267560" w:rsidRPr="00267560">
        <w:t xml:space="preserve">in </w:t>
      </w:r>
      <w:r w:rsidR="00A96131" w:rsidRPr="00267560">
        <w:t>P</w:t>
      </w:r>
      <w:r w:rsidR="00267560" w:rsidRPr="00267560">
        <w:t>rogram guidance materials</w:t>
      </w:r>
      <w:r w:rsidRPr="00267560">
        <w:t>.</w:t>
      </w:r>
    </w:p>
    <w:p w14:paraId="20F69778" w14:textId="77777777" w:rsidR="0076460C" w:rsidRPr="00F32A50" w:rsidRDefault="0076460C" w:rsidP="008D223B">
      <w:pPr>
        <w:pStyle w:val="Heading2"/>
      </w:pPr>
      <w:bookmarkStart w:id="29" w:name="_Toc111803166"/>
      <w:r w:rsidRPr="00F32A50">
        <w:t>Care plans and budgets</w:t>
      </w:r>
      <w:bookmarkEnd w:id="29"/>
    </w:p>
    <w:p w14:paraId="6948D7FE" w14:textId="77777777" w:rsidR="00A1180A" w:rsidRDefault="0076460C" w:rsidP="0076460C">
      <w:r w:rsidRPr="00CA4C0F">
        <w:t xml:space="preserve">The Review found that a noticeable proportion of care plans and budgets were not detailed and/or out of date and not aligning with the charges in a care recipient’s monthly statement. This included care recipients being charged a higher package rate or for items that were </w:t>
      </w:r>
      <w:r w:rsidR="00A96131">
        <w:t xml:space="preserve">not </w:t>
      </w:r>
      <w:r w:rsidRPr="00CA4C0F">
        <w:t xml:space="preserve">justifiable through their care plan. There were also some instances where charges on monthly statements did not align with the provided </w:t>
      </w:r>
      <w:r w:rsidR="009B6E61">
        <w:t xml:space="preserve">Home Care Agreement or </w:t>
      </w:r>
      <w:r w:rsidRPr="00CA4C0F">
        <w:t xml:space="preserve">pricing schedule. </w:t>
      </w:r>
    </w:p>
    <w:p w14:paraId="18C407B0" w14:textId="69D9F2EA" w:rsidR="0076460C" w:rsidRPr="00A90039" w:rsidRDefault="0076460C" w:rsidP="008D223B">
      <w:r w:rsidRPr="00CA4C0F">
        <w:t>A few care plans were not signed or did not appear to be care recipient approved.</w:t>
      </w:r>
      <w:r w:rsidR="00BD3E7A">
        <w:t xml:space="preserve"> </w:t>
      </w:r>
      <w:hyperlink r:id="rId37" w:history="1">
        <w:r w:rsidR="00BD3E7A" w:rsidRPr="00066AF5">
          <w:rPr>
            <w:rStyle w:val="Hyperlink"/>
          </w:rPr>
          <w:t>Care plans</w:t>
        </w:r>
      </w:hyperlink>
      <w:r w:rsidR="00BD3E7A">
        <w:t xml:space="preserve"> are an important foundational document for the HCP Program</w:t>
      </w:r>
      <w:r w:rsidR="003834AF">
        <w:t xml:space="preserve"> and Consumer Directed Care. They </w:t>
      </w:r>
      <w:r w:rsidR="00E06469">
        <w:t xml:space="preserve">should reflect current care needs, </w:t>
      </w:r>
      <w:r w:rsidR="003834AF">
        <w:t xml:space="preserve">should only be changed with the </w:t>
      </w:r>
      <w:r w:rsidR="003834AF" w:rsidRPr="00A90039">
        <w:t xml:space="preserve">care recipient’s agreement, </w:t>
      </w:r>
      <w:r w:rsidR="00E06469" w:rsidRPr="00A90039">
        <w:t xml:space="preserve">and </w:t>
      </w:r>
      <w:r w:rsidR="003834AF" w:rsidRPr="00A90039">
        <w:t>providers must make full use of the HCP budget to best meet a person’s care needs.</w:t>
      </w:r>
      <w:r w:rsidR="00C762AE" w:rsidRPr="00A90039">
        <w:t xml:space="preserve"> See </w:t>
      </w:r>
      <w:hyperlink r:id="rId38" w:anchor="_Toc15400344" w:history="1">
        <w:r w:rsidR="00C762AE" w:rsidRPr="00A90039">
          <w:rPr>
            <w:rStyle w:val="Hyperlink"/>
          </w:rPr>
          <w:t>19AD — Responsibility to provide written plan of care and services</w:t>
        </w:r>
      </w:hyperlink>
      <w:r w:rsidR="00C762AE" w:rsidRPr="00A90039">
        <w:t> in the User Rights Principles 2014.</w:t>
      </w:r>
    </w:p>
    <w:p w14:paraId="5DCE3EFD" w14:textId="77777777" w:rsidR="00F860A3" w:rsidRPr="00951DC6" w:rsidRDefault="00F860A3" w:rsidP="00951DC6">
      <w:pPr>
        <w:pStyle w:val="Heading1"/>
        <w:numPr>
          <w:ilvl w:val="0"/>
          <w:numId w:val="8"/>
        </w:numPr>
        <w:rPr>
          <w:color w:val="365F91" w:themeColor="accent1" w:themeShade="BF"/>
        </w:rPr>
      </w:pPr>
      <w:bookmarkStart w:id="30" w:name="_Toc105592647"/>
      <w:bookmarkStart w:id="31" w:name="_Toc105592649"/>
      <w:bookmarkStart w:id="32" w:name="_Toc111803167"/>
      <w:bookmarkEnd w:id="30"/>
      <w:bookmarkEnd w:id="31"/>
      <w:r w:rsidRPr="00951DC6">
        <w:rPr>
          <w:color w:val="365F91" w:themeColor="accent1" w:themeShade="BF"/>
          <w:sz w:val="32"/>
        </w:rPr>
        <w:lastRenderedPageBreak/>
        <w:t>Better practice</w:t>
      </w:r>
      <w:bookmarkEnd w:id="32"/>
    </w:p>
    <w:p w14:paraId="4C535909" w14:textId="2E3FA269" w:rsidR="00F860A3" w:rsidRPr="006423F4" w:rsidRDefault="00F860A3" w:rsidP="00F860A3">
      <w:r w:rsidRPr="006423F4">
        <w:t xml:space="preserve">The Review team observed some </w:t>
      </w:r>
      <w:r w:rsidR="002B741B">
        <w:t xml:space="preserve">relevant </w:t>
      </w:r>
      <w:r w:rsidRPr="006423F4">
        <w:t xml:space="preserve">better practices </w:t>
      </w:r>
      <w:r w:rsidR="006423F4" w:rsidRPr="006423F4">
        <w:t>including but not limited to</w:t>
      </w:r>
      <w:r w:rsidRPr="006423F4">
        <w:t>:</w:t>
      </w:r>
    </w:p>
    <w:p w14:paraId="42C678F9" w14:textId="61C7738C" w:rsidR="00EB33CC" w:rsidRPr="00C94E20" w:rsidRDefault="00EB33CC" w:rsidP="008D223B">
      <w:pPr>
        <w:pStyle w:val="ListBullet"/>
      </w:pPr>
      <w:r w:rsidRPr="00A847DC">
        <w:t xml:space="preserve">use of a payment platform for all invoicing and payments which allows care recipients to access real-time statements, including the </w:t>
      </w:r>
      <w:r w:rsidR="00C07871" w:rsidRPr="00A847DC">
        <w:t>HCP</w:t>
      </w:r>
      <w:r w:rsidRPr="00A847DC">
        <w:t xml:space="preserve"> subsidy that is credited daily, as well as expenditure notifications. Care recipients can view their statements online or via a mobile phone app giving self-managed care recipients greater visibility and control over their funding</w:t>
      </w:r>
    </w:p>
    <w:p w14:paraId="5AD2642C" w14:textId="72F2FED1" w:rsidR="006A2D8B" w:rsidRPr="00C94E20" w:rsidRDefault="006A2D8B" w:rsidP="008D223B">
      <w:pPr>
        <w:pStyle w:val="ListBullet"/>
      </w:pPr>
      <w:r w:rsidRPr="00C94E20">
        <w:t>a</w:t>
      </w:r>
      <w:r w:rsidR="00372972">
        <w:t xml:space="preserve">n innovative approach to enable </w:t>
      </w:r>
      <w:r w:rsidRPr="00C94E20">
        <w:t>a care recipient’s loved ones to have peace of mind that daily routines are being completed</w:t>
      </w:r>
    </w:p>
    <w:p w14:paraId="174DF445" w14:textId="7494F023" w:rsidR="006A2D8B" w:rsidRPr="00C94E20" w:rsidRDefault="00C97DF6" w:rsidP="008D223B">
      <w:pPr>
        <w:pStyle w:val="ListBullet"/>
      </w:pPr>
      <w:r>
        <w:t xml:space="preserve">an innovative approach to enable </w:t>
      </w:r>
      <w:r w:rsidR="006A2D8B" w:rsidRPr="00C94E20">
        <w:t>staff members to share moments in the care recipient’s day with their loved ones</w:t>
      </w:r>
    </w:p>
    <w:p w14:paraId="6F1E6965" w14:textId="43A36EB7" w:rsidR="0064571A" w:rsidRPr="00EB3F42" w:rsidRDefault="008A5600" w:rsidP="008D223B">
      <w:pPr>
        <w:pStyle w:val="ListBullet"/>
        <w:rPr>
          <w:lang w:eastAsia="en-US"/>
        </w:rPr>
      </w:pPr>
      <w:r>
        <w:rPr>
          <w:lang w:eastAsia="en-US"/>
        </w:rPr>
        <w:t>t</w:t>
      </w:r>
      <w:r w:rsidR="0064571A" w:rsidRPr="00C94E20">
        <w:rPr>
          <w:lang w:eastAsia="en-US"/>
        </w:rPr>
        <w:t xml:space="preserve">ime tracking tools which present evidence for charges applied for care management </w:t>
      </w:r>
      <w:r w:rsidR="0064571A" w:rsidRPr="00EB3F42">
        <w:rPr>
          <w:lang w:eastAsia="en-US"/>
        </w:rPr>
        <w:t>provided</w:t>
      </w:r>
      <w:r w:rsidR="00512C12">
        <w:rPr>
          <w:lang w:eastAsia="en-US"/>
        </w:rPr>
        <w:t>, and</w:t>
      </w:r>
    </w:p>
    <w:p w14:paraId="679C3FA9" w14:textId="1890CF45" w:rsidR="00A1180A" w:rsidRDefault="00D03A3E" w:rsidP="008D223B">
      <w:pPr>
        <w:pStyle w:val="ListBullet"/>
      </w:pPr>
      <w:r>
        <w:rPr>
          <w:lang w:eastAsia="en-US"/>
        </w:rPr>
        <w:t xml:space="preserve">[while out of scope </w:t>
      </w:r>
      <w:r w:rsidR="00C82A9D">
        <w:rPr>
          <w:lang w:eastAsia="en-US"/>
        </w:rPr>
        <w:t xml:space="preserve">for </w:t>
      </w:r>
      <w:r>
        <w:rPr>
          <w:lang w:eastAsia="en-US"/>
        </w:rPr>
        <w:t xml:space="preserve">the </w:t>
      </w:r>
      <w:r w:rsidR="00D14B5A">
        <w:rPr>
          <w:lang w:eastAsia="en-US"/>
        </w:rPr>
        <w:t>R</w:t>
      </w:r>
      <w:r>
        <w:rPr>
          <w:lang w:eastAsia="en-US"/>
        </w:rPr>
        <w:t xml:space="preserve">eview] </w:t>
      </w:r>
      <w:r w:rsidR="0066615A">
        <w:rPr>
          <w:lang w:eastAsia="en-US"/>
        </w:rPr>
        <w:t>c</w:t>
      </w:r>
      <w:r w:rsidR="00F860A3" w:rsidRPr="00EB3F42">
        <w:rPr>
          <w:lang w:eastAsia="en-US"/>
        </w:rPr>
        <w:t xml:space="preserve">are </w:t>
      </w:r>
      <w:r w:rsidR="0066615A">
        <w:rPr>
          <w:lang w:eastAsia="en-US"/>
        </w:rPr>
        <w:t>p</w:t>
      </w:r>
      <w:r w:rsidR="00F860A3" w:rsidRPr="00EB3F42">
        <w:rPr>
          <w:lang w:eastAsia="en-US"/>
        </w:rPr>
        <w:t>lan templates directed at consumer dri</w:t>
      </w:r>
      <w:r w:rsidR="0064571A" w:rsidRPr="00EB3F42">
        <w:rPr>
          <w:lang w:eastAsia="en-US"/>
        </w:rPr>
        <w:t>ven</w:t>
      </w:r>
      <w:r w:rsidR="00F860A3" w:rsidRPr="00EB3F42">
        <w:rPr>
          <w:lang w:eastAsia="en-US"/>
        </w:rPr>
        <w:t xml:space="preserve"> care</w:t>
      </w:r>
      <w:r w:rsidR="0064571A" w:rsidRPr="00EB3F42">
        <w:rPr>
          <w:lang w:eastAsia="en-US"/>
        </w:rPr>
        <w:t xml:space="preserve"> through </w:t>
      </w:r>
      <w:r w:rsidR="00512C12">
        <w:rPr>
          <w:lang w:eastAsia="en-US"/>
        </w:rPr>
        <w:t xml:space="preserve">clear </w:t>
      </w:r>
      <w:r w:rsidR="0064571A" w:rsidRPr="00EB3F42">
        <w:rPr>
          <w:lang w:eastAsia="en-US"/>
        </w:rPr>
        <w:t>questions like</w:t>
      </w:r>
      <w:r w:rsidR="00F860A3" w:rsidRPr="00EB3F42">
        <w:rPr>
          <w:lang w:eastAsia="en-US"/>
        </w:rPr>
        <w:t xml:space="preserve"> </w:t>
      </w:r>
      <w:r w:rsidR="00D66B56">
        <w:rPr>
          <w:lang w:eastAsia="en-US"/>
        </w:rPr>
        <w:t>‘</w:t>
      </w:r>
      <w:r w:rsidR="00F860A3" w:rsidRPr="00EB3F42">
        <w:rPr>
          <w:lang w:eastAsia="en-US"/>
        </w:rPr>
        <w:t>what I would like to achieve by working together</w:t>
      </w:r>
      <w:r w:rsidR="00D66B56">
        <w:rPr>
          <w:lang w:eastAsia="en-US"/>
        </w:rPr>
        <w:t>’</w:t>
      </w:r>
      <w:r w:rsidR="00F860A3" w:rsidRPr="00EB3F42">
        <w:rPr>
          <w:lang w:eastAsia="en-US"/>
        </w:rPr>
        <w:t>.</w:t>
      </w:r>
    </w:p>
    <w:p w14:paraId="2AA6C12B" w14:textId="2A931513" w:rsidR="00442A53" w:rsidRPr="00EB3F42" w:rsidRDefault="00442A53" w:rsidP="00442A53">
      <w:pPr>
        <w:widowControl w:val="0"/>
        <w:spacing w:before="60" w:after="60" w:line="256" w:lineRule="auto"/>
      </w:pPr>
      <w:r>
        <w:t xml:space="preserve">The Review team emphasises </w:t>
      </w:r>
      <w:r w:rsidR="008B049E">
        <w:t>that</w:t>
      </w:r>
      <w:r w:rsidR="00296DE2">
        <w:t xml:space="preserve"> the above examples </w:t>
      </w:r>
      <w:r w:rsidR="008B049E">
        <w:t>are</w:t>
      </w:r>
      <w:r w:rsidRPr="00FE3BA3">
        <w:t xml:space="preserve"> not an endorsement of a particular approach.</w:t>
      </w:r>
      <w:r>
        <w:t xml:space="preserve"> </w:t>
      </w:r>
    </w:p>
    <w:p w14:paraId="687926FF" w14:textId="314307BC" w:rsidR="00007C6F" w:rsidRPr="00951DC6" w:rsidRDefault="00E90A98" w:rsidP="00951DC6">
      <w:pPr>
        <w:pStyle w:val="Heading1"/>
        <w:numPr>
          <w:ilvl w:val="0"/>
          <w:numId w:val="8"/>
        </w:numPr>
        <w:rPr>
          <w:color w:val="365F91" w:themeColor="accent1" w:themeShade="BF"/>
        </w:rPr>
      </w:pPr>
      <w:bookmarkStart w:id="33" w:name="_Toc111803168"/>
      <w:r w:rsidRPr="00951DC6">
        <w:rPr>
          <w:color w:val="365F91" w:themeColor="accent1" w:themeShade="BF"/>
          <w:sz w:val="32"/>
        </w:rPr>
        <w:t xml:space="preserve">Value for </w:t>
      </w:r>
      <w:r w:rsidR="008D223B">
        <w:rPr>
          <w:color w:val="365F91" w:themeColor="accent1" w:themeShade="BF"/>
          <w:sz w:val="32"/>
        </w:rPr>
        <w:t>m</w:t>
      </w:r>
      <w:r w:rsidRPr="00951DC6">
        <w:rPr>
          <w:color w:val="365F91" w:themeColor="accent1" w:themeShade="BF"/>
          <w:sz w:val="32"/>
        </w:rPr>
        <w:t xml:space="preserve">oney </w:t>
      </w:r>
      <w:r w:rsidR="008D223B">
        <w:rPr>
          <w:color w:val="365F91" w:themeColor="accent1" w:themeShade="BF"/>
          <w:sz w:val="32"/>
        </w:rPr>
        <w:t>c</w:t>
      </w:r>
      <w:r w:rsidR="00007C6F" w:rsidRPr="00951DC6">
        <w:rPr>
          <w:color w:val="365F91" w:themeColor="accent1" w:themeShade="BF"/>
          <w:sz w:val="32"/>
        </w:rPr>
        <w:t xml:space="preserve">onsiderations for </w:t>
      </w:r>
      <w:r w:rsidR="008D223B">
        <w:rPr>
          <w:color w:val="365F91" w:themeColor="accent1" w:themeShade="BF"/>
          <w:sz w:val="32"/>
        </w:rPr>
        <w:t>c</w:t>
      </w:r>
      <w:r w:rsidR="00FE3BA3" w:rsidRPr="00951DC6">
        <w:rPr>
          <w:color w:val="365F91" w:themeColor="accent1" w:themeShade="BF"/>
          <w:sz w:val="32"/>
        </w:rPr>
        <w:t xml:space="preserve">are </w:t>
      </w:r>
      <w:r w:rsidR="008D223B">
        <w:rPr>
          <w:color w:val="365F91" w:themeColor="accent1" w:themeShade="BF"/>
          <w:sz w:val="32"/>
        </w:rPr>
        <w:t>r</w:t>
      </w:r>
      <w:r w:rsidR="00FE3BA3" w:rsidRPr="00951DC6">
        <w:rPr>
          <w:color w:val="365F91" w:themeColor="accent1" w:themeShade="BF"/>
          <w:sz w:val="32"/>
        </w:rPr>
        <w:t>ecipients</w:t>
      </w:r>
      <w:bookmarkEnd w:id="33"/>
    </w:p>
    <w:p w14:paraId="5870B85B" w14:textId="089263AC" w:rsidR="00A1180A" w:rsidRDefault="00D24737" w:rsidP="00055BFD">
      <w:r w:rsidRPr="00FE3BA3">
        <w:t>The Review team has collated the f</w:t>
      </w:r>
      <w:r w:rsidR="00055BFD" w:rsidRPr="00FE3BA3">
        <w:t xml:space="preserve">ollowing </w:t>
      </w:r>
      <w:r w:rsidR="00D66B56">
        <w:t>‘</w:t>
      </w:r>
      <w:r w:rsidR="0029616B" w:rsidRPr="00FE3BA3">
        <w:t>assuring value for money</w:t>
      </w:r>
      <w:r w:rsidR="00D66B56">
        <w:t>’</w:t>
      </w:r>
      <w:r w:rsidR="0029616B" w:rsidRPr="00FE3BA3">
        <w:t xml:space="preserve"> guidance for HCP care recipients</w:t>
      </w:r>
      <w:r w:rsidR="00055BFD" w:rsidRPr="00FE3BA3">
        <w:t xml:space="preserve"> based on observations from the sample</w:t>
      </w:r>
      <w:r w:rsidR="0048049B">
        <w:t>d</w:t>
      </w:r>
      <w:r w:rsidR="00055BFD" w:rsidRPr="00FE3BA3">
        <w:t xml:space="preserve"> 100 providers. </w:t>
      </w:r>
    </w:p>
    <w:p w14:paraId="26D285D1" w14:textId="7043145A" w:rsidR="00C85754" w:rsidRPr="00951DC6" w:rsidRDefault="00C85754" w:rsidP="00C85754">
      <w:pPr>
        <w:rPr>
          <w:i/>
        </w:rPr>
      </w:pPr>
      <w:r w:rsidRPr="00951DC6">
        <w:rPr>
          <w:i/>
        </w:rPr>
        <w:t xml:space="preserve">Pricing transparency is key to </w:t>
      </w:r>
      <w:r w:rsidR="008C5F2A" w:rsidRPr="00951DC6">
        <w:rPr>
          <w:i/>
        </w:rPr>
        <w:t xml:space="preserve">supporting </w:t>
      </w:r>
      <w:r w:rsidR="00452C2A" w:rsidRPr="00951DC6">
        <w:rPr>
          <w:i/>
        </w:rPr>
        <w:t>care recipients</w:t>
      </w:r>
      <w:r w:rsidR="008C5F2A" w:rsidRPr="00951DC6">
        <w:rPr>
          <w:i/>
        </w:rPr>
        <w:t xml:space="preserve"> </w:t>
      </w:r>
      <w:r w:rsidR="00220B28" w:rsidRPr="00951DC6">
        <w:rPr>
          <w:i/>
        </w:rPr>
        <w:t>to make</w:t>
      </w:r>
      <w:r w:rsidR="008C5F2A" w:rsidRPr="00951DC6">
        <w:rPr>
          <w:i/>
        </w:rPr>
        <w:t xml:space="preserve"> value for money decisions about </w:t>
      </w:r>
      <w:r w:rsidR="00452C2A" w:rsidRPr="00951DC6">
        <w:rPr>
          <w:i/>
        </w:rPr>
        <w:t>their</w:t>
      </w:r>
      <w:r w:rsidR="008C5F2A" w:rsidRPr="00951DC6">
        <w:rPr>
          <w:i/>
        </w:rPr>
        <w:t xml:space="preserve"> HCP funds</w:t>
      </w:r>
      <w:r w:rsidRPr="00951DC6">
        <w:rPr>
          <w:i/>
        </w:rPr>
        <w:t xml:space="preserve"> – </w:t>
      </w:r>
      <w:r w:rsidR="00C30888" w:rsidRPr="00951DC6">
        <w:rPr>
          <w:i/>
        </w:rPr>
        <w:t>care recipients should</w:t>
      </w:r>
      <w:r w:rsidRPr="00951DC6">
        <w:rPr>
          <w:i/>
        </w:rPr>
        <w:t xml:space="preserve"> seek this from </w:t>
      </w:r>
      <w:r w:rsidR="00C30888" w:rsidRPr="00951DC6">
        <w:rPr>
          <w:i/>
        </w:rPr>
        <w:t>their</w:t>
      </w:r>
      <w:r w:rsidRPr="00951DC6">
        <w:rPr>
          <w:i/>
        </w:rPr>
        <w:t xml:space="preserve"> provider</w:t>
      </w:r>
    </w:p>
    <w:p w14:paraId="530787CB" w14:textId="3BBBFF3D" w:rsidR="00A1180A" w:rsidRDefault="00C30888" w:rsidP="008D223B">
      <w:pPr>
        <w:pStyle w:val="ListBullet"/>
      </w:pPr>
      <w:r>
        <w:t>Providers are</w:t>
      </w:r>
      <w:r w:rsidR="00121A14" w:rsidRPr="00FE3BA3">
        <w:t xml:space="preserve"> required to provide </w:t>
      </w:r>
      <w:r>
        <w:t>care recipients</w:t>
      </w:r>
      <w:r w:rsidR="00121A14" w:rsidRPr="00FE3BA3">
        <w:t xml:space="preserve"> pricing transparency. These requirements are in place to support </w:t>
      </w:r>
      <w:r>
        <w:t>care recipients</w:t>
      </w:r>
      <w:r w:rsidR="00121A14" w:rsidRPr="00FE3BA3">
        <w:t xml:space="preserve"> to make </w:t>
      </w:r>
      <w:r w:rsidR="00D66B56">
        <w:t>‘</w:t>
      </w:r>
      <w:r w:rsidR="00121A14" w:rsidRPr="00FE3BA3">
        <w:t xml:space="preserve">like </w:t>
      </w:r>
      <w:r w:rsidR="00841B01">
        <w:t>for</w:t>
      </w:r>
      <w:r w:rsidR="00121A14" w:rsidRPr="00FE3BA3">
        <w:t xml:space="preserve"> like</w:t>
      </w:r>
      <w:r w:rsidR="00D66B56">
        <w:t>’</w:t>
      </w:r>
      <w:r w:rsidR="00121A14" w:rsidRPr="00FE3BA3">
        <w:t xml:space="preserve"> comparisons.</w:t>
      </w:r>
      <w:r w:rsidR="00B07C56" w:rsidRPr="00FE3BA3">
        <w:t xml:space="preserve"> </w:t>
      </w:r>
      <w:r>
        <w:t>P</w:t>
      </w:r>
      <w:r w:rsidR="00B07C56" w:rsidRPr="00FE3BA3">
        <w:t>rovider</w:t>
      </w:r>
      <w:r>
        <w:t>s</w:t>
      </w:r>
      <w:r w:rsidR="00B07C56" w:rsidRPr="00FE3BA3">
        <w:t xml:space="preserve"> need to be consistent with </w:t>
      </w:r>
      <w:hyperlink r:id="rId39" w:history="1">
        <w:r w:rsidR="00121A14" w:rsidRPr="008D223B">
          <w:rPr>
            <w:rStyle w:val="Hyperlink"/>
          </w:rPr>
          <w:t>HCP Program’s pricing transparency requirements</w:t>
        </w:r>
      </w:hyperlink>
      <w:r w:rsidR="00121A14" w:rsidRPr="00FE3BA3">
        <w:t>.</w:t>
      </w:r>
    </w:p>
    <w:p w14:paraId="6C48E05B" w14:textId="775D580B" w:rsidR="00191F26" w:rsidRPr="00951DC6" w:rsidRDefault="00C30888" w:rsidP="000B4037">
      <w:pPr>
        <w:rPr>
          <w:i/>
        </w:rPr>
      </w:pPr>
      <w:r w:rsidRPr="00951DC6">
        <w:rPr>
          <w:i/>
        </w:rPr>
        <w:t>Care recipients should e</w:t>
      </w:r>
      <w:r w:rsidR="00191F26" w:rsidRPr="00951DC6">
        <w:rPr>
          <w:i/>
        </w:rPr>
        <w:t xml:space="preserve">nsure </w:t>
      </w:r>
      <w:r w:rsidRPr="00951DC6">
        <w:rPr>
          <w:i/>
        </w:rPr>
        <w:t>they</w:t>
      </w:r>
      <w:r w:rsidR="00191F26" w:rsidRPr="00951DC6">
        <w:rPr>
          <w:i/>
        </w:rPr>
        <w:t xml:space="preserve"> are making a like for like comparison of charges</w:t>
      </w:r>
    </w:p>
    <w:p w14:paraId="616ABC9B" w14:textId="77777777" w:rsidR="00A1180A" w:rsidRDefault="00191F26" w:rsidP="008D223B">
      <w:pPr>
        <w:pStyle w:val="ListBullet"/>
      </w:pPr>
      <w:r w:rsidRPr="00191F26">
        <w:t>The Review team found</w:t>
      </w:r>
      <w:r w:rsidRPr="00A1008A">
        <w:rPr>
          <w:i/>
          <w:iCs/>
        </w:rPr>
        <w:t xml:space="preserve"> </w:t>
      </w:r>
      <w:r>
        <w:t xml:space="preserve">considerable variation across providers for similar charges. </w:t>
      </w:r>
      <w:r w:rsidR="0069560B">
        <w:t>W</w:t>
      </w:r>
      <w:r w:rsidRPr="00FE3BA3">
        <w:t xml:space="preserve">hen </w:t>
      </w:r>
      <w:r w:rsidR="006A0658">
        <w:t xml:space="preserve">care recipients are </w:t>
      </w:r>
      <w:r w:rsidRPr="00FE3BA3">
        <w:t xml:space="preserve">comparing across providers, </w:t>
      </w:r>
      <w:r w:rsidR="006A0658">
        <w:t xml:space="preserve">they should </w:t>
      </w:r>
      <w:r w:rsidRPr="00FE3BA3">
        <w:t xml:space="preserve">keep in mind that some providers offer an all-inclusive hourly rate (and this may appear to be higher on face value) </w:t>
      </w:r>
      <w:r>
        <w:t>while</w:t>
      </w:r>
      <w:r w:rsidRPr="00FE3BA3">
        <w:t xml:space="preserve"> others may have </w:t>
      </w:r>
      <w:r>
        <w:t xml:space="preserve">less evident </w:t>
      </w:r>
      <w:r w:rsidRPr="00FE3BA3">
        <w:t>additional charges.</w:t>
      </w:r>
    </w:p>
    <w:p w14:paraId="57164F0E" w14:textId="62F162DE" w:rsidR="000B4037" w:rsidRPr="00951DC6" w:rsidRDefault="00C30888" w:rsidP="000B4037">
      <w:pPr>
        <w:rPr>
          <w:i/>
        </w:rPr>
      </w:pPr>
      <w:r w:rsidRPr="00951DC6">
        <w:rPr>
          <w:i/>
        </w:rPr>
        <w:lastRenderedPageBreak/>
        <w:t>M</w:t>
      </w:r>
      <w:r w:rsidR="00BD31D0" w:rsidRPr="00951DC6">
        <w:rPr>
          <w:i/>
        </w:rPr>
        <w:t xml:space="preserve">onthly statements </w:t>
      </w:r>
      <w:r w:rsidR="008F0485" w:rsidRPr="00951DC6">
        <w:rPr>
          <w:i/>
        </w:rPr>
        <w:t>are</w:t>
      </w:r>
      <w:r w:rsidR="00BD31D0" w:rsidRPr="00951DC6">
        <w:rPr>
          <w:i/>
        </w:rPr>
        <w:t xml:space="preserve"> </w:t>
      </w:r>
      <w:r w:rsidR="008F0485" w:rsidRPr="00951DC6">
        <w:rPr>
          <w:i/>
        </w:rPr>
        <w:t xml:space="preserve">very </w:t>
      </w:r>
      <w:r w:rsidR="00BD31D0" w:rsidRPr="00951DC6">
        <w:rPr>
          <w:i/>
        </w:rPr>
        <w:t xml:space="preserve">important in the HCP Program context </w:t>
      </w:r>
      <w:r w:rsidR="008F0485" w:rsidRPr="00951DC6">
        <w:rPr>
          <w:i/>
        </w:rPr>
        <w:t xml:space="preserve">– </w:t>
      </w:r>
      <w:r w:rsidRPr="00951DC6">
        <w:rPr>
          <w:i/>
        </w:rPr>
        <w:t xml:space="preserve">care recipients should </w:t>
      </w:r>
      <w:r w:rsidR="00841B01" w:rsidRPr="00951DC6">
        <w:rPr>
          <w:i/>
        </w:rPr>
        <w:t>R</w:t>
      </w:r>
      <w:r w:rsidR="008F0485" w:rsidRPr="00951DC6">
        <w:rPr>
          <w:i/>
        </w:rPr>
        <w:t xml:space="preserve">eview them carefully and ask questions of </w:t>
      </w:r>
      <w:r w:rsidRPr="00951DC6">
        <w:rPr>
          <w:i/>
        </w:rPr>
        <w:t>their</w:t>
      </w:r>
      <w:r w:rsidR="008F0485" w:rsidRPr="00951DC6">
        <w:rPr>
          <w:i/>
        </w:rPr>
        <w:t xml:space="preserve"> provider if in doubt</w:t>
      </w:r>
    </w:p>
    <w:p w14:paraId="6C327D73" w14:textId="4E221B37" w:rsidR="00AA0A1A" w:rsidRPr="00FE3BA3" w:rsidRDefault="00AA0A1A" w:rsidP="008D223B">
      <w:pPr>
        <w:pStyle w:val="ListBullet"/>
      </w:pPr>
      <w:r w:rsidRPr="00FE3BA3">
        <w:t xml:space="preserve">The HCP Program has issued a </w:t>
      </w:r>
      <w:hyperlink r:id="rId40" w:history="1">
        <w:r w:rsidRPr="008D223B">
          <w:rPr>
            <w:rStyle w:val="Hyperlink"/>
          </w:rPr>
          <w:t>be</w:t>
        </w:r>
        <w:r w:rsidR="00A96131" w:rsidRPr="008D223B">
          <w:rPr>
            <w:rStyle w:val="Hyperlink"/>
          </w:rPr>
          <w:t>t</w:t>
        </w:r>
        <w:r w:rsidRPr="008D223B">
          <w:rPr>
            <w:rStyle w:val="Hyperlink"/>
          </w:rPr>
          <w:t>t</w:t>
        </w:r>
        <w:r w:rsidR="00A96131" w:rsidRPr="008D223B">
          <w:rPr>
            <w:rStyle w:val="Hyperlink"/>
          </w:rPr>
          <w:t>er</w:t>
        </w:r>
        <w:r w:rsidRPr="008D223B">
          <w:rPr>
            <w:rStyle w:val="Hyperlink"/>
          </w:rPr>
          <w:t xml:space="preserve"> practice monthly statement </w:t>
        </w:r>
        <w:r w:rsidR="00AA312D" w:rsidRPr="008D223B">
          <w:rPr>
            <w:rStyle w:val="Hyperlink"/>
          </w:rPr>
          <w:t>template</w:t>
        </w:r>
      </w:hyperlink>
      <w:r w:rsidRPr="00FE3BA3">
        <w:t>.</w:t>
      </w:r>
      <w:r w:rsidR="00AA312D" w:rsidRPr="00FE3BA3">
        <w:t xml:space="preserve"> This is not mandatory for providers to use. However, monthly statement</w:t>
      </w:r>
      <w:r w:rsidR="00C30888">
        <w:t>s</w:t>
      </w:r>
      <w:r w:rsidR="00AA312D" w:rsidRPr="00FE3BA3">
        <w:t xml:space="preserve"> should make sense</w:t>
      </w:r>
      <w:r w:rsidR="00C30888">
        <w:t xml:space="preserve"> to care recipients</w:t>
      </w:r>
      <w:r w:rsidR="00AA312D" w:rsidRPr="00FE3BA3">
        <w:t xml:space="preserve">. </w:t>
      </w:r>
      <w:r w:rsidR="00FC48BC" w:rsidRPr="00FE3BA3">
        <w:t xml:space="preserve">The Program has issued some </w:t>
      </w:r>
      <w:hyperlink r:id="rId41" w:history="1">
        <w:r w:rsidR="00FC48BC" w:rsidRPr="008D223B">
          <w:rPr>
            <w:rStyle w:val="Hyperlink"/>
          </w:rPr>
          <w:t xml:space="preserve">consumer guidance to assist </w:t>
        </w:r>
        <w:r w:rsidR="00C30888" w:rsidRPr="008D223B">
          <w:rPr>
            <w:rStyle w:val="Hyperlink"/>
          </w:rPr>
          <w:t>care recipients</w:t>
        </w:r>
      </w:hyperlink>
      <w:r w:rsidR="00FC48BC" w:rsidRPr="00FE3BA3">
        <w:t>.</w:t>
      </w:r>
    </w:p>
    <w:p w14:paraId="64377001" w14:textId="77777777" w:rsidR="00A1180A" w:rsidRDefault="00086778" w:rsidP="008D223B">
      <w:pPr>
        <w:pStyle w:val="ListBullet"/>
      </w:pPr>
      <w:r w:rsidRPr="00FE3BA3">
        <w:t>Regardless of what template provider</w:t>
      </w:r>
      <w:r w:rsidR="00C30888">
        <w:t>s</w:t>
      </w:r>
      <w:r w:rsidRPr="00FE3BA3">
        <w:t xml:space="preserve"> </w:t>
      </w:r>
      <w:r w:rsidR="00FC012D" w:rsidRPr="00FE3BA3">
        <w:t>use</w:t>
      </w:r>
      <w:r w:rsidR="00AA312D" w:rsidRPr="00FE3BA3">
        <w:t xml:space="preserve">, there are some long-standing requirements on providers in relation to monthly statements – for example, </w:t>
      </w:r>
      <w:r w:rsidR="00573A5E" w:rsidRPr="00FE3BA3">
        <w:t>monthly</w:t>
      </w:r>
      <w:r w:rsidRPr="00FE3BA3">
        <w:t xml:space="preserve"> statement</w:t>
      </w:r>
      <w:r w:rsidR="00C30888">
        <w:t>s</w:t>
      </w:r>
      <w:r w:rsidRPr="00FE3BA3">
        <w:t xml:space="preserve"> need to list the details and cost of each service and item so </w:t>
      </w:r>
      <w:r w:rsidR="00C30888">
        <w:t>care recipients</w:t>
      </w:r>
      <w:r w:rsidRPr="00FE3BA3">
        <w:t xml:space="preserve"> can review if Package funds are being used in the best way possible and in accordance with the </w:t>
      </w:r>
      <w:r w:rsidR="00573A5E" w:rsidRPr="00FE3BA3">
        <w:t>HCP P</w:t>
      </w:r>
      <w:r w:rsidRPr="00FE3BA3">
        <w:t>rogram rules.</w:t>
      </w:r>
      <w:r w:rsidR="008246B9" w:rsidRPr="00FE3BA3">
        <w:t xml:space="preserve"> </w:t>
      </w:r>
    </w:p>
    <w:p w14:paraId="0EA3DD14" w14:textId="56D27DF8" w:rsidR="000B4037" w:rsidRPr="00951DC6" w:rsidRDefault="009F3B63" w:rsidP="006F397A">
      <w:pPr>
        <w:rPr>
          <w:i/>
        </w:rPr>
      </w:pPr>
      <w:r w:rsidRPr="00951DC6">
        <w:rPr>
          <w:i/>
        </w:rPr>
        <w:t>There may be t</w:t>
      </w:r>
      <w:r w:rsidR="000B4037" w:rsidRPr="00951DC6">
        <w:rPr>
          <w:i/>
        </w:rPr>
        <w:t>hird-party sourcing and invoice processing charges</w:t>
      </w:r>
      <w:r w:rsidR="00F0217B" w:rsidRPr="00951DC6">
        <w:rPr>
          <w:i/>
        </w:rPr>
        <w:t xml:space="preserve"> where </w:t>
      </w:r>
      <w:r w:rsidR="00C30888" w:rsidRPr="00951DC6">
        <w:rPr>
          <w:i/>
        </w:rPr>
        <w:t>care recipients</w:t>
      </w:r>
      <w:r w:rsidR="00F0217B" w:rsidRPr="00951DC6">
        <w:rPr>
          <w:i/>
        </w:rPr>
        <w:t xml:space="preserve"> have a preferred provider that </w:t>
      </w:r>
      <w:r w:rsidR="00C30888" w:rsidRPr="00951DC6">
        <w:rPr>
          <w:i/>
        </w:rPr>
        <w:t>they</w:t>
      </w:r>
      <w:r w:rsidR="00F0217B" w:rsidRPr="00951DC6">
        <w:rPr>
          <w:i/>
        </w:rPr>
        <w:t xml:space="preserve"> want </w:t>
      </w:r>
      <w:r w:rsidR="00C30888" w:rsidRPr="00951DC6">
        <w:rPr>
          <w:i/>
        </w:rPr>
        <w:t xml:space="preserve">their </w:t>
      </w:r>
      <w:r w:rsidR="00F0217B" w:rsidRPr="00951DC6">
        <w:rPr>
          <w:i/>
        </w:rPr>
        <w:t xml:space="preserve">HCP </w:t>
      </w:r>
      <w:r w:rsidR="00072625">
        <w:rPr>
          <w:i/>
        </w:rPr>
        <w:t>p</w:t>
      </w:r>
      <w:r w:rsidR="00072625" w:rsidRPr="00951DC6">
        <w:rPr>
          <w:i/>
        </w:rPr>
        <w:t xml:space="preserve">rovider </w:t>
      </w:r>
      <w:r w:rsidR="00F0217B" w:rsidRPr="00951DC6">
        <w:rPr>
          <w:i/>
        </w:rPr>
        <w:t xml:space="preserve">to use on </w:t>
      </w:r>
      <w:r w:rsidR="00C30888" w:rsidRPr="00951DC6">
        <w:rPr>
          <w:i/>
        </w:rPr>
        <w:t>their</w:t>
      </w:r>
      <w:r w:rsidR="00F0217B" w:rsidRPr="00951DC6">
        <w:rPr>
          <w:i/>
        </w:rPr>
        <w:t xml:space="preserve"> behalf</w:t>
      </w:r>
    </w:p>
    <w:p w14:paraId="0B5D7D0C" w14:textId="77777777" w:rsidR="00A1180A" w:rsidRDefault="00452C2A" w:rsidP="008D223B">
      <w:pPr>
        <w:pStyle w:val="ListBullet"/>
      </w:pPr>
      <w:r>
        <w:t>Care recipients should t</w:t>
      </w:r>
      <w:r w:rsidR="00F0217B" w:rsidRPr="00FE3BA3">
        <w:t xml:space="preserve">ake time to understand the methodology for such charges when signing </w:t>
      </w:r>
      <w:r>
        <w:t>their</w:t>
      </w:r>
      <w:r w:rsidR="00F0217B" w:rsidRPr="00FE3BA3">
        <w:t xml:space="preserve"> HCP </w:t>
      </w:r>
      <w:r w:rsidR="00E57FB7">
        <w:t xml:space="preserve">Home Care </w:t>
      </w:r>
      <w:r w:rsidR="00F0217B" w:rsidRPr="00FE3BA3">
        <w:t xml:space="preserve">Agreement. </w:t>
      </w:r>
      <w:r w:rsidR="00DC553E" w:rsidRPr="00FE3BA3">
        <w:t xml:space="preserve">While a 10% surcharge on $100 </w:t>
      </w:r>
      <w:r w:rsidR="00104221" w:rsidRPr="00FE3BA3">
        <w:t>may seem</w:t>
      </w:r>
      <w:r w:rsidR="00DC553E" w:rsidRPr="00FE3BA3">
        <w:t xml:space="preserve"> reasonable ($10), a 10% surcharge just for processing an invoice for a $1</w:t>
      </w:r>
      <w:r w:rsidR="00E83540">
        <w:t>,</w:t>
      </w:r>
      <w:r w:rsidR="00DC553E" w:rsidRPr="00FE3BA3">
        <w:t xml:space="preserve">000 good ($100) does not seem value for money on face </w:t>
      </w:r>
      <w:r w:rsidR="00BF72A2">
        <w:t>value</w:t>
      </w:r>
      <w:r w:rsidR="00D62E45" w:rsidRPr="00FE3BA3">
        <w:t xml:space="preserve">, particularly if the third-party provider </w:t>
      </w:r>
      <w:r w:rsidR="007A7A1E">
        <w:t xml:space="preserve">preferred by the </w:t>
      </w:r>
      <w:r w:rsidR="00C30888">
        <w:t>care recipient</w:t>
      </w:r>
      <w:r w:rsidR="00D62E45" w:rsidRPr="00FE3BA3">
        <w:t xml:space="preserve"> has been </w:t>
      </w:r>
      <w:r w:rsidR="00A86E3E">
        <w:t>previous</w:t>
      </w:r>
      <w:r w:rsidR="00E57FB7">
        <w:t>ly</w:t>
      </w:r>
      <w:r w:rsidR="00A86E3E">
        <w:t xml:space="preserve"> </w:t>
      </w:r>
      <w:r w:rsidR="00D62E45" w:rsidRPr="00FE3BA3">
        <w:t xml:space="preserve">used </w:t>
      </w:r>
      <w:r w:rsidR="00884E0B">
        <w:t>through</w:t>
      </w:r>
      <w:r w:rsidR="008C5F2A">
        <w:t xml:space="preserve"> </w:t>
      </w:r>
      <w:r w:rsidR="00C30888">
        <w:t>the</w:t>
      </w:r>
      <w:r w:rsidR="00D62E45" w:rsidRPr="00FE3BA3">
        <w:t xml:space="preserve"> </w:t>
      </w:r>
      <w:r w:rsidR="008C5F2A">
        <w:t xml:space="preserve">current </w:t>
      </w:r>
      <w:r w:rsidR="000E65D5">
        <w:t xml:space="preserve">HCP </w:t>
      </w:r>
      <w:r w:rsidR="008C5F2A">
        <w:t>provider</w:t>
      </w:r>
      <w:r w:rsidR="00DC553E" w:rsidRPr="00FE3BA3">
        <w:t xml:space="preserve">. </w:t>
      </w:r>
    </w:p>
    <w:p w14:paraId="64699316" w14:textId="3DD0B932" w:rsidR="00F0217B" w:rsidRPr="00951DC6" w:rsidRDefault="00F0217B" w:rsidP="00964002">
      <w:r w:rsidRPr="00951DC6">
        <w:rPr>
          <w:i/>
        </w:rPr>
        <w:t xml:space="preserve">Staff travel to get to </w:t>
      </w:r>
      <w:r w:rsidR="005F387C" w:rsidRPr="00951DC6">
        <w:rPr>
          <w:i/>
        </w:rPr>
        <w:t>a care recipient’s</w:t>
      </w:r>
      <w:r w:rsidRPr="00951DC6">
        <w:rPr>
          <w:i/>
        </w:rPr>
        <w:t xml:space="preserve"> HCP address</w:t>
      </w:r>
      <w:r w:rsidRPr="00951DC6">
        <w:t xml:space="preserve"> </w:t>
      </w:r>
    </w:p>
    <w:p w14:paraId="3CE2B81D" w14:textId="4F055BCE" w:rsidR="00F0217B" w:rsidRPr="00FE3BA3" w:rsidRDefault="00F0217B" w:rsidP="008D223B">
      <w:pPr>
        <w:pStyle w:val="ListBullet"/>
      </w:pPr>
      <w:r w:rsidRPr="00FE3BA3">
        <w:t xml:space="preserve">Staff travelling to </w:t>
      </w:r>
      <w:r w:rsidR="00C30888">
        <w:t>a care recipient’s</w:t>
      </w:r>
      <w:r w:rsidRPr="00FE3BA3">
        <w:t xml:space="preserve"> HCP residence</w:t>
      </w:r>
      <w:r w:rsidR="00A97BB5" w:rsidRPr="00FE3BA3">
        <w:t xml:space="preserve"> without </w:t>
      </w:r>
      <w:r w:rsidR="00C30888">
        <w:t>them</w:t>
      </w:r>
      <w:r w:rsidRPr="00FE3BA3">
        <w:t xml:space="preserve"> is considered an indirect charge. </w:t>
      </w:r>
    </w:p>
    <w:p w14:paraId="4B8AE4F3" w14:textId="77777777" w:rsidR="00A1180A" w:rsidRDefault="004F24A7" w:rsidP="008D223B">
      <w:pPr>
        <w:pStyle w:val="ListBullet"/>
      </w:pPr>
      <w:r w:rsidRPr="00B848E4">
        <w:t xml:space="preserve">If unclear from </w:t>
      </w:r>
      <w:r w:rsidR="00C30888">
        <w:t>care recipient’s</w:t>
      </w:r>
      <w:r w:rsidRPr="00B848E4">
        <w:t xml:space="preserve"> HCP </w:t>
      </w:r>
      <w:r w:rsidR="00E57FB7">
        <w:t>Home Care A</w:t>
      </w:r>
      <w:r w:rsidRPr="00B848E4">
        <w:t xml:space="preserve">greement, </w:t>
      </w:r>
      <w:r w:rsidR="00C30888">
        <w:t xml:space="preserve">care recipients should </w:t>
      </w:r>
      <w:r w:rsidRPr="00B848E4">
        <w:t>ask</w:t>
      </w:r>
      <w:r w:rsidR="00DC553E" w:rsidRPr="00FE3BA3">
        <w:t xml:space="preserve"> how this is calculated</w:t>
      </w:r>
      <w:r w:rsidR="007F7E0A">
        <w:t xml:space="preserve"> – do </w:t>
      </w:r>
      <w:r w:rsidR="00C30888">
        <w:t>they</w:t>
      </w:r>
      <w:r w:rsidR="007F7E0A">
        <w:t xml:space="preserve"> have to pay for the round-trip (or only one way), do </w:t>
      </w:r>
      <w:r w:rsidR="00C30888">
        <w:t>they</w:t>
      </w:r>
      <w:r w:rsidR="007F7E0A">
        <w:t xml:space="preserve"> have to pay more </w:t>
      </w:r>
      <w:r w:rsidR="00E5115D">
        <w:t xml:space="preserve">depending on what type of worker is travelling to see </w:t>
      </w:r>
      <w:r w:rsidR="00C30888">
        <w:t>them</w:t>
      </w:r>
      <w:r w:rsidR="00DA3623">
        <w:t>,</w:t>
      </w:r>
      <w:r w:rsidR="007F7E0A">
        <w:t xml:space="preserve"> and do </w:t>
      </w:r>
      <w:r w:rsidR="00C30888">
        <w:t>they</w:t>
      </w:r>
      <w:r w:rsidR="007F7E0A">
        <w:t xml:space="preserve"> have to pay for every kilometre travelled or only after a particular distance from the city centre or city outskirts.</w:t>
      </w:r>
    </w:p>
    <w:p w14:paraId="38AFE100" w14:textId="1C92EC96" w:rsidR="002F6D5F" w:rsidRPr="00951DC6" w:rsidRDefault="002F6D5F" w:rsidP="00B61F47">
      <w:pPr>
        <w:rPr>
          <w:i/>
        </w:rPr>
      </w:pPr>
      <w:r w:rsidRPr="00951DC6">
        <w:rPr>
          <w:i/>
        </w:rPr>
        <w:t>Do</w:t>
      </w:r>
      <w:r w:rsidR="005F387C" w:rsidRPr="00951DC6">
        <w:rPr>
          <w:i/>
        </w:rPr>
        <w:t xml:space="preserve"> </w:t>
      </w:r>
      <w:r w:rsidRPr="00951DC6">
        <w:rPr>
          <w:i/>
        </w:rPr>
        <w:t>provider</w:t>
      </w:r>
      <w:r w:rsidR="005F387C" w:rsidRPr="00951DC6">
        <w:rPr>
          <w:i/>
        </w:rPr>
        <w:t>s</w:t>
      </w:r>
      <w:r w:rsidRPr="00951DC6">
        <w:rPr>
          <w:i/>
        </w:rPr>
        <w:t xml:space="preserve"> claim to charge $0 or N/A for care management? </w:t>
      </w:r>
    </w:p>
    <w:p w14:paraId="0ACB3F7B" w14:textId="5E345150" w:rsidR="00041F9C" w:rsidRDefault="00EC26AD" w:rsidP="008D223B">
      <w:pPr>
        <w:pStyle w:val="ListBullet"/>
      </w:pPr>
      <w:r w:rsidRPr="00FE3BA3">
        <w:t>If</w:t>
      </w:r>
      <w:r w:rsidR="002F6D5F" w:rsidRPr="00FE3BA3">
        <w:t xml:space="preserve"> </w:t>
      </w:r>
      <w:r w:rsidR="00C30888">
        <w:t xml:space="preserve">a care recipient is </w:t>
      </w:r>
      <w:r w:rsidR="002F6D5F" w:rsidRPr="00FE3BA3">
        <w:t xml:space="preserve">self-managed, </w:t>
      </w:r>
      <w:r w:rsidRPr="00FE3BA3">
        <w:t xml:space="preserve">or </w:t>
      </w:r>
      <w:r w:rsidR="00C30888">
        <w:t>they</w:t>
      </w:r>
      <w:r w:rsidRPr="00FE3BA3">
        <w:t xml:space="preserve"> are on a lower care package (as some providers have various tiers of care management support available) </w:t>
      </w:r>
      <w:r w:rsidR="002F6D5F" w:rsidRPr="00FE3BA3">
        <w:t xml:space="preserve">and </w:t>
      </w:r>
      <w:r w:rsidR="00C30888">
        <w:t>their</w:t>
      </w:r>
      <w:r w:rsidR="002F6D5F" w:rsidRPr="00FE3BA3">
        <w:t xml:space="preserve"> provider chooses not to charge </w:t>
      </w:r>
      <w:r w:rsidR="00C30888">
        <w:t>them</w:t>
      </w:r>
      <w:r w:rsidR="002F6D5F" w:rsidRPr="00FE3BA3">
        <w:t xml:space="preserve"> for any care management, </w:t>
      </w:r>
      <w:r w:rsidR="00C30888">
        <w:t>they</w:t>
      </w:r>
      <w:r w:rsidR="00236A66">
        <w:t xml:space="preserve"> are still entitled to </w:t>
      </w:r>
      <w:r w:rsidR="002F6D5F" w:rsidRPr="00FE3BA3">
        <w:t xml:space="preserve">care management support. </w:t>
      </w:r>
    </w:p>
    <w:p w14:paraId="403CA1EB" w14:textId="77777777" w:rsidR="00A1180A" w:rsidRDefault="00E61CBA" w:rsidP="008D223B">
      <w:pPr>
        <w:pStyle w:val="ListBullet"/>
      </w:pPr>
      <w:r>
        <w:lastRenderedPageBreak/>
        <w:t xml:space="preserve">If </w:t>
      </w:r>
      <w:r w:rsidR="00C30888">
        <w:t>a care recipient</w:t>
      </w:r>
      <w:r>
        <w:t xml:space="preserve"> require</w:t>
      </w:r>
      <w:r w:rsidR="00C30888">
        <w:t>s</w:t>
      </w:r>
      <w:r>
        <w:t xml:space="preserve"> care management and </w:t>
      </w:r>
      <w:r w:rsidR="00C30888">
        <w:t>their</w:t>
      </w:r>
      <w:r>
        <w:t xml:space="preserve"> </w:t>
      </w:r>
      <w:r w:rsidR="00072625">
        <w:t>H</w:t>
      </w:r>
      <w:r>
        <w:t xml:space="preserve">ome </w:t>
      </w:r>
      <w:r w:rsidR="00072625">
        <w:t>C</w:t>
      </w:r>
      <w:r>
        <w:t xml:space="preserve">are </w:t>
      </w:r>
      <w:r w:rsidR="00072625">
        <w:t>A</w:t>
      </w:r>
      <w:r>
        <w:t xml:space="preserve">greement lists the charge for it as </w:t>
      </w:r>
      <w:r w:rsidR="000A4E23">
        <w:t>$0,</w:t>
      </w:r>
      <w:r>
        <w:t xml:space="preserve"> </w:t>
      </w:r>
      <w:r w:rsidR="00C30888">
        <w:t>they</w:t>
      </w:r>
      <w:r>
        <w:t xml:space="preserve"> cannot be charged for care management.</w:t>
      </w:r>
    </w:p>
    <w:p w14:paraId="6835ABB1" w14:textId="7253D393" w:rsidR="00D448EB" w:rsidRPr="00951DC6" w:rsidRDefault="00D448EB" w:rsidP="00EE2541">
      <w:pPr>
        <w:rPr>
          <w:i/>
          <w:sz w:val="20"/>
        </w:rPr>
      </w:pPr>
      <w:r w:rsidRPr="00951DC6">
        <w:rPr>
          <w:i/>
        </w:rPr>
        <w:t>Exclu</w:t>
      </w:r>
      <w:r w:rsidR="00740898" w:rsidRPr="00951DC6">
        <w:rPr>
          <w:i/>
        </w:rPr>
        <w:t>ded</w:t>
      </w:r>
      <w:r w:rsidRPr="00951DC6">
        <w:rPr>
          <w:i/>
        </w:rPr>
        <w:t>/</w:t>
      </w:r>
      <w:r w:rsidR="00A90039">
        <w:rPr>
          <w:i/>
        </w:rPr>
        <w:t>i</w:t>
      </w:r>
      <w:r w:rsidRPr="00951DC6">
        <w:rPr>
          <w:i/>
        </w:rPr>
        <w:t>nclu</w:t>
      </w:r>
      <w:r w:rsidR="00740898" w:rsidRPr="00951DC6">
        <w:rPr>
          <w:i/>
        </w:rPr>
        <w:t>ded items</w:t>
      </w:r>
    </w:p>
    <w:p w14:paraId="1488B02E" w14:textId="58592B38" w:rsidR="00E477BC" w:rsidRPr="00EB4638" w:rsidRDefault="00E477BC" w:rsidP="008D223B">
      <w:pPr>
        <w:pStyle w:val="ListBullet"/>
      </w:pPr>
      <w:r w:rsidRPr="00EB4638">
        <w:t xml:space="preserve">Providers are legally obliged to ensure that HCP funds are spent for purposes they are approved for by the Government. HCP funds are not the same as </w:t>
      </w:r>
      <w:r w:rsidR="00C30888">
        <w:t>a care recipient’s</w:t>
      </w:r>
      <w:r w:rsidRPr="00EB4638">
        <w:t xml:space="preserve"> pension and </w:t>
      </w:r>
      <w:r w:rsidR="00740898" w:rsidRPr="00EB4638">
        <w:t>are</w:t>
      </w:r>
      <w:r w:rsidRPr="00EB4638">
        <w:t xml:space="preserve"> not for living expenses. </w:t>
      </w:r>
      <w:r w:rsidR="00995AF3" w:rsidRPr="00EB4638">
        <w:t xml:space="preserve">Further details are in the </w:t>
      </w:r>
      <w:r w:rsidR="00995AF3" w:rsidRPr="00951DC6">
        <w:t xml:space="preserve">Home Care Packages Program </w:t>
      </w:r>
      <w:hyperlink r:id="rId42" w:history="1">
        <w:r w:rsidR="00995AF3" w:rsidRPr="00951DC6">
          <w:t>Operational Manual</w:t>
        </w:r>
      </w:hyperlink>
      <w:r w:rsidR="00995AF3" w:rsidRPr="00EB4638">
        <w:t xml:space="preserve">: A Guide for Home Care Providers or the Home Care Packages Program </w:t>
      </w:r>
      <w:r w:rsidR="00072625">
        <w:t xml:space="preserve">Operational </w:t>
      </w:r>
      <w:r w:rsidR="00995AF3" w:rsidRPr="00EB4638">
        <w:t xml:space="preserve">Manual for </w:t>
      </w:r>
      <w:hyperlink r:id="rId43" w:history="1">
        <w:r w:rsidR="00995AF3" w:rsidRPr="00951DC6">
          <w:t>consumers</w:t>
        </w:r>
      </w:hyperlink>
      <w:r w:rsidR="00995AF3" w:rsidRPr="00EB4638">
        <w:t>.</w:t>
      </w:r>
    </w:p>
    <w:p w14:paraId="6FC7BC71" w14:textId="77777777" w:rsidR="00A1180A" w:rsidRDefault="00864A54" w:rsidP="008D223B">
      <w:pPr>
        <w:pStyle w:val="ListBullet"/>
      </w:pPr>
      <w:r w:rsidRPr="00EB4638">
        <w:t>Excluded items</w:t>
      </w:r>
      <w:r w:rsidR="00F9780F" w:rsidRPr="00EB4638">
        <w:t xml:space="preserve"> or</w:t>
      </w:r>
      <w:r w:rsidRPr="00EB4638">
        <w:t xml:space="preserve"> contingency funds are not acceptable expenditure under </w:t>
      </w:r>
      <w:proofErr w:type="gramStart"/>
      <w:r w:rsidRPr="00EB4638">
        <w:t>a</w:t>
      </w:r>
      <w:proofErr w:type="gramEnd"/>
      <w:r w:rsidRPr="00EB4638">
        <w:t xml:space="preserve"> HCP.</w:t>
      </w:r>
    </w:p>
    <w:p w14:paraId="36289A7A" w14:textId="711C8FDB" w:rsidR="00D97912" w:rsidRPr="00951DC6" w:rsidRDefault="005F387C" w:rsidP="00D97912">
      <w:pPr>
        <w:rPr>
          <w:i/>
        </w:rPr>
      </w:pPr>
      <w:r w:rsidRPr="00951DC6">
        <w:rPr>
          <w:i/>
        </w:rPr>
        <w:t xml:space="preserve">Care recipients should </w:t>
      </w:r>
      <w:r w:rsidR="00D97912" w:rsidRPr="00951DC6">
        <w:rPr>
          <w:i/>
        </w:rPr>
        <w:t xml:space="preserve">not be afraid to complain if dissatisfied with the </w:t>
      </w:r>
      <w:r w:rsidR="00601B06" w:rsidRPr="00951DC6">
        <w:rPr>
          <w:i/>
        </w:rPr>
        <w:t xml:space="preserve">lack </w:t>
      </w:r>
      <w:r w:rsidR="00D97912" w:rsidRPr="00951DC6">
        <w:rPr>
          <w:i/>
        </w:rPr>
        <w:t xml:space="preserve">of pricing transparency of </w:t>
      </w:r>
      <w:r w:rsidRPr="00951DC6">
        <w:rPr>
          <w:i/>
        </w:rPr>
        <w:t>their</w:t>
      </w:r>
      <w:r w:rsidR="00D97912" w:rsidRPr="00951DC6">
        <w:rPr>
          <w:i/>
        </w:rPr>
        <w:t xml:space="preserve"> current HCP charges</w:t>
      </w:r>
    </w:p>
    <w:p w14:paraId="1EA6C22E" w14:textId="4C1B94B4" w:rsidR="008A1BC9" w:rsidRPr="00FE3BA3" w:rsidRDefault="005F387C" w:rsidP="008D223B">
      <w:pPr>
        <w:pStyle w:val="ListBullet"/>
      </w:pPr>
      <w:r>
        <w:t>Care recipients</w:t>
      </w:r>
      <w:r w:rsidR="008A1BC9" w:rsidRPr="00FE3BA3">
        <w:t xml:space="preserve"> should complain to </w:t>
      </w:r>
      <w:r>
        <w:t>their</w:t>
      </w:r>
      <w:r w:rsidR="008A1BC9" w:rsidRPr="00FE3BA3">
        <w:t xml:space="preserve"> provider</w:t>
      </w:r>
      <w:r w:rsidR="002C59FD">
        <w:t xml:space="preserve"> first</w:t>
      </w:r>
      <w:r w:rsidR="008A1BC9" w:rsidRPr="00FE3BA3">
        <w:t xml:space="preserve"> (every HCP </w:t>
      </w:r>
      <w:r w:rsidR="00072625">
        <w:t>p</w:t>
      </w:r>
      <w:r w:rsidR="008A1BC9" w:rsidRPr="00FE3BA3">
        <w:t xml:space="preserve">rovider must have a </w:t>
      </w:r>
      <w:proofErr w:type="gramStart"/>
      <w:r w:rsidR="008A1BC9" w:rsidRPr="00FE3BA3">
        <w:t>complaints</w:t>
      </w:r>
      <w:proofErr w:type="gramEnd"/>
      <w:r w:rsidR="008A1BC9" w:rsidRPr="00FE3BA3">
        <w:t xml:space="preserve"> handling mechanism in place).</w:t>
      </w:r>
    </w:p>
    <w:p w14:paraId="7022F235" w14:textId="5D0589E8" w:rsidR="00013CE8" w:rsidRDefault="008A1BC9" w:rsidP="008D223B">
      <w:pPr>
        <w:pStyle w:val="ListBullet"/>
      </w:pPr>
      <w:r w:rsidRPr="00FE3BA3">
        <w:t xml:space="preserve">Failing that, </w:t>
      </w:r>
      <w:r w:rsidR="005F387C">
        <w:t>care recipients</w:t>
      </w:r>
      <w:r w:rsidR="00DF2E05" w:rsidRPr="00FE3BA3">
        <w:rPr>
          <w:rStyle w:val="FootnoteReference"/>
        </w:rPr>
        <w:footnoteReference w:id="31"/>
      </w:r>
      <w:r w:rsidR="00FD33C5" w:rsidRPr="00FE3BA3">
        <w:t xml:space="preserve"> can complain to the Australian Competition and Consumer Commission</w:t>
      </w:r>
      <w:r w:rsidR="00013CE8">
        <w:t>.</w:t>
      </w:r>
    </w:p>
    <w:p w14:paraId="654774FE" w14:textId="7B824D99" w:rsidR="00FD33C5" w:rsidRDefault="00013CE8" w:rsidP="008D223B">
      <w:pPr>
        <w:pStyle w:val="ListBullet"/>
      </w:pPr>
      <w:r>
        <w:t>T</w:t>
      </w:r>
      <w:r w:rsidR="00FD33C5" w:rsidRPr="00FE3BA3">
        <w:t>he Aged Care Quality and Safety Commission</w:t>
      </w:r>
      <w:r w:rsidR="0091390F" w:rsidRPr="00FE3BA3">
        <w:rPr>
          <w:rStyle w:val="FootnoteReference"/>
        </w:rPr>
        <w:footnoteReference w:id="32"/>
      </w:r>
      <w:r>
        <w:t xml:space="preserve"> can receive</w:t>
      </w:r>
      <w:r w:rsidR="00787DF9">
        <w:t xml:space="preserve"> </w:t>
      </w:r>
      <w:r>
        <w:t xml:space="preserve">complaints about </w:t>
      </w:r>
      <w:r w:rsidR="005F387C">
        <w:t>a care recipient’s</w:t>
      </w:r>
      <w:r>
        <w:t xml:space="preserve"> HCP provider</w:t>
      </w:r>
      <w:r w:rsidR="00FD33C5" w:rsidRPr="00FE3BA3">
        <w:t>.</w:t>
      </w:r>
      <w:r>
        <w:t xml:space="preserve"> </w:t>
      </w:r>
    </w:p>
    <w:p w14:paraId="26076B39" w14:textId="1582B89B" w:rsidR="00013CE8" w:rsidRPr="00685AD4" w:rsidRDefault="005F387C" w:rsidP="008D223B">
      <w:pPr>
        <w:pStyle w:val="ListBullet"/>
        <w:tabs>
          <w:tab w:val="clear" w:pos="360"/>
          <w:tab w:val="num" w:pos="720"/>
        </w:tabs>
        <w:ind w:left="720"/>
      </w:pPr>
      <w:r w:rsidRPr="00685AD4">
        <w:t xml:space="preserve">Complaints can be made by </w:t>
      </w:r>
      <w:r w:rsidR="00787DF9" w:rsidRPr="00685AD4">
        <w:t>call</w:t>
      </w:r>
      <w:r w:rsidRPr="00685AD4">
        <w:t>ing the Aged Care Quality and Safety Commission on</w:t>
      </w:r>
      <w:r w:rsidR="00787DF9" w:rsidRPr="00685AD4">
        <w:t xml:space="preserve"> </w:t>
      </w:r>
      <w:hyperlink r:id="rId44" w:history="1">
        <w:r w:rsidR="00787DF9" w:rsidRPr="00685AD4">
          <w:rPr>
            <w:rStyle w:val="Hyperlink"/>
            <w:color w:val="00577D"/>
            <w:shd w:val="clear" w:color="auto" w:fill="FFFFFF"/>
          </w:rPr>
          <w:t>1800 951 822</w:t>
        </w:r>
      </w:hyperlink>
      <w:r w:rsidR="00787DF9" w:rsidRPr="00685AD4">
        <w:t xml:space="preserve"> or in</w:t>
      </w:r>
      <w:r w:rsidR="002D62E3">
        <w:t xml:space="preserve"> writing.</w:t>
      </w:r>
    </w:p>
    <w:p w14:paraId="2BF43ED1" w14:textId="05AFBEA1" w:rsidR="009B6E61" w:rsidRPr="00FE3BA3" w:rsidRDefault="005F387C" w:rsidP="008D223B">
      <w:pPr>
        <w:pStyle w:val="ListBullet"/>
      </w:pPr>
      <w:r>
        <w:t>Care recipients</w:t>
      </w:r>
      <w:r w:rsidR="002C59FD" w:rsidRPr="00FE3BA3">
        <w:t xml:space="preserve"> do not need to be afraid of adverse </w:t>
      </w:r>
      <w:r w:rsidR="002C59FD">
        <w:t>actions</w:t>
      </w:r>
      <w:r w:rsidR="002C59FD" w:rsidRPr="00FE3BA3">
        <w:t xml:space="preserve"> from the provider </w:t>
      </w:r>
      <w:r w:rsidR="002C59FD">
        <w:t xml:space="preserve">if </w:t>
      </w:r>
      <w:r>
        <w:t>they</w:t>
      </w:r>
      <w:r w:rsidR="002C59FD">
        <w:t xml:space="preserve"> complain </w:t>
      </w:r>
      <w:r w:rsidR="002C59FD" w:rsidRPr="00FE3BA3">
        <w:t xml:space="preserve">– providers are legally obliged to deliver Home Care Services. </w:t>
      </w:r>
    </w:p>
    <w:p w14:paraId="61E71730" w14:textId="77777777" w:rsidR="00A1180A" w:rsidRDefault="005F387C" w:rsidP="008D223B">
      <w:pPr>
        <w:pStyle w:val="ListBullet"/>
      </w:pPr>
      <w:r>
        <w:t>P</w:t>
      </w:r>
      <w:r w:rsidR="009B6E61">
        <w:t>rovider</w:t>
      </w:r>
      <w:r>
        <w:t>s</w:t>
      </w:r>
      <w:r w:rsidR="009B6E61">
        <w:t xml:space="preserve"> cannot charge extra for handling complaint</w:t>
      </w:r>
      <w:r w:rsidR="00452C2A">
        <w:t>s</w:t>
      </w:r>
      <w:r w:rsidR="009B6E61">
        <w:t xml:space="preserve">. </w:t>
      </w:r>
    </w:p>
    <w:p w14:paraId="4383CBB0" w14:textId="5C952CDE" w:rsidR="00871DF0" w:rsidRPr="00773158" w:rsidRDefault="00871DF0" w:rsidP="00871DF0">
      <w:r w:rsidRPr="00773158">
        <w:t xml:space="preserve">If </w:t>
      </w:r>
      <w:r w:rsidR="005F387C">
        <w:t>a care recipient is</w:t>
      </w:r>
      <w:r w:rsidRPr="00773158">
        <w:t xml:space="preserve"> new to </w:t>
      </w:r>
      <w:proofErr w:type="gramStart"/>
      <w:r w:rsidRPr="00773158">
        <w:t>a</w:t>
      </w:r>
      <w:proofErr w:type="gramEnd"/>
      <w:r w:rsidRPr="00773158">
        <w:t xml:space="preserve"> HCP and still choosing a provider, the Review team recommends </w:t>
      </w:r>
      <w:r w:rsidR="005F387C">
        <w:t>they</w:t>
      </w:r>
      <w:r w:rsidRPr="00773158">
        <w:t>:</w:t>
      </w:r>
    </w:p>
    <w:p w14:paraId="322A0644" w14:textId="2BFEB19C" w:rsidR="00871DF0" w:rsidRPr="008D223B" w:rsidRDefault="00871DF0" w:rsidP="008D223B">
      <w:pPr>
        <w:pStyle w:val="ListBullet"/>
      </w:pPr>
      <w:r w:rsidRPr="008D223B">
        <w:t xml:space="preserve">Go to the </w:t>
      </w:r>
      <w:hyperlink r:id="rId45" w:history="1">
        <w:r w:rsidRPr="008D223B">
          <w:rPr>
            <w:rStyle w:val="Hyperlink"/>
          </w:rPr>
          <w:t>My Aged Care Website</w:t>
        </w:r>
      </w:hyperlink>
      <w:r w:rsidRPr="008D223B">
        <w:t xml:space="preserve"> and compare providers in </w:t>
      </w:r>
      <w:r w:rsidR="005F387C" w:rsidRPr="008D223B">
        <w:t>their</w:t>
      </w:r>
      <w:r w:rsidRPr="008D223B">
        <w:t xml:space="preserve"> region.</w:t>
      </w:r>
    </w:p>
    <w:p w14:paraId="113F24B0" w14:textId="167C3991" w:rsidR="00871DF0" w:rsidRPr="008D223B" w:rsidRDefault="005F387C" w:rsidP="008D223B">
      <w:pPr>
        <w:pStyle w:val="ListBullet"/>
      </w:pPr>
      <w:r w:rsidRPr="008D223B">
        <w:t>Care recipients</w:t>
      </w:r>
      <w:r w:rsidR="00871DF0" w:rsidRPr="008D223B">
        <w:t xml:space="preserve"> can also compare their prices against the published </w:t>
      </w:r>
      <w:hyperlink r:id="rId46" w:history="1">
        <w:r w:rsidR="00871DF0" w:rsidRPr="008D223B">
          <w:rPr>
            <w:rStyle w:val="Hyperlink"/>
          </w:rPr>
          <w:t>National Median Prices for HCPs</w:t>
        </w:r>
      </w:hyperlink>
      <w:r w:rsidR="00871DF0" w:rsidRPr="008D223B">
        <w:t>.</w:t>
      </w:r>
    </w:p>
    <w:p w14:paraId="63ABBB7E" w14:textId="5D2438AF" w:rsidR="00871DF0" w:rsidRPr="008D223B" w:rsidRDefault="00871DF0" w:rsidP="008D223B">
      <w:pPr>
        <w:pStyle w:val="ListBullet"/>
      </w:pPr>
      <w:r w:rsidRPr="008D223B">
        <w:lastRenderedPageBreak/>
        <w:t>The HCP market is competitive in most areas so</w:t>
      </w:r>
      <w:r w:rsidR="005F387C" w:rsidRPr="008D223B">
        <w:t xml:space="preserve"> care recipients should</w:t>
      </w:r>
      <w:r w:rsidRPr="008D223B">
        <w:t xml:space="preserve"> shop around.</w:t>
      </w:r>
    </w:p>
    <w:p w14:paraId="2DA256FE" w14:textId="014EBC91" w:rsidR="00E2082B" w:rsidRPr="008D223B" w:rsidRDefault="005F387C" w:rsidP="008D223B">
      <w:pPr>
        <w:pStyle w:val="ListBullet"/>
      </w:pPr>
      <w:r w:rsidRPr="008D223B">
        <w:t>Care recipients should s</w:t>
      </w:r>
      <w:r w:rsidR="002E15B2" w:rsidRPr="008D223B">
        <w:t xml:space="preserve">ee what social media </w:t>
      </w:r>
      <w:r w:rsidR="00E2082B" w:rsidRPr="008D223B">
        <w:t xml:space="preserve">HCP </w:t>
      </w:r>
      <w:r w:rsidR="002E15B2" w:rsidRPr="008D223B">
        <w:t xml:space="preserve">consumer groups in </w:t>
      </w:r>
      <w:r w:rsidRPr="008D223B">
        <w:t>their</w:t>
      </w:r>
      <w:r w:rsidR="002E15B2" w:rsidRPr="008D223B">
        <w:t xml:space="preserve"> area have to say about providers.</w:t>
      </w:r>
    </w:p>
    <w:p w14:paraId="7A16328E" w14:textId="01AFBAC7" w:rsidR="00E74751" w:rsidRPr="008D223B" w:rsidRDefault="005F387C" w:rsidP="008D223B">
      <w:pPr>
        <w:pStyle w:val="ListBullet"/>
      </w:pPr>
      <w:r w:rsidRPr="008D223B">
        <w:t>Care recipients</w:t>
      </w:r>
      <w:r w:rsidR="00E74751" w:rsidRPr="008D223B">
        <w:t xml:space="preserve"> can also seek support from the </w:t>
      </w:r>
      <w:hyperlink r:id="rId47" w:history="1">
        <w:r w:rsidR="00E74751" w:rsidRPr="008D223B">
          <w:rPr>
            <w:rStyle w:val="Hyperlink"/>
          </w:rPr>
          <w:t>Older Persons Advocacy Network</w:t>
        </w:r>
      </w:hyperlink>
      <w:r w:rsidR="00E74751" w:rsidRPr="008D223B">
        <w:t xml:space="preserve"> or </w:t>
      </w:r>
      <w:hyperlink r:id="rId48" w:history="1">
        <w:r w:rsidR="00E74751" w:rsidRPr="008D223B">
          <w:rPr>
            <w:rStyle w:val="Hyperlink"/>
          </w:rPr>
          <w:t>aged care system navigators</w:t>
        </w:r>
      </w:hyperlink>
      <w:r w:rsidR="00E74751" w:rsidRPr="008D223B">
        <w:t>.</w:t>
      </w:r>
    </w:p>
    <w:p w14:paraId="1A7FAF00" w14:textId="35B538C2" w:rsidR="00F22D59" w:rsidRPr="00951DC6" w:rsidRDefault="00007C6F" w:rsidP="00951DC6">
      <w:pPr>
        <w:pStyle w:val="Heading1"/>
        <w:numPr>
          <w:ilvl w:val="0"/>
          <w:numId w:val="8"/>
        </w:numPr>
        <w:rPr>
          <w:color w:val="365F91" w:themeColor="accent1" w:themeShade="BF"/>
        </w:rPr>
      </w:pPr>
      <w:bookmarkStart w:id="34" w:name="_Toc111803169"/>
      <w:r w:rsidRPr="00951DC6">
        <w:rPr>
          <w:color w:val="365F91" w:themeColor="accent1" w:themeShade="BF"/>
          <w:sz w:val="32"/>
        </w:rPr>
        <w:t>Conclusion</w:t>
      </w:r>
      <w:bookmarkEnd w:id="34"/>
    </w:p>
    <w:p w14:paraId="131C32B3" w14:textId="3D038157" w:rsidR="00A243C1" w:rsidRDefault="00346CD8" w:rsidP="00F22D59">
      <w:r w:rsidRPr="000E368F">
        <w:t xml:space="preserve">There </w:t>
      </w:r>
      <w:r w:rsidR="00A243C1">
        <w:t xml:space="preserve">is </w:t>
      </w:r>
      <w:r w:rsidRPr="000E368F">
        <w:t xml:space="preserve">public concern about unfair </w:t>
      </w:r>
      <w:r w:rsidR="00D66B56">
        <w:t>‘</w:t>
      </w:r>
      <w:r w:rsidRPr="000E368F">
        <w:t>administrative</w:t>
      </w:r>
      <w:r w:rsidR="00D66B56">
        <w:t>’</w:t>
      </w:r>
      <w:r w:rsidR="00FE7729" w:rsidRPr="00FE7729">
        <w:rPr>
          <w:rStyle w:val="FootnoteReference"/>
        </w:rPr>
        <w:t xml:space="preserve"> </w:t>
      </w:r>
      <w:r w:rsidR="00FE7729" w:rsidRPr="00FE3BA3">
        <w:rPr>
          <w:rStyle w:val="FootnoteReference"/>
        </w:rPr>
        <w:footnoteReference w:id="33"/>
      </w:r>
      <w:r w:rsidRPr="000E368F">
        <w:t xml:space="preserve"> charges </w:t>
      </w:r>
      <w:r w:rsidR="00A243C1">
        <w:t xml:space="preserve">by HCP </w:t>
      </w:r>
      <w:r w:rsidR="00BF72A2">
        <w:t>p</w:t>
      </w:r>
      <w:r w:rsidR="00A243C1">
        <w:t>roviders</w:t>
      </w:r>
      <w:r w:rsidRPr="000E368F">
        <w:t xml:space="preserve">. </w:t>
      </w:r>
      <w:r w:rsidR="00A243C1">
        <w:t>P</w:t>
      </w:r>
      <w:r w:rsidRPr="000E368F">
        <w:t xml:space="preserve">roviders operate in a market, and the Program does not currently set prices. </w:t>
      </w:r>
    </w:p>
    <w:p w14:paraId="12FF6ED5" w14:textId="3D0D2D71" w:rsidR="00A1180A" w:rsidRDefault="00A243C1" w:rsidP="00A243C1">
      <w:r w:rsidRPr="00FE3BA3">
        <w:t xml:space="preserve">Providers are entitled to charge reasonable </w:t>
      </w:r>
      <w:r w:rsidR="00D66B56">
        <w:t>‘</w:t>
      </w:r>
      <w:r w:rsidRPr="00FE3BA3">
        <w:t>administrative</w:t>
      </w:r>
      <w:r w:rsidR="00D66B56">
        <w:t>’</w:t>
      </w:r>
      <w:r w:rsidRPr="00FE3BA3">
        <w:t xml:space="preserve"> charges. As Approved Providers, they need to meet their regulatory obligations and</w:t>
      </w:r>
      <w:r>
        <w:t xml:space="preserve"> provide quality and safe services to HCP</w:t>
      </w:r>
      <w:r w:rsidRPr="00FE3BA3">
        <w:t xml:space="preserve"> care recipients. </w:t>
      </w:r>
      <w:r w:rsidR="005330A6">
        <w:t>It</w:t>
      </w:r>
      <w:r w:rsidRPr="00FE3BA3">
        <w:t xml:space="preserve"> is logical that providers need to cover</w:t>
      </w:r>
      <w:r>
        <w:t xml:space="preserve"> relevant costs</w:t>
      </w:r>
      <w:r w:rsidR="00221D73">
        <w:t xml:space="preserve"> and, where appropriate, run a profitable business</w:t>
      </w:r>
      <w:r w:rsidR="009B6E61">
        <w:t xml:space="preserve"> or make a surplus if operating as a not-for-profit</w:t>
      </w:r>
      <w:r>
        <w:t xml:space="preserve">. While </w:t>
      </w:r>
      <w:r w:rsidR="00E86FD9">
        <w:t xml:space="preserve">the Review team appreciates providers’ </w:t>
      </w:r>
      <w:r>
        <w:t>individual business needs and contexts, providers still need to</w:t>
      </w:r>
      <w:r w:rsidRPr="00FE3BA3">
        <w:t xml:space="preserve"> </w:t>
      </w:r>
      <w:r>
        <w:t xml:space="preserve">ensure that </w:t>
      </w:r>
      <w:r w:rsidR="00B26881">
        <w:t>most of the</w:t>
      </w:r>
      <w:r w:rsidRPr="00FE3BA3">
        <w:t xml:space="preserve"> HCP funds </w:t>
      </w:r>
      <w:r>
        <w:t xml:space="preserve">are </w:t>
      </w:r>
      <w:r w:rsidR="008146C8">
        <w:t>going to</w:t>
      </w:r>
      <w:r w:rsidRPr="00FE3BA3">
        <w:t xml:space="preserve"> direct care and services.</w:t>
      </w:r>
    </w:p>
    <w:p w14:paraId="2C271563" w14:textId="0345FF77" w:rsidR="00A1180A" w:rsidRDefault="00CC150E" w:rsidP="00F22D59">
      <w:r w:rsidRPr="000E368F">
        <w:t>While s</w:t>
      </w:r>
      <w:r w:rsidR="00346CD8" w:rsidRPr="000E368F">
        <w:t>ome program guidance needs clarity and enhancement</w:t>
      </w:r>
      <w:r w:rsidRPr="000E368F">
        <w:t xml:space="preserve">, </w:t>
      </w:r>
      <w:r w:rsidR="00346CD8" w:rsidRPr="000E368F">
        <w:t xml:space="preserve">the HCP Program’s </w:t>
      </w:r>
      <w:proofErr w:type="gramStart"/>
      <w:r w:rsidR="005E0167" w:rsidRPr="000E368F">
        <w:t>publicly-known</w:t>
      </w:r>
      <w:proofErr w:type="gramEnd"/>
      <w:r w:rsidR="005E0167" w:rsidRPr="000E368F">
        <w:t>,</w:t>
      </w:r>
      <w:r w:rsidR="00346CD8" w:rsidRPr="000E368F">
        <w:t xml:space="preserve"> core underpinning philosophy, </w:t>
      </w:r>
      <w:r w:rsidR="00D66B56">
        <w:t>‘</w:t>
      </w:r>
      <w:r w:rsidR="007331C8">
        <w:t>C</w:t>
      </w:r>
      <w:r w:rsidR="007331C8" w:rsidRPr="000E368F">
        <w:t xml:space="preserve">onsumer </w:t>
      </w:r>
      <w:r w:rsidR="007331C8">
        <w:t>D</w:t>
      </w:r>
      <w:r w:rsidR="007331C8" w:rsidRPr="000E368F">
        <w:t xml:space="preserve">irected </w:t>
      </w:r>
      <w:r w:rsidR="007331C8">
        <w:t>C</w:t>
      </w:r>
      <w:r w:rsidR="007331C8" w:rsidRPr="000E368F">
        <w:t>are</w:t>
      </w:r>
      <w:r w:rsidR="00D66B56">
        <w:t>’</w:t>
      </w:r>
      <w:r w:rsidR="006D4A77">
        <w:t>,</w:t>
      </w:r>
      <w:r w:rsidR="00346CD8" w:rsidRPr="000E368F">
        <w:t xml:space="preserve"> requires a fair</w:t>
      </w:r>
      <w:r w:rsidR="00EB75EF">
        <w:t>er</w:t>
      </w:r>
      <w:r w:rsidR="00346CD8" w:rsidRPr="000E368F">
        <w:t xml:space="preserve"> relationship between care recipients and providers. </w:t>
      </w:r>
      <w:r w:rsidR="00261B22">
        <w:t>T</w:t>
      </w:r>
      <w:r w:rsidR="00346CD8" w:rsidRPr="000E368F">
        <w:t xml:space="preserve">he Program area has long-standing pricing transparency requirements. Pricing transparency is a core tenet </w:t>
      </w:r>
      <w:r w:rsidR="007331C8">
        <w:t>of</w:t>
      </w:r>
      <w:r w:rsidR="007331C8" w:rsidRPr="000E368F">
        <w:t xml:space="preserve"> </w:t>
      </w:r>
      <w:r w:rsidR="00346CD8" w:rsidRPr="000E368F">
        <w:t>Consumer Directed Care</w:t>
      </w:r>
      <w:r w:rsidR="00EB75EF">
        <w:t xml:space="preserve"> and</w:t>
      </w:r>
      <w:r w:rsidR="00346CD8" w:rsidRPr="000E368F">
        <w:t xml:space="preserve"> supports care recipients to make informed choices and </w:t>
      </w:r>
      <w:r w:rsidR="00D66B56">
        <w:t>‘</w:t>
      </w:r>
      <w:r w:rsidR="00346CD8" w:rsidRPr="000E368F">
        <w:t>vote with their feet</w:t>
      </w:r>
      <w:r w:rsidR="00D66B56">
        <w:t>’</w:t>
      </w:r>
      <w:r w:rsidR="00346CD8" w:rsidRPr="000E368F">
        <w:t xml:space="preserve"> </w:t>
      </w:r>
      <w:r w:rsidR="007331C8">
        <w:t>to</w:t>
      </w:r>
      <w:r w:rsidR="007331C8" w:rsidRPr="000E368F">
        <w:t xml:space="preserve"> </w:t>
      </w:r>
      <w:r w:rsidR="00346CD8" w:rsidRPr="000E368F">
        <w:t>change providers if needed.</w:t>
      </w:r>
    </w:p>
    <w:p w14:paraId="3B9677DC" w14:textId="77777777" w:rsidR="00A1180A" w:rsidRDefault="00346CD8" w:rsidP="00F22D59">
      <w:r w:rsidRPr="000E368F">
        <w:t xml:space="preserve">HCP pricing is agreed between care recipients and providers. </w:t>
      </w:r>
      <w:r w:rsidR="00221B89" w:rsidRPr="000E368F">
        <w:t xml:space="preserve">This Review has enabled </w:t>
      </w:r>
      <w:r w:rsidRPr="000E368F">
        <w:t>direct visibility of such arrangements</w:t>
      </w:r>
      <w:r w:rsidR="00221B89" w:rsidRPr="000E368F">
        <w:t xml:space="preserve"> for the first time </w:t>
      </w:r>
      <w:r w:rsidR="00D94DEE">
        <w:t>on</w:t>
      </w:r>
      <w:r w:rsidR="00221B89" w:rsidRPr="000E368F">
        <w:t xml:space="preserve"> a large scale</w:t>
      </w:r>
      <w:r w:rsidRPr="000E368F">
        <w:t xml:space="preserve">. Through sourcing around 16,000 HCP documents from participating providers, including HCP </w:t>
      </w:r>
      <w:r w:rsidR="00E57FB7">
        <w:t>Home Care A</w:t>
      </w:r>
      <w:r w:rsidRPr="000E368F">
        <w:t xml:space="preserve">greements, budgets and monthly </w:t>
      </w:r>
      <w:r w:rsidR="00072625">
        <w:t>statements</w:t>
      </w:r>
      <w:r w:rsidRPr="000E368F">
        <w:t xml:space="preserve">, the Review has been able to understand what providers are charging, why, whether their approach is consistent with relevant HCP </w:t>
      </w:r>
      <w:r w:rsidRPr="000E368F">
        <w:lastRenderedPageBreak/>
        <w:t>Program requirements and whether providers are consistently applying their pricing methodology across the sampled care recipients in relation to variable charges.</w:t>
      </w:r>
    </w:p>
    <w:p w14:paraId="6FA56894" w14:textId="77777777" w:rsidR="00A1180A" w:rsidRDefault="00346CD8" w:rsidP="00F22D59">
      <w:r w:rsidRPr="000E368F">
        <w:t>While m</w:t>
      </w:r>
      <w:r w:rsidR="00E367E8">
        <w:t>any</w:t>
      </w:r>
      <w:r w:rsidRPr="000E368F">
        <w:t xml:space="preserve"> providers were able to justify what they were charging and why</w:t>
      </w:r>
      <w:r w:rsidR="00082731">
        <w:t>,</w:t>
      </w:r>
      <w:r w:rsidRPr="000E368F">
        <w:t xml:space="preserve"> there was noticeable variation across </w:t>
      </w:r>
      <w:r w:rsidR="00082731">
        <w:t xml:space="preserve">the 100 </w:t>
      </w:r>
      <w:r w:rsidRPr="000E368F">
        <w:t>providers</w:t>
      </w:r>
      <w:r w:rsidR="00C53336" w:rsidRPr="000E368F">
        <w:t xml:space="preserve">. </w:t>
      </w:r>
      <w:r w:rsidR="00A60997">
        <w:t xml:space="preserve">This variation </w:t>
      </w:r>
      <w:r w:rsidR="004E3144" w:rsidRPr="000E368F">
        <w:t>could be attributable</w:t>
      </w:r>
      <w:r w:rsidR="003C74A6">
        <w:t xml:space="preserve"> in part</w:t>
      </w:r>
      <w:r w:rsidR="004E3144" w:rsidRPr="000E368F">
        <w:t xml:space="preserve"> to the different contexts</w:t>
      </w:r>
      <w:r w:rsidR="003C74A6">
        <w:rPr>
          <w:rStyle w:val="FootnoteReference"/>
        </w:rPr>
        <w:footnoteReference w:id="34"/>
      </w:r>
      <w:r w:rsidR="004E3144" w:rsidRPr="000E368F">
        <w:t xml:space="preserve"> they operate under. Some providers may also be running more efficient </w:t>
      </w:r>
      <w:r w:rsidR="002C1F3B">
        <w:t>businesses or systems</w:t>
      </w:r>
      <w:r w:rsidR="004E3144" w:rsidRPr="000E368F">
        <w:t xml:space="preserve"> that </w:t>
      </w:r>
      <w:r w:rsidR="00082731">
        <w:t>allow</w:t>
      </w:r>
      <w:r w:rsidR="004E3144" w:rsidRPr="000E368F">
        <w:t xml:space="preserve"> </w:t>
      </w:r>
      <w:r w:rsidR="00082731">
        <w:t>administrative</w:t>
      </w:r>
      <w:r w:rsidR="00082731" w:rsidRPr="000E368F">
        <w:t xml:space="preserve"> </w:t>
      </w:r>
      <w:r w:rsidR="004E3144" w:rsidRPr="000E368F">
        <w:t xml:space="preserve">charges </w:t>
      </w:r>
      <w:r w:rsidR="00082731">
        <w:t xml:space="preserve">to be </w:t>
      </w:r>
      <w:r w:rsidR="004E3144" w:rsidRPr="000E368F">
        <w:t xml:space="preserve">lower. </w:t>
      </w:r>
    </w:p>
    <w:p w14:paraId="0C9ED03E" w14:textId="77777777" w:rsidR="00A1180A" w:rsidRDefault="00230A03" w:rsidP="00F22D59">
      <w:r>
        <w:t>T</w:t>
      </w:r>
      <w:r w:rsidR="0013042D" w:rsidRPr="000E368F">
        <w:t xml:space="preserve">he Review team </w:t>
      </w:r>
      <w:r w:rsidR="001A2764">
        <w:t>is concerned</w:t>
      </w:r>
      <w:r w:rsidR="0013042D" w:rsidRPr="000E368F">
        <w:t xml:space="preserve"> about </w:t>
      </w:r>
      <w:r w:rsidR="00486301" w:rsidRPr="000E368F">
        <w:t xml:space="preserve">uncapped </w:t>
      </w:r>
      <w:r w:rsidR="004F595B">
        <w:t xml:space="preserve">indirect and care management </w:t>
      </w:r>
      <w:r w:rsidR="00486301" w:rsidRPr="000E368F">
        <w:t xml:space="preserve">charges, </w:t>
      </w:r>
      <w:r w:rsidR="00296DE2">
        <w:t>and</w:t>
      </w:r>
      <w:r w:rsidR="00486301" w:rsidRPr="000E368F">
        <w:t xml:space="preserve"> the significant variation in similar </w:t>
      </w:r>
      <w:r w:rsidR="00343D86" w:rsidRPr="000E368F">
        <w:t>indirect</w:t>
      </w:r>
      <w:r w:rsidR="00486301" w:rsidRPr="000E368F">
        <w:t xml:space="preserve"> charges across providers.</w:t>
      </w:r>
      <w:r w:rsidR="007C70C5" w:rsidRPr="000E368F">
        <w:t xml:space="preserve"> It was also unclear </w:t>
      </w:r>
      <w:r w:rsidR="00343D86" w:rsidRPr="000E368F">
        <w:t xml:space="preserve">how providers cover the costs of care management </w:t>
      </w:r>
      <w:r w:rsidR="001A2764">
        <w:t xml:space="preserve">where they claim to charge $0, </w:t>
      </w:r>
      <w:r w:rsidR="00343D86" w:rsidRPr="000E368F">
        <w:t xml:space="preserve">as </w:t>
      </w:r>
      <w:r w:rsidR="0013042D" w:rsidRPr="000E368F">
        <w:t xml:space="preserve">they are legally obliged to provide care management as part of </w:t>
      </w:r>
      <w:proofErr w:type="gramStart"/>
      <w:r w:rsidR="0013042D" w:rsidRPr="000E368F">
        <w:t>a</w:t>
      </w:r>
      <w:proofErr w:type="gramEnd"/>
      <w:r w:rsidR="0013042D" w:rsidRPr="000E368F">
        <w:t xml:space="preserve"> HCP, even to self-managing </w:t>
      </w:r>
      <w:r w:rsidR="00072625">
        <w:t xml:space="preserve">care </w:t>
      </w:r>
      <w:r w:rsidR="0013042D" w:rsidRPr="000E368F">
        <w:t xml:space="preserve">recipients. </w:t>
      </w:r>
    </w:p>
    <w:p w14:paraId="0FA034EC" w14:textId="77777777" w:rsidR="00A1180A" w:rsidRDefault="0013042D" w:rsidP="00F22D59">
      <w:r w:rsidRPr="000E368F">
        <w:t xml:space="preserve">Another concern </w:t>
      </w:r>
      <w:r w:rsidR="00F523D0">
        <w:t xml:space="preserve">for </w:t>
      </w:r>
      <w:r w:rsidRPr="000E368F">
        <w:t xml:space="preserve">the Review </w:t>
      </w:r>
      <w:r w:rsidR="00F523D0">
        <w:t>team</w:t>
      </w:r>
      <w:r w:rsidRPr="000E368F">
        <w:t xml:space="preserve"> </w:t>
      </w:r>
      <w:r w:rsidR="008146C8">
        <w:t>was</w:t>
      </w:r>
      <w:r w:rsidR="008146C8" w:rsidRPr="000E368F">
        <w:t xml:space="preserve"> </w:t>
      </w:r>
      <w:r w:rsidRPr="000E368F">
        <w:t>the variation in self-management approaches</w:t>
      </w:r>
      <w:r w:rsidR="00F523D0">
        <w:t xml:space="preserve"> </w:t>
      </w:r>
      <w:r w:rsidRPr="000E368F">
        <w:t xml:space="preserve">– </w:t>
      </w:r>
      <w:r w:rsidR="00F523D0">
        <w:t>ranging</w:t>
      </w:r>
      <w:r w:rsidRPr="000E368F">
        <w:t xml:space="preserve"> from very hands-off to somewhat hands-off. </w:t>
      </w:r>
      <w:r w:rsidR="00F523D0">
        <w:t>C</w:t>
      </w:r>
      <w:r w:rsidRPr="000E368F">
        <w:t xml:space="preserve">are recipients and providers must take care in setting up self-management options. </w:t>
      </w:r>
      <w:r w:rsidR="00261B22">
        <w:t>S</w:t>
      </w:r>
      <w:r w:rsidR="00F523D0">
        <w:t xml:space="preserve">ome self-management arrangements, such as </w:t>
      </w:r>
      <w:r w:rsidRPr="000E368F">
        <w:t>charging a small amount for a hands</w:t>
      </w:r>
      <w:r w:rsidR="00F523D0">
        <w:t>-</w:t>
      </w:r>
      <w:r w:rsidRPr="000E368F">
        <w:t>off approach by the provider</w:t>
      </w:r>
      <w:r w:rsidR="008146C8">
        <w:t>, make</w:t>
      </w:r>
      <w:r w:rsidRPr="000E368F">
        <w:t xml:space="preserve"> the care recipient accountable</w:t>
      </w:r>
      <w:r w:rsidR="00F523D0">
        <w:t xml:space="preserve"> by default</w:t>
      </w:r>
      <w:r w:rsidRPr="000E368F">
        <w:t xml:space="preserve"> for managing their own care and package funds</w:t>
      </w:r>
      <w:r w:rsidR="008146C8">
        <w:t xml:space="preserve">. Such arrangements </w:t>
      </w:r>
      <w:r w:rsidR="003061EC">
        <w:t>are</w:t>
      </w:r>
      <w:r w:rsidRPr="000E368F">
        <w:t xml:space="preserve"> inconsistent with the intent of the HCP Program. </w:t>
      </w:r>
    </w:p>
    <w:p w14:paraId="779C6F00" w14:textId="00B5DAE8" w:rsidR="00A1180A" w:rsidRDefault="00420F47" w:rsidP="00F22D59">
      <w:r>
        <w:t xml:space="preserve">While out of scope for the Review, the team noted that </w:t>
      </w:r>
      <w:r w:rsidR="004E3144" w:rsidRPr="000E368F">
        <w:t xml:space="preserve">some providers appeared to be agreeing to excluded items or </w:t>
      </w:r>
      <w:r w:rsidR="00230A03" w:rsidRPr="000E368F">
        <w:t>support</w:t>
      </w:r>
      <w:r w:rsidR="00230A03">
        <w:t>ing</w:t>
      </w:r>
      <w:r w:rsidR="00230A03" w:rsidRPr="000E368F">
        <w:t xml:space="preserve"> </w:t>
      </w:r>
      <w:r w:rsidR="004E3144" w:rsidRPr="000E368F">
        <w:t xml:space="preserve">expenditure </w:t>
      </w:r>
      <w:r w:rsidR="00230A03">
        <w:t>for</w:t>
      </w:r>
      <w:r w:rsidR="004E3144" w:rsidRPr="000E368F">
        <w:t xml:space="preserve"> </w:t>
      </w:r>
      <w:r w:rsidR="00D66B56">
        <w:t>‘</w:t>
      </w:r>
      <w:r w:rsidR="004E3144" w:rsidRPr="000E368F">
        <w:t xml:space="preserve">living </w:t>
      </w:r>
      <w:proofErr w:type="gramStart"/>
      <w:r w:rsidR="004E3144" w:rsidRPr="000E368F">
        <w:t>expenses</w:t>
      </w:r>
      <w:r w:rsidR="00D66B56">
        <w:t>’</w:t>
      </w:r>
      <w:proofErr w:type="gramEnd"/>
      <w:r w:rsidR="004E3144" w:rsidRPr="000E368F">
        <w:t xml:space="preserve">. </w:t>
      </w:r>
      <w:r w:rsidR="003061EC">
        <w:t>If</w:t>
      </w:r>
      <w:r w:rsidR="004E3144" w:rsidRPr="000E368F">
        <w:t xml:space="preserve"> all providers do the right thing, the overall </w:t>
      </w:r>
      <w:r w:rsidR="00D66B56">
        <w:t>‘</w:t>
      </w:r>
      <w:r w:rsidR="004E3144" w:rsidRPr="000E368F">
        <w:t>market</w:t>
      </w:r>
      <w:r w:rsidR="00D66B56">
        <w:t>’</w:t>
      </w:r>
      <w:r w:rsidR="004E3144" w:rsidRPr="000E368F">
        <w:t xml:space="preserve"> is fairer </w:t>
      </w:r>
      <w:r w:rsidR="003061EC">
        <w:t xml:space="preserve">and </w:t>
      </w:r>
      <w:r w:rsidR="004F595B">
        <w:t>supports</w:t>
      </w:r>
      <w:r w:rsidR="003061EC">
        <w:t xml:space="preserve"> stronger program integrity. </w:t>
      </w:r>
      <w:r w:rsidR="008D123E">
        <w:t xml:space="preserve">A common complaint </w:t>
      </w:r>
      <w:r w:rsidR="00D94DEE">
        <w:t xml:space="preserve">to the Review team was that </w:t>
      </w:r>
      <w:r w:rsidR="003061EC">
        <w:t xml:space="preserve">providers </w:t>
      </w:r>
      <w:r w:rsidR="00230A03">
        <w:t>doing</w:t>
      </w:r>
      <w:r w:rsidR="003061EC">
        <w:t xml:space="preserve"> the right thing </w:t>
      </w:r>
      <w:r w:rsidR="00230A03">
        <w:t>lose</w:t>
      </w:r>
      <w:r w:rsidR="003061EC">
        <w:t xml:space="preserve"> </w:t>
      </w:r>
      <w:r w:rsidR="004E3144" w:rsidRPr="000E368F">
        <w:t xml:space="preserve">care recipients to more </w:t>
      </w:r>
      <w:r w:rsidR="00D66B56">
        <w:t>‘</w:t>
      </w:r>
      <w:r w:rsidR="004E3144" w:rsidRPr="000E368F">
        <w:t>generous</w:t>
      </w:r>
      <w:r w:rsidR="00D66B56">
        <w:t>’</w:t>
      </w:r>
      <w:r w:rsidR="004E3144" w:rsidRPr="000E368F">
        <w:t xml:space="preserve"> providers</w:t>
      </w:r>
      <w:r w:rsidR="008D123E">
        <w:t xml:space="preserve"> (i.e. providers who are more incl</w:t>
      </w:r>
      <w:r w:rsidR="001F371B">
        <w:t>ined</w:t>
      </w:r>
      <w:r w:rsidR="008D123E">
        <w:t xml:space="preserve"> to approve excluded items</w:t>
      </w:r>
      <w:r w:rsidR="005D3413">
        <w:t>)</w:t>
      </w:r>
      <w:r w:rsidR="008D123E">
        <w:t>.</w:t>
      </w:r>
    </w:p>
    <w:p w14:paraId="11AE5071" w14:textId="77777777" w:rsidR="00A1180A" w:rsidRDefault="000B526A" w:rsidP="007C70C5">
      <w:r>
        <w:t>O</w:t>
      </w:r>
      <w:r w:rsidR="007C70C5" w:rsidRPr="000E368F">
        <w:t xml:space="preserve">f most concern to the Review team </w:t>
      </w:r>
      <w:r w:rsidR="00A6175E">
        <w:t xml:space="preserve">is </w:t>
      </w:r>
      <w:r w:rsidR="007C70C5" w:rsidRPr="000E368F">
        <w:t>that some providers are still not delivering to well-established pricing transparency requirements. Some providers argued the finer points of the guidance</w:t>
      </w:r>
      <w:r w:rsidR="008B4F5D">
        <w:t xml:space="preserve"> materials </w:t>
      </w:r>
      <w:r w:rsidR="007C70C5" w:rsidRPr="000E368F">
        <w:t xml:space="preserve">rather than </w:t>
      </w:r>
      <w:r w:rsidR="008B4F5D">
        <w:t xml:space="preserve">assuring the Review team that they </w:t>
      </w:r>
      <w:r w:rsidR="00A6175E">
        <w:t>are committed to delivering</w:t>
      </w:r>
      <w:r w:rsidR="007C70C5" w:rsidRPr="000E368F">
        <w:t xml:space="preserve"> to the intent of Consumer Directed Care</w:t>
      </w:r>
      <w:r w:rsidR="00A6175E">
        <w:t xml:space="preserve"> and the HCP Program</w:t>
      </w:r>
      <w:r w:rsidR="007C70C5" w:rsidRPr="000E368F">
        <w:t>. To be effective, pricing transparency should be complied with by all providers</w:t>
      </w:r>
      <w:r w:rsidR="00DB17CA">
        <w:t>,</w:t>
      </w:r>
      <w:r w:rsidR="007C70C5" w:rsidRPr="000E368F">
        <w:t xml:space="preserve"> not because this is </w:t>
      </w:r>
      <w:r w:rsidR="007C70C5" w:rsidRPr="000E368F">
        <w:lastRenderedPageBreak/>
        <w:t>regulated, but because this is the right thing to do by care recipients.</w:t>
      </w:r>
      <w:r w:rsidR="008D123E">
        <w:t xml:space="preserve"> Providers also have obligations under Australian Consumer Law </w:t>
      </w:r>
      <w:proofErr w:type="gramStart"/>
      <w:r w:rsidR="008D123E">
        <w:t>in regard to</w:t>
      </w:r>
      <w:proofErr w:type="gramEnd"/>
      <w:r w:rsidR="008D123E">
        <w:t xml:space="preserve"> displaying prices.</w:t>
      </w:r>
    </w:p>
    <w:p w14:paraId="64801BDB" w14:textId="3F745245" w:rsidR="007D075A" w:rsidRDefault="001A0B39">
      <w:pPr>
        <w:rPr>
          <w:sz w:val="20"/>
          <w:szCs w:val="20"/>
        </w:rPr>
      </w:pPr>
      <w:r>
        <w:t>In conclusion, t</w:t>
      </w:r>
      <w:r w:rsidR="00890BEF" w:rsidRPr="000E368F">
        <w:t xml:space="preserve">he Review team acknowledges that </w:t>
      </w:r>
      <w:r w:rsidR="00E367E8">
        <w:t>many</w:t>
      </w:r>
      <w:r w:rsidR="00890BEF" w:rsidRPr="000E368F">
        <w:t xml:space="preserve"> providers are trying to do the right thing</w:t>
      </w:r>
      <w:r w:rsidR="00A13CE4" w:rsidRPr="000E368F">
        <w:t xml:space="preserve"> in </w:t>
      </w:r>
      <w:r w:rsidR="007D688E">
        <w:t>the</w:t>
      </w:r>
      <w:r w:rsidR="00A13CE4" w:rsidRPr="000E368F">
        <w:t xml:space="preserve"> complex and regulated business environment of the HCP Program</w:t>
      </w:r>
      <w:r w:rsidR="00890BEF" w:rsidRPr="000E368F">
        <w:t xml:space="preserve">. In determining their indirect and care management charges, providers </w:t>
      </w:r>
      <w:r w:rsidR="000404A0" w:rsidRPr="000E368F">
        <w:t xml:space="preserve">do </w:t>
      </w:r>
      <w:r w:rsidR="00890BEF" w:rsidRPr="000E368F">
        <w:t xml:space="preserve">need to </w:t>
      </w:r>
      <w:r w:rsidR="00D448EB" w:rsidRPr="000E368F">
        <w:t>cover all applicable costs</w:t>
      </w:r>
      <w:r w:rsidR="007963A1">
        <w:t xml:space="preserve"> and </w:t>
      </w:r>
      <w:r w:rsidR="002F469C">
        <w:t xml:space="preserve">offer quality and safe </w:t>
      </w:r>
      <w:r w:rsidR="007963A1">
        <w:t xml:space="preserve">services </w:t>
      </w:r>
      <w:r w:rsidR="002F469C">
        <w:t>to HCP care recipients. H</w:t>
      </w:r>
      <w:r w:rsidR="00D448EB" w:rsidRPr="000E368F">
        <w:t xml:space="preserve">owever, </w:t>
      </w:r>
      <w:r w:rsidR="00F67704" w:rsidRPr="000E368F">
        <w:t xml:space="preserve">in return, they must </w:t>
      </w:r>
      <w:r w:rsidR="009F3B63">
        <w:t xml:space="preserve">maintain the integrity of program funds, </w:t>
      </w:r>
      <w:r w:rsidR="00F67704" w:rsidRPr="000E368F">
        <w:t>give care recipients and the public</w:t>
      </w:r>
      <w:r w:rsidR="00D448EB" w:rsidRPr="000E368F">
        <w:t xml:space="preserve"> full transparency, and </w:t>
      </w:r>
      <w:r w:rsidR="00F67704" w:rsidRPr="000E368F">
        <w:t>support care recipients to exercise true choice and control.</w:t>
      </w:r>
      <w:r w:rsidR="00D11B34">
        <w:t xml:space="preserve"> </w:t>
      </w:r>
      <w:r w:rsidR="00CA12CD">
        <w:t>Ultimately, t</w:t>
      </w:r>
      <w:r w:rsidR="00D11B34" w:rsidRPr="000E368F">
        <w:t xml:space="preserve">he more informed and empowered the care recipients </w:t>
      </w:r>
      <w:r w:rsidR="00D11B34">
        <w:t>are</w:t>
      </w:r>
      <w:r w:rsidR="00D11B34" w:rsidRPr="000E368F">
        <w:t xml:space="preserve">, the fairer the </w:t>
      </w:r>
      <w:r w:rsidR="00D66B56">
        <w:t>‘</w:t>
      </w:r>
      <w:r w:rsidR="00D11B34" w:rsidRPr="000E368F">
        <w:t>market</w:t>
      </w:r>
      <w:r w:rsidR="00D66B56">
        <w:t>’</w:t>
      </w:r>
      <w:r w:rsidR="00D11B34" w:rsidRPr="000E368F">
        <w:t xml:space="preserve"> will be for all providers.</w:t>
      </w:r>
      <w:r w:rsidR="007D075A">
        <w:rPr>
          <w:sz w:val="20"/>
          <w:szCs w:val="20"/>
        </w:rPr>
        <w:br w:type="page"/>
      </w:r>
    </w:p>
    <w:p w14:paraId="1F61C542" w14:textId="77777777" w:rsidR="00A1180A" w:rsidRPr="008D223B" w:rsidRDefault="00793828" w:rsidP="008D223B">
      <w:pPr>
        <w:pStyle w:val="Heading2"/>
        <w:numPr>
          <w:ilvl w:val="0"/>
          <w:numId w:val="0"/>
        </w:numPr>
      </w:pPr>
      <w:bookmarkStart w:id="35" w:name="_Attachment_A:_Inaugural"/>
      <w:bookmarkStart w:id="36" w:name="_Toc111803170"/>
      <w:bookmarkEnd w:id="35"/>
      <w:r w:rsidRPr="008D223B">
        <w:lastRenderedPageBreak/>
        <w:t xml:space="preserve">Attachment A: </w:t>
      </w:r>
      <w:r w:rsidR="00D771AD" w:rsidRPr="008D223B">
        <w:t xml:space="preserve">Inaugural Program Assurance Review of Indirect and Care Management Charges – further details of scope, </w:t>
      </w:r>
      <w:proofErr w:type="gramStart"/>
      <w:r w:rsidR="00D771AD" w:rsidRPr="008D223B">
        <w:t>purpose</w:t>
      </w:r>
      <w:proofErr w:type="gramEnd"/>
      <w:r w:rsidR="00D771AD" w:rsidRPr="008D223B">
        <w:t xml:space="preserve"> and methodology</w:t>
      </w:r>
      <w:bookmarkEnd w:id="36"/>
    </w:p>
    <w:p w14:paraId="549B9D87" w14:textId="6750BCA4" w:rsidR="00984894" w:rsidRPr="00951DC6" w:rsidRDefault="00984894" w:rsidP="008D223B">
      <w:pPr>
        <w:pStyle w:val="Heading3"/>
      </w:pPr>
      <w:r w:rsidRPr="00951DC6">
        <w:t>Scope</w:t>
      </w:r>
    </w:p>
    <w:p w14:paraId="6183D49C" w14:textId="7FCF73D5" w:rsidR="00D771AD" w:rsidRPr="007B4B35" w:rsidRDefault="00D771AD" w:rsidP="00D40AB3">
      <w:pPr>
        <w:rPr>
          <w:strike/>
        </w:rPr>
      </w:pPr>
      <w:r w:rsidRPr="007B4B35">
        <w:t>The purpose of the Review was to understand and assess how selected providers calculate and charge indirect and care management charges related to the provision of the HCP Program policy and guidance. Consistent with the notice issued to selected providers, the Review aimed to answer the following questions:</w:t>
      </w:r>
    </w:p>
    <w:p w14:paraId="19803F0A" w14:textId="0A573AD9" w:rsidR="00D771AD" w:rsidRPr="007B4B35" w:rsidRDefault="00D771AD" w:rsidP="008D223B">
      <w:pPr>
        <w:pStyle w:val="ListBullet"/>
      </w:pPr>
      <w:r w:rsidRPr="007B4B35">
        <w:t>what are HCP providers charging for indirect and care management and why</w:t>
      </w:r>
    </w:p>
    <w:p w14:paraId="40563DF7" w14:textId="4C3D40A5" w:rsidR="00D771AD" w:rsidRPr="007B4B35" w:rsidRDefault="00D771AD" w:rsidP="008D223B">
      <w:pPr>
        <w:pStyle w:val="ListBullet"/>
      </w:pPr>
      <w:r w:rsidRPr="007B4B35">
        <w:t xml:space="preserve">whether HCP providers are charging consistently with </w:t>
      </w:r>
      <w:r w:rsidR="007E6E6F">
        <w:t>d</w:t>
      </w:r>
      <w:r w:rsidRPr="007B4B35">
        <w:t>epartmental policies and guidance</w:t>
      </w:r>
      <w:r w:rsidRPr="007B4B35">
        <w:rPr>
          <w:rStyle w:val="FootnoteReference"/>
        </w:rPr>
        <w:footnoteReference w:id="35"/>
      </w:r>
    </w:p>
    <w:p w14:paraId="1373F03C" w14:textId="37B930E1" w:rsidR="00D771AD" w:rsidRPr="007B4B35" w:rsidRDefault="00D771AD" w:rsidP="008D223B">
      <w:pPr>
        <w:pStyle w:val="ListBullet"/>
      </w:pPr>
      <w:r w:rsidRPr="007B4B35">
        <w:t>whether the methodology applied by HCP providers for determining care management and indirect charges can be verified</w:t>
      </w:r>
      <w:r w:rsidRPr="007B4B35">
        <w:rPr>
          <w:rStyle w:val="FootnoteReference"/>
        </w:rPr>
        <w:footnoteReference w:id="36"/>
      </w:r>
      <w:r w:rsidR="00452C2A">
        <w:t>,</w:t>
      </w:r>
      <w:r w:rsidRPr="007B4B35">
        <w:t xml:space="preserve"> and</w:t>
      </w:r>
    </w:p>
    <w:p w14:paraId="17C3D41F" w14:textId="77777777" w:rsidR="00D771AD" w:rsidRPr="007B4B35" w:rsidRDefault="00D771AD" w:rsidP="008D223B">
      <w:pPr>
        <w:pStyle w:val="ListBullet"/>
      </w:pPr>
      <w:r w:rsidRPr="007B4B35">
        <w:t>whether care management and indirect charges have been applied to HCP care recipients on a consistent and accurate</w:t>
      </w:r>
      <w:r w:rsidRPr="007B4B35">
        <w:rPr>
          <w:rStyle w:val="FootnoteReference"/>
        </w:rPr>
        <w:footnoteReference w:id="37"/>
      </w:r>
      <w:r w:rsidRPr="007B4B35">
        <w:t xml:space="preserve"> basis by HCP providers and can be verified.</w:t>
      </w:r>
    </w:p>
    <w:p w14:paraId="4EAD759D" w14:textId="640834CE" w:rsidR="00D771AD" w:rsidRPr="007B4B35" w:rsidRDefault="00D771AD" w:rsidP="00D771AD">
      <w:r w:rsidRPr="007B4B35">
        <w:t>The 95 Approved Providers were selected for this Review to cover the largest number of care recipients for HCP – this was considered as supporting the biggest impact on improving value for money and consumer driven choice, consistent with the purpose of this Review. In addition, six HCP Providers self-nominated to participate of which five were selected, totalling to 100 Approved Providers for the first Review.</w:t>
      </w:r>
    </w:p>
    <w:p w14:paraId="6F85E565" w14:textId="025EF31A" w:rsidR="00D771AD" w:rsidRPr="007B4B35" w:rsidRDefault="00D771AD" w:rsidP="00D771AD">
      <w:r w:rsidRPr="007B4B35">
        <w:t>Generally, a sample of 10 HCP care recipients per approved provider (1</w:t>
      </w:r>
      <w:r w:rsidR="007F45FF">
        <w:t>,</w:t>
      </w:r>
      <w:r w:rsidRPr="007B4B35">
        <w:t xml:space="preserve">000 care recipients in total for this </w:t>
      </w:r>
      <w:r w:rsidR="00545B23">
        <w:t>Review</w:t>
      </w:r>
      <w:r w:rsidRPr="007B4B35">
        <w:t xml:space="preserve">) was selected by the Department as part of this Review. The Review team notes that the HCP Program does not set indirect or care management charges; these are agreed between the care recipient and provider. Consistent with the purpose and scope of this Review, Review </w:t>
      </w:r>
      <w:r w:rsidR="006536EA">
        <w:t>o</w:t>
      </w:r>
      <w:r w:rsidRPr="007B4B35">
        <w:t xml:space="preserve">fficers used the 10 care recipient samples to assure that the provider’s statements were backed by actual care recipient documentation </w:t>
      </w:r>
      <w:r w:rsidRPr="007B4B35">
        <w:lastRenderedPageBreak/>
        <w:t xml:space="preserve">and that the charges were agreed with the care recipient and were transparent. The Review was not required to make a finding regarding the amount being charged, and the Review team therefore </w:t>
      </w:r>
      <w:r w:rsidR="00D66B56">
        <w:t>focused</w:t>
      </w:r>
      <w:r w:rsidRPr="007B4B35">
        <w:t xml:space="preserve"> on assuring consistency of the charges with the HCP Program’s requirements as articulated in its pricing definitions.</w:t>
      </w:r>
    </w:p>
    <w:p w14:paraId="7EBE39F7" w14:textId="77777777" w:rsidR="00D771AD" w:rsidRPr="007B4B35" w:rsidRDefault="00D771AD" w:rsidP="006F2BC0">
      <w:pPr>
        <w:pBdr>
          <w:top w:val="nil"/>
          <w:left w:val="nil"/>
          <w:bottom w:val="nil"/>
          <w:right w:val="nil"/>
          <w:between w:val="nil"/>
        </w:pBdr>
      </w:pPr>
      <w:r w:rsidRPr="007B4B35">
        <w:t xml:space="preserve">While the Review was not an audit of the provider, the Review was designed with reference to the standard AS/NZS ISO 19011:2019 (Guidelines for auditing management systems). The Review processes also adhered to the </w:t>
      </w:r>
      <w:hyperlink r:id="rId49" w:history="1">
        <w:r w:rsidRPr="007B4B35">
          <w:rPr>
            <w:rStyle w:val="Hyperlink"/>
          </w:rPr>
          <w:t>HCP Assurance Framework</w:t>
        </w:r>
      </w:hyperlink>
      <w:r w:rsidRPr="007B4B35">
        <w:t xml:space="preserve"> principles: </w:t>
      </w:r>
    </w:p>
    <w:p w14:paraId="62C2B6AF" w14:textId="77777777" w:rsidR="00D771AD" w:rsidRPr="007B4B35" w:rsidRDefault="00D771AD" w:rsidP="008D223B">
      <w:pPr>
        <w:pStyle w:val="ListBullet"/>
      </w:pPr>
      <w:r w:rsidRPr="007B4B35">
        <w:t xml:space="preserve">continuous improvement </w:t>
      </w:r>
    </w:p>
    <w:p w14:paraId="62E73E73" w14:textId="77777777" w:rsidR="00D771AD" w:rsidRPr="007B4B35" w:rsidRDefault="00D771AD" w:rsidP="008D223B">
      <w:pPr>
        <w:pStyle w:val="ListBullet"/>
      </w:pPr>
      <w:r w:rsidRPr="007B4B35">
        <w:t>risk-based and data driven</w:t>
      </w:r>
    </w:p>
    <w:p w14:paraId="5C53AAAD" w14:textId="77777777" w:rsidR="00D771AD" w:rsidRPr="007B4B35" w:rsidRDefault="00D771AD" w:rsidP="008D223B">
      <w:pPr>
        <w:pStyle w:val="ListBullet"/>
      </w:pPr>
      <w:r w:rsidRPr="007B4B35">
        <w:t xml:space="preserve">collaboration, </w:t>
      </w:r>
      <w:proofErr w:type="gramStart"/>
      <w:r w:rsidRPr="007B4B35">
        <w:t>engagement</w:t>
      </w:r>
      <w:proofErr w:type="gramEnd"/>
      <w:r w:rsidRPr="007B4B35">
        <w:t xml:space="preserve"> and trust </w:t>
      </w:r>
    </w:p>
    <w:p w14:paraId="1CBD7B9D" w14:textId="77777777" w:rsidR="00A1180A" w:rsidRDefault="00D771AD" w:rsidP="00D771AD">
      <w:pPr>
        <w:pBdr>
          <w:top w:val="nil"/>
          <w:left w:val="nil"/>
          <w:bottom w:val="nil"/>
          <w:right w:val="nil"/>
          <w:between w:val="nil"/>
        </w:pBdr>
        <w:rPr>
          <w:i/>
          <w:iCs/>
        </w:rPr>
      </w:pPr>
      <w:r w:rsidRPr="007B4B35">
        <w:t>While consideration was also given to guidance from The Institute of Internal Auditors, Australia (IIA)</w:t>
      </w:r>
      <w:r w:rsidRPr="007B4B35">
        <w:rPr>
          <w:rStyle w:val="FootnoteReference"/>
        </w:rPr>
        <w:footnoteReference w:id="38"/>
      </w:r>
      <w:r w:rsidRPr="007B4B35">
        <w:t xml:space="preserve"> for random sampling, the sample size was judgement-based, selected to check provider statements against actual care recipient documentation, while also keeping it manageable to support the in-depth nature of the Review. Where appropriate, the Review’s approach to sampling aligned to better practice within </w:t>
      </w:r>
      <w:r w:rsidRPr="007B4B35">
        <w:rPr>
          <w:i/>
          <w:iCs/>
        </w:rPr>
        <w:t>ISO19011:2019(E) Guidelines for auditing management systems.</w:t>
      </w:r>
    </w:p>
    <w:p w14:paraId="2D7D06CE" w14:textId="04D93B1D" w:rsidR="00984894" w:rsidRPr="00951DC6" w:rsidRDefault="00984894" w:rsidP="008D223B">
      <w:pPr>
        <w:pStyle w:val="Heading3"/>
      </w:pPr>
      <w:r w:rsidRPr="00951DC6">
        <w:t>Out of scope</w:t>
      </w:r>
    </w:p>
    <w:p w14:paraId="3787AE71" w14:textId="0B53EB78" w:rsidR="00D771AD" w:rsidRPr="007B4B35" w:rsidRDefault="00D771AD" w:rsidP="00BF72A2">
      <w:r w:rsidRPr="007B4B35">
        <w:t>The following elements were out of scope for this Review:</w:t>
      </w:r>
    </w:p>
    <w:p w14:paraId="6B3C05DB" w14:textId="51FC9B0C" w:rsidR="00D771AD" w:rsidRPr="007B4B35" w:rsidRDefault="00D771AD" w:rsidP="008D223B">
      <w:pPr>
        <w:pStyle w:val="ListBullet"/>
      </w:pPr>
      <w:r w:rsidRPr="007B4B35">
        <w:t>defining a preferred methodology for HCP providers to determine</w:t>
      </w:r>
      <w:r w:rsidRPr="00EC573F">
        <w:rPr>
          <w:rStyle w:val="FootnoteReference"/>
        </w:rPr>
        <w:footnoteReference w:id="39"/>
      </w:r>
      <w:r w:rsidRPr="007B4B35">
        <w:t xml:space="preserve"> indirect and care management charges, including specific unit costs, </w:t>
      </w:r>
      <w:proofErr w:type="gramStart"/>
      <w:r w:rsidRPr="007B4B35">
        <w:t>allocations</w:t>
      </w:r>
      <w:proofErr w:type="gramEnd"/>
      <w:r w:rsidRPr="007B4B35">
        <w:t xml:space="preserve"> or percentages</w:t>
      </w:r>
    </w:p>
    <w:p w14:paraId="02CE79CD" w14:textId="62D4FECA" w:rsidR="00D771AD" w:rsidRPr="007B4B35" w:rsidRDefault="00D771AD" w:rsidP="008D223B">
      <w:pPr>
        <w:pStyle w:val="ListBullet"/>
      </w:pPr>
      <w:r w:rsidRPr="007B4B35">
        <w:t>defining appropriate profit margins</w:t>
      </w:r>
      <w:r w:rsidRPr="00EC573F">
        <w:rPr>
          <w:rStyle w:val="FootnoteReference"/>
        </w:rPr>
        <w:footnoteReference w:id="40"/>
      </w:r>
      <w:r w:rsidRPr="007B4B35">
        <w:t xml:space="preserve"> to be applied by HCP providers and assessment and review of profit margins</w:t>
      </w:r>
    </w:p>
    <w:p w14:paraId="5514A9EB" w14:textId="1AD23F35" w:rsidR="00D771AD" w:rsidRPr="007B4B35" w:rsidRDefault="00D771AD" w:rsidP="008D223B">
      <w:pPr>
        <w:pStyle w:val="ListBullet"/>
      </w:pPr>
      <w:r w:rsidRPr="007B4B35">
        <w:t>assessment and review of other charges</w:t>
      </w:r>
      <w:r w:rsidR="00EB5253">
        <w:t xml:space="preserve"> </w:t>
      </w:r>
      <w:r w:rsidR="001B6E42">
        <w:t>–</w:t>
      </w:r>
      <w:r w:rsidRPr="007B4B35">
        <w:t xml:space="preserve"> these were reviewed only where they were relevant to understanding indirect and/or care management charges</w:t>
      </w:r>
    </w:p>
    <w:p w14:paraId="44259ABF" w14:textId="3B51AAEC" w:rsidR="00D771AD" w:rsidRPr="007B4B35" w:rsidRDefault="00D771AD" w:rsidP="008D223B">
      <w:pPr>
        <w:pStyle w:val="ListBullet"/>
      </w:pPr>
      <w:r w:rsidRPr="007B4B35">
        <w:lastRenderedPageBreak/>
        <w:t>assessment and review of unspent funds as a contributor to total revenue of the provider</w:t>
      </w:r>
    </w:p>
    <w:p w14:paraId="48D91E53" w14:textId="5723B191" w:rsidR="00D771AD" w:rsidRPr="007B4B35" w:rsidRDefault="00D771AD" w:rsidP="008D223B">
      <w:pPr>
        <w:pStyle w:val="ListBullet"/>
      </w:pPr>
      <w:r w:rsidRPr="007B4B35">
        <w:t>site visits to HCP providers</w:t>
      </w:r>
      <w:r w:rsidR="00EC573F">
        <w:t>,</w:t>
      </w:r>
      <w:r w:rsidRPr="007B4B35">
        <w:t xml:space="preserve"> and</w:t>
      </w:r>
    </w:p>
    <w:p w14:paraId="468AAC64" w14:textId="69132E7E" w:rsidR="00D771AD" w:rsidRPr="007B4B35" w:rsidRDefault="00D771AD" w:rsidP="008D223B">
      <w:pPr>
        <w:pStyle w:val="ListBullet"/>
      </w:pPr>
      <w:r w:rsidRPr="007B4B35">
        <w:t xml:space="preserve">determining whether </w:t>
      </w:r>
      <w:r w:rsidR="008107B5" w:rsidRPr="007B4B35">
        <w:t>the provider</w:t>
      </w:r>
      <w:r w:rsidRPr="007B4B35">
        <w:t xml:space="preserve"> is compliant with the </w:t>
      </w:r>
      <w:r w:rsidRPr="001318AE">
        <w:rPr>
          <w:i/>
          <w:iCs/>
        </w:rPr>
        <w:t>Aged Care Act 1997</w:t>
      </w:r>
      <w:r w:rsidRPr="007B4B35">
        <w:t xml:space="preserve"> and associated Regulations</w:t>
      </w:r>
      <w:r w:rsidRPr="00EC573F">
        <w:rPr>
          <w:rStyle w:val="FootnoteReference"/>
        </w:rPr>
        <w:footnoteReference w:id="41"/>
      </w:r>
      <w:r w:rsidRPr="007B4B35">
        <w:t xml:space="preserve">, or any other legislative obligations. However, the Review </w:t>
      </w:r>
      <w:r w:rsidR="002D62E3">
        <w:t>t</w:t>
      </w:r>
      <w:r w:rsidRPr="007B4B35">
        <w:t xml:space="preserve">eam identified </w:t>
      </w:r>
      <w:r w:rsidR="00D75F4F">
        <w:t>obvious</w:t>
      </w:r>
      <w:r w:rsidRPr="007B4B35">
        <w:t xml:space="preserve"> inconsistencies with relevant program requirements during the Review process. These were included in the draft report to allow the provider an opportunity to respond prior to the finalisation of that report.</w:t>
      </w:r>
    </w:p>
    <w:p w14:paraId="1359B26C" w14:textId="77777777" w:rsidR="00984894" w:rsidRPr="00951DC6" w:rsidRDefault="00984894" w:rsidP="008D223B">
      <w:pPr>
        <w:pStyle w:val="Heading3"/>
      </w:pPr>
      <w:r w:rsidRPr="00951DC6">
        <w:t>Review process</w:t>
      </w:r>
    </w:p>
    <w:p w14:paraId="12DBA85C" w14:textId="7585FD72" w:rsidR="00A1180A" w:rsidRDefault="008107B5" w:rsidP="00D771AD">
      <w:r w:rsidRPr="007B4B35">
        <w:rPr>
          <w:bCs/>
          <w:lang w:eastAsia="en-US"/>
        </w:rPr>
        <w:t xml:space="preserve">The </w:t>
      </w:r>
      <w:r w:rsidR="00D75F4F">
        <w:rPr>
          <w:bCs/>
          <w:lang w:eastAsia="en-US"/>
        </w:rPr>
        <w:t>R</w:t>
      </w:r>
      <w:r w:rsidR="00D771AD" w:rsidRPr="007B4B35">
        <w:t>eview</w:t>
      </w:r>
      <w:r w:rsidR="00D75F4F">
        <w:t xml:space="preserve"> was conducted</w:t>
      </w:r>
      <w:r w:rsidR="00D771AD" w:rsidRPr="007B4B35">
        <w:t xml:space="preserve"> by the Home Care Packages Program Assurance Reviews Section, within the Program Assurance Branch. Departmental </w:t>
      </w:r>
      <w:r w:rsidR="00BF72A2">
        <w:t>o</w:t>
      </w:r>
      <w:r w:rsidR="00D771AD" w:rsidRPr="007B4B35">
        <w:t xml:space="preserve">fficers conducted the reviews as a team with a team leader to assure consistency. For the purposes of this process and report they will be referred to as Review </w:t>
      </w:r>
      <w:r w:rsidR="00D75F4F">
        <w:t>o</w:t>
      </w:r>
      <w:r w:rsidR="00D771AD" w:rsidRPr="007B4B35">
        <w:t>fficers.</w:t>
      </w:r>
    </w:p>
    <w:p w14:paraId="326AAC1A" w14:textId="77777777" w:rsidR="00A1180A" w:rsidRDefault="00D771AD" w:rsidP="00D771AD">
      <w:r w:rsidRPr="007B4B35">
        <w:t xml:space="preserve">The Review commenced </w:t>
      </w:r>
      <w:r w:rsidR="008107B5" w:rsidRPr="007B4B35">
        <w:t>in October</w:t>
      </w:r>
      <w:r w:rsidRPr="007B4B35">
        <w:t xml:space="preserve"> 2021 by issuing a formal notice of commencement and concluded </w:t>
      </w:r>
      <w:r w:rsidR="005C01E9" w:rsidRPr="007B4B35">
        <w:t xml:space="preserve">with the </w:t>
      </w:r>
      <w:r w:rsidRPr="007B4B35">
        <w:t xml:space="preserve">issuing </w:t>
      </w:r>
      <w:r w:rsidR="005C01E9" w:rsidRPr="007B4B35">
        <w:t xml:space="preserve">of </w:t>
      </w:r>
      <w:r w:rsidRPr="007B4B35">
        <w:t xml:space="preserve">the final report. The Review was initiated by sending a s95AB-5 notice to </w:t>
      </w:r>
      <w:r w:rsidR="008107B5" w:rsidRPr="007B4B35">
        <w:t>the relevant senior official of the provider</w:t>
      </w:r>
      <w:r w:rsidRPr="007B4B35">
        <w:t>.</w:t>
      </w:r>
    </w:p>
    <w:p w14:paraId="137B7CC7" w14:textId="77777777" w:rsidR="00A1180A" w:rsidRDefault="00D771AD" w:rsidP="00D771AD">
      <w:r w:rsidRPr="007B4B35">
        <w:t xml:space="preserve">The notice included details of the planned Review, the Terms of Reference, requested documents and contact details of the primary Review </w:t>
      </w:r>
      <w:r w:rsidR="00D75F4F">
        <w:t>o</w:t>
      </w:r>
      <w:r w:rsidRPr="007B4B35">
        <w:t xml:space="preserve">fficer. An entry meeting was held </w:t>
      </w:r>
      <w:r w:rsidR="008107B5" w:rsidRPr="007B4B35">
        <w:t>with all providers to allow the opportunity to ask questions and seek clarifications</w:t>
      </w:r>
      <w:r w:rsidRPr="007B4B35">
        <w:t xml:space="preserve">. </w:t>
      </w:r>
    </w:p>
    <w:p w14:paraId="44F1D7B2" w14:textId="77777777" w:rsidR="00A1180A" w:rsidRDefault="008107B5" w:rsidP="00D771AD">
      <w:r w:rsidRPr="007B4B35">
        <w:t xml:space="preserve">Where a provider sought an extension </w:t>
      </w:r>
      <w:r w:rsidR="00D771AD" w:rsidRPr="007B4B35">
        <w:t>to the 14-calendar day timeline for response</w:t>
      </w:r>
      <w:r w:rsidR="00685DF9" w:rsidRPr="007B4B35">
        <w:t xml:space="preserve"> this was generally granted, particularly for COVID-19 reasons</w:t>
      </w:r>
      <w:r w:rsidR="00D771AD" w:rsidRPr="007B4B35">
        <w:t xml:space="preserve">. </w:t>
      </w:r>
    </w:p>
    <w:p w14:paraId="6A81601D" w14:textId="77777777" w:rsidR="00A1180A" w:rsidRDefault="00685DF9" w:rsidP="00D771AD">
      <w:r w:rsidRPr="007B4B35">
        <w:t xml:space="preserve">Almost all providers submitted constructive management responses. </w:t>
      </w:r>
    </w:p>
    <w:p w14:paraId="74E3D05B" w14:textId="0CEC90F3" w:rsidR="00D771AD" w:rsidRPr="007B4B35" w:rsidRDefault="00D771AD" w:rsidP="00D771AD">
      <w:r w:rsidRPr="007B4B35">
        <w:t>The following documentation was requested and reviewed where received from the provider as part of the Review:</w:t>
      </w:r>
    </w:p>
    <w:tbl>
      <w:tblPr>
        <w:tblStyle w:val="TableGrid"/>
        <w:tblW w:w="0" w:type="auto"/>
        <w:tblLook w:val="04A0" w:firstRow="1" w:lastRow="0" w:firstColumn="1" w:lastColumn="0" w:noHBand="0" w:noVBand="1"/>
      </w:tblPr>
      <w:tblGrid>
        <w:gridCol w:w="3539"/>
        <w:gridCol w:w="5238"/>
      </w:tblGrid>
      <w:tr w:rsidR="00D771AD" w:rsidRPr="007B4B35" w14:paraId="13B1CCDF" w14:textId="77777777" w:rsidTr="00674646">
        <w:trPr>
          <w:trHeight w:val="456"/>
          <w:tblHeader/>
        </w:trPr>
        <w:tc>
          <w:tcPr>
            <w:tcW w:w="3539" w:type="dxa"/>
            <w:vAlign w:val="center"/>
          </w:tcPr>
          <w:p w14:paraId="0B3FB2E3" w14:textId="77777777" w:rsidR="00D771AD" w:rsidRPr="00951DC6" w:rsidRDefault="00D771AD" w:rsidP="00674646">
            <w:pPr>
              <w:rPr>
                <w:b/>
              </w:rPr>
            </w:pPr>
            <w:r w:rsidRPr="00951DC6">
              <w:rPr>
                <w:b/>
              </w:rPr>
              <w:lastRenderedPageBreak/>
              <w:t>Documentation requested</w:t>
            </w:r>
          </w:p>
        </w:tc>
        <w:tc>
          <w:tcPr>
            <w:tcW w:w="5238" w:type="dxa"/>
            <w:vAlign w:val="center"/>
          </w:tcPr>
          <w:p w14:paraId="25BE6191" w14:textId="77777777" w:rsidR="00D771AD" w:rsidRPr="00951DC6" w:rsidRDefault="00D771AD" w:rsidP="00674646">
            <w:pPr>
              <w:rPr>
                <w:b/>
              </w:rPr>
            </w:pPr>
            <w:r w:rsidRPr="00951DC6">
              <w:rPr>
                <w:b/>
              </w:rPr>
              <w:t>Reviewing purpose</w:t>
            </w:r>
          </w:p>
        </w:tc>
      </w:tr>
      <w:tr w:rsidR="00D771AD" w:rsidRPr="007B4B35" w14:paraId="0F623801" w14:textId="77777777" w:rsidTr="00951DC6">
        <w:tc>
          <w:tcPr>
            <w:tcW w:w="3539" w:type="dxa"/>
          </w:tcPr>
          <w:p w14:paraId="448EDC4B" w14:textId="641C87BD" w:rsidR="00D771AD" w:rsidRPr="007B4B35" w:rsidRDefault="00D771AD" w:rsidP="00951DC6">
            <w:pPr>
              <w:pStyle w:val="ListParagraph"/>
              <w:numPr>
                <w:ilvl w:val="0"/>
                <w:numId w:val="14"/>
              </w:numPr>
            </w:pPr>
            <w:r w:rsidRPr="007B4B35">
              <w:t xml:space="preserve">the HCP provider policy, procedure or guidance material in relation to establishing charges (revenue) for HCP care recipients. When no such policy, procedure or guidance material existed, a narrative/description of the methodology was used in determining indirect and care management charges, including documentation which showed the charges were approved by an individual within the HCP provider with appropriate authority. </w:t>
            </w:r>
          </w:p>
        </w:tc>
        <w:tc>
          <w:tcPr>
            <w:tcW w:w="5238" w:type="dxa"/>
          </w:tcPr>
          <w:p w14:paraId="456AEE4F" w14:textId="77777777" w:rsidR="00A1180A" w:rsidRDefault="00D771AD" w:rsidP="00431096">
            <w:r w:rsidRPr="007B4B35">
              <w:t>This information was used to understand how indirect and care management charges are determined by the provider and was used as basis for checking consistency and accuracy of charges for the sample care recipients selected by the Review team.</w:t>
            </w:r>
          </w:p>
          <w:p w14:paraId="4CF9348F" w14:textId="78FB25AC" w:rsidR="00D771AD" w:rsidRPr="00951DC6" w:rsidRDefault="00D771AD" w:rsidP="00674646">
            <w:pPr>
              <w:rPr>
                <w:i/>
              </w:rPr>
            </w:pPr>
            <w:r w:rsidRPr="007B4B35">
              <w:t xml:space="preserve">The information was also used to understand whether the charges are consistent with departmental policies and guidance </w:t>
            </w:r>
            <w:r w:rsidRPr="00951DC6">
              <w:rPr>
                <w:i/>
              </w:rPr>
              <w:t>(</w:t>
            </w:r>
            <w:r w:rsidR="00A8166A">
              <w:rPr>
                <w:i/>
              </w:rPr>
              <w:t xml:space="preserve">Home Care </w:t>
            </w:r>
            <w:hyperlink r:id="rId50" w:history="1">
              <w:r w:rsidRPr="00951DC6">
                <w:rPr>
                  <w:rStyle w:val="Hyperlink"/>
                  <w:i/>
                </w:rPr>
                <w:t>Pricing Schedule Definitions</w:t>
              </w:r>
            </w:hyperlink>
            <w:r w:rsidRPr="00951DC6">
              <w:rPr>
                <w:rStyle w:val="Hyperlink"/>
                <w:i/>
              </w:rPr>
              <w:t xml:space="preserve"> </w:t>
            </w:r>
            <w:r w:rsidRPr="007B4B35">
              <w:t>and</w:t>
            </w:r>
            <w:r w:rsidRPr="00951DC6">
              <w:rPr>
                <w:i/>
              </w:rPr>
              <w:t xml:space="preserve"> </w:t>
            </w:r>
            <w:r w:rsidRPr="007B4B35">
              <w:t xml:space="preserve">the </w:t>
            </w:r>
            <w:r w:rsidRPr="00951DC6">
              <w:rPr>
                <w:i/>
              </w:rPr>
              <w:t xml:space="preserve">Home Care Packages </w:t>
            </w:r>
            <w:r w:rsidR="00A8166A">
              <w:rPr>
                <w:i/>
              </w:rPr>
              <w:t xml:space="preserve">Program Operational </w:t>
            </w:r>
            <w:r w:rsidRPr="00951DC6">
              <w:rPr>
                <w:i/>
              </w:rPr>
              <w:t xml:space="preserve">Manual </w:t>
            </w:r>
            <w:r w:rsidRPr="007B4B35">
              <w:t>content (as applicable to the publishing of indirect and care management charges).</w:t>
            </w:r>
          </w:p>
        </w:tc>
      </w:tr>
      <w:tr w:rsidR="00D771AD" w:rsidRPr="007B4B35" w14:paraId="1070868B" w14:textId="77777777" w:rsidTr="00951DC6">
        <w:tc>
          <w:tcPr>
            <w:tcW w:w="3539" w:type="dxa"/>
          </w:tcPr>
          <w:p w14:paraId="460B40F9" w14:textId="77777777" w:rsidR="00D771AD" w:rsidRPr="007B4B35" w:rsidRDefault="00D771AD" w:rsidP="00951DC6">
            <w:pPr>
              <w:pStyle w:val="ListParagraph"/>
              <w:numPr>
                <w:ilvl w:val="0"/>
                <w:numId w:val="14"/>
              </w:numPr>
            </w:pPr>
            <w:r w:rsidRPr="007B4B35">
              <w:t>an Excel file, which provided:</w:t>
            </w:r>
          </w:p>
          <w:p w14:paraId="38C87CA7" w14:textId="77777777" w:rsidR="00D771AD" w:rsidRPr="007B4B35" w:rsidRDefault="00D771AD" w:rsidP="00951DC6">
            <w:pPr>
              <w:pStyle w:val="ListParagraph"/>
              <w:ind w:left="360"/>
            </w:pPr>
            <w:r w:rsidRPr="007B4B35">
              <w:t>Table A:</w:t>
            </w:r>
          </w:p>
          <w:p w14:paraId="7E62F798" w14:textId="2A8B4B48" w:rsidR="00D771AD" w:rsidRDefault="00D771AD" w:rsidP="00995AF3">
            <w:pPr>
              <w:pStyle w:val="ListParagraph"/>
              <w:numPr>
                <w:ilvl w:val="2"/>
                <w:numId w:val="13"/>
              </w:numPr>
              <w:ind w:left="644"/>
            </w:pPr>
            <w:r w:rsidRPr="007B4B35">
              <w:t xml:space="preserve">HCP provider charges (revenue) for the period 1 July 2020 </w:t>
            </w:r>
            <w:r w:rsidR="000B5FF7">
              <w:t>to</w:t>
            </w:r>
            <w:r w:rsidRPr="007B4B35">
              <w:t xml:space="preserve"> 30 June 2021.</w:t>
            </w:r>
          </w:p>
          <w:p w14:paraId="35C175C2" w14:textId="3023F8AC" w:rsidR="00D771AD" w:rsidRPr="007B4B35" w:rsidRDefault="00D771AD" w:rsidP="000A4E23">
            <w:pPr>
              <w:pStyle w:val="ListParagraph"/>
              <w:numPr>
                <w:ilvl w:val="2"/>
                <w:numId w:val="13"/>
              </w:numPr>
              <w:ind w:left="644"/>
            </w:pPr>
            <w:r w:rsidRPr="007B4B35">
              <w:t>A description of the methodology applied by the HCP provider to determine HCP care recipient revenue rates for each charge (revenue)</w:t>
            </w:r>
            <w:r w:rsidR="000A4E23">
              <w:t>.</w:t>
            </w:r>
          </w:p>
          <w:p w14:paraId="4F090939" w14:textId="195D9B8B" w:rsidR="00D771AD" w:rsidRPr="007B4B35" w:rsidRDefault="00D771AD" w:rsidP="006F2BC0">
            <w:r w:rsidRPr="007B4B35">
              <w:t xml:space="preserve">Where a cost-based methodology was used, the calculations model </w:t>
            </w:r>
            <w:r w:rsidRPr="007B4B35">
              <w:lastRenderedPageBreak/>
              <w:t xml:space="preserve">developed by the HCP </w:t>
            </w:r>
            <w:r w:rsidR="00EB5253">
              <w:t>p</w:t>
            </w:r>
            <w:r w:rsidRPr="007B4B35">
              <w:t xml:space="preserve">rovider to determine charges (revenue) for HCP care recipients in accordance with item 1 (it was acknowledged not all HCP </w:t>
            </w:r>
            <w:r w:rsidR="006536EA">
              <w:t>p</w:t>
            </w:r>
            <w:r w:rsidRPr="007B4B35">
              <w:t>roviders would have created a model).</w:t>
            </w:r>
          </w:p>
        </w:tc>
        <w:tc>
          <w:tcPr>
            <w:tcW w:w="5238" w:type="dxa"/>
          </w:tcPr>
          <w:p w14:paraId="28B3AFEB" w14:textId="77777777" w:rsidR="00D771AD" w:rsidRPr="007B4B35" w:rsidRDefault="00D771AD" w:rsidP="00431096">
            <w:r w:rsidRPr="007B4B35">
              <w:lastRenderedPageBreak/>
              <w:t>This information was used to understand the percentage of each charge as a proportion of the total HCP revenue and the methodology applied by the HCP provider to determine these charges.</w:t>
            </w:r>
          </w:p>
        </w:tc>
      </w:tr>
      <w:tr w:rsidR="00D771AD" w:rsidRPr="007B4B35" w14:paraId="22C02420" w14:textId="77777777" w:rsidTr="00951DC6">
        <w:trPr>
          <w:cantSplit/>
        </w:trPr>
        <w:tc>
          <w:tcPr>
            <w:tcW w:w="3539" w:type="dxa"/>
          </w:tcPr>
          <w:p w14:paraId="47E63080" w14:textId="77777777" w:rsidR="00D771AD" w:rsidRPr="007B4B35" w:rsidRDefault="00D771AD" w:rsidP="00431096">
            <w:r w:rsidRPr="007B4B35">
              <w:t>and Table B:</w:t>
            </w:r>
          </w:p>
          <w:p w14:paraId="64DF8C91" w14:textId="77777777" w:rsidR="00D771AD" w:rsidRPr="007B4B35" w:rsidRDefault="00D771AD" w:rsidP="00951DC6">
            <w:pPr>
              <w:pStyle w:val="ListParagraph"/>
              <w:numPr>
                <w:ilvl w:val="2"/>
                <w:numId w:val="13"/>
              </w:numPr>
              <w:ind w:left="644"/>
            </w:pPr>
            <w:r w:rsidRPr="007B4B35">
              <w:t>HCP provider revenue for the sample of 10 care recipients selected for the Review, for each charge.</w:t>
            </w:r>
          </w:p>
        </w:tc>
        <w:tc>
          <w:tcPr>
            <w:tcW w:w="5238" w:type="dxa"/>
          </w:tcPr>
          <w:p w14:paraId="4F4EF2A9" w14:textId="607E825E" w:rsidR="00D771AD" w:rsidRPr="007B4B35" w:rsidRDefault="00D771AD" w:rsidP="00431096">
            <w:r w:rsidRPr="007B4B35">
              <w:t xml:space="preserve">This information was used to understand the percentage of each charge of the HCP subsidy for the Department’s selected sample care recipients and how this percentage compared to all care recipients in Table A, </w:t>
            </w:r>
            <w:r w:rsidRPr="00951DC6">
              <w:rPr>
                <w:i/>
              </w:rPr>
              <w:t>noting some variation between the two Tables was expected for various reasons, including circumstances of individual care recipients and the sample size.</w:t>
            </w:r>
            <w:r w:rsidRPr="007B4B35">
              <w:t xml:space="preserve"> </w:t>
            </w:r>
          </w:p>
        </w:tc>
      </w:tr>
      <w:tr w:rsidR="00D771AD" w:rsidRPr="007B4B35" w14:paraId="62111E26" w14:textId="77777777" w:rsidTr="00951DC6">
        <w:trPr>
          <w:cantSplit/>
        </w:trPr>
        <w:tc>
          <w:tcPr>
            <w:tcW w:w="3539" w:type="dxa"/>
          </w:tcPr>
          <w:p w14:paraId="08E13C2E" w14:textId="4B5D69AC" w:rsidR="00D771AD" w:rsidRPr="007B4B35" w:rsidRDefault="00D771AD" w:rsidP="00951DC6">
            <w:pPr>
              <w:pStyle w:val="ListParagraph"/>
              <w:numPr>
                <w:ilvl w:val="0"/>
                <w:numId w:val="14"/>
              </w:numPr>
            </w:pPr>
            <w:r w:rsidRPr="007B4B35">
              <w:t>the audited Financial Statements for the HCP provider. Where audited Financial Statements were not available, unaudited Financial Statements or Management Accounts or relevant Home Care Packages part of financial records were accepted.</w:t>
            </w:r>
          </w:p>
        </w:tc>
        <w:tc>
          <w:tcPr>
            <w:tcW w:w="5238" w:type="dxa"/>
          </w:tcPr>
          <w:p w14:paraId="43CE72A6" w14:textId="77777777" w:rsidR="00D771AD" w:rsidRPr="007B4B35" w:rsidRDefault="00D771AD" w:rsidP="00431096">
            <w:r w:rsidRPr="007B4B35">
              <w:t>This information was used to verify if the Total Revenue (earned from direct and indirect charges) in Table A agreed with the relevant revenue identified in the audited Financial Statements where available/accessible.</w:t>
            </w:r>
          </w:p>
        </w:tc>
      </w:tr>
      <w:tr w:rsidR="00D771AD" w:rsidRPr="007B4B35" w14:paraId="13F6AEBF" w14:textId="77777777" w:rsidTr="00951DC6">
        <w:tc>
          <w:tcPr>
            <w:tcW w:w="3539" w:type="dxa"/>
          </w:tcPr>
          <w:p w14:paraId="379327AC" w14:textId="0282B76D" w:rsidR="00D771AD" w:rsidRPr="007B4B35" w:rsidRDefault="00D771AD" w:rsidP="00951DC6">
            <w:pPr>
              <w:pStyle w:val="ListParagraph"/>
              <w:numPr>
                <w:ilvl w:val="0"/>
                <w:numId w:val="14"/>
              </w:numPr>
            </w:pPr>
            <w:r w:rsidRPr="007B4B35">
              <w:t xml:space="preserve">the signed </w:t>
            </w:r>
            <w:r w:rsidR="00A8166A">
              <w:t xml:space="preserve">Home </w:t>
            </w:r>
            <w:r w:rsidRPr="007B4B35">
              <w:t xml:space="preserve">Care Agreements, Care Plans, individualised budgets and relevant pricing schedule (if different from published </w:t>
            </w:r>
            <w:r w:rsidRPr="007B4B35">
              <w:lastRenderedPageBreak/>
              <w:t>pricing schedule) and monthly statements for the period 1 July 2020</w:t>
            </w:r>
            <w:r w:rsidR="000B5FF7">
              <w:t xml:space="preserve"> to</w:t>
            </w:r>
            <w:r w:rsidRPr="007B4B35">
              <w:t xml:space="preserve"> 30 June 2021 for the selected sample care recipients.</w:t>
            </w:r>
          </w:p>
        </w:tc>
        <w:tc>
          <w:tcPr>
            <w:tcW w:w="5238" w:type="dxa"/>
          </w:tcPr>
          <w:p w14:paraId="2365C81B" w14:textId="77777777" w:rsidR="00D771AD" w:rsidRPr="007B4B35" w:rsidRDefault="00D771AD" w:rsidP="00431096">
            <w:pPr>
              <w:rPr>
                <w:i/>
                <w:iCs/>
              </w:rPr>
            </w:pPr>
            <w:r w:rsidRPr="007B4B35">
              <w:lastRenderedPageBreak/>
              <w:t xml:space="preserve">This information was used to verify if the provider’s methodology was applied consistently and accurately across the sample care recipients, </w:t>
            </w:r>
            <w:r w:rsidRPr="00951DC6">
              <w:rPr>
                <w:i/>
              </w:rPr>
              <w:t xml:space="preserve">noting some variation was expected for various </w:t>
            </w:r>
            <w:r w:rsidRPr="00951DC6">
              <w:rPr>
                <w:i/>
              </w:rPr>
              <w:lastRenderedPageBreak/>
              <w:t>reasons, including circumstances of individual care recipients in the sample and the sample size.</w:t>
            </w:r>
          </w:p>
          <w:p w14:paraId="12BA6663" w14:textId="77777777" w:rsidR="00D771AD" w:rsidRPr="007B4B35" w:rsidRDefault="00D771AD" w:rsidP="00431096"/>
        </w:tc>
      </w:tr>
      <w:tr w:rsidR="004D3F10" w:rsidRPr="007B4B35" w14:paraId="6F9A0CB5" w14:textId="77777777" w:rsidTr="00951DC6">
        <w:tc>
          <w:tcPr>
            <w:tcW w:w="3539" w:type="dxa"/>
            <w:tcBorders>
              <w:top w:val="nil"/>
              <w:left w:val="single" w:sz="8" w:space="0" w:color="auto"/>
              <w:bottom w:val="single" w:sz="8" w:space="0" w:color="auto"/>
              <w:right w:val="single" w:sz="8" w:space="0" w:color="auto"/>
            </w:tcBorders>
          </w:tcPr>
          <w:p w14:paraId="3A198598" w14:textId="2E6A4B11" w:rsidR="00D771AD" w:rsidRPr="007B4B35" w:rsidRDefault="00D771AD" w:rsidP="00951DC6">
            <w:pPr>
              <w:pStyle w:val="ListParagraph"/>
              <w:numPr>
                <w:ilvl w:val="0"/>
                <w:numId w:val="14"/>
              </w:numPr>
            </w:pPr>
            <w:r w:rsidRPr="007B4B35">
              <w:lastRenderedPageBreak/>
              <w:t xml:space="preserve">In relation to the March 2021 monthly statement (or the last monthly statement where a HCP care recipient ceased their package during the period) verifiable information for all </w:t>
            </w:r>
            <w:r w:rsidRPr="00951DC6">
              <w:rPr>
                <w:u w:val="single"/>
              </w:rPr>
              <w:t>variable</w:t>
            </w:r>
            <w:r w:rsidRPr="007B4B35">
              <w:t xml:space="preserve"> indirect and care management charges (revenue) (e.g. log books, timesheets or another verifiable source). </w:t>
            </w:r>
          </w:p>
        </w:tc>
        <w:tc>
          <w:tcPr>
            <w:tcW w:w="5238" w:type="dxa"/>
            <w:tcBorders>
              <w:top w:val="nil"/>
              <w:left w:val="nil"/>
              <w:bottom w:val="single" w:sz="8" w:space="0" w:color="auto"/>
              <w:right w:val="single" w:sz="8" w:space="0" w:color="auto"/>
            </w:tcBorders>
          </w:tcPr>
          <w:p w14:paraId="0026E7DF" w14:textId="77777777" w:rsidR="00D771AD" w:rsidRPr="007B4B35" w:rsidRDefault="00D771AD" w:rsidP="00431096">
            <w:r w:rsidRPr="007B4B35">
              <w:t xml:space="preserve">This information was used to verify if the </w:t>
            </w:r>
            <w:r w:rsidRPr="00951DC6">
              <w:rPr>
                <w:u w:val="single"/>
              </w:rPr>
              <w:t>variable</w:t>
            </w:r>
            <w:r w:rsidRPr="007B4B35">
              <w:t xml:space="preserve"> indirect and care management charges were applied consistently and accurately as per the provider’s claimed methodology, where applicable.</w:t>
            </w:r>
          </w:p>
        </w:tc>
      </w:tr>
    </w:tbl>
    <w:p w14:paraId="216E817F" w14:textId="77777777" w:rsidR="00A1180A" w:rsidRDefault="00D771AD" w:rsidP="00D771AD">
      <w:r w:rsidRPr="007B4B35">
        <w:t xml:space="preserve">Once documentation was received, Review </w:t>
      </w:r>
      <w:r w:rsidR="00BF72A2">
        <w:t>o</w:t>
      </w:r>
      <w:r w:rsidRPr="007B4B35">
        <w:t>fficers commenced a desktop review using a standard worksheet to record the review process:</w:t>
      </w:r>
    </w:p>
    <w:p w14:paraId="40F75EFD" w14:textId="77777777" w:rsidR="00A1180A" w:rsidRDefault="00D771AD" w:rsidP="00674646">
      <w:pPr>
        <w:pStyle w:val="ListNumber"/>
      </w:pPr>
      <w:r w:rsidRPr="007B4B35">
        <w:t xml:space="preserve">Review </w:t>
      </w:r>
      <w:r w:rsidR="00D75F4F">
        <w:t>o</w:t>
      </w:r>
      <w:r w:rsidRPr="007B4B35">
        <w:t xml:space="preserve">fficers first reviewed the submitted documents to confirm that all requested information was provided for the Review. Providers were only contacted at this stage if there was not sufficient documentation to undertake the </w:t>
      </w:r>
      <w:r w:rsidR="00545B23">
        <w:t>R</w:t>
      </w:r>
      <w:r w:rsidRPr="007B4B35">
        <w:t>eview.  Providers were contacted where documentation was incomplete.</w:t>
      </w:r>
    </w:p>
    <w:p w14:paraId="6F432A4F" w14:textId="276AA2E1" w:rsidR="00D771AD" w:rsidRPr="007B4B35" w:rsidRDefault="00D771AD" w:rsidP="00674646">
      <w:pPr>
        <w:pStyle w:val="ListNumber"/>
      </w:pPr>
      <w:r w:rsidRPr="007B4B35">
        <w:t xml:space="preserve">Review </w:t>
      </w:r>
      <w:r w:rsidR="00D75F4F">
        <w:t>o</w:t>
      </w:r>
      <w:r w:rsidRPr="007B4B35">
        <w:t>fficers then reviewed the submitted documents to understand, consistent with the scope of the Review:</w:t>
      </w:r>
    </w:p>
    <w:p w14:paraId="7EBB044B" w14:textId="69027897" w:rsidR="00D771AD" w:rsidRPr="007B4B35" w:rsidRDefault="00D771AD" w:rsidP="00674646">
      <w:pPr>
        <w:pStyle w:val="List"/>
        <w:ind w:left="851" w:hanging="568"/>
      </w:pPr>
      <w:r w:rsidRPr="007B4B35">
        <w:t>2.1</w:t>
      </w:r>
      <w:r w:rsidR="00452C2A">
        <w:t>)</w:t>
      </w:r>
      <w:r w:rsidR="00452C2A">
        <w:tab/>
      </w:r>
      <w:r w:rsidRPr="007B4B35">
        <w:t xml:space="preserve">what HCP providers are charging for indirect and care management, </w:t>
      </w:r>
    </w:p>
    <w:p w14:paraId="67A0AB27" w14:textId="1ED9352A" w:rsidR="00D771AD" w:rsidRPr="007B4B35" w:rsidRDefault="00D771AD" w:rsidP="00674646">
      <w:pPr>
        <w:pStyle w:val="List"/>
        <w:ind w:left="851" w:hanging="568"/>
      </w:pPr>
      <w:r w:rsidRPr="007B4B35">
        <w:t>2.2</w:t>
      </w:r>
      <w:r w:rsidR="00452C2A">
        <w:t>)</w:t>
      </w:r>
      <w:r w:rsidR="00452C2A">
        <w:tab/>
      </w:r>
      <w:r w:rsidRPr="007B4B35">
        <w:t>why are they charging the amounts advised to the Department,</w:t>
      </w:r>
    </w:p>
    <w:p w14:paraId="19D2E564" w14:textId="5EEF1D5B" w:rsidR="00D771AD" w:rsidRPr="007B4B35" w:rsidRDefault="00D771AD" w:rsidP="00674646">
      <w:pPr>
        <w:pStyle w:val="List"/>
        <w:ind w:left="851" w:hanging="568"/>
      </w:pPr>
      <w:r w:rsidRPr="007B4B35">
        <w:t>2.3</w:t>
      </w:r>
      <w:r w:rsidR="00452C2A">
        <w:t>)</w:t>
      </w:r>
      <w:r w:rsidR="00452C2A">
        <w:tab/>
      </w:r>
      <w:r w:rsidRPr="007B4B35">
        <w:t xml:space="preserve">whether this is consistent with </w:t>
      </w:r>
      <w:r w:rsidR="007E6E6F">
        <w:t>d</w:t>
      </w:r>
      <w:r w:rsidRPr="007B4B35">
        <w:t>epartmental policies and guidelines, and,</w:t>
      </w:r>
    </w:p>
    <w:p w14:paraId="4BBACA72" w14:textId="77777777" w:rsidR="00A1180A" w:rsidRDefault="00D771AD" w:rsidP="00674646">
      <w:pPr>
        <w:pStyle w:val="List"/>
        <w:ind w:left="851" w:hanging="568"/>
      </w:pPr>
      <w:r w:rsidRPr="007B4B35">
        <w:t>2.4</w:t>
      </w:r>
      <w:r w:rsidR="00452C2A">
        <w:t>)</w:t>
      </w:r>
      <w:r w:rsidR="00452C2A">
        <w:tab/>
      </w:r>
      <w:r w:rsidRPr="007B4B35">
        <w:t>whether the provider’s methodology/statements can be verified.</w:t>
      </w:r>
    </w:p>
    <w:p w14:paraId="79913867" w14:textId="77777777" w:rsidR="00A1180A" w:rsidRDefault="00D771AD" w:rsidP="00674646">
      <w:pPr>
        <w:pStyle w:val="ListNumber"/>
      </w:pPr>
      <w:r w:rsidRPr="007B4B35">
        <w:t xml:space="preserve">Review </w:t>
      </w:r>
      <w:r w:rsidR="00BF72A2">
        <w:t>o</w:t>
      </w:r>
      <w:r w:rsidRPr="007B4B35">
        <w:t xml:space="preserve">fficers reviewed the detailed documentation supplied for the 10 care recipients to determine whether the care management and indirect charges were </w:t>
      </w:r>
      <w:r w:rsidRPr="007B4B35">
        <w:lastRenderedPageBreak/>
        <w:t xml:space="preserve">applied on a consistent and accurate basis in line with the provider’s methodology for these charges. This documentation was for a 12-month period. In addition, to verify that any variable care management/indirect service charges were applied consistently and accurately as per the HCP provider’s claimed methodology (for example, brokerage and travel charges that could be different for care recipients depending on the direct services received in the relevant month), Review officers used invoices (and other relevant information) from March 2021 for the sampled care recipients. </w:t>
      </w:r>
    </w:p>
    <w:p w14:paraId="1CF70008" w14:textId="77777777" w:rsidR="00A1180A" w:rsidRDefault="00D771AD" w:rsidP="00674646">
      <w:pPr>
        <w:pStyle w:val="ListNumber"/>
      </w:pPr>
      <w:r w:rsidRPr="007B4B35">
        <w:t xml:space="preserve">Review </w:t>
      </w:r>
      <w:r w:rsidR="00BF72A2">
        <w:t>o</w:t>
      </w:r>
      <w:r w:rsidRPr="007B4B35">
        <w:t xml:space="preserve">fficers contacted HCP providers either during fieldwork and/or during finalising the draft report to provide an opportunity to clarify any queries or supply additional information. </w:t>
      </w:r>
      <w:r w:rsidRPr="00674646">
        <w:t xml:space="preserve">Where </w:t>
      </w:r>
      <w:proofErr w:type="gramStart"/>
      <w:r w:rsidRPr="00674646">
        <w:t>a</w:t>
      </w:r>
      <w:proofErr w:type="gramEnd"/>
      <w:r w:rsidRPr="00674646">
        <w:t xml:space="preserve"> HCP provider’s response could not be included in the formal findings of the </w:t>
      </w:r>
      <w:r w:rsidR="00545B23" w:rsidRPr="00674646">
        <w:t>R</w:t>
      </w:r>
      <w:r w:rsidRPr="00674646">
        <w:t xml:space="preserve">eview, these have been noted in this report along with any comments from the HCP provider. </w:t>
      </w:r>
    </w:p>
    <w:p w14:paraId="18942B44" w14:textId="77777777" w:rsidR="00A1180A" w:rsidRDefault="00D771AD" w:rsidP="00674646">
      <w:pPr>
        <w:pStyle w:val="ListNumber"/>
      </w:pPr>
      <w:r w:rsidRPr="007B4B35">
        <w:t xml:space="preserve">Once the desktop </w:t>
      </w:r>
      <w:r w:rsidR="001A000B">
        <w:t>r</w:t>
      </w:r>
      <w:r w:rsidRPr="007B4B35">
        <w:t>eview was completed</w:t>
      </w:r>
      <w:r w:rsidR="007F45FF">
        <w:t>,</w:t>
      </w:r>
      <w:r w:rsidRPr="007B4B35">
        <w:t xml:space="preserve"> Review </w:t>
      </w:r>
      <w:r w:rsidR="00BF72A2">
        <w:t>o</w:t>
      </w:r>
      <w:r w:rsidRPr="007B4B35">
        <w:t>fficers prepared the individual HCP Provider Report using a standard template</w:t>
      </w:r>
      <w:r w:rsidRPr="00674646">
        <w:footnoteReference w:id="42"/>
      </w:r>
      <w:r w:rsidRPr="007B4B35">
        <w:t>. The draft report was reviewed for consistency and quality and then sent to the HCP provider ahead of an exit meeting with the Review team</w:t>
      </w:r>
      <w:r w:rsidR="00EC573F">
        <w:t>.</w:t>
      </w:r>
    </w:p>
    <w:p w14:paraId="211A01CD" w14:textId="77777777" w:rsidR="00A1180A" w:rsidRDefault="00D771AD" w:rsidP="00674646">
      <w:pPr>
        <w:pStyle w:val="ListNumber"/>
      </w:pPr>
      <w:r w:rsidRPr="007B4B35">
        <w:t xml:space="preserve">The issuing of a final report marked the formal conclusion of the Review for the </w:t>
      </w:r>
      <w:r w:rsidR="00A8166A">
        <w:t>A</w:t>
      </w:r>
      <w:r w:rsidRPr="007B4B35">
        <w:t xml:space="preserve">pproved </w:t>
      </w:r>
      <w:r w:rsidR="00A8166A">
        <w:t>P</w:t>
      </w:r>
      <w:r w:rsidRPr="007B4B35">
        <w:t xml:space="preserve">rovider. The </w:t>
      </w:r>
      <w:r w:rsidR="00A8166A">
        <w:t>A</w:t>
      </w:r>
      <w:r w:rsidRPr="007B4B35">
        <w:t xml:space="preserve">pproved </w:t>
      </w:r>
      <w:r w:rsidR="00A8166A">
        <w:t>P</w:t>
      </w:r>
      <w:r w:rsidRPr="007B4B35">
        <w:t>rovider received this Report following the exit meeting</w:t>
      </w:r>
      <w:r w:rsidR="001A000B">
        <w:t>. T</w:t>
      </w:r>
      <w:r w:rsidRPr="007B4B35">
        <w:t xml:space="preserve">he final report included any relevant management comments from the </w:t>
      </w:r>
      <w:r w:rsidR="00A8166A">
        <w:t>A</w:t>
      </w:r>
      <w:r w:rsidRPr="007B4B35">
        <w:t xml:space="preserve">pproved </w:t>
      </w:r>
      <w:r w:rsidR="00A8166A">
        <w:t>P</w:t>
      </w:r>
      <w:r w:rsidRPr="007B4B35">
        <w:t xml:space="preserve">rovider. Any consequent factual amendments have been made to this Report at the time of finalisation. </w:t>
      </w:r>
      <w:r w:rsidRPr="00674646">
        <w:t>Timeframes for finalising the draft reports were considerate of potential COVID-19 impacts on providers.</w:t>
      </w:r>
    </w:p>
    <w:p w14:paraId="5F874FD4" w14:textId="77777777" w:rsidR="00A1180A" w:rsidRDefault="00D771AD" w:rsidP="00674646">
      <w:pPr>
        <w:pStyle w:val="ListNumber"/>
      </w:pPr>
      <w:r w:rsidRPr="007B4B35">
        <w:t xml:space="preserve">The Department issued a public-facing summary report for the Review drawing on individual provider reports findings. </w:t>
      </w:r>
    </w:p>
    <w:p w14:paraId="6B908DC0" w14:textId="7DC3E724" w:rsidR="00984894" w:rsidRPr="00951DC6" w:rsidRDefault="00984894" w:rsidP="00674646">
      <w:pPr>
        <w:pStyle w:val="Heading3"/>
      </w:pPr>
      <w:r w:rsidRPr="00951DC6">
        <w:t>Natural justice for providers</w:t>
      </w:r>
    </w:p>
    <w:p w14:paraId="16836C3A" w14:textId="2B94BB17" w:rsidR="00D771AD" w:rsidRPr="007B4B35" w:rsidRDefault="00D771AD" w:rsidP="00D771AD">
      <w:r w:rsidRPr="007B4B35">
        <w:t xml:space="preserve">The Department has supported natural justice throughout the </w:t>
      </w:r>
      <w:r w:rsidR="00545B23">
        <w:t>R</w:t>
      </w:r>
      <w:r w:rsidRPr="007B4B35">
        <w:t xml:space="preserve">eview process for HCP providers. This included the following: </w:t>
      </w:r>
    </w:p>
    <w:p w14:paraId="4ADB9D2D" w14:textId="47CE414A" w:rsidR="00D771AD" w:rsidRPr="007B4B35" w:rsidRDefault="00EC573F" w:rsidP="00674646">
      <w:pPr>
        <w:pStyle w:val="ListNumber"/>
        <w:numPr>
          <w:ilvl w:val="0"/>
          <w:numId w:val="47"/>
        </w:numPr>
      </w:pPr>
      <w:r>
        <w:t>P</w:t>
      </w:r>
      <w:r w:rsidR="00D771AD" w:rsidRPr="007B4B35">
        <w:t>rovided detailed Terms of Reference for the Review prior to the entry meeting</w:t>
      </w:r>
      <w:r>
        <w:t>.</w:t>
      </w:r>
    </w:p>
    <w:p w14:paraId="66299259" w14:textId="440BB663" w:rsidR="00D771AD" w:rsidRPr="007B4B35" w:rsidRDefault="00EC573F" w:rsidP="00674646">
      <w:pPr>
        <w:pStyle w:val="ListNumber"/>
        <w:numPr>
          <w:ilvl w:val="0"/>
          <w:numId w:val="47"/>
        </w:numPr>
      </w:pPr>
      <w:r>
        <w:t>C</w:t>
      </w:r>
      <w:r w:rsidR="00D771AD" w:rsidRPr="007B4B35">
        <w:t>onducted entry meetings with HCP providers to answer questions about the Review before</w:t>
      </w:r>
      <w:r w:rsidR="00D771AD" w:rsidRPr="00674646">
        <w:rPr>
          <w:i/>
          <w:iCs/>
        </w:rPr>
        <w:t xml:space="preserve"> </w:t>
      </w:r>
      <w:r w:rsidR="00D771AD" w:rsidRPr="007B4B35">
        <w:t>the 14-day response time commenced</w:t>
      </w:r>
      <w:r>
        <w:t>.</w:t>
      </w:r>
    </w:p>
    <w:p w14:paraId="63E059B7" w14:textId="18B1D047" w:rsidR="00D771AD" w:rsidRPr="007B4B35" w:rsidRDefault="00EC573F" w:rsidP="00674646">
      <w:pPr>
        <w:pStyle w:val="ListNumber"/>
      </w:pPr>
      <w:r>
        <w:lastRenderedPageBreak/>
        <w:t>A</w:t>
      </w:r>
      <w:r w:rsidR="00D771AD" w:rsidRPr="007B4B35">
        <w:t>llowed a minimum of 14 days for supply of documentation and granted extensions where relevant based on justification provided, noting most extension requests were granted</w:t>
      </w:r>
      <w:r>
        <w:t>.</w:t>
      </w:r>
    </w:p>
    <w:p w14:paraId="30DEA536" w14:textId="2DA133D7" w:rsidR="00D771AD" w:rsidRPr="007B4B35" w:rsidRDefault="00EC573F" w:rsidP="00674646">
      <w:pPr>
        <w:pStyle w:val="ListNumber"/>
      </w:pPr>
      <w:r>
        <w:t>S</w:t>
      </w:r>
      <w:r w:rsidR="00D771AD" w:rsidRPr="007B4B35">
        <w:t xml:space="preserve">ought additional information or clarification where Review </w:t>
      </w:r>
      <w:r w:rsidR="006536EA">
        <w:t>o</w:t>
      </w:r>
      <w:r w:rsidR="00D771AD" w:rsidRPr="007B4B35">
        <w:t xml:space="preserve">fficers were unclear on documentation provided, either during fieldwork and/or during finalising the draft report. In instances where a provider’s clarification was contrary to the Department’s findings, this has been covered in the final </w:t>
      </w:r>
      <w:r w:rsidR="00A8166A">
        <w:t>I</w:t>
      </w:r>
      <w:r w:rsidR="00D771AD" w:rsidRPr="007B4B35">
        <w:t xml:space="preserve">ndividual </w:t>
      </w:r>
      <w:r w:rsidR="00A8166A">
        <w:t>HCP P</w:t>
      </w:r>
      <w:r w:rsidR="00D771AD" w:rsidRPr="007B4B35">
        <w:t xml:space="preserve">rovider </w:t>
      </w:r>
      <w:r w:rsidR="00A8166A">
        <w:t>R</w:t>
      </w:r>
      <w:r w:rsidR="00D771AD" w:rsidRPr="007B4B35">
        <w:t>eport</w:t>
      </w:r>
      <w:r>
        <w:t>.</w:t>
      </w:r>
    </w:p>
    <w:p w14:paraId="6874D963" w14:textId="4B0F9D2C" w:rsidR="00D771AD" w:rsidRPr="007B4B35" w:rsidRDefault="00EC573F" w:rsidP="00674646">
      <w:pPr>
        <w:pStyle w:val="ListNumber"/>
      </w:pPr>
      <w:r>
        <w:t>P</w:t>
      </w:r>
      <w:r w:rsidR="00D771AD" w:rsidRPr="007B4B35">
        <w:t xml:space="preserve">rovided a draft copy of the Individual HCP Provider Report with sufficient time to respond with any concerns </w:t>
      </w:r>
      <w:r w:rsidR="001B6E42">
        <w:t>–</w:t>
      </w:r>
      <w:r w:rsidR="00A8166A">
        <w:t xml:space="preserve"> </w:t>
      </w:r>
      <w:r w:rsidR="00D771AD" w:rsidRPr="007B4B35">
        <w:t>all requested extensions were granted</w:t>
      </w:r>
      <w:r>
        <w:t>.</w:t>
      </w:r>
    </w:p>
    <w:p w14:paraId="65C4A3D2" w14:textId="6823E383" w:rsidR="00D771AD" w:rsidRPr="007B4B35" w:rsidRDefault="00EC573F" w:rsidP="00674646">
      <w:pPr>
        <w:pStyle w:val="ListNumber"/>
      </w:pPr>
      <w:r>
        <w:t>O</w:t>
      </w:r>
      <w:r w:rsidR="00D771AD" w:rsidRPr="007B4B35">
        <w:t>ffered an exit meeting to discuss the draft Individual HCP Provider Report</w:t>
      </w:r>
      <w:r>
        <w:t>.</w:t>
      </w:r>
    </w:p>
    <w:p w14:paraId="43CDAEF8" w14:textId="6852C20B" w:rsidR="00D771AD" w:rsidRPr="007B4B35" w:rsidRDefault="00EC573F" w:rsidP="00674646">
      <w:pPr>
        <w:pStyle w:val="ListNumber"/>
      </w:pPr>
      <w:r>
        <w:t>I</w:t>
      </w:r>
      <w:r w:rsidR="00D771AD" w:rsidRPr="007B4B35">
        <w:t>ncorporated comments from the HCP provider where appropriate and/or amended the draft report’s findings (e.g., factual errors and recording the management response)</w:t>
      </w:r>
      <w:r>
        <w:t>.</w:t>
      </w:r>
    </w:p>
    <w:p w14:paraId="44BE275A" w14:textId="4398BADC" w:rsidR="00D771AD" w:rsidRPr="007B4B35" w:rsidRDefault="00EC573F" w:rsidP="00674646">
      <w:pPr>
        <w:pStyle w:val="ListNumber"/>
      </w:pPr>
      <w:bookmarkStart w:id="37" w:name="_Hlk108978614"/>
      <w:r>
        <w:t>E</w:t>
      </w:r>
      <w:r w:rsidR="00D771AD" w:rsidRPr="007B4B35">
        <w:t xml:space="preserve">ach provider was made aware through the process of finalising individual reports that there were </w:t>
      </w:r>
      <w:r w:rsidR="00545B23">
        <w:t>R</w:t>
      </w:r>
      <w:r w:rsidR="00D771AD" w:rsidRPr="007B4B35">
        <w:t xml:space="preserve">eview observations/findings in their report that could be included in the public-facing summary report and attributed to them (i.e., relevant providers could be named in the summary report against relevant findings). </w:t>
      </w:r>
      <w:bookmarkEnd w:id="37"/>
      <w:r w:rsidR="00D771AD" w:rsidRPr="007B4B35">
        <w:t>Providers were given an opportunity to review these findings as part of the process of finalising</w:t>
      </w:r>
      <w:r w:rsidR="00D771AD" w:rsidRPr="007B4B35">
        <w:rPr>
          <w:rStyle w:val="FootnoteReference"/>
        </w:rPr>
        <w:footnoteReference w:id="43"/>
      </w:r>
      <w:r w:rsidR="00D771AD" w:rsidRPr="007B4B35">
        <w:t xml:space="preserve"> their individual report. Providers were aware that this was their only opportunity to review these potentially public-facing observations</w:t>
      </w:r>
      <w:r>
        <w:t>.</w:t>
      </w:r>
    </w:p>
    <w:p w14:paraId="4DF87791" w14:textId="1C4E9786" w:rsidR="00D771AD" w:rsidRPr="007B4B35" w:rsidRDefault="00EC573F" w:rsidP="00674646">
      <w:pPr>
        <w:pStyle w:val="ListNumber"/>
        <w:numPr>
          <w:ilvl w:val="0"/>
          <w:numId w:val="0"/>
        </w:numPr>
        <w:ind w:left="360"/>
      </w:pPr>
      <w:r>
        <w:t>H</w:t>
      </w:r>
      <w:r w:rsidR="00D771AD" w:rsidRPr="007B4B35">
        <w:t xml:space="preserve">owever, the Department further refined this process and, as this was the first </w:t>
      </w:r>
      <w:r w:rsidR="00545B23">
        <w:t>R</w:t>
      </w:r>
      <w:r w:rsidR="00D771AD" w:rsidRPr="007B4B35">
        <w:t xml:space="preserve">eview, all participating providers were issued an embargoed final summary report. Therefore, the public summary content was removed from </w:t>
      </w:r>
      <w:r w:rsidR="000B58F4" w:rsidRPr="007B4B35">
        <w:t xml:space="preserve">Individual Provider Reports </w:t>
      </w:r>
      <w:r w:rsidR="00D771AD" w:rsidRPr="007B4B35">
        <w:t>at the time of issuing those reports as final</w:t>
      </w:r>
      <w:r w:rsidR="007F45FF">
        <w:t>.</w:t>
      </w:r>
    </w:p>
    <w:p w14:paraId="028EF7E1" w14:textId="32172589" w:rsidR="00674646" w:rsidRDefault="00EC573F" w:rsidP="00A90039">
      <w:pPr>
        <w:pStyle w:val="ListNumber"/>
      </w:pPr>
      <w:r w:rsidRPr="007B4B35">
        <w:t>E</w:t>
      </w:r>
      <w:r>
        <w:t>s</w:t>
      </w:r>
      <w:r w:rsidR="00D771AD" w:rsidRPr="007B4B35">
        <w:t xml:space="preserve">tablished and shared a dispute resolution process detailed in the HCP </w:t>
      </w:r>
      <w:r w:rsidR="000B58F4">
        <w:t>P</w:t>
      </w:r>
      <w:r w:rsidR="00D771AD" w:rsidRPr="007B4B35">
        <w:t xml:space="preserve">rogram </w:t>
      </w:r>
      <w:r w:rsidR="000B58F4">
        <w:t>A</w:t>
      </w:r>
      <w:r w:rsidR="00D771AD" w:rsidRPr="007B4B35">
        <w:t xml:space="preserve">ssurance </w:t>
      </w:r>
      <w:r w:rsidR="000B58F4">
        <w:t>F</w:t>
      </w:r>
      <w:r w:rsidR="00D771AD" w:rsidRPr="007B4B35">
        <w:t>ramework.</w:t>
      </w:r>
      <w:r w:rsidR="00674646">
        <w:br w:type="page"/>
      </w:r>
    </w:p>
    <w:p w14:paraId="57A1158B" w14:textId="77777777" w:rsidR="00A1180A" w:rsidRDefault="00542EAD" w:rsidP="00674646">
      <w:pPr>
        <w:pStyle w:val="Heading2"/>
        <w:numPr>
          <w:ilvl w:val="0"/>
          <w:numId w:val="0"/>
        </w:numPr>
      </w:pPr>
      <w:bookmarkStart w:id="38" w:name="_Attachment_B:_Distribution"/>
      <w:bookmarkStart w:id="39" w:name="_Toc105687969"/>
      <w:bookmarkStart w:id="40" w:name="_Toc111803171"/>
      <w:bookmarkEnd w:id="38"/>
      <w:r w:rsidRPr="0058217F">
        <w:lastRenderedPageBreak/>
        <w:t xml:space="preserve">Attachment B: </w:t>
      </w:r>
      <w:bookmarkEnd w:id="39"/>
      <w:r w:rsidRPr="006F3001">
        <w:t>Distribution of median fortnightly charges across the 100 Providers reviewed</w:t>
      </w:r>
      <w:bookmarkEnd w:id="40"/>
    </w:p>
    <w:p w14:paraId="5ADC8B25" w14:textId="77777777" w:rsidR="00A1180A" w:rsidRDefault="00542EAD" w:rsidP="00542EAD">
      <w:r>
        <w:t xml:space="preserve">The distribution of </w:t>
      </w:r>
      <w:r w:rsidRPr="00951DC6">
        <w:t>median fortnightly</w:t>
      </w:r>
      <w:r>
        <w:t xml:space="preserve"> fully managed care management, self-managed care management and package management prices for the 100 </w:t>
      </w:r>
      <w:r w:rsidR="0082600D">
        <w:t>p</w:t>
      </w:r>
      <w:r>
        <w:t xml:space="preserve">roviders reviewed, published on My Aged Care as of 31 May 2022, are presented below. </w:t>
      </w:r>
      <w:r w:rsidRPr="00C05F88">
        <w:t>There are approximately 1,</w:t>
      </w:r>
      <w:r w:rsidR="00DB01FF">
        <w:t>400</w:t>
      </w:r>
      <w:r w:rsidRPr="00C05F88">
        <w:t xml:space="preserve"> </w:t>
      </w:r>
      <w:r w:rsidR="0082600D">
        <w:t>s</w:t>
      </w:r>
      <w:r w:rsidRPr="00C05F88">
        <w:t xml:space="preserve">ervices across the 100 </w:t>
      </w:r>
      <w:r w:rsidR="0082600D">
        <w:t>p</w:t>
      </w:r>
      <w:r w:rsidRPr="00C05F88">
        <w:t xml:space="preserve">roviders on My Aged Care. Median prices for each service type and level are derived for each of the 100 </w:t>
      </w:r>
      <w:r w:rsidR="0082600D">
        <w:t>p</w:t>
      </w:r>
      <w:r w:rsidRPr="00C05F88">
        <w:t>roviders to form the distributions (fully managed care management Levels 1 to 4, self-managed care management Levels 1 to 4 and package management Levels 1 to 4).</w:t>
      </w:r>
      <w:r>
        <w:t xml:space="preserve"> Box and whisker plots are used to depict each of the distribution. The middle 50% of the distribution is represented by the box with the first quartile</w:t>
      </w:r>
      <w:r>
        <w:rPr>
          <w:rStyle w:val="FootnoteReference"/>
        </w:rPr>
        <w:footnoteReference w:id="44"/>
      </w:r>
      <w:r>
        <w:t xml:space="preserve"> (Q1) and third quartile</w:t>
      </w:r>
      <w:r>
        <w:rPr>
          <w:rStyle w:val="FootnoteReference"/>
        </w:rPr>
        <w:footnoteReference w:id="45"/>
      </w:r>
      <w:r>
        <w:t xml:space="preserve"> (Q3) enclosing the median line (Q2). The whiskers extend to the lowest and highest </w:t>
      </w:r>
      <w:r w:rsidRPr="00B16370">
        <w:rPr>
          <w:b/>
          <w:bCs/>
        </w:rPr>
        <w:t>median</w:t>
      </w:r>
      <w:r>
        <w:t xml:space="preserve"> </w:t>
      </w:r>
      <w:r w:rsidRPr="00B16370">
        <w:rPr>
          <w:b/>
          <w:bCs/>
        </w:rPr>
        <w:t>prices</w:t>
      </w:r>
      <w:r>
        <w:t xml:space="preserve"> in the distribution for each HCP level. F</w:t>
      </w:r>
      <w:r w:rsidRPr="00865D2A">
        <w:t>actors</w:t>
      </w:r>
      <w:r>
        <w:t xml:space="preserve"> such as </w:t>
      </w:r>
      <w:r w:rsidRPr="00865D2A">
        <w:t xml:space="preserve">type and duration of support and services, remoteness, care recipient mix, provider profile, cultural differences, chronic conditions, and others </w:t>
      </w:r>
      <w:r>
        <w:t>that may</w:t>
      </w:r>
      <w:r w:rsidRPr="00865D2A">
        <w:t xml:space="preserve"> </w:t>
      </w:r>
      <w:r>
        <w:t xml:space="preserve">also </w:t>
      </w:r>
      <w:r w:rsidRPr="00865D2A">
        <w:t xml:space="preserve">impact </w:t>
      </w:r>
      <w:r>
        <w:t>charges</w:t>
      </w:r>
      <w:r w:rsidRPr="00865D2A">
        <w:t xml:space="preserve"> for service delivery on the ground</w:t>
      </w:r>
      <w:r>
        <w:t>, are not considered in this analysis</w:t>
      </w:r>
      <w:r w:rsidRPr="00865D2A">
        <w:t>.</w:t>
      </w:r>
    </w:p>
    <w:p w14:paraId="0E6C2337" w14:textId="77777777" w:rsidR="00A1180A" w:rsidRDefault="00542EAD" w:rsidP="00542EAD">
      <w:r w:rsidRPr="00C15139">
        <w:rPr>
          <w:noProof/>
        </w:rPr>
        <w:drawing>
          <wp:inline distT="0" distB="0" distL="0" distR="0" wp14:anchorId="7DD96EF8" wp14:editId="4038B04D">
            <wp:extent cx="5579745" cy="1586215"/>
            <wp:effectExtent l="0" t="0" r="1905" b="0"/>
            <wp:docPr id="4" name="Picture 4" descr="Chart showing lowest median price, first quartile, Median, third quartile and highest median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howing lowest median price, first quartile, Median, third quartile and highest median pric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79745" cy="1586215"/>
                    </a:xfrm>
                    <a:prstGeom prst="rect">
                      <a:avLst/>
                    </a:prstGeom>
                    <a:noFill/>
                    <a:ln>
                      <a:noFill/>
                    </a:ln>
                  </pic:spPr>
                </pic:pic>
              </a:graphicData>
            </a:graphic>
          </wp:inline>
        </w:drawing>
      </w:r>
    </w:p>
    <w:p w14:paraId="7848224B" w14:textId="5AD00F09" w:rsidR="00542EAD" w:rsidRPr="00951DC6" w:rsidRDefault="00542EAD" w:rsidP="00DC0F55">
      <w:pPr>
        <w:pStyle w:val="Heading3"/>
      </w:pPr>
      <w:r w:rsidRPr="00951DC6">
        <w:lastRenderedPageBreak/>
        <w:t>Median fully managed care management charges</w:t>
      </w:r>
    </w:p>
    <w:p w14:paraId="02587CC7" w14:textId="77777777" w:rsidR="00542EAD" w:rsidRPr="00803687" w:rsidRDefault="00542EAD" w:rsidP="00542EAD">
      <w:pPr>
        <w:rPr>
          <w:b/>
          <w:bCs/>
          <w:sz w:val="16"/>
          <w:szCs w:val="16"/>
        </w:rPr>
      </w:pPr>
      <w:r>
        <w:rPr>
          <w:noProof/>
        </w:rPr>
        <w:drawing>
          <wp:inline distT="0" distB="0" distL="0" distR="0" wp14:anchorId="53057D30" wp14:editId="092C52F0">
            <wp:extent cx="5524248" cy="2407920"/>
            <wp:effectExtent l="0" t="0" r="635" b="0"/>
            <wp:docPr id="30" name="Picture 30" descr="Distribution of median fully managed care management charges for the 100 providers (May 2022 prices).&#10;&#10;This chart shows providers' median fortnightly charges by home care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istribution of median fully managed care management charges for the 100 providers (May 2022 prices).&#10;&#10;This chart shows providers' median fortnightly charges by home care packag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86286" cy="2434961"/>
                    </a:xfrm>
                    <a:prstGeom prst="rect">
                      <a:avLst/>
                    </a:prstGeom>
                    <a:noFill/>
                    <a:ln>
                      <a:noFill/>
                    </a:ln>
                  </pic:spPr>
                </pic:pic>
              </a:graphicData>
            </a:graphic>
          </wp:inline>
        </w:drawing>
      </w:r>
    </w:p>
    <w:p w14:paraId="17B79691" w14:textId="77777777" w:rsidR="00542EAD" w:rsidRPr="00E66822" w:rsidRDefault="00542EAD" w:rsidP="00542EAD">
      <w:pPr>
        <w:spacing w:after="60"/>
        <w:rPr>
          <w:sz w:val="16"/>
          <w:szCs w:val="16"/>
        </w:rPr>
      </w:pPr>
      <w:r w:rsidRPr="00E66822">
        <w:rPr>
          <w:sz w:val="16"/>
          <w:szCs w:val="16"/>
        </w:rPr>
        <w:t>Levels 1</w:t>
      </w:r>
      <w:r>
        <w:rPr>
          <w:sz w:val="16"/>
          <w:szCs w:val="16"/>
        </w:rPr>
        <w:t xml:space="preserve">, </w:t>
      </w:r>
      <w:r w:rsidRPr="00E66822">
        <w:rPr>
          <w:sz w:val="16"/>
          <w:szCs w:val="16"/>
        </w:rPr>
        <w:t>2</w:t>
      </w:r>
      <w:r>
        <w:rPr>
          <w:sz w:val="16"/>
          <w:szCs w:val="16"/>
        </w:rPr>
        <w:t>, 3 and 4</w:t>
      </w:r>
      <w:r w:rsidRPr="00E66822">
        <w:rPr>
          <w:sz w:val="16"/>
          <w:szCs w:val="16"/>
        </w:rPr>
        <w:t xml:space="preserve"> (n=</w:t>
      </w:r>
      <w:r>
        <w:rPr>
          <w:sz w:val="16"/>
          <w:szCs w:val="16"/>
        </w:rPr>
        <w:t>98</w:t>
      </w:r>
      <w:r w:rsidRPr="00E66822">
        <w:rPr>
          <w:sz w:val="16"/>
          <w:szCs w:val="16"/>
        </w:rPr>
        <w:t>)</w:t>
      </w:r>
    </w:p>
    <w:p w14:paraId="52D406F6" w14:textId="77777777" w:rsidR="00A1180A" w:rsidRDefault="00542EAD" w:rsidP="00542EAD">
      <w:pPr>
        <w:jc w:val="center"/>
        <w:rPr>
          <w:b/>
          <w:bCs/>
          <w:sz w:val="6"/>
          <w:szCs w:val="6"/>
        </w:rPr>
      </w:pPr>
      <w:r>
        <w:rPr>
          <w:noProof/>
        </w:rPr>
        <w:drawing>
          <wp:inline distT="0" distB="0" distL="0" distR="0" wp14:anchorId="6C122885" wp14:editId="20F075CE">
            <wp:extent cx="5579745" cy="1074595"/>
            <wp:effectExtent l="0" t="0" r="1905" b="0"/>
            <wp:docPr id="22" name="Picture 22" descr="Distribution of median fully managed care management charges for the 100 providers (May 2022 prices).&#10;Fully managed by provider per fortnight level 1 – Lowest median price - $0, first quartile, $48, median $55, third quartile - $65, Highest median prices - $103&#10;Fully managed by provider per fortnight level 2 – Lowest median price - $0, first quartile, $84, median $98, third quartile - $115, Highest median prices - $160&#10;Fully managed by provider per fortnight level 3 – Lowest median price - $0, first quartile, $171, median $208, third quartile - $236, Highest median prices - $360&#10;Fully managed by provider per fortnight level 4 – Lowest median price - $0, first quartile, $259, median $309, third quartile - $356, Highest median prices -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stribution of median fully managed care management charges for the 100 providers (May 2022 prices).&#10;Fully managed by provider per fortnight level 1 – Lowest median price - $0, first quartile, $48, median $55, third quartile - $65, Highest median prices - $103&#10;Fully managed by provider per fortnight level 2 – Lowest median price - $0, first quartile, $84, median $98, third quartile - $115, Highest median prices - $160&#10;Fully managed by provider per fortnight level 3 – Lowest median price - $0, first quartile, $171, median $208, third quartile - $236, Highest median prices - $360&#10;Fully managed by provider per fortnight level 4 – Lowest median price - $0, first quartile, $259, median $309, third quartile - $356, Highest median prices - $600."/>
                    <pic:cNvPicPr>
                      <a:picLocks noChangeAspect="1" noChangeArrowheads="1"/>
                    </pic:cNvPicPr>
                  </pic:nvPicPr>
                  <pic:blipFill rotWithShape="1">
                    <a:blip r:embed="rId53">
                      <a:extLst>
                        <a:ext uri="{28A0092B-C50C-407E-A947-70E740481C1C}">
                          <a14:useLocalDpi xmlns:a14="http://schemas.microsoft.com/office/drawing/2010/main" val="0"/>
                        </a:ext>
                      </a:extLst>
                    </a:blip>
                    <a:srcRect r="6172" b="58663"/>
                    <a:stretch/>
                  </pic:blipFill>
                  <pic:spPr bwMode="auto">
                    <a:xfrm>
                      <a:off x="0" y="0"/>
                      <a:ext cx="5579745" cy="1074595"/>
                    </a:xfrm>
                    <a:prstGeom prst="rect">
                      <a:avLst/>
                    </a:prstGeom>
                    <a:noFill/>
                    <a:ln>
                      <a:noFill/>
                    </a:ln>
                    <a:extLst>
                      <a:ext uri="{53640926-AAD7-44D8-BBD7-CCE9431645EC}">
                        <a14:shadowObscured xmlns:a14="http://schemas.microsoft.com/office/drawing/2010/main"/>
                      </a:ext>
                    </a:extLst>
                  </pic:spPr>
                </pic:pic>
              </a:graphicData>
            </a:graphic>
          </wp:inline>
        </w:drawing>
      </w:r>
    </w:p>
    <w:p w14:paraId="6E8A81B8" w14:textId="658FA5AF" w:rsidR="00542EAD" w:rsidRDefault="00542EAD" w:rsidP="00542EAD">
      <w:pPr>
        <w:spacing w:after="60"/>
      </w:pPr>
      <w:r>
        <w:t xml:space="preserve">Median fully managed care management charges across the 100 </w:t>
      </w:r>
      <w:r w:rsidR="002F1370">
        <w:t>p</w:t>
      </w:r>
      <w:r>
        <w:t xml:space="preserve">roviders ranged from: </w:t>
      </w:r>
    </w:p>
    <w:p w14:paraId="529F6794" w14:textId="77777777" w:rsidR="00542EAD" w:rsidRDefault="00542EAD" w:rsidP="00DC0F55">
      <w:pPr>
        <w:pStyle w:val="ListBullet"/>
      </w:pPr>
      <w:r>
        <w:t>$0 to $103 for HCP Level 1,</w:t>
      </w:r>
    </w:p>
    <w:p w14:paraId="48557CCB" w14:textId="77777777" w:rsidR="00542EAD" w:rsidRDefault="00542EAD" w:rsidP="00DC0F55">
      <w:pPr>
        <w:pStyle w:val="ListBullet"/>
      </w:pPr>
      <w:r>
        <w:t>$0 to $160 for HCP Level 2,</w:t>
      </w:r>
    </w:p>
    <w:p w14:paraId="12A16465" w14:textId="77777777" w:rsidR="00542EAD" w:rsidRDefault="00542EAD" w:rsidP="00DC0F55">
      <w:pPr>
        <w:pStyle w:val="ListBullet"/>
      </w:pPr>
      <w:r>
        <w:t>$0 to $360 for HCP Level 3, and</w:t>
      </w:r>
    </w:p>
    <w:p w14:paraId="549538B4" w14:textId="77777777" w:rsidR="00542EAD" w:rsidRDefault="00542EAD" w:rsidP="00DC0F55">
      <w:pPr>
        <w:pStyle w:val="ListBullet"/>
      </w:pPr>
      <w:r>
        <w:t>$0 to $600 for HCP Level 4.</w:t>
      </w:r>
    </w:p>
    <w:p w14:paraId="7BAD2C33" w14:textId="77777777" w:rsidR="00542EAD" w:rsidRDefault="00542EAD" w:rsidP="00542EAD">
      <w:r>
        <w:t>The table below presents the number of providers reviewed in each of the pricing groups for fully managed care management charges.</w:t>
      </w:r>
    </w:p>
    <w:tbl>
      <w:tblPr>
        <w:tblW w:w="9300" w:type="dxa"/>
        <w:tblCellMar>
          <w:top w:w="57" w:type="dxa"/>
          <w:left w:w="57" w:type="dxa"/>
          <w:bottom w:w="57" w:type="dxa"/>
          <w:right w:w="57" w:type="dxa"/>
        </w:tblCellMar>
        <w:tblLook w:val="04A0" w:firstRow="1" w:lastRow="0" w:firstColumn="1" w:lastColumn="0" w:noHBand="0" w:noVBand="1"/>
      </w:tblPr>
      <w:tblGrid>
        <w:gridCol w:w="1620"/>
        <w:gridCol w:w="1620"/>
        <w:gridCol w:w="1620"/>
        <w:gridCol w:w="1620"/>
        <w:gridCol w:w="2820"/>
      </w:tblGrid>
      <w:tr w:rsidR="00DC0F55" w:rsidRPr="00DC0F55" w14:paraId="3331CA63" w14:textId="77777777" w:rsidTr="0054533D">
        <w:trPr>
          <w:trHeight w:val="750"/>
          <w:tblHeader/>
        </w:trPr>
        <w:tc>
          <w:tcPr>
            <w:tcW w:w="1620" w:type="dxa"/>
            <w:tcBorders>
              <w:top w:val="nil"/>
              <w:left w:val="nil"/>
              <w:bottom w:val="single" w:sz="12" w:space="0" w:color="FFFFFF"/>
              <w:right w:val="single" w:sz="4" w:space="0" w:color="FFFFFF"/>
            </w:tcBorders>
            <w:shd w:val="clear" w:color="5B9BD5" w:fill="5B9BD5"/>
            <w:vAlign w:val="center"/>
            <w:hideMark/>
          </w:tcPr>
          <w:p w14:paraId="3D85A66D" w14:textId="77777777" w:rsidR="00542EAD" w:rsidRPr="00DC0F55" w:rsidRDefault="00542EAD" w:rsidP="00DC0F55">
            <w:pPr>
              <w:pStyle w:val="NoSpacing"/>
              <w:rPr>
                <w:b/>
                <w:bCs/>
                <w:color w:val="FFFFFF" w:themeColor="background1"/>
              </w:rPr>
            </w:pPr>
            <w:r w:rsidRPr="00DC0F55">
              <w:rPr>
                <w:b/>
                <w:bCs/>
                <w:color w:val="FFFFFF" w:themeColor="background1"/>
              </w:rPr>
              <w:t>Number of Providers</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4B4E6DDA" w14:textId="77777777" w:rsidR="00542EAD" w:rsidRPr="00DC0F55" w:rsidRDefault="00542EAD" w:rsidP="00DC0F55">
            <w:pPr>
              <w:pStyle w:val="NoSpacing"/>
              <w:rPr>
                <w:b/>
                <w:bCs/>
                <w:color w:val="FFFFFF" w:themeColor="background1"/>
              </w:rPr>
            </w:pPr>
            <w:r w:rsidRPr="00DC0F55">
              <w:rPr>
                <w:b/>
                <w:bCs/>
                <w:color w:val="FFFFFF" w:themeColor="background1"/>
              </w:rPr>
              <w:t>Below First Quartile (Q1)</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1AD91E43" w14:textId="77777777" w:rsidR="00542EAD" w:rsidRPr="00DC0F55" w:rsidRDefault="00542EAD" w:rsidP="00DC0F55">
            <w:pPr>
              <w:pStyle w:val="NoSpacing"/>
              <w:rPr>
                <w:b/>
                <w:bCs/>
                <w:color w:val="FFFFFF" w:themeColor="background1"/>
              </w:rPr>
            </w:pPr>
            <w:r w:rsidRPr="00DC0F55">
              <w:rPr>
                <w:b/>
                <w:bCs/>
                <w:color w:val="FFFFFF" w:themeColor="background1"/>
              </w:rPr>
              <w:t>Below Median (Q2)</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166AB08E" w14:textId="77777777" w:rsidR="00542EAD" w:rsidRPr="00DC0F55" w:rsidRDefault="00542EAD" w:rsidP="00DC0F55">
            <w:pPr>
              <w:pStyle w:val="NoSpacing"/>
              <w:rPr>
                <w:b/>
                <w:bCs/>
                <w:color w:val="FFFFFF" w:themeColor="background1"/>
              </w:rPr>
            </w:pPr>
            <w:r w:rsidRPr="00DC0F55">
              <w:rPr>
                <w:b/>
                <w:bCs/>
                <w:color w:val="FFFFFF" w:themeColor="background1"/>
              </w:rPr>
              <w:t>Below Third Quartile (Q3)</w:t>
            </w:r>
          </w:p>
        </w:tc>
        <w:tc>
          <w:tcPr>
            <w:tcW w:w="2820" w:type="dxa"/>
            <w:tcBorders>
              <w:top w:val="nil"/>
              <w:left w:val="single" w:sz="4" w:space="0" w:color="FFFFFF"/>
              <w:bottom w:val="single" w:sz="12" w:space="0" w:color="FFFFFF"/>
              <w:right w:val="nil"/>
            </w:tcBorders>
            <w:shd w:val="clear" w:color="5B9BD5" w:fill="5B9BD5"/>
            <w:vAlign w:val="center"/>
            <w:hideMark/>
          </w:tcPr>
          <w:p w14:paraId="1604049D" w14:textId="77777777" w:rsidR="00542EAD" w:rsidRPr="00DC0F55" w:rsidRDefault="00542EAD" w:rsidP="00DC0F55">
            <w:pPr>
              <w:pStyle w:val="NoSpacing"/>
              <w:rPr>
                <w:b/>
                <w:bCs/>
                <w:color w:val="FFFFFF" w:themeColor="background1"/>
              </w:rPr>
            </w:pPr>
            <w:r w:rsidRPr="00DC0F55">
              <w:rPr>
                <w:b/>
                <w:bCs/>
                <w:color w:val="FFFFFF" w:themeColor="background1"/>
              </w:rPr>
              <w:t xml:space="preserve">Below highest median price </w:t>
            </w:r>
            <w:r w:rsidRPr="00DC0F55">
              <w:rPr>
                <w:b/>
                <w:bCs/>
                <w:i/>
                <w:color w:val="FFFFFF" w:themeColor="background1"/>
              </w:rPr>
              <w:t>(including highest median price)</w:t>
            </w:r>
          </w:p>
        </w:tc>
      </w:tr>
      <w:tr w:rsidR="00F32A50" w:rsidRPr="000C225A" w14:paraId="71B09C5D" w14:textId="77777777" w:rsidTr="00DC0F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182DF928" w14:textId="77777777" w:rsidR="00542EAD" w:rsidRPr="00DC0F55" w:rsidRDefault="00542EAD" w:rsidP="00DC0F55">
            <w:pPr>
              <w:pStyle w:val="NoSpacing"/>
              <w:rPr>
                <w:b/>
                <w:bCs/>
                <w:color w:val="FFFFFF" w:themeColor="background1"/>
              </w:rPr>
            </w:pPr>
            <w:r w:rsidRPr="00DC0F55">
              <w:rPr>
                <w:b/>
                <w:bCs/>
                <w:color w:val="FFFFFF" w:themeColor="background1"/>
              </w:rPr>
              <w:t>HCP Level 1</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6BC280F" w14:textId="77777777" w:rsidR="00542EAD" w:rsidRPr="00951DC6" w:rsidRDefault="00542EAD" w:rsidP="00DC0F55">
            <w:pPr>
              <w:pStyle w:val="NoSpacing"/>
              <w:jc w:val="center"/>
              <w:rPr>
                <w:color w:val="000000"/>
              </w:rPr>
            </w:pPr>
            <w:r w:rsidRPr="00951DC6">
              <w:rPr>
                <w:color w:val="000000"/>
              </w:rPr>
              <w:t>25</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B598796" w14:textId="77777777" w:rsidR="00542EAD" w:rsidRPr="00951DC6" w:rsidRDefault="00542EAD" w:rsidP="00DC0F55">
            <w:pPr>
              <w:pStyle w:val="NoSpacing"/>
              <w:jc w:val="center"/>
              <w:rPr>
                <w:color w:val="000000"/>
              </w:rPr>
            </w:pPr>
            <w:r w:rsidRPr="00951DC6">
              <w:rPr>
                <w:color w:val="000000"/>
              </w:rPr>
              <w:t>24</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64B371E9" w14:textId="77777777" w:rsidR="00542EAD" w:rsidRPr="00951DC6" w:rsidRDefault="00542EAD" w:rsidP="00DC0F55">
            <w:pPr>
              <w:pStyle w:val="NoSpacing"/>
              <w:jc w:val="center"/>
              <w:rPr>
                <w:color w:val="000000"/>
              </w:rPr>
            </w:pPr>
            <w:r w:rsidRPr="00951DC6">
              <w:rPr>
                <w:color w:val="000000"/>
              </w:rPr>
              <w:t>25</w:t>
            </w:r>
          </w:p>
        </w:tc>
        <w:tc>
          <w:tcPr>
            <w:tcW w:w="2820" w:type="dxa"/>
            <w:tcBorders>
              <w:top w:val="single" w:sz="4" w:space="0" w:color="FFFFFF"/>
              <w:left w:val="single" w:sz="4" w:space="0" w:color="FFFFFF"/>
              <w:bottom w:val="single" w:sz="4" w:space="0" w:color="FFFFFF"/>
              <w:right w:val="nil"/>
            </w:tcBorders>
            <w:shd w:val="clear" w:color="BDD7EE" w:fill="BDD7EE"/>
            <w:noWrap/>
            <w:vAlign w:val="center"/>
            <w:hideMark/>
          </w:tcPr>
          <w:p w14:paraId="5325F18D" w14:textId="77777777" w:rsidR="00542EAD" w:rsidRPr="00951DC6" w:rsidRDefault="00542EAD" w:rsidP="00DC0F55">
            <w:pPr>
              <w:pStyle w:val="NoSpacing"/>
              <w:jc w:val="center"/>
              <w:rPr>
                <w:color w:val="000000"/>
              </w:rPr>
            </w:pPr>
            <w:r w:rsidRPr="00951DC6">
              <w:rPr>
                <w:color w:val="000000"/>
              </w:rPr>
              <w:t>24</w:t>
            </w:r>
          </w:p>
        </w:tc>
      </w:tr>
      <w:tr w:rsidR="00F32A50" w:rsidRPr="000C225A" w14:paraId="7685932F" w14:textId="77777777" w:rsidTr="00DC0F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1F6B9C70" w14:textId="77777777" w:rsidR="00542EAD" w:rsidRPr="00DC0F55" w:rsidRDefault="00542EAD" w:rsidP="00DC0F55">
            <w:pPr>
              <w:pStyle w:val="NoSpacing"/>
              <w:rPr>
                <w:b/>
                <w:bCs/>
                <w:color w:val="FFFFFF" w:themeColor="background1"/>
              </w:rPr>
            </w:pPr>
            <w:r w:rsidRPr="00DC0F55">
              <w:rPr>
                <w:b/>
                <w:bCs/>
                <w:color w:val="FFFFFF" w:themeColor="background1"/>
              </w:rPr>
              <w:t>HCP Level 2</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7E5D49E1" w14:textId="77777777" w:rsidR="00542EAD" w:rsidRPr="00951DC6" w:rsidRDefault="00542EAD" w:rsidP="00DC0F55">
            <w:pPr>
              <w:pStyle w:val="NoSpacing"/>
              <w:jc w:val="center"/>
              <w:rPr>
                <w:color w:val="000000"/>
              </w:rPr>
            </w:pPr>
            <w:r w:rsidRPr="00951DC6">
              <w:rPr>
                <w:color w:val="000000"/>
              </w:rPr>
              <w:t>25</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5BE82ABB" w14:textId="77777777" w:rsidR="00542EAD" w:rsidRPr="00951DC6" w:rsidRDefault="00542EAD" w:rsidP="00DC0F55">
            <w:pPr>
              <w:pStyle w:val="NoSpacing"/>
              <w:jc w:val="center"/>
              <w:rPr>
                <w:color w:val="000000"/>
              </w:rPr>
            </w:pPr>
            <w:r w:rsidRPr="00951DC6">
              <w:rPr>
                <w:color w:val="000000"/>
              </w:rPr>
              <w:t>24</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74BC3AA5" w14:textId="77777777" w:rsidR="00542EAD" w:rsidRPr="00951DC6" w:rsidRDefault="00542EAD" w:rsidP="00DC0F55">
            <w:pPr>
              <w:pStyle w:val="NoSpacing"/>
              <w:jc w:val="center"/>
              <w:rPr>
                <w:color w:val="000000"/>
              </w:rPr>
            </w:pPr>
            <w:r w:rsidRPr="00951DC6">
              <w:rPr>
                <w:color w:val="000000"/>
              </w:rPr>
              <w:t>24</w:t>
            </w:r>
          </w:p>
        </w:tc>
        <w:tc>
          <w:tcPr>
            <w:tcW w:w="2820" w:type="dxa"/>
            <w:tcBorders>
              <w:top w:val="single" w:sz="4" w:space="0" w:color="FFFFFF"/>
              <w:left w:val="single" w:sz="4" w:space="0" w:color="FFFFFF"/>
              <w:bottom w:val="single" w:sz="4" w:space="0" w:color="FFFFFF"/>
              <w:right w:val="nil"/>
            </w:tcBorders>
            <w:shd w:val="clear" w:color="DDEBF7" w:fill="DDEBF7"/>
            <w:noWrap/>
            <w:vAlign w:val="center"/>
            <w:hideMark/>
          </w:tcPr>
          <w:p w14:paraId="7422CFAA" w14:textId="77777777" w:rsidR="00542EAD" w:rsidRPr="00951DC6" w:rsidRDefault="00542EAD" w:rsidP="00DC0F55">
            <w:pPr>
              <w:pStyle w:val="NoSpacing"/>
              <w:jc w:val="center"/>
              <w:rPr>
                <w:color w:val="000000"/>
              </w:rPr>
            </w:pPr>
            <w:r w:rsidRPr="00951DC6">
              <w:rPr>
                <w:color w:val="000000"/>
              </w:rPr>
              <w:t>25</w:t>
            </w:r>
          </w:p>
        </w:tc>
      </w:tr>
      <w:tr w:rsidR="00F32A50" w:rsidRPr="000C225A" w14:paraId="2DA8019E" w14:textId="77777777" w:rsidTr="00DC0F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7D6C5799" w14:textId="77777777" w:rsidR="00542EAD" w:rsidRPr="00DC0F55" w:rsidRDefault="00542EAD" w:rsidP="00DC0F55">
            <w:pPr>
              <w:pStyle w:val="NoSpacing"/>
              <w:rPr>
                <w:b/>
                <w:bCs/>
                <w:color w:val="FFFFFF" w:themeColor="background1"/>
              </w:rPr>
            </w:pPr>
            <w:r w:rsidRPr="00DC0F55">
              <w:rPr>
                <w:b/>
                <w:bCs/>
                <w:color w:val="FFFFFF" w:themeColor="background1"/>
              </w:rPr>
              <w:t>HCP Level 3</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0698D94" w14:textId="77777777" w:rsidR="00542EAD" w:rsidRPr="00951DC6" w:rsidRDefault="00542EAD" w:rsidP="00DC0F55">
            <w:pPr>
              <w:pStyle w:val="NoSpacing"/>
              <w:jc w:val="center"/>
              <w:rPr>
                <w:color w:val="000000"/>
              </w:rPr>
            </w:pPr>
            <w:r w:rsidRPr="00951DC6">
              <w:rPr>
                <w:color w:val="000000"/>
              </w:rPr>
              <w:t>25</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C69507E" w14:textId="77777777" w:rsidR="00542EAD" w:rsidRPr="00951DC6" w:rsidRDefault="00542EAD" w:rsidP="00DC0F55">
            <w:pPr>
              <w:pStyle w:val="NoSpacing"/>
              <w:jc w:val="center"/>
              <w:rPr>
                <w:color w:val="000000"/>
              </w:rPr>
            </w:pPr>
            <w:r w:rsidRPr="00951DC6">
              <w:rPr>
                <w:color w:val="000000"/>
              </w:rPr>
              <w:t>24</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F41B090" w14:textId="77777777" w:rsidR="00542EAD" w:rsidRPr="00951DC6" w:rsidRDefault="00542EAD" w:rsidP="00DC0F55">
            <w:pPr>
              <w:pStyle w:val="NoSpacing"/>
              <w:jc w:val="center"/>
              <w:rPr>
                <w:color w:val="000000"/>
              </w:rPr>
            </w:pPr>
            <w:r w:rsidRPr="00951DC6">
              <w:rPr>
                <w:color w:val="000000"/>
              </w:rPr>
              <w:t>24</w:t>
            </w:r>
          </w:p>
        </w:tc>
        <w:tc>
          <w:tcPr>
            <w:tcW w:w="2820" w:type="dxa"/>
            <w:tcBorders>
              <w:top w:val="single" w:sz="4" w:space="0" w:color="FFFFFF"/>
              <w:left w:val="single" w:sz="4" w:space="0" w:color="FFFFFF"/>
              <w:bottom w:val="single" w:sz="4" w:space="0" w:color="FFFFFF"/>
              <w:right w:val="nil"/>
            </w:tcBorders>
            <w:shd w:val="clear" w:color="BDD7EE" w:fill="BDD7EE"/>
            <w:noWrap/>
            <w:vAlign w:val="center"/>
            <w:hideMark/>
          </w:tcPr>
          <w:p w14:paraId="761F6664" w14:textId="77777777" w:rsidR="00542EAD" w:rsidRPr="00951DC6" w:rsidRDefault="00542EAD" w:rsidP="00DC0F55">
            <w:pPr>
              <w:pStyle w:val="NoSpacing"/>
              <w:jc w:val="center"/>
              <w:rPr>
                <w:color w:val="000000"/>
              </w:rPr>
            </w:pPr>
            <w:r w:rsidRPr="00951DC6">
              <w:rPr>
                <w:color w:val="000000"/>
              </w:rPr>
              <w:t>25</w:t>
            </w:r>
          </w:p>
        </w:tc>
      </w:tr>
      <w:tr w:rsidR="00F32A50" w:rsidRPr="000C225A" w14:paraId="3A13A70A" w14:textId="77777777" w:rsidTr="00DC0F55">
        <w:trPr>
          <w:trHeight w:val="300"/>
        </w:trPr>
        <w:tc>
          <w:tcPr>
            <w:tcW w:w="1620" w:type="dxa"/>
            <w:tcBorders>
              <w:top w:val="single" w:sz="4" w:space="0" w:color="FFFFFF"/>
              <w:left w:val="nil"/>
              <w:bottom w:val="nil"/>
              <w:right w:val="single" w:sz="4" w:space="0" w:color="FFFFFF"/>
            </w:tcBorders>
            <w:shd w:val="clear" w:color="5B9BD5" w:fill="5B9BD5"/>
            <w:noWrap/>
            <w:vAlign w:val="center"/>
            <w:hideMark/>
          </w:tcPr>
          <w:p w14:paraId="2152C478" w14:textId="77777777" w:rsidR="00542EAD" w:rsidRPr="00DC0F55" w:rsidRDefault="00542EAD" w:rsidP="00DC0F55">
            <w:pPr>
              <w:pStyle w:val="NoSpacing"/>
              <w:rPr>
                <w:b/>
                <w:bCs/>
                <w:color w:val="FFFFFF" w:themeColor="background1"/>
              </w:rPr>
            </w:pPr>
            <w:r w:rsidRPr="00DC0F55">
              <w:rPr>
                <w:b/>
                <w:bCs/>
                <w:color w:val="FFFFFF" w:themeColor="background1"/>
              </w:rPr>
              <w:t>HCP Level 4</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7F4800AA" w14:textId="77777777" w:rsidR="00542EAD" w:rsidRPr="00951DC6" w:rsidRDefault="00542EAD" w:rsidP="00DC0F55">
            <w:pPr>
              <w:pStyle w:val="NoSpacing"/>
              <w:jc w:val="center"/>
              <w:rPr>
                <w:color w:val="000000"/>
              </w:rPr>
            </w:pPr>
            <w:r w:rsidRPr="00951DC6">
              <w:rPr>
                <w:color w:val="000000"/>
              </w:rPr>
              <w:t>25</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084E6822" w14:textId="77777777" w:rsidR="00542EAD" w:rsidRPr="00951DC6" w:rsidRDefault="00542EAD" w:rsidP="00DC0F55">
            <w:pPr>
              <w:pStyle w:val="NoSpacing"/>
              <w:jc w:val="center"/>
              <w:rPr>
                <w:color w:val="000000"/>
              </w:rPr>
            </w:pPr>
            <w:r w:rsidRPr="00951DC6">
              <w:rPr>
                <w:color w:val="000000"/>
              </w:rPr>
              <w:t>24</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42FD82E5" w14:textId="77777777" w:rsidR="00542EAD" w:rsidRPr="00951DC6" w:rsidRDefault="00542EAD" w:rsidP="00DC0F55">
            <w:pPr>
              <w:pStyle w:val="NoSpacing"/>
              <w:jc w:val="center"/>
              <w:rPr>
                <w:color w:val="000000"/>
              </w:rPr>
            </w:pPr>
            <w:r w:rsidRPr="00951DC6">
              <w:rPr>
                <w:color w:val="000000"/>
              </w:rPr>
              <w:t>24</w:t>
            </w:r>
          </w:p>
        </w:tc>
        <w:tc>
          <w:tcPr>
            <w:tcW w:w="2820" w:type="dxa"/>
            <w:tcBorders>
              <w:top w:val="single" w:sz="4" w:space="0" w:color="FFFFFF"/>
              <w:left w:val="single" w:sz="4" w:space="0" w:color="FFFFFF"/>
              <w:bottom w:val="nil"/>
              <w:right w:val="nil"/>
            </w:tcBorders>
            <w:shd w:val="clear" w:color="DDEBF7" w:fill="DDEBF7"/>
            <w:noWrap/>
            <w:vAlign w:val="center"/>
            <w:hideMark/>
          </w:tcPr>
          <w:p w14:paraId="12935AEB" w14:textId="77777777" w:rsidR="00542EAD" w:rsidRPr="00951DC6" w:rsidRDefault="00542EAD" w:rsidP="00DC0F55">
            <w:pPr>
              <w:pStyle w:val="NoSpacing"/>
              <w:jc w:val="center"/>
              <w:rPr>
                <w:color w:val="000000"/>
              </w:rPr>
            </w:pPr>
            <w:r w:rsidRPr="00951DC6">
              <w:rPr>
                <w:color w:val="000000"/>
              </w:rPr>
              <w:t>25</w:t>
            </w:r>
          </w:p>
        </w:tc>
      </w:tr>
    </w:tbl>
    <w:p w14:paraId="42562962" w14:textId="38EE5C09" w:rsidR="00542EAD" w:rsidRPr="00951DC6" w:rsidRDefault="00542EAD" w:rsidP="00DC0F55">
      <w:pPr>
        <w:pStyle w:val="Heading3"/>
      </w:pPr>
      <w:r w:rsidRPr="00951DC6">
        <w:lastRenderedPageBreak/>
        <w:t>Median self-managed care management charges</w:t>
      </w:r>
    </w:p>
    <w:p w14:paraId="7E7E6F69" w14:textId="77777777" w:rsidR="00542EAD" w:rsidRDefault="00542EAD" w:rsidP="00542EAD">
      <w:r>
        <w:rPr>
          <w:noProof/>
        </w:rPr>
        <w:drawing>
          <wp:inline distT="0" distB="0" distL="0" distR="0" wp14:anchorId="72B9038C" wp14:editId="418DBF7A">
            <wp:extent cx="5893654" cy="2573655"/>
            <wp:effectExtent l="0" t="0" r="0" b="0"/>
            <wp:docPr id="32" name="Picture 32" descr="Median self-managed care management charges. This chart shows providers' median fortnightly charges by home care packag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Median self-managed care management charges. This chart shows providers' median fortnightly charges by home care package leve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33510" cy="2591060"/>
                    </a:xfrm>
                    <a:prstGeom prst="rect">
                      <a:avLst/>
                    </a:prstGeom>
                    <a:noFill/>
                    <a:ln>
                      <a:noFill/>
                    </a:ln>
                  </pic:spPr>
                </pic:pic>
              </a:graphicData>
            </a:graphic>
          </wp:inline>
        </w:drawing>
      </w:r>
    </w:p>
    <w:p w14:paraId="5385150A" w14:textId="77777777" w:rsidR="00542EAD" w:rsidRDefault="00542EAD" w:rsidP="00542EAD">
      <w:pPr>
        <w:rPr>
          <w:sz w:val="16"/>
          <w:szCs w:val="16"/>
        </w:rPr>
      </w:pPr>
      <w:r w:rsidRPr="00E66822">
        <w:rPr>
          <w:sz w:val="16"/>
          <w:szCs w:val="16"/>
        </w:rPr>
        <w:t>Levels 1</w:t>
      </w:r>
      <w:r>
        <w:rPr>
          <w:sz w:val="16"/>
          <w:szCs w:val="16"/>
        </w:rPr>
        <w:t xml:space="preserve"> and </w:t>
      </w:r>
      <w:r w:rsidRPr="00E66822">
        <w:rPr>
          <w:sz w:val="16"/>
          <w:szCs w:val="16"/>
        </w:rPr>
        <w:t>2 (n=</w:t>
      </w:r>
      <w:r>
        <w:rPr>
          <w:sz w:val="16"/>
          <w:szCs w:val="16"/>
        </w:rPr>
        <w:t>38</w:t>
      </w:r>
      <w:r w:rsidRPr="00E66822">
        <w:rPr>
          <w:sz w:val="16"/>
          <w:szCs w:val="16"/>
        </w:rPr>
        <w:t>)</w:t>
      </w:r>
    </w:p>
    <w:p w14:paraId="67FE5661" w14:textId="77777777" w:rsidR="00A1180A" w:rsidRDefault="00542EAD" w:rsidP="00542EAD">
      <w:pPr>
        <w:rPr>
          <w:sz w:val="16"/>
          <w:szCs w:val="16"/>
        </w:rPr>
      </w:pPr>
      <w:r w:rsidRPr="00E66822">
        <w:rPr>
          <w:sz w:val="16"/>
          <w:szCs w:val="16"/>
        </w:rPr>
        <w:t xml:space="preserve">Levels </w:t>
      </w:r>
      <w:r>
        <w:rPr>
          <w:sz w:val="16"/>
          <w:szCs w:val="16"/>
        </w:rPr>
        <w:t>3 and 4</w:t>
      </w:r>
      <w:r w:rsidRPr="00E66822">
        <w:rPr>
          <w:sz w:val="16"/>
          <w:szCs w:val="16"/>
        </w:rPr>
        <w:t xml:space="preserve"> (n=</w:t>
      </w:r>
      <w:r>
        <w:rPr>
          <w:sz w:val="16"/>
          <w:szCs w:val="16"/>
        </w:rPr>
        <w:t>37</w:t>
      </w:r>
      <w:r w:rsidRPr="00E66822">
        <w:rPr>
          <w:sz w:val="16"/>
          <w:szCs w:val="16"/>
        </w:rPr>
        <w:t>)</w:t>
      </w:r>
    </w:p>
    <w:p w14:paraId="20CF29C9" w14:textId="77777777" w:rsidR="00A1180A" w:rsidRDefault="00542EAD" w:rsidP="00542EAD">
      <w:pPr>
        <w:jc w:val="center"/>
        <w:rPr>
          <w:sz w:val="16"/>
          <w:szCs w:val="16"/>
        </w:rPr>
      </w:pPr>
      <w:r>
        <w:rPr>
          <w:noProof/>
        </w:rPr>
        <w:drawing>
          <wp:inline distT="0" distB="0" distL="0" distR="0" wp14:anchorId="66E1FBA0" wp14:editId="67346F6C">
            <wp:extent cx="5579745" cy="1087544"/>
            <wp:effectExtent l="0" t="0" r="1905" b="0"/>
            <wp:docPr id="23" name="Picture 23" descr="Distribution of median self-managed care management charges for the 100 providers (May 2022 prices)&#10;Self-managed by you per fortnight – level 1 – lowest median price – $0, first quartile – $28, median – $35, third quartile – $46, Highest median price – $120&#10;Self-managed by you per fortnight – level 2 – lowest median price – $0, first quartile – $47, median – $56, third quartile – $79, Highest median price – $121&#10;Self-managed by you per fortnight – level 3 – lowest median price – $0, first quartile – $80, median – $113, third quartile – $154, Highest median price – $210&#10;Self-managed by you per fortnight – level 4 – lowest median price – $0, first quartile – $103, median – $171, third quartile – $201, Highest median price –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Distribution of median self-managed care management charges for the 100 providers (May 2022 prices)&#10;Self-managed by you per fortnight – level 1 – lowest median price – $0, first quartile – $28, median – $35, third quartile – $46, Highest median price – $120&#10;Self-managed by you per fortnight – level 2 – lowest median price – $0, first quartile – $47, median – $56, third quartile – $79, Highest median price – $121&#10;Self-managed by you per fortnight – level 3 – lowest median price – $0, first quartile – $80, median – $113, third quartile – $154, Highest median price – $210&#10;Self-managed by you per fortnight – level 4 – lowest median price – $0, first quartile – $103, median – $171, third quartile – $201, Highest median price – $350."/>
                    <pic:cNvPicPr>
                      <a:picLocks noChangeAspect="1" noChangeArrowheads="1"/>
                    </pic:cNvPicPr>
                  </pic:nvPicPr>
                  <pic:blipFill rotWithShape="1">
                    <a:blip r:embed="rId55">
                      <a:extLst>
                        <a:ext uri="{28A0092B-C50C-407E-A947-70E740481C1C}">
                          <a14:useLocalDpi xmlns:a14="http://schemas.microsoft.com/office/drawing/2010/main" val="0"/>
                        </a:ext>
                      </a:extLst>
                    </a:blip>
                    <a:srcRect r="6354" b="58246"/>
                    <a:stretch/>
                  </pic:blipFill>
                  <pic:spPr bwMode="auto">
                    <a:xfrm>
                      <a:off x="0" y="0"/>
                      <a:ext cx="5579745" cy="1087544"/>
                    </a:xfrm>
                    <a:prstGeom prst="rect">
                      <a:avLst/>
                    </a:prstGeom>
                    <a:noFill/>
                    <a:ln>
                      <a:noFill/>
                    </a:ln>
                    <a:extLst>
                      <a:ext uri="{53640926-AAD7-44D8-BBD7-CCE9431645EC}">
                        <a14:shadowObscured xmlns:a14="http://schemas.microsoft.com/office/drawing/2010/main"/>
                      </a:ext>
                    </a:extLst>
                  </pic:spPr>
                </pic:pic>
              </a:graphicData>
            </a:graphic>
          </wp:inline>
        </w:drawing>
      </w:r>
    </w:p>
    <w:p w14:paraId="43CEE59B" w14:textId="5DB9301C" w:rsidR="00542EAD" w:rsidRDefault="00542EAD" w:rsidP="00542EAD">
      <w:pPr>
        <w:spacing w:after="60"/>
      </w:pPr>
      <w:r>
        <w:t xml:space="preserve">Median self-managed care management charges across the 100 </w:t>
      </w:r>
      <w:r w:rsidR="002F1370">
        <w:t>p</w:t>
      </w:r>
      <w:r>
        <w:t xml:space="preserve">roviders ranged from: </w:t>
      </w:r>
    </w:p>
    <w:p w14:paraId="734B3AA8" w14:textId="77777777" w:rsidR="00542EAD" w:rsidRDefault="00542EAD" w:rsidP="00DC0F55">
      <w:pPr>
        <w:pStyle w:val="ListBullet"/>
      </w:pPr>
      <w:r>
        <w:t>$0 to $120 for HCP Level 1,</w:t>
      </w:r>
    </w:p>
    <w:p w14:paraId="28162695" w14:textId="77777777" w:rsidR="00542EAD" w:rsidRDefault="00542EAD" w:rsidP="00DC0F55">
      <w:pPr>
        <w:pStyle w:val="ListBullet"/>
      </w:pPr>
      <w:r>
        <w:t>$0 to $121 for HCP Level 2,</w:t>
      </w:r>
    </w:p>
    <w:p w14:paraId="74D2FD2A" w14:textId="77777777" w:rsidR="00542EAD" w:rsidRDefault="00542EAD" w:rsidP="00DC0F55">
      <w:pPr>
        <w:pStyle w:val="ListBullet"/>
      </w:pPr>
      <w:r>
        <w:t>$0 to $210 for HCP Level 3, and</w:t>
      </w:r>
    </w:p>
    <w:p w14:paraId="5D4728B2" w14:textId="77777777" w:rsidR="00542EAD" w:rsidRDefault="00542EAD" w:rsidP="00DC0F55">
      <w:pPr>
        <w:pStyle w:val="ListBullet"/>
      </w:pPr>
      <w:r>
        <w:t>$0 to $350 for HCP Level 4.</w:t>
      </w:r>
    </w:p>
    <w:p w14:paraId="0DF118FF" w14:textId="77777777" w:rsidR="00542EAD" w:rsidRDefault="00542EAD" w:rsidP="00542EAD">
      <w:r>
        <w:t xml:space="preserve">Median self-managed care management charges are lower than median fully managed care management charges for all HCP levels, apart from HCP Level 1. </w:t>
      </w:r>
    </w:p>
    <w:p w14:paraId="658F15DA" w14:textId="2B4DA554" w:rsidR="00542EAD" w:rsidRDefault="00542EAD" w:rsidP="00D96355">
      <w:pPr>
        <w:keepNext/>
      </w:pPr>
      <w:r>
        <w:lastRenderedPageBreak/>
        <w:t>The table below presents the number of providers reviewed in each of the pricing groups for self-managed care management.</w:t>
      </w:r>
    </w:p>
    <w:tbl>
      <w:tblPr>
        <w:tblW w:w="9300" w:type="dxa"/>
        <w:tblLook w:val="04A0" w:firstRow="1" w:lastRow="0" w:firstColumn="1" w:lastColumn="0" w:noHBand="0" w:noVBand="1"/>
      </w:tblPr>
      <w:tblGrid>
        <w:gridCol w:w="1620"/>
        <w:gridCol w:w="1620"/>
        <w:gridCol w:w="1620"/>
        <w:gridCol w:w="1620"/>
        <w:gridCol w:w="2820"/>
      </w:tblGrid>
      <w:tr w:rsidR="00F32A50" w:rsidRPr="00D96355" w14:paraId="5BF469E5" w14:textId="77777777" w:rsidTr="0054533D">
        <w:trPr>
          <w:trHeight w:val="750"/>
          <w:tblHeader/>
        </w:trPr>
        <w:tc>
          <w:tcPr>
            <w:tcW w:w="1620" w:type="dxa"/>
            <w:tcBorders>
              <w:top w:val="nil"/>
              <w:left w:val="nil"/>
              <w:bottom w:val="single" w:sz="12" w:space="0" w:color="FFFFFF"/>
              <w:right w:val="single" w:sz="4" w:space="0" w:color="FFFFFF"/>
            </w:tcBorders>
            <w:shd w:val="clear" w:color="5B9BD5" w:fill="5B9BD5"/>
            <w:vAlign w:val="center"/>
            <w:hideMark/>
          </w:tcPr>
          <w:p w14:paraId="3D462895" w14:textId="77777777" w:rsidR="00542EAD" w:rsidRPr="00D96355" w:rsidRDefault="00542EAD" w:rsidP="00D96355">
            <w:pPr>
              <w:pStyle w:val="NoSpacing"/>
              <w:keepNext/>
              <w:rPr>
                <w:b/>
                <w:bCs/>
                <w:color w:val="FFFFFF" w:themeColor="background1"/>
              </w:rPr>
            </w:pPr>
            <w:r w:rsidRPr="00D96355">
              <w:rPr>
                <w:b/>
                <w:bCs/>
                <w:color w:val="FFFFFF" w:themeColor="background1"/>
              </w:rPr>
              <w:t>Number of Providers</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478FB48B" w14:textId="77777777" w:rsidR="00542EAD" w:rsidRPr="00D96355" w:rsidRDefault="00542EAD" w:rsidP="00D96355">
            <w:pPr>
              <w:pStyle w:val="NoSpacing"/>
              <w:keepNext/>
              <w:rPr>
                <w:b/>
                <w:bCs/>
                <w:color w:val="FFFFFF" w:themeColor="background1"/>
              </w:rPr>
            </w:pPr>
            <w:r w:rsidRPr="00D96355">
              <w:rPr>
                <w:b/>
                <w:bCs/>
                <w:color w:val="FFFFFF" w:themeColor="background1"/>
              </w:rPr>
              <w:t>Below First Quartile (Q1)</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6F0E1F38" w14:textId="77777777" w:rsidR="00542EAD" w:rsidRPr="00D96355" w:rsidRDefault="00542EAD" w:rsidP="00D96355">
            <w:pPr>
              <w:pStyle w:val="NoSpacing"/>
              <w:keepNext/>
              <w:rPr>
                <w:b/>
                <w:bCs/>
                <w:color w:val="FFFFFF" w:themeColor="background1"/>
              </w:rPr>
            </w:pPr>
            <w:r w:rsidRPr="00D96355">
              <w:rPr>
                <w:b/>
                <w:bCs/>
                <w:color w:val="FFFFFF" w:themeColor="background1"/>
              </w:rPr>
              <w:t>Below Median (Q2)</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0BD0A8AC" w14:textId="77777777" w:rsidR="00542EAD" w:rsidRPr="00D96355" w:rsidRDefault="00542EAD" w:rsidP="00D96355">
            <w:pPr>
              <w:pStyle w:val="NoSpacing"/>
              <w:keepNext/>
              <w:rPr>
                <w:b/>
                <w:bCs/>
                <w:color w:val="FFFFFF" w:themeColor="background1"/>
              </w:rPr>
            </w:pPr>
            <w:r w:rsidRPr="00D96355">
              <w:rPr>
                <w:b/>
                <w:bCs/>
                <w:color w:val="FFFFFF" w:themeColor="background1"/>
              </w:rPr>
              <w:t>Below Third Quartile (Q3)</w:t>
            </w:r>
          </w:p>
        </w:tc>
        <w:tc>
          <w:tcPr>
            <w:tcW w:w="2820" w:type="dxa"/>
            <w:tcBorders>
              <w:top w:val="nil"/>
              <w:left w:val="single" w:sz="4" w:space="0" w:color="FFFFFF"/>
              <w:bottom w:val="single" w:sz="12" w:space="0" w:color="FFFFFF"/>
              <w:right w:val="nil"/>
            </w:tcBorders>
            <w:shd w:val="clear" w:color="5B9BD5" w:fill="5B9BD5"/>
            <w:vAlign w:val="center"/>
            <w:hideMark/>
          </w:tcPr>
          <w:p w14:paraId="5EE395BD" w14:textId="77777777" w:rsidR="00542EAD" w:rsidRPr="00D96355" w:rsidRDefault="00542EAD" w:rsidP="00D96355">
            <w:pPr>
              <w:pStyle w:val="NoSpacing"/>
              <w:keepNext/>
              <w:rPr>
                <w:b/>
                <w:bCs/>
                <w:color w:val="FFFFFF" w:themeColor="background1"/>
              </w:rPr>
            </w:pPr>
            <w:r w:rsidRPr="00D96355">
              <w:rPr>
                <w:b/>
                <w:bCs/>
                <w:color w:val="FFFFFF" w:themeColor="background1"/>
              </w:rPr>
              <w:t xml:space="preserve">Below highest median price </w:t>
            </w:r>
            <w:r w:rsidRPr="00D96355">
              <w:rPr>
                <w:b/>
                <w:bCs/>
                <w:i/>
                <w:color w:val="FFFFFF" w:themeColor="background1"/>
              </w:rPr>
              <w:t>(including highest median price)</w:t>
            </w:r>
          </w:p>
        </w:tc>
      </w:tr>
      <w:tr w:rsidR="00F32A50" w:rsidRPr="007A27A0" w14:paraId="0F257E2E" w14:textId="77777777" w:rsidTr="00D963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4A8F6828" w14:textId="77777777" w:rsidR="00542EAD" w:rsidRPr="00D96355" w:rsidRDefault="00542EAD" w:rsidP="00D96355">
            <w:pPr>
              <w:pStyle w:val="NoSpacing"/>
              <w:keepNext/>
              <w:rPr>
                <w:b/>
                <w:bCs/>
                <w:color w:val="FFFFFF" w:themeColor="background1"/>
              </w:rPr>
            </w:pPr>
            <w:r w:rsidRPr="00D96355">
              <w:rPr>
                <w:b/>
                <w:bCs/>
                <w:color w:val="FFFFFF" w:themeColor="background1"/>
              </w:rPr>
              <w:t>HCP Level 1</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7A9BAAEF" w14:textId="77777777" w:rsidR="00542EAD" w:rsidRPr="00951DC6" w:rsidRDefault="00542EAD" w:rsidP="00D96355">
            <w:pPr>
              <w:pStyle w:val="NoSpacing"/>
              <w:keepNext/>
              <w:jc w:val="center"/>
              <w:rPr>
                <w:color w:val="000000"/>
              </w:rPr>
            </w:pPr>
            <w:r w:rsidRPr="00951DC6">
              <w:rPr>
                <w:color w:val="000000"/>
              </w:rPr>
              <w:t>10</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0F97BF3" w14:textId="77777777" w:rsidR="00542EAD" w:rsidRPr="00951DC6" w:rsidRDefault="00542EAD" w:rsidP="00D96355">
            <w:pPr>
              <w:pStyle w:val="NoSpacing"/>
              <w:keepNext/>
              <w:jc w:val="center"/>
              <w:rPr>
                <w:color w:val="000000"/>
              </w:rPr>
            </w:pPr>
            <w:r w:rsidRPr="00951DC6">
              <w:rPr>
                <w:color w:val="000000"/>
              </w:rPr>
              <w:t>9</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E14ED1F" w14:textId="77777777" w:rsidR="00542EAD" w:rsidRPr="00951DC6" w:rsidRDefault="00542EAD" w:rsidP="00D96355">
            <w:pPr>
              <w:pStyle w:val="NoSpacing"/>
              <w:keepNext/>
              <w:jc w:val="center"/>
              <w:rPr>
                <w:color w:val="000000"/>
              </w:rPr>
            </w:pPr>
            <w:r w:rsidRPr="00951DC6">
              <w:rPr>
                <w:color w:val="000000"/>
              </w:rPr>
              <w:t>10</w:t>
            </w:r>
          </w:p>
        </w:tc>
        <w:tc>
          <w:tcPr>
            <w:tcW w:w="2820" w:type="dxa"/>
            <w:tcBorders>
              <w:top w:val="single" w:sz="4" w:space="0" w:color="FFFFFF"/>
              <w:left w:val="single" w:sz="4" w:space="0" w:color="FFFFFF"/>
              <w:bottom w:val="single" w:sz="4" w:space="0" w:color="FFFFFF"/>
              <w:right w:val="nil"/>
            </w:tcBorders>
            <w:shd w:val="clear" w:color="BDD7EE" w:fill="BDD7EE"/>
            <w:noWrap/>
            <w:vAlign w:val="center"/>
            <w:hideMark/>
          </w:tcPr>
          <w:p w14:paraId="43D9A1EB" w14:textId="77777777" w:rsidR="00542EAD" w:rsidRPr="00951DC6" w:rsidRDefault="00542EAD" w:rsidP="00D96355">
            <w:pPr>
              <w:pStyle w:val="NoSpacing"/>
              <w:keepNext/>
              <w:jc w:val="center"/>
              <w:rPr>
                <w:color w:val="000000"/>
              </w:rPr>
            </w:pPr>
            <w:r w:rsidRPr="00951DC6">
              <w:rPr>
                <w:color w:val="000000"/>
              </w:rPr>
              <w:t>9</w:t>
            </w:r>
          </w:p>
        </w:tc>
      </w:tr>
      <w:tr w:rsidR="00F32A50" w:rsidRPr="007A27A0" w14:paraId="0D4EDE1F" w14:textId="77777777" w:rsidTr="00D963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2C665AF7" w14:textId="77777777" w:rsidR="00542EAD" w:rsidRPr="00D96355" w:rsidRDefault="00542EAD" w:rsidP="00D96355">
            <w:pPr>
              <w:pStyle w:val="NoSpacing"/>
              <w:keepNext/>
              <w:rPr>
                <w:b/>
                <w:bCs/>
                <w:color w:val="FFFFFF" w:themeColor="background1"/>
              </w:rPr>
            </w:pPr>
            <w:r w:rsidRPr="00D96355">
              <w:rPr>
                <w:b/>
                <w:bCs/>
                <w:color w:val="FFFFFF" w:themeColor="background1"/>
              </w:rPr>
              <w:t>HCP Level 2</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6DBC8EAB" w14:textId="77777777" w:rsidR="00542EAD" w:rsidRPr="00951DC6" w:rsidRDefault="00542EAD" w:rsidP="00D96355">
            <w:pPr>
              <w:pStyle w:val="NoSpacing"/>
              <w:keepNext/>
              <w:jc w:val="center"/>
              <w:rPr>
                <w:color w:val="000000"/>
              </w:rPr>
            </w:pPr>
            <w:r w:rsidRPr="00951DC6">
              <w:rPr>
                <w:color w:val="000000"/>
              </w:rPr>
              <w:t>10</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75BA2743" w14:textId="77777777" w:rsidR="00542EAD" w:rsidRPr="00951DC6" w:rsidRDefault="00542EAD" w:rsidP="00D96355">
            <w:pPr>
              <w:pStyle w:val="NoSpacing"/>
              <w:keepNext/>
              <w:jc w:val="center"/>
              <w:rPr>
                <w:color w:val="000000"/>
              </w:rPr>
            </w:pPr>
            <w:r w:rsidRPr="00951DC6">
              <w:rPr>
                <w:color w:val="000000"/>
              </w:rPr>
              <w:t>9</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018119F9" w14:textId="77777777" w:rsidR="00542EAD" w:rsidRPr="00951DC6" w:rsidRDefault="00542EAD" w:rsidP="00D96355">
            <w:pPr>
              <w:pStyle w:val="NoSpacing"/>
              <w:keepNext/>
              <w:jc w:val="center"/>
              <w:rPr>
                <w:color w:val="000000"/>
              </w:rPr>
            </w:pPr>
            <w:r w:rsidRPr="00951DC6">
              <w:rPr>
                <w:color w:val="000000"/>
              </w:rPr>
              <w:t>9</w:t>
            </w:r>
          </w:p>
        </w:tc>
        <w:tc>
          <w:tcPr>
            <w:tcW w:w="2820" w:type="dxa"/>
            <w:tcBorders>
              <w:top w:val="single" w:sz="4" w:space="0" w:color="FFFFFF"/>
              <w:left w:val="single" w:sz="4" w:space="0" w:color="FFFFFF"/>
              <w:bottom w:val="single" w:sz="4" w:space="0" w:color="FFFFFF"/>
              <w:right w:val="nil"/>
            </w:tcBorders>
            <w:shd w:val="clear" w:color="DDEBF7" w:fill="DDEBF7"/>
            <w:noWrap/>
            <w:vAlign w:val="center"/>
            <w:hideMark/>
          </w:tcPr>
          <w:p w14:paraId="50CE16D6" w14:textId="77777777" w:rsidR="00542EAD" w:rsidRPr="00951DC6" w:rsidRDefault="00542EAD" w:rsidP="00D96355">
            <w:pPr>
              <w:pStyle w:val="NoSpacing"/>
              <w:keepNext/>
              <w:jc w:val="center"/>
              <w:rPr>
                <w:color w:val="000000"/>
              </w:rPr>
            </w:pPr>
            <w:r w:rsidRPr="00951DC6">
              <w:rPr>
                <w:color w:val="000000"/>
              </w:rPr>
              <w:t>10</w:t>
            </w:r>
          </w:p>
        </w:tc>
      </w:tr>
      <w:tr w:rsidR="00F32A50" w:rsidRPr="007A27A0" w14:paraId="62710CD9" w14:textId="77777777" w:rsidTr="00D963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25AC0A0E" w14:textId="77777777" w:rsidR="00542EAD" w:rsidRPr="00D96355" w:rsidRDefault="00542EAD" w:rsidP="00D96355">
            <w:pPr>
              <w:pStyle w:val="NoSpacing"/>
              <w:keepNext/>
              <w:rPr>
                <w:b/>
                <w:bCs/>
                <w:color w:val="FFFFFF" w:themeColor="background1"/>
              </w:rPr>
            </w:pPr>
            <w:r w:rsidRPr="00D96355">
              <w:rPr>
                <w:b/>
                <w:bCs/>
                <w:color w:val="FFFFFF" w:themeColor="background1"/>
              </w:rPr>
              <w:t>HCP Level 3</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540A76CE" w14:textId="77777777" w:rsidR="00542EAD" w:rsidRPr="00951DC6" w:rsidRDefault="00542EAD" w:rsidP="00D96355">
            <w:pPr>
              <w:pStyle w:val="NoSpacing"/>
              <w:keepNext/>
              <w:jc w:val="center"/>
              <w:rPr>
                <w:color w:val="000000"/>
              </w:rPr>
            </w:pPr>
            <w:r w:rsidRPr="00951DC6">
              <w:rPr>
                <w:color w:val="000000"/>
              </w:rPr>
              <w:t>10</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07C8DC3" w14:textId="77777777" w:rsidR="00542EAD" w:rsidRPr="00951DC6" w:rsidRDefault="00542EAD" w:rsidP="00D96355">
            <w:pPr>
              <w:pStyle w:val="NoSpacing"/>
              <w:keepNext/>
              <w:jc w:val="center"/>
              <w:rPr>
                <w:color w:val="000000"/>
              </w:rPr>
            </w:pPr>
            <w:r w:rsidRPr="00951DC6">
              <w:rPr>
                <w:color w:val="000000"/>
              </w:rPr>
              <w:t>9</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5572BE9" w14:textId="77777777" w:rsidR="00542EAD" w:rsidRPr="00951DC6" w:rsidRDefault="00542EAD" w:rsidP="00D96355">
            <w:pPr>
              <w:pStyle w:val="NoSpacing"/>
              <w:keepNext/>
              <w:jc w:val="center"/>
              <w:rPr>
                <w:color w:val="000000"/>
              </w:rPr>
            </w:pPr>
            <w:r w:rsidRPr="00951DC6">
              <w:rPr>
                <w:color w:val="000000"/>
              </w:rPr>
              <w:t>9</w:t>
            </w:r>
          </w:p>
        </w:tc>
        <w:tc>
          <w:tcPr>
            <w:tcW w:w="2820" w:type="dxa"/>
            <w:tcBorders>
              <w:top w:val="single" w:sz="4" w:space="0" w:color="FFFFFF"/>
              <w:left w:val="single" w:sz="4" w:space="0" w:color="FFFFFF"/>
              <w:bottom w:val="single" w:sz="4" w:space="0" w:color="FFFFFF"/>
              <w:right w:val="nil"/>
            </w:tcBorders>
            <w:shd w:val="clear" w:color="BDD7EE" w:fill="BDD7EE"/>
            <w:noWrap/>
            <w:vAlign w:val="center"/>
            <w:hideMark/>
          </w:tcPr>
          <w:p w14:paraId="6C3C5AB7" w14:textId="77777777" w:rsidR="00542EAD" w:rsidRPr="00951DC6" w:rsidRDefault="00542EAD" w:rsidP="00D96355">
            <w:pPr>
              <w:pStyle w:val="NoSpacing"/>
              <w:keepNext/>
              <w:jc w:val="center"/>
              <w:rPr>
                <w:color w:val="000000"/>
              </w:rPr>
            </w:pPr>
            <w:r w:rsidRPr="00951DC6">
              <w:rPr>
                <w:color w:val="000000"/>
              </w:rPr>
              <w:t>9</w:t>
            </w:r>
          </w:p>
        </w:tc>
      </w:tr>
      <w:tr w:rsidR="00F32A50" w:rsidRPr="007A27A0" w14:paraId="601D1F51" w14:textId="77777777" w:rsidTr="00D96355">
        <w:trPr>
          <w:trHeight w:val="300"/>
        </w:trPr>
        <w:tc>
          <w:tcPr>
            <w:tcW w:w="1620" w:type="dxa"/>
            <w:tcBorders>
              <w:top w:val="single" w:sz="4" w:space="0" w:color="FFFFFF"/>
              <w:left w:val="nil"/>
              <w:bottom w:val="nil"/>
              <w:right w:val="single" w:sz="4" w:space="0" w:color="FFFFFF"/>
            </w:tcBorders>
            <w:shd w:val="clear" w:color="5B9BD5" w:fill="5B9BD5"/>
            <w:noWrap/>
            <w:vAlign w:val="center"/>
            <w:hideMark/>
          </w:tcPr>
          <w:p w14:paraId="2606D01A" w14:textId="77777777" w:rsidR="00542EAD" w:rsidRPr="00D96355" w:rsidRDefault="00542EAD" w:rsidP="00D96355">
            <w:pPr>
              <w:pStyle w:val="NoSpacing"/>
              <w:keepNext/>
              <w:rPr>
                <w:b/>
                <w:bCs/>
                <w:color w:val="FFFFFF" w:themeColor="background1"/>
              </w:rPr>
            </w:pPr>
            <w:r w:rsidRPr="00D96355">
              <w:rPr>
                <w:b/>
                <w:bCs/>
                <w:color w:val="FFFFFF" w:themeColor="background1"/>
              </w:rPr>
              <w:t>HCP Level 4</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6E6A452B" w14:textId="77777777" w:rsidR="00542EAD" w:rsidRPr="00951DC6" w:rsidRDefault="00542EAD" w:rsidP="00D96355">
            <w:pPr>
              <w:pStyle w:val="NoSpacing"/>
              <w:keepNext/>
              <w:jc w:val="center"/>
              <w:rPr>
                <w:color w:val="000000"/>
              </w:rPr>
            </w:pPr>
            <w:r w:rsidRPr="00951DC6">
              <w:rPr>
                <w:color w:val="000000"/>
              </w:rPr>
              <w:t>10</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7DEC66A6" w14:textId="77777777" w:rsidR="00542EAD" w:rsidRPr="00951DC6" w:rsidRDefault="00542EAD" w:rsidP="00D96355">
            <w:pPr>
              <w:pStyle w:val="NoSpacing"/>
              <w:keepNext/>
              <w:jc w:val="center"/>
              <w:rPr>
                <w:color w:val="000000"/>
              </w:rPr>
            </w:pPr>
            <w:r w:rsidRPr="00951DC6">
              <w:rPr>
                <w:color w:val="000000"/>
              </w:rPr>
              <w:t>9</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712ADB06" w14:textId="77777777" w:rsidR="00542EAD" w:rsidRPr="00951DC6" w:rsidRDefault="00542EAD" w:rsidP="00D96355">
            <w:pPr>
              <w:pStyle w:val="NoSpacing"/>
              <w:keepNext/>
              <w:jc w:val="center"/>
              <w:rPr>
                <w:color w:val="000000"/>
              </w:rPr>
            </w:pPr>
            <w:r w:rsidRPr="00951DC6">
              <w:rPr>
                <w:color w:val="000000"/>
              </w:rPr>
              <w:t>9</w:t>
            </w:r>
          </w:p>
        </w:tc>
        <w:tc>
          <w:tcPr>
            <w:tcW w:w="2820" w:type="dxa"/>
            <w:tcBorders>
              <w:top w:val="single" w:sz="4" w:space="0" w:color="FFFFFF"/>
              <w:left w:val="single" w:sz="4" w:space="0" w:color="FFFFFF"/>
              <w:bottom w:val="nil"/>
              <w:right w:val="nil"/>
            </w:tcBorders>
            <w:shd w:val="clear" w:color="DDEBF7" w:fill="DDEBF7"/>
            <w:noWrap/>
            <w:vAlign w:val="center"/>
            <w:hideMark/>
          </w:tcPr>
          <w:p w14:paraId="1421649A" w14:textId="77777777" w:rsidR="00542EAD" w:rsidRPr="00951DC6" w:rsidRDefault="00542EAD" w:rsidP="00D96355">
            <w:pPr>
              <w:pStyle w:val="NoSpacing"/>
              <w:keepNext/>
              <w:jc w:val="center"/>
              <w:rPr>
                <w:color w:val="000000"/>
              </w:rPr>
            </w:pPr>
            <w:r w:rsidRPr="00951DC6">
              <w:rPr>
                <w:color w:val="000000"/>
              </w:rPr>
              <w:t>9</w:t>
            </w:r>
          </w:p>
        </w:tc>
      </w:tr>
    </w:tbl>
    <w:p w14:paraId="41CF52FC" w14:textId="707DDB79" w:rsidR="00542EAD" w:rsidRDefault="00542EAD" w:rsidP="00D96355">
      <w:pPr>
        <w:pStyle w:val="Heading3"/>
      </w:pPr>
      <w:r w:rsidRPr="00951DC6">
        <w:t>Median package management charges</w:t>
      </w:r>
    </w:p>
    <w:p w14:paraId="49AF6F41" w14:textId="77777777" w:rsidR="00542EAD" w:rsidRDefault="00542EAD" w:rsidP="00542EAD">
      <w:r>
        <w:rPr>
          <w:noProof/>
        </w:rPr>
        <w:drawing>
          <wp:inline distT="0" distB="0" distL="0" distR="0" wp14:anchorId="570DF0F0" wp14:editId="3F71B176">
            <wp:extent cx="5862917" cy="2273935"/>
            <wp:effectExtent l="0" t="0" r="5080" b="0"/>
            <wp:docPr id="34" name="Picture 34" descr="Distribution of Median package management charges for the 100 providers (May 2022 prices).&#10;This chart shows providers' median fortnightly charges by home care package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stribution of Median package management charges for the 100 providers (May 2022 prices).&#10;This chart shows providers' median fortnightly charges by home care package leve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909138" cy="2291862"/>
                    </a:xfrm>
                    <a:prstGeom prst="rect">
                      <a:avLst/>
                    </a:prstGeom>
                    <a:noFill/>
                    <a:ln>
                      <a:noFill/>
                    </a:ln>
                  </pic:spPr>
                </pic:pic>
              </a:graphicData>
            </a:graphic>
          </wp:inline>
        </w:drawing>
      </w:r>
    </w:p>
    <w:p w14:paraId="6A4BE50E" w14:textId="77777777" w:rsidR="00542EAD" w:rsidRDefault="00542EAD" w:rsidP="00542EAD">
      <w:pPr>
        <w:rPr>
          <w:sz w:val="16"/>
          <w:szCs w:val="16"/>
        </w:rPr>
      </w:pPr>
      <w:r w:rsidRPr="00E66822">
        <w:rPr>
          <w:sz w:val="16"/>
          <w:szCs w:val="16"/>
        </w:rPr>
        <w:t>Levels 1 (n=</w:t>
      </w:r>
      <w:r>
        <w:rPr>
          <w:sz w:val="16"/>
          <w:szCs w:val="16"/>
        </w:rPr>
        <w:t>96</w:t>
      </w:r>
      <w:r w:rsidRPr="00E66822">
        <w:rPr>
          <w:sz w:val="16"/>
          <w:szCs w:val="16"/>
        </w:rPr>
        <w:t>)</w:t>
      </w:r>
    </w:p>
    <w:p w14:paraId="39C6377D" w14:textId="77777777" w:rsidR="00A1180A" w:rsidRDefault="00542EAD" w:rsidP="00542EAD">
      <w:pPr>
        <w:rPr>
          <w:sz w:val="16"/>
          <w:szCs w:val="16"/>
        </w:rPr>
      </w:pPr>
      <w:r w:rsidRPr="00E66822">
        <w:rPr>
          <w:sz w:val="16"/>
          <w:szCs w:val="16"/>
        </w:rPr>
        <w:t xml:space="preserve">Levels </w:t>
      </w:r>
      <w:r>
        <w:rPr>
          <w:sz w:val="16"/>
          <w:szCs w:val="16"/>
        </w:rPr>
        <w:t>2, 3 and 4</w:t>
      </w:r>
      <w:r w:rsidRPr="00E66822">
        <w:rPr>
          <w:sz w:val="16"/>
          <w:szCs w:val="16"/>
        </w:rPr>
        <w:t xml:space="preserve"> (n=</w:t>
      </w:r>
      <w:r>
        <w:rPr>
          <w:sz w:val="16"/>
          <w:szCs w:val="16"/>
        </w:rPr>
        <w:t>98</w:t>
      </w:r>
      <w:r w:rsidRPr="00E66822">
        <w:rPr>
          <w:sz w:val="16"/>
          <w:szCs w:val="16"/>
        </w:rPr>
        <w:t>)</w:t>
      </w:r>
    </w:p>
    <w:p w14:paraId="5F829499" w14:textId="77777777" w:rsidR="00A1180A" w:rsidRDefault="00542EAD" w:rsidP="00542EAD">
      <w:pPr>
        <w:jc w:val="center"/>
      </w:pPr>
      <w:r>
        <w:rPr>
          <w:noProof/>
        </w:rPr>
        <w:drawing>
          <wp:inline distT="0" distB="0" distL="0" distR="0" wp14:anchorId="6F89945C" wp14:editId="4E24DC2B">
            <wp:extent cx="5579745" cy="1076686"/>
            <wp:effectExtent l="0" t="0" r="1905" b="9525"/>
            <wp:docPr id="24" name="Picture 24" descr="Distribution of median package management charges for the 100 providers (May 2022 prices)&#10;Package management – Level 1 – Lowest median prices – $1, first quartile – $30, median – $35, third quartile – $43, highest median prices – $104&#10;Package management – Level 2 – Lowest median prices – $18, first quartile – $50, median – $61, third quartile – $78, highest median prices – $183&#10;Package management – Level 3 – Lowest median prices – $40, first quartile – $106, median – $133, third quartile – $173, highest median prices – $398&#10;Package management – Level 4 – Lowest median prices – $57, first quartile – $161, median – $201, third quartile – $262, highest median prices –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Distribution of median package management charges for the 100 providers (May 2022 prices)&#10;Package management – Level 1 – Lowest median prices – $1, first quartile – $30, median – $35, third quartile – $43, highest median prices – $104&#10;Package management – Level 2 – Lowest median prices – $18, first quartile – $50, median – $61, third quartile – $78, highest median prices – $183&#10;Package management – Level 3 – Lowest median prices – $40, first quartile – $106, median – $133, third quartile – $173, highest median prices – $398&#10;Package management – Level 4 – Lowest median prices – $57, first quartile – $161, median – $201, third quartile – $262, highest median prices – $603."/>
                    <pic:cNvPicPr>
                      <a:picLocks noChangeAspect="1" noChangeArrowheads="1"/>
                    </pic:cNvPicPr>
                  </pic:nvPicPr>
                  <pic:blipFill rotWithShape="1">
                    <a:blip r:embed="rId57">
                      <a:extLst>
                        <a:ext uri="{28A0092B-C50C-407E-A947-70E740481C1C}">
                          <a14:useLocalDpi xmlns:a14="http://schemas.microsoft.com/office/drawing/2010/main" val="0"/>
                        </a:ext>
                      </a:extLst>
                    </a:blip>
                    <a:srcRect r="6354" b="58663"/>
                    <a:stretch/>
                  </pic:blipFill>
                  <pic:spPr bwMode="auto">
                    <a:xfrm>
                      <a:off x="0" y="0"/>
                      <a:ext cx="5579745" cy="1076686"/>
                    </a:xfrm>
                    <a:prstGeom prst="rect">
                      <a:avLst/>
                    </a:prstGeom>
                    <a:noFill/>
                    <a:ln>
                      <a:noFill/>
                    </a:ln>
                    <a:extLst>
                      <a:ext uri="{53640926-AAD7-44D8-BBD7-CCE9431645EC}">
                        <a14:shadowObscured xmlns:a14="http://schemas.microsoft.com/office/drawing/2010/main"/>
                      </a:ext>
                    </a:extLst>
                  </pic:spPr>
                </pic:pic>
              </a:graphicData>
            </a:graphic>
          </wp:inline>
        </w:drawing>
      </w:r>
    </w:p>
    <w:p w14:paraId="7EE9B0B3" w14:textId="044B8038" w:rsidR="00542EAD" w:rsidRDefault="00542EAD" w:rsidP="00542EAD">
      <w:pPr>
        <w:spacing w:after="60"/>
      </w:pPr>
      <w:r>
        <w:t xml:space="preserve">Median package management charges across the 100 </w:t>
      </w:r>
      <w:r w:rsidR="002F1370">
        <w:t>p</w:t>
      </w:r>
      <w:r>
        <w:t xml:space="preserve">roviders ranged from: </w:t>
      </w:r>
    </w:p>
    <w:p w14:paraId="662CCB05" w14:textId="77777777" w:rsidR="00542EAD" w:rsidRDefault="00542EAD" w:rsidP="00D96355">
      <w:pPr>
        <w:pStyle w:val="ListBullet"/>
      </w:pPr>
      <w:r>
        <w:t>$1 to $104 for HCP Level 1,</w:t>
      </w:r>
    </w:p>
    <w:p w14:paraId="5F7572BB" w14:textId="77777777" w:rsidR="00542EAD" w:rsidRDefault="00542EAD" w:rsidP="00D96355">
      <w:pPr>
        <w:pStyle w:val="ListBullet"/>
      </w:pPr>
      <w:r>
        <w:t>$18 to $183 for HCP Level 2,</w:t>
      </w:r>
    </w:p>
    <w:p w14:paraId="37BF49B3" w14:textId="77777777" w:rsidR="00542EAD" w:rsidRDefault="00542EAD" w:rsidP="00D96355">
      <w:pPr>
        <w:pStyle w:val="ListBullet"/>
      </w:pPr>
      <w:r>
        <w:t>$40 to $398 for HCP Level 3, and</w:t>
      </w:r>
    </w:p>
    <w:p w14:paraId="407B22BB" w14:textId="77777777" w:rsidR="00542EAD" w:rsidRDefault="00542EAD" w:rsidP="00D96355">
      <w:pPr>
        <w:pStyle w:val="ListBullet"/>
      </w:pPr>
      <w:r>
        <w:t>$57 to $603 for HCP Level 4.</w:t>
      </w:r>
    </w:p>
    <w:p w14:paraId="4EF03D72" w14:textId="77777777" w:rsidR="00542EAD" w:rsidRPr="000017C7" w:rsidRDefault="00542EAD" w:rsidP="00542EAD">
      <w:pPr>
        <w:rPr>
          <w:b/>
          <w:bCs/>
        </w:rPr>
      </w:pPr>
      <w:r>
        <w:t>Unlike fully managed and self-managed care management charges, minimum median charges for package management increase from HCP Level 1 ($1) to HCP Level 4 ($57).</w:t>
      </w:r>
    </w:p>
    <w:p w14:paraId="71720C43" w14:textId="77777777" w:rsidR="00542EAD" w:rsidRDefault="00542EAD" w:rsidP="00542EAD">
      <w:r>
        <w:lastRenderedPageBreak/>
        <w:t>The table below presents the number of providers reviewed in each of the pricing groups for self-managed care management.</w:t>
      </w:r>
    </w:p>
    <w:tbl>
      <w:tblPr>
        <w:tblW w:w="9300" w:type="dxa"/>
        <w:tblLook w:val="04A0" w:firstRow="1" w:lastRow="0" w:firstColumn="1" w:lastColumn="0" w:noHBand="0" w:noVBand="1"/>
      </w:tblPr>
      <w:tblGrid>
        <w:gridCol w:w="1620"/>
        <w:gridCol w:w="1620"/>
        <w:gridCol w:w="1620"/>
        <w:gridCol w:w="1620"/>
        <w:gridCol w:w="2820"/>
      </w:tblGrid>
      <w:tr w:rsidR="00F32A50" w:rsidRPr="00D96355" w14:paraId="0E48ABEF" w14:textId="77777777" w:rsidTr="0054533D">
        <w:trPr>
          <w:trHeight w:val="750"/>
          <w:tblHeader/>
        </w:trPr>
        <w:tc>
          <w:tcPr>
            <w:tcW w:w="1620" w:type="dxa"/>
            <w:tcBorders>
              <w:top w:val="nil"/>
              <w:left w:val="nil"/>
              <w:bottom w:val="single" w:sz="12" w:space="0" w:color="FFFFFF"/>
              <w:right w:val="single" w:sz="4" w:space="0" w:color="FFFFFF"/>
            </w:tcBorders>
            <w:shd w:val="clear" w:color="5B9BD5" w:fill="5B9BD5"/>
            <w:vAlign w:val="center"/>
            <w:hideMark/>
          </w:tcPr>
          <w:p w14:paraId="15CE668E" w14:textId="77777777" w:rsidR="00542EAD" w:rsidRPr="00D96355" w:rsidRDefault="00542EAD" w:rsidP="00D96355">
            <w:pPr>
              <w:pStyle w:val="NoSpacing"/>
              <w:rPr>
                <w:color w:val="FFFFFF" w:themeColor="background1"/>
              </w:rPr>
            </w:pPr>
            <w:r w:rsidRPr="00D96355">
              <w:rPr>
                <w:color w:val="FFFFFF" w:themeColor="background1"/>
              </w:rPr>
              <w:t>Number of Providers</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2A411C2C" w14:textId="77777777" w:rsidR="00542EAD" w:rsidRPr="00D96355" w:rsidRDefault="00542EAD" w:rsidP="00D96355">
            <w:pPr>
              <w:pStyle w:val="NoSpacing"/>
              <w:rPr>
                <w:b/>
                <w:bCs/>
                <w:color w:val="FFFFFF" w:themeColor="background1"/>
              </w:rPr>
            </w:pPr>
            <w:r w:rsidRPr="00D96355">
              <w:rPr>
                <w:b/>
                <w:bCs/>
                <w:color w:val="FFFFFF" w:themeColor="background1"/>
              </w:rPr>
              <w:t>Below First Quartile (Q1)</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1EE27B82" w14:textId="77777777" w:rsidR="00542EAD" w:rsidRPr="00D96355" w:rsidRDefault="00542EAD" w:rsidP="00D96355">
            <w:pPr>
              <w:pStyle w:val="NoSpacing"/>
              <w:rPr>
                <w:b/>
                <w:bCs/>
                <w:color w:val="FFFFFF" w:themeColor="background1"/>
              </w:rPr>
            </w:pPr>
            <w:r w:rsidRPr="00D96355">
              <w:rPr>
                <w:b/>
                <w:bCs/>
                <w:color w:val="FFFFFF" w:themeColor="background1"/>
              </w:rPr>
              <w:t>Below Median (Q2)</w:t>
            </w:r>
          </w:p>
        </w:tc>
        <w:tc>
          <w:tcPr>
            <w:tcW w:w="1620" w:type="dxa"/>
            <w:tcBorders>
              <w:top w:val="nil"/>
              <w:left w:val="single" w:sz="4" w:space="0" w:color="FFFFFF"/>
              <w:bottom w:val="single" w:sz="12" w:space="0" w:color="FFFFFF"/>
              <w:right w:val="single" w:sz="4" w:space="0" w:color="FFFFFF"/>
            </w:tcBorders>
            <w:shd w:val="clear" w:color="5B9BD5" w:fill="5B9BD5"/>
            <w:vAlign w:val="center"/>
            <w:hideMark/>
          </w:tcPr>
          <w:p w14:paraId="71A8F48D" w14:textId="77777777" w:rsidR="00542EAD" w:rsidRPr="00D96355" w:rsidRDefault="00542EAD" w:rsidP="00D96355">
            <w:pPr>
              <w:pStyle w:val="NoSpacing"/>
              <w:rPr>
                <w:b/>
                <w:bCs/>
                <w:color w:val="FFFFFF" w:themeColor="background1"/>
              </w:rPr>
            </w:pPr>
            <w:r w:rsidRPr="00D96355">
              <w:rPr>
                <w:b/>
                <w:bCs/>
                <w:color w:val="FFFFFF" w:themeColor="background1"/>
              </w:rPr>
              <w:t>Below Third Quartile (Q3)</w:t>
            </w:r>
          </w:p>
        </w:tc>
        <w:tc>
          <w:tcPr>
            <w:tcW w:w="2820" w:type="dxa"/>
            <w:tcBorders>
              <w:top w:val="nil"/>
              <w:left w:val="single" w:sz="4" w:space="0" w:color="FFFFFF"/>
              <w:bottom w:val="single" w:sz="12" w:space="0" w:color="FFFFFF"/>
              <w:right w:val="nil"/>
            </w:tcBorders>
            <w:shd w:val="clear" w:color="5B9BD5" w:fill="5B9BD5"/>
            <w:vAlign w:val="center"/>
            <w:hideMark/>
          </w:tcPr>
          <w:p w14:paraId="79BACC9D" w14:textId="77777777" w:rsidR="00542EAD" w:rsidRPr="00D96355" w:rsidRDefault="00542EAD" w:rsidP="00D96355">
            <w:pPr>
              <w:pStyle w:val="NoSpacing"/>
              <w:rPr>
                <w:b/>
                <w:bCs/>
                <w:color w:val="FFFFFF" w:themeColor="background1"/>
              </w:rPr>
            </w:pPr>
            <w:r w:rsidRPr="00D96355">
              <w:rPr>
                <w:b/>
                <w:bCs/>
                <w:color w:val="FFFFFF" w:themeColor="background1"/>
              </w:rPr>
              <w:t xml:space="preserve">Below highest median price </w:t>
            </w:r>
            <w:r w:rsidRPr="00D96355">
              <w:rPr>
                <w:b/>
                <w:bCs/>
                <w:i/>
                <w:color w:val="FFFFFF" w:themeColor="background1"/>
              </w:rPr>
              <w:t>(including highest median price)</w:t>
            </w:r>
          </w:p>
        </w:tc>
      </w:tr>
      <w:tr w:rsidR="00F32A50" w:rsidRPr="009A6600" w14:paraId="0E0ADE08" w14:textId="77777777" w:rsidTr="00D963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14F89DE8" w14:textId="77777777" w:rsidR="00542EAD" w:rsidRPr="00D96355" w:rsidRDefault="00542EAD" w:rsidP="00D96355">
            <w:pPr>
              <w:pStyle w:val="NoSpacing"/>
              <w:rPr>
                <w:color w:val="FFFFFF" w:themeColor="background1"/>
              </w:rPr>
            </w:pPr>
            <w:r w:rsidRPr="00D96355">
              <w:rPr>
                <w:color w:val="FFFFFF" w:themeColor="background1"/>
              </w:rPr>
              <w:t>HCP Level 1</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20CE9BF5" w14:textId="77777777" w:rsidR="00542EAD" w:rsidRPr="00951DC6" w:rsidRDefault="00542EAD" w:rsidP="00D96355">
            <w:pPr>
              <w:pStyle w:val="NoSpacing"/>
              <w:jc w:val="center"/>
              <w:rPr>
                <w:color w:val="000000"/>
              </w:rPr>
            </w:pPr>
            <w:r w:rsidRPr="00951DC6">
              <w:rPr>
                <w:color w:val="000000"/>
              </w:rPr>
              <w:t>27</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141D534" w14:textId="77777777" w:rsidR="00542EAD" w:rsidRPr="00951DC6" w:rsidRDefault="00542EAD" w:rsidP="00D96355">
            <w:pPr>
              <w:pStyle w:val="NoSpacing"/>
              <w:jc w:val="center"/>
              <w:rPr>
                <w:color w:val="000000"/>
              </w:rPr>
            </w:pPr>
            <w:r w:rsidRPr="00951DC6">
              <w:rPr>
                <w:color w:val="000000"/>
              </w:rPr>
              <w:t>23</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59D0581" w14:textId="77777777" w:rsidR="00542EAD" w:rsidRPr="00951DC6" w:rsidRDefault="00542EAD" w:rsidP="00D96355">
            <w:pPr>
              <w:pStyle w:val="NoSpacing"/>
              <w:jc w:val="center"/>
              <w:rPr>
                <w:color w:val="000000"/>
              </w:rPr>
            </w:pPr>
            <w:r w:rsidRPr="00951DC6">
              <w:rPr>
                <w:color w:val="000000"/>
              </w:rPr>
              <w:t>22</w:t>
            </w:r>
          </w:p>
        </w:tc>
        <w:tc>
          <w:tcPr>
            <w:tcW w:w="2820" w:type="dxa"/>
            <w:tcBorders>
              <w:top w:val="single" w:sz="4" w:space="0" w:color="FFFFFF"/>
              <w:left w:val="single" w:sz="4" w:space="0" w:color="FFFFFF"/>
              <w:bottom w:val="single" w:sz="4" w:space="0" w:color="FFFFFF"/>
              <w:right w:val="nil"/>
            </w:tcBorders>
            <w:shd w:val="clear" w:color="BDD7EE" w:fill="BDD7EE"/>
            <w:noWrap/>
            <w:vAlign w:val="center"/>
            <w:hideMark/>
          </w:tcPr>
          <w:p w14:paraId="33E908FF" w14:textId="77777777" w:rsidR="00542EAD" w:rsidRPr="00951DC6" w:rsidRDefault="00542EAD" w:rsidP="00D96355">
            <w:pPr>
              <w:pStyle w:val="NoSpacing"/>
              <w:jc w:val="center"/>
              <w:rPr>
                <w:color w:val="000000"/>
              </w:rPr>
            </w:pPr>
            <w:r w:rsidRPr="00951DC6">
              <w:rPr>
                <w:color w:val="000000"/>
              </w:rPr>
              <w:t>24</w:t>
            </w:r>
          </w:p>
        </w:tc>
      </w:tr>
      <w:tr w:rsidR="00F32A50" w:rsidRPr="009A6600" w14:paraId="0C8D75A4" w14:textId="77777777" w:rsidTr="00D963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51F47FA5" w14:textId="77777777" w:rsidR="00542EAD" w:rsidRPr="00D96355" w:rsidRDefault="00542EAD" w:rsidP="00D96355">
            <w:pPr>
              <w:pStyle w:val="NoSpacing"/>
              <w:rPr>
                <w:color w:val="FFFFFF" w:themeColor="background1"/>
              </w:rPr>
            </w:pPr>
            <w:r w:rsidRPr="00D96355">
              <w:rPr>
                <w:color w:val="FFFFFF" w:themeColor="background1"/>
              </w:rPr>
              <w:t>HCP Level 2</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2BD1B343" w14:textId="77777777" w:rsidR="00542EAD" w:rsidRPr="00951DC6" w:rsidRDefault="00542EAD" w:rsidP="00D96355">
            <w:pPr>
              <w:pStyle w:val="NoSpacing"/>
              <w:jc w:val="center"/>
              <w:rPr>
                <w:color w:val="000000"/>
              </w:rPr>
            </w:pPr>
            <w:r w:rsidRPr="00951DC6">
              <w:rPr>
                <w:color w:val="000000"/>
              </w:rPr>
              <w:t>25</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26D6CE69" w14:textId="77777777" w:rsidR="00542EAD" w:rsidRPr="00951DC6" w:rsidRDefault="00542EAD" w:rsidP="00D96355">
            <w:pPr>
              <w:pStyle w:val="NoSpacing"/>
              <w:jc w:val="center"/>
              <w:rPr>
                <w:color w:val="000000"/>
              </w:rPr>
            </w:pPr>
            <w:r w:rsidRPr="00951DC6">
              <w:rPr>
                <w:color w:val="000000"/>
              </w:rPr>
              <w:t>24</w:t>
            </w:r>
          </w:p>
        </w:tc>
        <w:tc>
          <w:tcPr>
            <w:tcW w:w="1620" w:type="dxa"/>
            <w:tcBorders>
              <w:top w:val="single" w:sz="4" w:space="0" w:color="FFFFFF"/>
              <w:left w:val="single" w:sz="4" w:space="0" w:color="FFFFFF"/>
              <w:bottom w:val="single" w:sz="4" w:space="0" w:color="FFFFFF"/>
              <w:right w:val="single" w:sz="4" w:space="0" w:color="FFFFFF"/>
            </w:tcBorders>
            <w:shd w:val="clear" w:color="DDEBF7" w:fill="DDEBF7"/>
            <w:noWrap/>
            <w:vAlign w:val="center"/>
            <w:hideMark/>
          </w:tcPr>
          <w:p w14:paraId="19B9470C" w14:textId="77777777" w:rsidR="00542EAD" w:rsidRPr="00951DC6" w:rsidRDefault="00542EAD" w:rsidP="00D96355">
            <w:pPr>
              <w:pStyle w:val="NoSpacing"/>
              <w:jc w:val="center"/>
              <w:rPr>
                <w:color w:val="000000"/>
              </w:rPr>
            </w:pPr>
            <w:r w:rsidRPr="00951DC6">
              <w:rPr>
                <w:color w:val="000000"/>
              </w:rPr>
              <w:t>24</w:t>
            </w:r>
          </w:p>
        </w:tc>
        <w:tc>
          <w:tcPr>
            <w:tcW w:w="2820" w:type="dxa"/>
            <w:tcBorders>
              <w:top w:val="single" w:sz="4" w:space="0" w:color="FFFFFF"/>
              <w:left w:val="single" w:sz="4" w:space="0" w:color="FFFFFF"/>
              <w:bottom w:val="single" w:sz="4" w:space="0" w:color="FFFFFF"/>
              <w:right w:val="nil"/>
            </w:tcBorders>
            <w:shd w:val="clear" w:color="DDEBF7" w:fill="DDEBF7"/>
            <w:noWrap/>
            <w:vAlign w:val="center"/>
            <w:hideMark/>
          </w:tcPr>
          <w:p w14:paraId="73E753F9" w14:textId="77777777" w:rsidR="00542EAD" w:rsidRPr="00951DC6" w:rsidRDefault="00542EAD" w:rsidP="00D96355">
            <w:pPr>
              <w:pStyle w:val="NoSpacing"/>
              <w:jc w:val="center"/>
              <w:rPr>
                <w:color w:val="000000"/>
              </w:rPr>
            </w:pPr>
            <w:r w:rsidRPr="00951DC6">
              <w:rPr>
                <w:color w:val="000000"/>
              </w:rPr>
              <w:t>25</w:t>
            </w:r>
          </w:p>
        </w:tc>
      </w:tr>
      <w:tr w:rsidR="00F32A50" w:rsidRPr="009A6600" w14:paraId="3279C395" w14:textId="77777777" w:rsidTr="00D96355">
        <w:trPr>
          <w:trHeight w:val="300"/>
        </w:trPr>
        <w:tc>
          <w:tcPr>
            <w:tcW w:w="1620" w:type="dxa"/>
            <w:tcBorders>
              <w:top w:val="single" w:sz="4" w:space="0" w:color="FFFFFF"/>
              <w:left w:val="nil"/>
              <w:bottom w:val="single" w:sz="4" w:space="0" w:color="FFFFFF"/>
              <w:right w:val="single" w:sz="4" w:space="0" w:color="FFFFFF"/>
            </w:tcBorders>
            <w:shd w:val="clear" w:color="5B9BD5" w:fill="5B9BD5"/>
            <w:noWrap/>
            <w:vAlign w:val="center"/>
            <w:hideMark/>
          </w:tcPr>
          <w:p w14:paraId="29E6C38F" w14:textId="77777777" w:rsidR="00542EAD" w:rsidRPr="00D96355" w:rsidRDefault="00542EAD" w:rsidP="00D96355">
            <w:pPr>
              <w:pStyle w:val="NoSpacing"/>
              <w:rPr>
                <w:color w:val="FFFFFF" w:themeColor="background1"/>
              </w:rPr>
            </w:pPr>
            <w:r w:rsidRPr="00D96355">
              <w:rPr>
                <w:color w:val="FFFFFF" w:themeColor="background1"/>
              </w:rPr>
              <w:t>HCP Level 3</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14E91A85" w14:textId="77777777" w:rsidR="00542EAD" w:rsidRPr="00951DC6" w:rsidRDefault="00542EAD" w:rsidP="00D96355">
            <w:pPr>
              <w:pStyle w:val="NoSpacing"/>
              <w:jc w:val="center"/>
              <w:rPr>
                <w:color w:val="000000"/>
              </w:rPr>
            </w:pPr>
            <w:r w:rsidRPr="00951DC6">
              <w:rPr>
                <w:color w:val="000000"/>
              </w:rPr>
              <w:t>27</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4DAB246D" w14:textId="77777777" w:rsidR="00542EAD" w:rsidRPr="00951DC6" w:rsidRDefault="00542EAD" w:rsidP="00D96355">
            <w:pPr>
              <w:pStyle w:val="NoSpacing"/>
              <w:jc w:val="center"/>
              <w:rPr>
                <w:color w:val="000000"/>
              </w:rPr>
            </w:pPr>
            <w:r w:rsidRPr="00951DC6">
              <w:rPr>
                <w:color w:val="000000"/>
              </w:rPr>
              <w:t>23</w:t>
            </w:r>
          </w:p>
        </w:tc>
        <w:tc>
          <w:tcPr>
            <w:tcW w:w="1620" w:type="dxa"/>
            <w:tcBorders>
              <w:top w:val="single" w:sz="4" w:space="0" w:color="FFFFFF"/>
              <w:left w:val="single" w:sz="4" w:space="0" w:color="FFFFFF"/>
              <w:bottom w:val="single" w:sz="4" w:space="0" w:color="FFFFFF"/>
              <w:right w:val="single" w:sz="4" w:space="0" w:color="FFFFFF"/>
            </w:tcBorders>
            <w:shd w:val="clear" w:color="BDD7EE" w:fill="BDD7EE"/>
            <w:noWrap/>
            <w:vAlign w:val="center"/>
            <w:hideMark/>
          </w:tcPr>
          <w:p w14:paraId="39A147B5" w14:textId="77777777" w:rsidR="00542EAD" w:rsidRPr="00951DC6" w:rsidRDefault="00542EAD" w:rsidP="00D96355">
            <w:pPr>
              <w:pStyle w:val="NoSpacing"/>
              <w:jc w:val="center"/>
              <w:rPr>
                <w:color w:val="000000"/>
              </w:rPr>
            </w:pPr>
            <w:r w:rsidRPr="00951DC6">
              <w:rPr>
                <w:color w:val="000000"/>
              </w:rPr>
              <w:t>23</w:t>
            </w:r>
          </w:p>
        </w:tc>
        <w:tc>
          <w:tcPr>
            <w:tcW w:w="2820" w:type="dxa"/>
            <w:tcBorders>
              <w:top w:val="single" w:sz="4" w:space="0" w:color="FFFFFF"/>
              <w:left w:val="single" w:sz="4" w:space="0" w:color="FFFFFF"/>
              <w:bottom w:val="single" w:sz="4" w:space="0" w:color="FFFFFF"/>
              <w:right w:val="nil"/>
            </w:tcBorders>
            <w:shd w:val="clear" w:color="BDD7EE" w:fill="BDD7EE"/>
            <w:noWrap/>
            <w:vAlign w:val="center"/>
            <w:hideMark/>
          </w:tcPr>
          <w:p w14:paraId="7B48C9FC" w14:textId="77777777" w:rsidR="00542EAD" w:rsidRPr="00951DC6" w:rsidRDefault="00542EAD" w:rsidP="00D96355">
            <w:pPr>
              <w:pStyle w:val="NoSpacing"/>
              <w:jc w:val="center"/>
              <w:rPr>
                <w:color w:val="000000"/>
              </w:rPr>
            </w:pPr>
            <w:r w:rsidRPr="00951DC6">
              <w:rPr>
                <w:color w:val="000000"/>
              </w:rPr>
              <w:t>25</w:t>
            </w:r>
          </w:p>
        </w:tc>
      </w:tr>
      <w:tr w:rsidR="00F32A50" w:rsidRPr="009A6600" w14:paraId="3CC85E27" w14:textId="77777777" w:rsidTr="00D96355">
        <w:trPr>
          <w:trHeight w:val="300"/>
        </w:trPr>
        <w:tc>
          <w:tcPr>
            <w:tcW w:w="1620" w:type="dxa"/>
            <w:tcBorders>
              <w:top w:val="single" w:sz="4" w:space="0" w:color="FFFFFF"/>
              <w:left w:val="nil"/>
              <w:bottom w:val="nil"/>
              <w:right w:val="single" w:sz="4" w:space="0" w:color="FFFFFF"/>
            </w:tcBorders>
            <w:shd w:val="clear" w:color="5B9BD5" w:fill="5B9BD5"/>
            <w:noWrap/>
            <w:vAlign w:val="center"/>
            <w:hideMark/>
          </w:tcPr>
          <w:p w14:paraId="0450E880" w14:textId="77777777" w:rsidR="00542EAD" w:rsidRPr="00D96355" w:rsidRDefault="00542EAD" w:rsidP="00D96355">
            <w:pPr>
              <w:pStyle w:val="NoSpacing"/>
              <w:rPr>
                <w:color w:val="FFFFFF" w:themeColor="background1"/>
              </w:rPr>
            </w:pPr>
            <w:r w:rsidRPr="00D96355">
              <w:rPr>
                <w:color w:val="FFFFFF" w:themeColor="background1"/>
              </w:rPr>
              <w:t>HCP Level 4</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2EF420E9" w14:textId="77777777" w:rsidR="00542EAD" w:rsidRPr="00951DC6" w:rsidRDefault="00542EAD" w:rsidP="00D96355">
            <w:pPr>
              <w:pStyle w:val="NoSpacing"/>
              <w:jc w:val="center"/>
              <w:rPr>
                <w:color w:val="000000"/>
              </w:rPr>
            </w:pPr>
            <w:r w:rsidRPr="00951DC6">
              <w:rPr>
                <w:color w:val="000000"/>
              </w:rPr>
              <w:t>27</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669F5D23" w14:textId="77777777" w:rsidR="00542EAD" w:rsidRPr="00951DC6" w:rsidRDefault="00542EAD" w:rsidP="00D96355">
            <w:pPr>
              <w:pStyle w:val="NoSpacing"/>
              <w:jc w:val="center"/>
              <w:rPr>
                <w:color w:val="000000"/>
              </w:rPr>
            </w:pPr>
            <w:r w:rsidRPr="00951DC6">
              <w:rPr>
                <w:color w:val="000000"/>
              </w:rPr>
              <w:t>24</w:t>
            </w:r>
          </w:p>
        </w:tc>
        <w:tc>
          <w:tcPr>
            <w:tcW w:w="1620" w:type="dxa"/>
            <w:tcBorders>
              <w:top w:val="single" w:sz="4" w:space="0" w:color="FFFFFF"/>
              <w:left w:val="single" w:sz="4" w:space="0" w:color="FFFFFF"/>
              <w:bottom w:val="nil"/>
              <w:right w:val="single" w:sz="4" w:space="0" w:color="FFFFFF"/>
            </w:tcBorders>
            <w:shd w:val="clear" w:color="DDEBF7" w:fill="DDEBF7"/>
            <w:noWrap/>
            <w:vAlign w:val="center"/>
            <w:hideMark/>
          </w:tcPr>
          <w:p w14:paraId="0AC50765" w14:textId="77777777" w:rsidR="00542EAD" w:rsidRPr="00951DC6" w:rsidRDefault="00542EAD" w:rsidP="00D96355">
            <w:pPr>
              <w:pStyle w:val="NoSpacing"/>
              <w:jc w:val="center"/>
              <w:rPr>
                <w:color w:val="000000"/>
              </w:rPr>
            </w:pPr>
            <w:r w:rsidRPr="00951DC6">
              <w:rPr>
                <w:color w:val="000000"/>
              </w:rPr>
              <w:t>23</w:t>
            </w:r>
          </w:p>
        </w:tc>
        <w:tc>
          <w:tcPr>
            <w:tcW w:w="2820" w:type="dxa"/>
            <w:tcBorders>
              <w:top w:val="single" w:sz="4" w:space="0" w:color="FFFFFF"/>
              <w:left w:val="single" w:sz="4" w:space="0" w:color="FFFFFF"/>
              <w:bottom w:val="nil"/>
              <w:right w:val="nil"/>
            </w:tcBorders>
            <w:shd w:val="clear" w:color="DDEBF7" w:fill="DDEBF7"/>
            <w:noWrap/>
            <w:vAlign w:val="center"/>
            <w:hideMark/>
          </w:tcPr>
          <w:p w14:paraId="43B974F3" w14:textId="77777777" w:rsidR="00542EAD" w:rsidRPr="00951DC6" w:rsidRDefault="00542EAD" w:rsidP="00D96355">
            <w:pPr>
              <w:pStyle w:val="NoSpacing"/>
              <w:jc w:val="center"/>
              <w:rPr>
                <w:color w:val="000000"/>
              </w:rPr>
            </w:pPr>
            <w:r w:rsidRPr="00951DC6">
              <w:rPr>
                <w:color w:val="000000"/>
              </w:rPr>
              <w:t>24</w:t>
            </w:r>
          </w:p>
        </w:tc>
      </w:tr>
    </w:tbl>
    <w:p w14:paraId="20838A35" w14:textId="2CB87B4B" w:rsidR="001D4108" w:rsidRPr="00D96355" w:rsidRDefault="001D4108" w:rsidP="00D96355"/>
    <w:sectPr w:rsidR="001D4108" w:rsidRPr="00D96355" w:rsidSect="006C5758">
      <w:pgSz w:w="11906" w:h="16838"/>
      <w:pgMar w:top="1418" w:right="1418" w:bottom="1418" w:left="1701" w:header="85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E271A" w14:textId="77777777" w:rsidR="00FA0FC3" w:rsidRDefault="00FA0FC3">
      <w:r>
        <w:separator/>
      </w:r>
    </w:p>
  </w:endnote>
  <w:endnote w:type="continuationSeparator" w:id="0">
    <w:p w14:paraId="095F1977" w14:textId="77777777" w:rsidR="00FA0FC3" w:rsidRDefault="00FA0FC3">
      <w:r>
        <w:continuationSeparator/>
      </w:r>
    </w:p>
  </w:endnote>
  <w:endnote w:type="continuationNotice" w:id="1">
    <w:p w14:paraId="36721036" w14:textId="77777777" w:rsidR="00FA0FC3" w:rsidRDefault="00FA0FC3" w:rsidP="00F3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EEE1" w14:textId="75965A62" w:rsidR="00FA0FC3" w:rsidRPr="0036544D" w:rsidRDefault="00FA0FC3" w:rsidP="0036544D">
    <w:pPr>
      <w:tabs>
        <w:tab w:val="right" w:pos="9026"/>
      </w:tabs>
      <w:spacing w:before="0" w:after="0" w:line="240" w:lineRule="auto"/>
      <w:ind w:left="-709"/>
      <w:jc w:val="right"/>
      <w:rPr>
        <w:rFonts w:eastAsia="Times New Roman" w:cs="Times New Roman"/>
        <w:sz w:val="20"/>
        <w:szCs w:val="24"/>
        <w:lang w:eastAsia="en-US"/>
      </w:rPr>
    </w:pPr>
    <w:r>
      <w:rPr>
        <w:rFonts w:eastAsia="Times New Roman" w:cs="Times New Roman"/>
        <w:sz w:val="20"/>
        <w:szCs w:val="24"/>
        <w:lang w:eastAsia="en-US"/>
      </w:rPr>
      <w:t xml:space="preserve">HCP </w:t>
    </w:r>
    <w:r w:rsidRPr="0036544D">
      <w:rPr>
        <w:rFonts w:eastAsia="Times New Roman" w:cs="Times New Roman"/>
        <w:sz w:val="20"/>
        <w:szCs w:val="24"/>
        <w:lang w:eastAsia="en-US"/>
      </w:rPr>
      <w:t>Program Assurance Review – Report – Indirect and care management charges</w:t>
    </w:r>
    <w:sdt>
      <w:sdtPr>
        <w:rPr>
          <w:rFonts w:eastAsia="Times New Roman" w:cs="Times New Roman"/>
          <w:sz w:val="20"/>
          <w:szCs w:val="24"/>
          <w:lang w:eastAsia="en-US"/>
        </w:rPr>
        <w:id w:val="-443848716"/>
        <w:docPartObj>
          <w:docPartGallery w:val="Page Numbers (Bottom of Page)"/>
          <w:docPartUnique/>
        </w:docPartObj>
      </w:sdtPr>
      <w:sdtEndPr>
        <w:rPr>
          <w:noProof/>
        </w:rPr>
      </w:sdtEndPr>
      <w:sdtContent>
        <w:r w:rsidRPr="0036544D">
          <w:rPr>
            <w:rFonts w:eastAsia="Times New Roman" w:cs="Times New Roman"/>
            <w:sz w:val="20"/>
            <w:szCs w:val="24"/>
            <w:lang w:eastAsia="en-US"/>
          </w:rPr>
          <w:tab/>
        </w:r>
        <w:r w:rsidRPr="0036544D">
          <w:rPr>
            <w:rFonts w:eastAsia="Times New Roman" w:cs="Times New Roman"/>
            <w:sz w:val="20"/>
            <w:szCs w:val="24"/>
            <w:lang w:eastAsia="en-US"/>
          </w:rPr>
          <w:fldChar w:fldCharType="begin"/>
        </w:r>
        <w:r w:rsidRPr="0036544D">
          <w:rPr>
            <w:rFonts w:eastAsia="Times New Roman" w:cs="Times New Roman"/>
            <w:sz w:val="20"/>
            <w:szCs w:val="24"/>
            <w:lang w:eastAsia="en-US"/>
          </w:rPr>
          <w:instrText xml:space="preserve"> PAGE   \* MERGEFORMAT </w:instrText>
        </w:r>
        <w:r w:rsidRPr="0036544D">
          <w:rPr>
            <w:rFonts w:eastAsia="Times New Roman" w:cs="Times New Roman"/>
            <w:sz w:val="20"/>
            <w:szCs w:val="24"/>
            <w:lang w:eastAsia="en-US"/>
          </w:rPr>
          <w:fldChar w:fldCharType="separate"/>
        </w:r>
        <w:r w:rsidRPr="0036544D">
          <w:rPr>
            <w:rFonts w:eastAsia="Times New Roman" w:cs="Times New Roman"/>
            <w:sz w:val="20"/>
            <w:szCs w:val="24"/>
            <w:lang w:eastAsia="en-US"/>
          </w:rPr>
          <w:t>2</w:t>
        </w:r>
        <w:r w:rsidRPr="0036544D">
          <w:rPr>
            <w:rFonts w:eastAsia="Times New Roman" w:cs="Times New Roman"/>
            <w:noProof/>
            <w:sz w:val="20"/>
            <w:szCs w:val="24"/>
            <w:lang w:eastAsia="en-U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22C3" w14:textId="1BEEBBD3" w:rsidR="00FA0FC3" w:rsidRDefault="00FA0FC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6B21C" w14:textId="77777777" w:rsidR="00FA0FC3" w:rsidRDefault="00FA0FC3">
      <w:r>
        <w:separator/>
      </w:r>
    </w:p>
  </w:footnote>
  <w:footnote w:type="continuationSeparator" w:id="0">
    <w:p w14:paraId="0AC4D4FC" w14:textId="77777777" w:rsidR="00FA0FC3" w:rsidRDefault="00FA0FC3">
      <w:r>
        <w:continuationSeparator/>
      </w:r>
    </w:p>
  </w:footnote>
  <w:footnote w:type="continuationNotice" w:id="1">
    <w:p w14:paraId="6E01057C" w14:textId="77777777" w:rsidR="00FA0FC3" w:rsidRDefault="00FA0FC3" w:rsidP="00F32A50"/>
  </w:footnote>
  <w:footnote w:id="2">
    <w:p w14:paraId="33A778EC" w14:textId="4CBD4257" w:rsidR="00FA0FC3" w:rsidRPr="00A20084" w:rsidRDefault="00FA0FC3" w:rsidP="00A20084">
      <w:pPr>
        <w:pStyle w:val="FootnoteText"/>
        <w:rPr>
          <w:szCs w:val="16"/>
        </w:rPr>
      </w:pPr>
      <w:r w:rsidRPr="00A20084">
        <w:rPr>
          <w:rStyle w:val="FootnoteReference"/>
          <w:szCs w:val="16"/>
        </w:rPr>
        <w:footnoteRef/>
      </w:r>
      <w:r w:rsidRPr="00A20084">
        <w:rPr>
          <w:szCs w:val="16"/>
        </w:rPr>
        <w:t xml:space="preserve"> It is important to establish up front that care management is a specific support service type rather than an indirect charge.</w:t>
      </w:r>
    </w:p>
  </w:footnote>
  <w:footnote w:id="3">
    <w:p w14:paraId="7F7AD913" w14:textId="669141EC" w:rsidR="00FA0FC3" w:rsidRPr="006B3480" w:rsidRDefault="00FA0FC3" w:rsidP="00880836">
      <w:pPr>
        <w:pStyle w:val="FootnoteText"/>
        <w:rPr>
          <w:szCs w:val="16"/>
        </w:rPr>
      </w:pPr>
      <w:r w:rsidRPr="006B3480">
        <w:rPr>
          <w:rStyle w:val="FootnoteReference"/>
          <w:szCs w:val="16"/>
        </w:rPr>
        <w:footnoteRef/>
      </w:r>
      <w:r w:rsidRPr="006B3480">
        <w:rPr>
          <w:szCs w:val="16"/>
        </w:rPr>
        <w:t xml:space="preserve"> Unlike other percentages in this </w:t>
      </w:r>
      <w:r>
        <w:rPr>
          <w:szCs w:val="16"/>
        </w:rPr>
        <w:t>s</w:t>
      </w:r>
      <w:r w:rsidRPr="006B3480">
        <w:rPr>
          <w:szCs w:val="16"/>
        </w:rPr>
        <w:t xml:space="preserve">ection, this percentage is deliberately not rounded to </w:t>
      </w:r>
      <w:r>
        <w:rPr>
          <w:szCs w:val="16"/>
        </w:rPr>
        <w:t>identify</w:t>
      </w:r>
      <w:r w:rsidRPr="006B3480">
        <w:rPr>
          <w:szCs w:val="16"/>
        </w:rPr>
        <w:t xml:space="preserve"> the relatively small percentage</w:t>
      </w:r>
      <w:r>
        <w:rPr>
          <w:szCs w:val="16"/>
        </w:rPr>
        <w:t>.</w:t>
      </w:r>
    </w:p>
  </w:footnote>
  <w:footnote w:id="4">
    <w:p w14:paraId="6C68BB06" w14:textId="7069EDA7" w:rsidR="00FA0FC3" w:rsidRPr="00A20084" w:rsidRDefault="00FA0FC3" w:rsidP="00A20084">
      <w:pPr>
        <w:pStyle w:val="Paragraphtext"/>
        <w:spacing w:before="0" w:after="0"/>
        <w:rPr>
          <w:sz w:val="16"/>
          <w:szCs w:val="16"/>
        </w:rPr>
      </w:pPr>
      <w:r w:rsidRPr="00A20084">
        <w:rPr>
          <w:rStyle w:val="FootnoteReference"/>
          <w:sz w:val="16"/>
          <w:szCs w:val="16"/>
        </w:rPr>
        <w:footnoteRef/>
      </w:r>
      <w:r w:rsidRPr="00A20084">
        <w:rPr>
          <w:sz w:val="16"/>
          <w:szCs w:val="16"/>
        </w:rPr>
        <w:t xml:space="preserve"> The HCP P</w:t>
      </w:r>
      <w:r>
        <w:rPr>
          <w:sz w:val="16"/>
          <w:szCs w:val="16"/>
        </w:rPr>
        <w:t xml:space="preserve">rogram </w:t>
      </w:r>
      <w:r w:rsidRPr="00A20084">
        <w:rPr>
          <w:sz w:val="16"/>
          <w:szCs w:val="16"/>
        </w:rPr>
        <w:t>A</w:t>
      </w:r>
      <w:r>
        <w:rPr>
          <w:sz w:val="16"/>
          <w:szCs w:val="16"/>
        </w:rPr>
        <w:t>ssurance</w:t>
      </w:r>
      <w:r w:rsidRPr="00A20084">
        <w:rPr>
          <w:sz w:val="16"/>
          <w:szCs w:val="16"/>
        </w:rPr>
        <w:t xml:space="preserve"> Framework underpinning the Review uses the following three components for determining value for money: </w:t>
      </w:r>
    </w:p>
    <w:p w14:paraId="08DBB9D0" w14:textId="77777777" w:rsidR="00FA0FC3" w:rsidRPr="00A20084" w:rsidRDefault="00FA0FC3" w:rsidP="00995AF3">
      <w:pPr>
        <w:pStyle w:val="Paragraphtext"/>
        <w:numPr>
          <w:ilvl w:val="0"/>
          <w:numId w:val="18"/>
        </w:numPr>
        <w:spacing w:before="0" w:after="0"/>
        <w:rPr>
          <w:sz w:val="16"/>
          <w:szCs w:val="16"/>
        </w:rPr>
      </w:pPr>
      <w:r w:rsidRPr="00A20084">
        <w:rPr>
          <w:sz w:val="16"/>
          <w:szCs w:val="16"/>
        </w:rPr>
        <w:t>Efficient: the achievement of the maximum value for the resources used.</w:t>
      </w:r>
    </w:p>
    <w:p w14:paraId="707411F0" w14:textId="77777777" w:rsidR="00FA0FC3" w:rsidRPr="00A20084" w:rsidRDefault="00FA0FC3" w:rsidP="00995AF3">
      <w:pPr>
        <w:pStyle w:val="Paragraphtext"/>
        <w:numPr>
          <w:ilvl w:val="0"/>
          <w:numId w:val="18"/>
        </w:numPr>
        <w:spacing w:before="0" w:after="0"/>
        <w:rPr>
          <w:sz w:val="16"/>
          <w:szCs w:val="16"/>
        </w:rPr>
      </w:pPr>
      <w:r w:rsidRPr="00A20084">
        <w:rPr>
          <w:sz w:val="16"/>
          <w:szCs w:val="16"/>
        </w:rPr>
        <w:t>Effective: the extent to which intended outcomes or results are achieved.</w:t>
      </w:r>
    </w:p>
    <w:p w14:paraId="58843E36" w14:textId="471AD1D6" w:rsidR="00FA0FC3" w:rsidRPr="00A20084" w:rsidRDefault="00FA0FC3" w:rsidP="00995AF3">
      <w:pPr>
        <w:pStyle w:val="Paragraphtext"/>
        <w:numPr>
          <w:ilvl w:val="0"/>
          <w:numId w:val="18"/>
        </w:numPr>
        <w:spacing w:before="0" w:after="0"/>
        <w:rPr>
          <w:sz w:val="16"/>
          <w:szCs w:val="16"/>
        </w:rPr>
      </w:pPr>
      <w:r w:rsidRPr="00A20084">
        <w:rPr>
          <w:sz w:val="16"/>
          <w:szCs w:val="16"/>
        </w:rPr>
        <w:t xml:space="preserve">Justified: providers are able to justify (through verifiable information provided to the </w:t>
      </w:r>
      <w:r>
        <w:rPr>
          <w:sz w:val="16"/>
          <w:szCs w:val="16"/>
        </w:rPr>
        <w:t>R</w:t>
      </w:r>
      <w:r w:rsidRPr="00A20084">
        <w:rPr>
          <w:sz w:val="16"/>
          <w:szCs w:val="16"/>
        </w:rPr>
        <w:t>eview team) their charges to care recipients.</w:t>
      </w:r>
    </w:p>
  </w:footnote>
  <w:footnote w:id="5">
    <w:p w14:paraId="7D0A49A2" w14:textId="7D9D2189" w:rsidR="00FA0FC3" w:rsidRPr="00776615" w:rsidRDefault="00FA0FC3" w:rsidP="00776615">
      <w:pPr>
        <w:pStyle w:val="ListParagraph"/>
        <w:spacing w:after="120"/>
        <w:ind w:left="0"/>
        <w:contextualSpacing w:val="0"/>
      </w:pPr>
      <w:r w:rsidRPr="00DF60FA">
        <w:rPr>
          <w:rStyle w:val="FootnoteReference"/>
          <w:sz w:val="16"/>
          <w:szCs w:val="16"/>
        </w:rPr>
        <w:footnoteRef/>
      </w:r>
      <w:r w:rsidRPr="00DF60FA">
        <w:rPr>
          <w:sz w:val="16"/>
          <w:szCs w:val="16"/>
        </w:rPr>
        <w:t xml:space="preserve">Business costs as defined </w:t>
      </w:r>
      <w:r>
        <w:rPr>
          <w:sz w:val="16"/>
          <w:szCs w:val="16"/>
        </w:rPr>
        <w:t>in S</w:t>
      </w:r>
      <w:r w:rsidRPr="00DF60FA">
        <w:rPr>
          <w:sz w:val="16"/>
          <w:szCs w:val="16"/>
        </w:rPr>
        <w:t xml:space="preserve">ection 4 of the User Rights Principles </w:t>
      </w:r>
      <w:r>
        <w:rPr>
          <w:sz w:val="16"/>
          <w:szCs w:val="16"/>
        </w:rPr>
        <w:t xml:space="preserve">2014 </w:t>
      </w:r>
      <w:r w:rsidRPr="00DF60FA">
        <w:rPr>
          <w:sz w:val="16"/>
          <w:szCs w:val="16"/>
        </w:rPr>
        <w:t xml:space="preserve">and refer to the costs of running a business that are not directly related to the provision of home care, such as rent, insurances and marketing. Business costs cannot be charged separately as per section 21K of </w:t>
      </w:r>
      <w:hyperlink r:id="rId1" w:history="1">
        <w:r w:rsidRPr="00845C9A">
          <w:rPr>
            <w:rStyle w:val="Hyperlink"/>
            <w:sz w:val="16"/>
            <w:szCs w:val="16"/>
          </w:rPr>
          <w:t>User Rights Principles 2014 (legislation.gov.au)</w:t>
        </w:r>
      </w:hyperlink>
      <w:r w:rsidRPr="00DF60FA">
        <w:rPr>
          <w:sz w:val="16"/>
          <w:szCs w:val="16"/>
        </w:rPr>
        <w:t>.</w:t>
      </w:r>
    </w:p>
  </w:footnote>
  <w:footnote w:id="6">
    <w:p w14:paraId="5F1B3B5B" w14:textId="2B31CD69" w:rsidR="00FA0FC3" w:rsidRPr="005E514A" w:rsidRDefault="00FA0FC3" w:rsidP="00B40A44">
      <w:pPr>
        <w:pStyle w:val="FootnoteText"/>
        <w:rPr>
          <w:szCs w:val="16"/>
        </w:rPr>
      </w:pPr>
      <w:r w:rsidRPr="005E514A">
        <w:rPr>
          <w:rStyle w:val="FootnoteReference"/>
          <w:szCs w:val="16"/>
        </w:rPr>
        <w:footnoteRef/>
      </w:r>
      <w:r w:rsidRPr="005E514A">
        <w:rPr>
          <w:szCs w:val="16"/>
        </w:rPr>
        <w:t xml:space="preserve"> Departmental policies and guidance on indirect and care management charges.</w:t>
      </w:r>
      <w:r>
        <w:rPr>
          <w:szCs w:val="16"/>
        </w:rPr>
        <w:t xml:space="preserve"> These are referenced throughout this Review report. These included legislative requirements (User Rights Principles 2014, Quality of Care Principles 2014) and the Department’s operational guidance to providers – for example, in the form of the HCP Program Operational Manual, and/or other published guidance including but not limited to pricing definitions, pricing transparency requirements etc.</w:t>
      </w:r>
    </w:p>
  </w:footnote>
  <w:footnote w:id="7">
    <w:p w14:paraId="32C10B4B" w14:textId="7271B205" w:rsidR="00FA0FC3" w:rsidRPr="005E514A" w:rsidRDefault="00FA0FC3" w:rsidP="00B40A44">
      <w:pPr>
        <w:pStyle w:val="FootnoteText"/>
        <w:rPr>
          <w:szCs w:val="16"/>
        </w:rPr>
      </w:pPr>
      <w:r w:rsidRPr="005E514A">
        <w:rPr>
          <w:rStyle w:val="FootnoteReference"/>
          <w:szCs w:val="16"/>
        </w:rPr>
        <w:footnoteRef/>
      </w:r>
      <w:r w:rsidRPr="005E514A">
        <w:rPr>
          <w:szCs w:val="16"/>
        </w:rPr>
        <w:t xml:space="preserve"> The Review </w:t>
      </w:r>
      <w:r>
        <w:rPr>
          <w:szCs w:val="16"/>
        </w:rPr>
        <w:t>t</w:t>
      </w:r>
      <w:r w:rsidRPr="005E514A">
        <w:rPr>
          <w:szCs w:val="16"/>
        </w:rPr>
        <w:t xml:space="preserve">eam verified the calculations applied within the </w:t>
      </w:r>
      <w:r>
        <w:rPr>
          <w:szCs w:val="16"/>
        </w:rPr>
        <w:t>p</w:t>
      </w:r>
      <w:r w:rsidRPr="005E514A">
        <w:rPr>
          <w:szCs w:val="16"/>
        </w:rPr>
        <w:t xml:space="preserve">rovider’s methodology submitted to the Department as part of the </w:t>
      </w:r>
      <w:r>
        <w:rPr>
          <w:szCs w:val="16"/>
        </w:rPr>
        <w:t>R</w:t>
      </w:r>
      <w:r w:rsidRPr="005E514A">
        <w:rPr>
          <w:szCs w:val="16"/>
        </w:rPr>
        <w:t>eview, where relevant and possible.</w:t>
      </w:r>
    </w:p>
  </w:footnote>
  <w:footnote w:id="8">
    <w:p w14:paraId="32DB120A" w14:textId="0EC761EE" w:rsidR="00FA0FC3" w:rsidRPr="00057273" w:rsidRDefault="00FA0FC3" w:rsidP="00B40A44">
      <w:pPr>
        <w:pStyle w:val="FootnoteText"/>
        <w:rPr>
          <w:sz w:val="18"/>
          <w:szCs w:val="18"/>
        </w:rPr>
      </w:pPr>
      <w:r w:rsidRPr="005E514A">
        <w:rPr>
          <w:rStyle w:val="FootnoteReference"/>
          <w:szCs w:val="16"/>
        </w:rPr>
        <w:footnoteRef/>
      </w:r>
      <w:r w:rsidRPr="005E514A">
        <w:rPr>
          <w:szCs w:val="16"/>
        </w:rPr>
        <w:t xml:space="preserve"> In line with the </w:t>
      </w:r>
      <w:r>
        <w:rPr>
          <w:szCs w:val="16"/>
        </w:rPr>
        <w:t>p</w:t>
      </w:r>
      <w:r w:rsidRPr="005E514A">
        <w:rPr>
          <w:szCs w:val="16"/>
        </w:rPr>
        <w:t>rovider’s methodology for these charges.</w:t>
      </w:r>
    </w:p>
  </w:footnote>
  <w:footnote w:id="9">
    <w:p w14:paraId="15BD68B9" w14:textId="77777777" w:rsidR="00FA0FC3" w:rsidRPr="00E47E41" w:rsidRDefault="00FA0FC3" w:rsidP="006F3001">
      <w:pPr>
        <w:pStyle w:val="FootnoteText"/>
        <w:rPr>
          <w:szCs w:val="16"/>
        </w:rPr>
      </w:pPr>
      <w:r w:rsidRPr="00E47E41">
        <w:rPr>
          <w:rStyle w:val="FootnoteReference"/>
          <w:szCs w:val="16"/>
        </w:rPr>
        <w:footnoteRef/>
      </w:r>
      <w:r w:rsidRPr="00E47E41">
        <w:rPr>
          <w:szCs w:val="16"/>
        </w:rPr>
        <w:t xml:space="preserve"> 25% of data points fall below the lower quartile, or first quartile, Q1, when arranged in an increasing order.</w:t>
      </w:r>
    </w:p>
  </w:footnote>
  <w:footnote w:id="10">
    <w:p w14:paraId="1E674DA3" w14:textId="77777777" w:rsidR="00FA0FC3" w:rsidRDefault="00FA0FC3" w:rsidP="006F3001">
      <w:pPr>
        <w:pStyle w:val="FootnoteText"/>
      </w:pPr>
      <w:r w:rsidRPr="00E47E41">
        <w:rPr>
          <w:rStyle w:val="FootnoteReference"/>
          <w:szCs w:val="16"/>
        </w:rPr>
        <w:footnoteRef/>
      </w:r>
      <w:r w:rsidRPr="00E47E41">
        <w:rPr>
          <w:szCs w:val="16"/>
        </w:rPr>
        <w:t xml:space="preserve"> 75% of data points fall below the upper quartile, or third quartile, Q3, when arranged in an increasing order.</w:t>
      </w:r>
    </w:p>
  </w:footnote>
  <w:footnote w:id="11">
    <w:p w14:paraId="1966A8B2" w14:textId="11370BFC" w:rsidR="00FA0FC3" w:rsidRPr="00954C14" w:rsidRDefault="00FA0FC3">
      <w:pPr>
        <w:pStyle w:val="FootnoteText"/>
        <w:rPr>
          <w:szCs w:val="16"/>
        </w:rPr>
      </w:pPr>
      <w:r w:rsidRPr="00954C14">
        <w:rPr>
          <w:rStyle w:val="FootnoteReference"/>
          <w:szCs w:val="16"/>
        </w:rPr>
        <w:footnoteRef/>
      </w:r>
      <w:r w:rsidRPr="00954C14">
        <w:rPr>
          <w:szCs w:val="16"/>
        </w:rPr>
        <w:t xml:space="preserve"> This is where the provider manages all aspects of the HCP for the care recipient.</w:t>
      </w:r>
    </w:p>
  </w:footnote>
  <w:footnote w:id="12">
    <w:p w14:paraId="587DDBBC" w14:textId="448F6E35" w:rsidR="00FA0FC3" w:rsidRPr="002B5285" w:rsidRDefault="00FA0FC3">
      <w:pPr>
        <w:pStyle w:val="FootnoteText"/>
        <w:rPr>
          <w:szCs w:val="16"/>
        </w:rPr>
      </w:pPr>
      <w:r w:rsidRPr="002B5285">
        <w:rPr>
          <w:rStyle w:val="FootnoteReference"/>
          <w:szCs w:val="16"/>
        </w:rPr>
        <w:footnoteRef/>
      </w:r>
      <w:r w:rsidRPr="002B5285">
        <w:rPr>
          <w:szCs w:val="16"/>
        </w:rPr>
        <w:t xml:space="preserve"> This is where the care recipient or their family takes </w:t>
      </w:r>
      <w:r>
        <w:rPr>
          <w:szCs w:val="16"/>
        </w:rPr>
        <w:t xml:space="preserve">a degree of </w:t>
      </w:r>
      <w:r w:rsidRPr="002B5285">
        <w:rPr>
          <w:szCs w:val="16"/>
        </w:rPr>
        <w:t xml:space="preserve">control of </w:t>
      </w:r>
      <w:r>
        <w:rPr>
          <w:szCs w:val="16"/>
        </w:rPr>
        <w:t>their HCP management.</w:t>
      </w:r>
    </w:p>
  </w:footnote>
  <w:footnote w:id="13">
    <w:p w14:paraId="452C1CA2" w14:textId="316B0E39" w:rsidR="00FA0FC3" w:rsidRPr="006B3480" w:rsidRDefault="00FA0FC3">
      <w:pPr>
        <w:pStyle w:val="FootnoteText"/>
        <w:rPr>
          <w:szCs w:val="16"/>
        </w:rPr>
      </w:pPr>
      <w:r w:rsidRPr="006B3480">
        <w:rPr>
          <w:rStyle w:val="FootnoteReference"/>
          <w:szCs w:val="16"/>
        </w:rPr>
        <w:footnoteRef/>
      </w:r>
      <w:r w:rsidRPr="006B3480">
        <w:rPr>
          <w:szCs w:val="16"/>
        </w:rPr>
        <w:t xml:space="preserve"> Unlike other percentages in this Section, this percentage is deliberately not rounded to </w:t>
      </w:r>
      <w:r>
        <w:rPr>
          <w:szCs w:val="16"/>
        </w:rPr>
        <w:t>identify</w:t>
      </w:r>
      <w:r w:rsidRPr="006B3480">
        <w:rPr>
          <w:szCs w:val="16"/>
        </w:rPr>
        <w:t xml:space="preserve"> the relatively small percentage</w:t>
      </w:r>
      <w:r>
        <w:rPr>
          <w:szCs w:val="16"/>
        </w:rPr>
        <w:t>.</w:t>
      </w:r>
    </w:p>
  </w:footnote>
  <w:footnote w:id="14">
    <w:p w14:paraId="6CB32A8A" w14:textId="567F567F" w:rsidR="00FA0FC3" w:rsidRPr="006B780F" w:rsidRDefault="00FA0FC3" w:rsidP="00A70C1F">
      <w:pPr>
        <w:pStyle w:val="FootnoteText"/>
        <w:rPr>
          <w:szCs w:val="16"/>
        </w:rPr>
      </w:pPr>
      <w:r w:rsidRPr="006B780F">
        <w:rPr>
          <w:rStyle w:val="FootnoteReference"/>
          <w:szCs w:val="16"/>
        </w:rPr>
        <w:footnoteRef/>
      </w:r>
      <w:r w:rsidRPr="006B780F">
        <w:rPr>
          <w:szCs w:val="16"/>
        </w:rPr>
        <w:t xml:space="preserve"> </w:t>
      </w:r>
      <w:hyperlink r:id="rId2" w:history="1">
        <w:r w:rsidRPr="006B780F">
          <w:rPr>
            <w:rStyle w:val="Hyperlink"/>
            <w:szCs w:val="16"/>
          </w:rPr>
          <w:t>Price transparency for Home Care Packages | Australian Government Department of Health</w:t>
        </w:r>
      </w:hyperlink>
      <w:r>
        <w:rPr>
          <w:rStyle w:val="Hyperlink"/>
          <w:szCs w:val="16"/>
        </w:rPr>
        <w:t xml:space="preserve"> and Aged Care</w:t>
      </w:r>
    </w:p>
  </w:footnote>
  <w:footnote w:id="15">
    <w:p w14:paraId="3CDE638E" w14:textId="661331CC" w:rsidR="00FA0FC3" w:rsidRPr="009C285C" w:rsidRDefault="00FA0FC3">
      <w:pPr>
        <w:pStyle w:val="FootnoteText"/>
        <w:rPr>
          <w:szCs w:val="16"/>
        </w:rPr>
      </w:pPr>
      <w:r w:rsidRPr="009C285C">
        <w:rPr>
          <w:rStyle w:val="FootnoteReference"/>
          <w:szCs w:val="16"/>
        </w:rPr>
        <w:footnoteRef/>
      </w:r>
      <w:r w:rsidRPr="009C285C">
        <w:rPr>
          <w:szCs w:val="16"/>
        </w:rPr>
        <w:t xml:space="preserve"> </w:t>
      </w:r>
      <w:hyperlink r:id="rId3" w:history="1">
        <w:r w:rsidRPr="009C285C">
          <w:rPr>
            <w:rStyle w:val="Hyperlink"/>
            <w:szCs w:val="16"/>
          </w:rPr>
          <w:t>Pricing &amp; surcharging | ACCC</w:t>
        </w:r>
      </w:hyperlink>
    </w:p>
  </w:footnote>
  <w:footnote w:id="16">
    <w:p w14:paraId="4A23AB7B" w14:textId="17791C56" w:rsidR="00FA0FC3" w:rsidRPr="00927601" w:rsidRDefault="00FA0FC3">
      <w:pPr>
        <w:pStyle w:val="FootnoteText"/>
        <w:rPr>
          <w:szCs w:val="16"/>
        </w:rPr>
      </w:pPr>
      <w:r w:rsidRPr="00927601">
        <w:rPr>
          <w:rStyle w:val="FootnoteReference"/>
          <w:szCs w:val="16"/>
        </w:rPr>
        <w:footnoteRef/>
      </w:r>
      <w:r w:rsidRPr="00927601">
        <w:rPr>
          <w:szCs w:val="16"/>
        </w:rPr>
        <w:t xml:space="preserve"> Such charges can be different based on who is travelling; i.e. to cover the staff member’s travel time (vs a flat per km charge), and assuming this is transparent to the care recipient and consistent with the provider’s pricing methodology. However, program-wide, and walking in a care recipient’s shoes, why some providers must charge this way while others charge a flat rate per km was unclear to the </w:t>
      </w:r>
      <w:r>
        <w:rPr>
          <w:szCs w:val="16"/>
        </w:rPr>
        <w:t>R</w:t>
      </w:r>
      <w:r w:rsidRPr="00927601">
        <w:rPr>
          <w:szCs w:val="16"/>
        </w:rPr>
        <w:t>eview team.</w:t>
      </w:r>
    </w:p>
  </w:footnote>
  <w:footnote w:id="17">
    <w:p w14:paraId="18A9A6AA" w14:textId="4F06E631" w:rsidR="00FA0FC3" w:rsidRPr="004E2D4E" w:rsidRDefault="00FA0FC3" w:rsidP="00B8056A">
      <w:pPr>
        <w:pStyle w:val="FootnoteText"/>
      </w:pPr>
      <w:r w:rsidRPr="008D1E5D">
        <w:rPr>
          <w:rStyle w:val="FootnoteReference"/>
          <w:szCs w:val="16"/>
        </w:rPr>
        <w:footnoteRef/>
      </w:r>
      <w:r w:rsidRPr="008D1E5D">
        <w:t xml:space="preserve"> Unlike package management, care management is a defined support service under the </w:t>
      </w:r>
      <w:r w:rsidRPr="008D1E5D">
        <w:rPr>
          <w:i/>
          <w:iCs/>
        </w:rPr>
        <w:t>Quality of Care Principles 2014</w:t>
      </w:r>
      <w:r w:rsidRPr="008D1E5D">
        <w:t xml:space="preserve"> Schedule 3, Part 1(2) that an approved provider of home care service may provide </w:t>
      </w:r>
      <w:r w:rsidRPr="005451B1">
        <w:t>(</w:t>
      </w:r>
      <w:hyperlink r:id="rId4" w:history="1">
        <w:r w:rsidRPr="005451B1">
          <w:rPr>
            <w:rStyle w:val="Hyperlink"/>
            <w:szCs w:val="16"/>
          </w:rPr>
          <w:t>https://www.legislation.gov.au/Details/F2020C00096</w:t>
        </w:r>
      </w:hyperlink>
      <w:r w:rsidRPr="005451B1">
        <w:t xml:space="preserve">). </w:t>
      </w:r>
      <w:r w:rsidRPr="004E2D4E">
        <w:t>It is a provider’s responsibility to comply with the</w:t>
      </w:r>
      <w:r w:rsidRPr="005451B1">
        <w:t xml:space="preserve"> </w:t>
      </w:r>
      <w:hyperlink r:id="rId5" w:history="1">
        <w:r w:rsidRPr="005451B1">
          <w:rPr>
            <w:rStyle w:val="Hyperlink"/>
            <w:rFonts w:eastAsia="Times New Roman"/>
            <w:szCs w:val="16"/>
          </w:rPr>
          <w:t>Aged Care Quality Standards</w:t>
        </w:r>
      </w:hyperlink>
      <w:r w:rsidRPr="005451B1">
        <w:t xml:space="preserve"> </w:t>
      </w:r>
      <w:r w:rsidRPr="008D1E5D">
        <w:t>(the Quality Standards) pursuant to section 54</w:t>
      </w:r>
      <w:r>
        <w:t>–</w:t>
      </w:r>
      <w:r w:rsidRPr="008D1E5D">
        <w:t xml:space="preserve">1(d) of the </w:t>
      </w:r>
      <w:r w:rsidRPr="008D1E5D">
        <w:rPr>
          <w:i/>
          <w:iCs/>
        </w:rPr>
        <w:t>Aged Care Act 1997. Standard 2: Ongoing assessment and planning with consumers</w:t>
      </w:r>
      <w:r w:rsidRPr="008D1E5D">
        <w:t xml:space="preserve"> </w:t>
      </w:r>
      <w:r w:rsidRPr="000529FE">
        <w:t xml:space="preserve">has </w:t>
      </w:r>
      <w:r w:rsidRPr="004E2D4E">
        <w:t xml:space="preserve">a number of requirements which are clear about the obligations of </w:t>
      </w:r>
      <w:r>
        <w:t>A</w:t>
      </w:r>
      <w:r w:rsidRPr="004E2D4E">
        <w:t xml:space="preserve">pproved </w:t>
      </w:r>
      <w:r>
        <w:t>P</w:t>
      </w:r>
      <w:r w:rsidRPr="004E2D4E">
        <w:t>roviders with respect to undertaking assessment and planning of consumer care needs (Requirements 3(a) and (b)), liaising with others involved in the care of the consumer (Requirement 3(c)) and that care and services are regularly reviewed (Requirement 3(e)).</w:t>
      </w:r>
    </w:p>
  </w:footnote>
  <w:footnote w:id="18">
    <w:p w14:paraId="4FAD82EC" w14:textId="39FB3747" w:rsidR="00FA0FC3" w:rsidRDefault="00FA0FC3" w:rsidP="00F330A0">
      <w:pPr>
        <w:pStyle w:val="FootnoteText"/>
      </w:pPr>
      <w:r w:rsidRPr="00414E89">
        <w:rPr>
          <w:rStyle w:val="FootnoteReference"/>
          <w:szCs w:val="16"/>
        </w:rPr>
        <w:footnoteRef/>
      </w:r>
      <w:r>
        <w:t xml:space="preserve"> </w:t>
      </w:r>
      <w:r w:rsidRPr="007C540E">
        <w:rPr>
          <w:szCs w:val="16"/>
        </w:rPr>
        <w:t xml:space="preserve">Section 21L of the User Rights Principles </w:t>
      </w:r>
      <w:r>
        <w:rPr>
          <w:szCs w:val="16"/>
        </w:rPr>
        <w:t xml:space="preserve">2014 </w:t>
      </w:r>
      <w:r w:rsidRPr="007C540E">
        <w:rPr>
          <w:szCs w:val="16"/>
        </w:rPr>
        <w:t>(Prices and Business costs to be kept to reasonable amounts) refers to ‘reasonable’ in a very specific manner: An approved provider of home care must not charge a care recipient to whom the approved provider provides home care a price that is more than a reasonable amount for a matter mentioned in paragraph 19B(1)(b), (c) or (d) (certain travel, subcontracting arrangements and Package Management).</w:t>
      </w:r>
    </w:p>
  </w:footnote>
  <w:footnote w:id="19">
    <w:p w14:paraId="23EE2A07" w14:textId="1B85B6F8" w:rsidR="00FA0FC3" w:rsidRPr="00FC4D01" w:rsidRDefault="00FA0FC3" w:rsidP="008206F0">
      <w:pPr>
        <w:pStyle w:val="FootnoteText"/>
      </w:pPr>
      <w:r>
        <w:rPr>
          <w:rStyle w:val="FootnoteReference"/>
          <w:szCs w:val="16"/>
        </w:rPr>
        <w:footnoteRef/>
      </w:r>
      <w:r>
        <w:t xml:space="preserve"> The section states – ‘Care Management – Includes reviewing the care recipient’s home care agreement and care plan, coordinating and scheduling care and services, ensuring care and services are aligned with other supports, liaising with the care recipient and the care recipient’s representatives, ensuring that care and services are culturally appropriate, and identifying and addressing risks to the care recipient’s safety.’ Whilst this is a defined support service that approved providers may provide, it is a provider’s responsibility to comply with the </w:t>
      </w:r>
      <w:hyperlink r:id="rId6" w:history="1">
        <w:r>
          <w:rPr>
            <w:rStyle w:val="Hyperlink"/>
            <w:rFonts w:eastAsia="Times New Roman"/>
            <w:szCs w:val="16"/>
          </w:rPr>
          <w:t>Aged Care Quality Standards</w:t>
        </w:r>
      </w:hyperlink>
      <w:r>
        <w:t xml:space="preserve"> (the Quality Standards) pursuant to section 54–1(d) of the Aged Care Act 1997. A number of requirements in this standard are clear about the obligations of Approved Provider with respect to undertaking assessment and planning of consumer care needs. </w:t>
      </w:r>
      <w:r w:rsidRPr="00FC4D01">
        <w:t>(Requirements 3(a) and (b)), liaising with others involved in the care of the consumer (Requirement 3(c)) and that care and services are regularly reviewed (Requirement 3(e)).</w:t>
      </w:r>
    </w:p>
  </w:footnote>
  <w:footnote w:id="20">
    <w:p w14:paraId="02CF155B" w14:textId="3F0035F9" w:rsidR="00FA0FC3" w:rsidRPr="00FC4D01" w:rsidRDefault="00FA0FC3" w:rsidP="008206F0">
      <w:pPr>
        <w:pStyle w:val="FootnoteText"/>
      </w:pPr>
      <w:r w:rsidRPr="00FC4D01">
        <w:rPr>
          <w:rStyle w:val="FootnoteReference"/>
          <w:szCs w:val="16"/>
        </w:rPr>
        <w:footnoteRef/>
      </w:r>
      <w:r w:rsidRPr="00FC4D01">
        <w:t xml:space="preserve"> Appendix D, part B.2 How do the pricing changes affect care management?) – </w:t>
      </w:r>
      <w:r>
        <w:t>‘</w:t>
      </w:r>
      <w:r w:rsidRPr="00FC4D01">
        <w:t>Care management, often called case management or care coordination, is a key component of every home care package. … Providers need to indicate the cost for care management services and outline their approach to care management in the Schedule. Care management may include: …</w:t>
      </w:r>
      <w:r>
        <w:t>’</w:t>
      </w:r>
      <w:r w:rsidRPr="00FC4D01">
        <w:t>Appendix D, part B.1 What is the pricing Schedule and what do providers need to do with it?)</w:t>
      </w:r>
      <w:r>
        <w:t>.</w:t>
      </w:r>
      <w:r w:rsidRPr="00FC4D01">
        <w:t xml:space="preserve"> </w:t>
      </w:r>
      <w:r>
        <w:t>‘</w:t>
      </w:r>
      <w:r w:rsidRPr="00FC4D01">
        <w:t>All home care providers are required to publish their pricing information in a new standardised pricing comparability Schedule (the Schedule) on the My Aged Care Service Finder</w:t>
      </w:r>
      <w:r>
        <w:t>’</w:t>
      </w:r>
      <w:r w:rsidRPr="00FC4D01">
        <w:t>.</w:t>
      </w:r>
    </w:p>
  </w:footnote>
  <w:footnote w:id="21">
    <w:p w14:paraId="7249A7A8" w14:textId="77777777" w:rsidR="00FA0FC3" w:rsidRPr="00FC4D01" w:rsidRDefault="00FA0FC3" w:rsidP="00C705BA">
      <w:pPr>
        <w:pStyle w:val="FootnoteText"/>
        <w:rPr>
          <w:szCs w:val="16"/>
        </w:rPr>
      </w:pPr>
      <w:r w:rsidRPr="00FC4D01">
        <w:rPr>
          <w:rStyle w:val="FootnoteReference"/>
          <w:szCs w:val="16"/>
        </w:rPr>
        <w:footnoteRef/>
      </w:r>
      <w:r w:rsidRPr="00FC4D01">
        <w:rPr>
          <w:szCs w:val="16"/>
        </w:rPr>
        <w:t xml:space="preserve"> N/A in the context of the HCP Program means a service is not offered therefore is not applicable. $0 means the service is offered but there is no charge for it.</w:t>
      </w:r>
    </w:p>
  </w:footnote>
  <w:footnote w:id="22">
    <w:p w14:paraId="0EB1C13C" w14:textId="77777777" w:rsidR="00FA0FC3" w:rsidRPr="00FC4D01" w:rsidRDefault="00FA0FC3" w:rsidP="00C705BA">
      <w:pPr>
        <w:pStyle w:val="FootnoteText"/>
        <w:rPr>
          <w:szCs w:val="16"/>
        </w:rPr>
      </w:pPr>
      <w:r w:rsidRPr="00FC4D01">
        <w:rPr>
          <w:rStyle w:val="FootnoteReference"/>
          <w:szCs w:val="16"/>
        </w:rPr>
        <w:footnoteRef/>
      </w:r>
      <w:r w:rsidRPr="00FC4D01">
        <w:rPr>
          <w:szCs w:val="16"/>
        </w:rPr>
        <w:t xml:space="preserve"> Package management is required for all HCPs even if an Approved Provider chooses not to explicitly charge for it.</w:t>
      </w:r>
    </w:p>
  </w:footnote>
  <w:footnote w:id="23">
    <w:p w14:paraId="544ECF2C" w14:textId="362F9C0E" w:rsidR="00FA0FC3" w:rsidRPr="00FC4D01" w:rsidRDefault="00FA0FC3" w:rsidP="00C705BA">
      <w:pPr>
        <w:pStyle w:val="FootnoteText"/>
        <w:rPr>
          <w:szCs w:val="16"/>
        </w:rPr>
      </w:pPr>
      <w:r w:rsidRPr="00FC4D01">
        <w:rPr>
          <w:rStyle w:val="FootnoteReference"/>
          <w:szCs w:val="16"/>
        </w:rPr>
        <w:footnoteRef/>
      </w:r>
      <w:r w:rsidRPr="00FC4D01">
        <w:rPr>
          <w:szCs w:val="16"/>
        </w:rPr>
        <w:t xml:space="preserve"> </w:t>
      </w:r>
      <w:r>
        <w:rPr>
          <w:szCs w:val="16"/>
        </w:rPr>
        <w:t xml:space="preserve">So that they are clear that </w:t>
      </w:r>
      <w:r w:rsidRPr="00FC4D01">
        <w:rPr>
          <w:rFonts w:eastAsia="Times New Roman"/>
          <w:szCs w:val="16"/>
        </w:rPr>
        <w:t>they will receive package management and the charge for that is covered under an all-inclusive service price.</w:t>
      </w:r>
    </w:p>
  </w:footnote>
  <w:footnote w:id="24">
    <w:p w14:paraId="69B37CFF" w14:textId="53C74AF5" w:rsidR="00FA0FC3" w:rsidRDefault="00FA0FC3">
      <w:pPr>
        <w:pStyle w:val="FootnoteText"/>
      </w:pPr>
      <w:r w:rsidRPr="00FC4D01">
        <w:rPr>
          <w:rStyle w:val="FootnoteReference"/>
          <w:szCs w:val="16"/>
        </w:rPr>
        <w:footnoteRef/>
      </w:r>
      <w:r w:rsidRPr="00FC4D01">
        <w:rPr>
          <w:szCs w:val="16"/>
        </w:rPr>
        <w:t xml:space="preserve"> Based on published information on MAC, only 3</w:t>
      </w:r>
      <w:r>
        <w:rPr>
          <w:szCs w:val="16"/>
        </w:rPr>
        <w:t>8</w:t>
      </w:r>
      <w:r w:rsidRPr="00FC4D01">
        <w:rPr>
          <w:szCs w:val="16"/>
        </w:rPr>
        <w:t xml:space="preserve"> of the 100 providers reviewed offer self-management. More providers may be offering this but not stating this on My Aged Care.</w:t>
      </w:r>
    </w:p>
  </w:footnote>
  <w:footnote w:id="25">
    <w:p w14:paraId="1C8C8B98" w14:textId="77777777" w:rsidR="00FA0FC3" w:rsidRPr="00034E48" w:rsidRDefault="00FA0FC3" w:rsidP="006E10B0">
      <w:pPr>
        <w:pStyle w:val="FootnoteText"/>
        <w:rPr>
          <w:szCs w:val="16"/>
        </w:rPr>
      </w:pPr>
      <w:r w:rsidRPr="00034E48">
        <w:rPr>
          <w:rStyle w:val="FootnoteReference"/>
          <w:szCs w:val="16"/>
        </w:rPr>
        <w:footnoteRef/>
      </w:r>
      <w:r w:rsidRPr="00034E48">
        <w:rPr>
          <w:rFonts w:eastAsia="Times New Roman"/>
          <w:i/>
          <w:iCs/>
          <w:szCs w:val="16"/>
        </w:rPr>
        <w:t>Aged Care</w:t>
      </w:r>
      <w:r w:rsidRPr="00034E48">
        <w:rPr>
          <w:rFonts w:eastAsia="Times New Roman"/>
          <w:szCs w:val="16"/>
        </w:rPr>
        <w:t xml:space="preserve"> </w:t>
      </w:r>
      <w:r w:rsidRPr="00034E48">
        <w:rPr>
          <w:rFonts w:eastAsia="Times New Roman"/>
          <w:i/>
          <w:iCs/>
          <w:szCs w:val="16"/>
        </w:rPr>
        <w:t>Quality Standards</w:t>
      </w:r>
      <w:r w:rsidRPr="00034E48">
        <w:rPr>
          <w:rFonts w:eastAsia="Times New Roman"/>
          <w:szCs w:val="16"/>
        </w:rPr>
        <w:t xml:space="preserve">: Standard 2 – Ongoing assessment and planning; </w:t>
      </w:r>
      <w:r w:rsidRPr="00034E48">
        <w:rPr>
          <w:rFonts w:eastAsia="Times New Roman"/>
          <w:i/>
          <w:iCs/>
          <w:szCs w:val="16"/>
        </w:rPr>
        <w:t>User Rights Principles 2014</w:t>
      </w:r>
      <w:r w:rsidRPr="00034E48">
        <w:rPr>
          <w:rFonts w:eastAsia="Times New Roman"/>
          <w:szCs w:val="16"/>
        </w:rPr>
        <w:t>: 19AC Responsibility to provide information to assist care recipients to choose best care and services and 19AD Responsibility to provide written plan of care and services</w:t>
      </w:r>
      <w:r>
        <w:rPr>
          <w:rFonts w:eastAsia="Times New Roman"/>
          <w:szCs w:val="16"/>
        </w:rPr>
        <w:t>.</w:t>
      </w:r>
    </w:p>
  </w:footnote>
  <w:footnote w:id="26">
    <w:p w14:paraId="56D41903" w14:textId="44750D03" w:rsidR="00FA0FC3" w:rsidRPr="00972B24" w:rsidRDefault="00FA0FC3" w:rsidP="006E10B0">
      <w:pPr>
        <w:rPr>
          <w:rFonts w:eastAsia="Times New Roman"/>
          <w:sz w:val="16"/>
          <w:szCs w:val="16"/>
        </w:rPr>
      </w:pPr>
      <w:r w:rsidRPr="00972B24">
        <w:rPr>
          <w:rStyle w:val="FootnoteReference"/>
          <w:sz w:val="16"/>
          <w:szCs w:val="16"/>
        </w:rPr>
        <w:footnoteRef/>
      </w:r>
      <w:r w:rsidRPr="00972B24">
        <w:rPr>
          <w:sz w:val="16"/>
          <w:szCs w:val="16"/>
        </w:rPr>
        <w:t xml:space="preserve"> </w:t>
      </w:r>
      <w:r w:rsidRPr="005D28E4">
        <w:rPr>
          <w:rFonts w:eastAsia="Times New Roman"/>
          <w:sz w:val="16"/>
          <w:szCs w:val="16"/>
        </w:rPr>
        <w:t xml:space="preserve">The section states – </w:t>
      </w:r>
      <w:r w:rsidRPr="005D28E4">
        <w:rPr>
          <w:rFonts w:eastAsia="Times New Roman"/>
          <w:i/>
          <w:iCs/>
          <w:sz w:val="16"/>
          <w:szCs w:val="16"/>
        </w:rPr>
        <w:t xml:space="preserve">‘Care Management </w:t>
      </w:r>
      <w:r>
        <w:rPr>
          <w:rFonts w:eastAsia="Times New Roman"/>
          <w:i/>
          <w:iCs/>
          <w:sz w:val="16"/>
          <w:szCs w:val="16"/>
        </w:rPr>
        <w:t>–</w:t>
      </w:r>
      <w:r w:rsidRPr="005D28E4">
        <w:rPr>
          <w:rFonts w:eastAsia="Times New Roman"/>
          <w:i/>
          <w:iCs/>
          <w:sz w:val="16"/>
          <w:szCs w:val="16"/>
        </w:rPr>
        <w:t xml:space="preserve"> Includes reviewing the care recipient’s home care agreement and care plan, coordinating and scheduling care and services, ensuring care and services are aligned with other supports, liaising with the care recipient and the care recipient’s representatives, ensuring that care and services are culturally appropriate, and identifying and addressing risks to the care recipient’s safety.’</w:t>
      </w:r>
      <w:r w:rsidRPr="005D28E4">
        <w:rPr>
          <w:rFonts w:eastAsia="Times New Roman"/>
          <w:sz w:val="16"/>
          <w:szCs w:val="16"/>
        </w:rPr>
        <w:t xml:space="preserve"> Whilst this is a defined support service that </w:t>
      </w:r>
      <w:r>
        <w:rPr>
          <w:rFonts w:eastAsia="Times New Roman"/>
          <w:sz w:val="16"/>
          <w:szCs w:val="16"/>
        </w:rPr>
        <w:t>A</w:t>
      </w:r>
      <w:r w:rsidRPr="005D28E4">
        <w:rPr>
          <w:rFonts w:eastAsia="Times New Roman"/>
          <w:sz w:val="16"/>
          <w:szCs w:val="16"/>
        </w:rPr>
        <w:t xml:space="preserve">pproved </w:t>
      </w:r>
      <w:r>
        <w:rPr>
          <w:rFonts w:eastAsia="Times New Roman"/>
          <w:sz w:val="16"/>
          <w:szCs w:val="16"/>
        </w:rPr>
        <w:t>P</w:t>
      </w:r>
      <w:r w:rsidRPr="005D28E4">
        <w:rPr>
          <w:rFonts w:eastAsia="Times New Roman"/>
          <w:sz w:val="16"/>
          <w:szCs w:val="16"/>
        </w:rPr>
        <w:t xml:space="preserve">roviders may provide, it is a provider responsibility to comply with the </w:t>
      </w:r>
      <w:hyperlink r:id="rId7" w:history="1">
        <w:r w:rsidRPr="005D28E4">
          <w:rPr>
            <w:rStyle w:val="Hyperlink"/>
            <w:rFonts w:eastAsia="Times New Roman"/>
            <w:sz w:val="16"/>
            <w:szCs w:val="16"/>
          </w:rPr>
          <w:t>Aged Care Quality Standards</w:t>
        </w:r>
      </w:hyperlink>
      <w:r w:rsidRPr="005D28E4">
        <w:rPr>
          <w:rFonts w:eastAsia="Times New Roman"/>
          <w:sz w:val="16"/>
          <w:szCs w:val="16"/>
        </w:rPr>
        <w:t xml:space="preserve"> (the Quality Standards) pursuant to section 54</w:t>
      </w:r>
      <w:r>
        <w:rPr>
          <w:rFonts w:eastAsia="Times New Roman"/>
          <w:sz w:val="16"/>
          <w:szCs w:val="16"/>
        </w:rPr>
        <w:t>–</w:t>
      </w:r>
      <w:r w:rsidRPr="005D28E4">
        <w:rPr>
          <w:rFonts w:eastAsia="Times New Roman"/>
          <w:sz w:val="16"/>
          <w:szCs w:val="16"/>
        </w:rPr>
        <w:t xml:space="preserve">1(d) of the </w:t>
      </w:r>
      <w:r w:rsidRPr="005D28E4">
        <w:rPr>
          <w:rFonts w:eastAsia="Times New Roman"/>
          <w:i/>
          <w:iCs/>
          <w:sz w:val="16"/>
          <w:szCs w:val="16"/>
        </w:rPr>
        <w:t>Aged Care Act 1997</w:t>
      </w:r>
      <w:r>
        <w:rPr>
          <w:rFonts w:eastAsia="Times New Roman"/>
          <w:i/>
          <w:iCs/>
          <w:sz w:val="16"/>
          <w:szCs w:val="16"/>
        </w:rPr>
        <w:t>.</w:t>
      </w:r>
      <w:r w:rsidRPr="005D28E4">
        <w:rPr>
          <w:rFonts w:eastAsia="Times New Roman"/>
          <w:sz w:val="16"/>
          <w:szCs w:val="16"/>
        </w:rPr>
        <w:t xml:space="preserve"> A number of requirements in this standard are clear about the obligations of </w:t>
      </w:r>
      <w:r>
        <w:rPr>
          <w:rFonts w:eastAsia="Times New Roman"/>
          <w:sz w:val="16"/>
          <w:szCs w:val="16"/>
        </w:rPr>
        <w:t>A</w:t>
      </w:r>
      <w:r w:rsidRPr="005D28E4">
        <w:rPr>
          <w:rFonts w:eastAsia="Times New Roman"/>
          <w:sz w:val="16"/>
          <w:szCs w:val="16"/>
        </w:rPr>
        <w:t xml:space="preserve">pproved </w:t>
      </w:r>
      <w:r>
        <w:rPr>
          <w:rFonts w:eastAsia="Times New Roman"/>
          <w:sz w:val="16"/>
          <w:szCs w:val="16"/>
        </w:rPr>
        <w:t>P</w:t>
      </w:r>
      <w:r w:rsidRPr="005D28E4">
        <w:rPr>
          <w:rFonts w:eastAsia="Times New Roman"/>
          <w:sz w:val="16"/>
          <w:szCs w:val="16"/>
        </w:rPr>
        <w:t>rovider with respect to undertaking assessment and planning of consumer care needs (Requirements 3(a) and (b)), liaising with others involved in the care of the consumer (Requirement 3(c)) and that care and services are regularly reviewed (Requirement 3(e)).</w:t>
      </w:r>
    </w:p>
  </w:footnote>
  <w:footnote w:id="27">
    <w:p w14:paraId="21D07D48" w14:textId="2495C9C9" w:rsidR="00FA0FC3" w:rsidRDefault="00FA0FC3" w:rsidP="006E10B0">
      <w:r w:rsidRPr="00034E48">
        <w:rPr>
          <w:rStyle w:val="FootnoteReference"/>
          <w:sz w:val="16"/>
          <w:szCs w:val="16"/>
        </w:rPr>
        <w:footnoteRef/>
      </w:r>
      <w:r w:rsidRPr="00034E48">
        <w:rPr>
          <w:sz w:val="16"/>
          <w:szCs w:val="16"/>
        </w:rPr>
        <w:t xml:space="preserve"> </w:t>
      </w:r>
      <w:r w:rsidRPr="00034E48">
        <w:rPr>
          <w:rFonts w:eastAsia="Times New Roman"/>
          <w:sz w:val="16"/>
          <w:szCs w:val="16"/>
        </w:rPr>
        <w:t xml:space="preserve">Appendix D, part B.2 How do the pricing changes affect care management?) – </w:t>
      </w:r>
      <w:r>
        <w:rPr>
          <w:rFonts w:eastAsia="Times New Roman"/>
          <w:sz w:val="16"/>
          <w:szCs w:val="16"/>
        </w:rPr>
        <w:t>‘</w:t>
      </w:r>
      <w:r w:rsidRPr="00034E48">
        <w:rPr>
          <w:rFonts w:eastAsia="Times New Roman"/>
          <w:i/>
          <w:iCs/>
          <w:sz w:val="16"/>
          <w:szCs w:val="16"/>
        </w:rPr>
        <w:t>Care management, often called case management or care coordination, is a key component of every home care package. … Providers need to indicate the cost for care management services and outline their approach to care management in the Schedule. Care management may include: …</w:t>
      </w:r>
      <w:r>
        <w:rPr>
          <w:rFonts w:eastAsia="Times New Roman"/>
          <w:sz w:val="16"/>
          <w:szCs w:val="16"/>
        </w:rPr>
        <w:t>’</w:t>
      </w:r>
      <w:r w:rsidRPr="00034E48">
        <w:rPr>
          <w:rFonts w:eastAsia="Times New Roman"/>
          <w:sz w:val="16"/>
          <w:szCs w:val="16"/>
        </w:rPr>
        <w:t xml:space="preserve">Appendix D, part B.1 What is the pricing Schedule and what do providers need to do with it?) – </w:t>
      </w:r>
      <w:r>
        <w:rPr>
          <w:rFonts w:eastAsia="Times New Roman"/>
          <w:sz w:val="16"/>
          <w:szCs w:val="16"/>
        </w:rPr>
        <w:t>‘</w:t>
      </w:r>
      <w:r w:rsidRPr="00034E48">
        <w:rPr>
          <w:rFonts w:eastAsia="Times New Roman"/>
          <w:i/>
          <w:iCs/>
          <w:sz w:val="16"/>
          <w:szCs w:val="16"/>
        </w:rPr>
        <w:t>All home care providers are required to publish their pricing information in a new standardised pricing comparability Schedule (the Schedule) on the My Aged Care Service Finder</w:t>
      </w:r>
      <w:r>
        <w:rPr>
          <w:rFonts w:eastAsia="Times New Roman"/>
          <w:sz w:val="16"/>
          <w:szCs w:val="16"/>
        </w:rPr>
        <w:t>’.</w:t>
      </w:r>
    </w:p>
  </w:footnote>
  <w:footnote w:id="28">
    <w:p w14:paraId="5662E9EE" w14:textId="0347D2ED" w:rsidR="00FA0FC3" w:rsidRPr="00845C9A" w:rsidRDefault="00FA0FC3" w:rsidP="006E10B0">
      <w:pPr>
        <w:pStyle w:val="FootnoteText"/>
        <w:rPr>
          <w:szCs w:val="16"/>
        </w:rPr>
      </w:pPr>
      <w:r w:rsidRPr="00845C9A">
        <w:rPr>
          <w:rStyle w:val="FootnoteReference"/>
          <w:szCs w:val="16"/>
        </w:rPr>
        <w:footnoteRef/>
      </w:r>
      <w:r w:rsidRPr="00845C9A">
        <w:rPr>
          <w:szCs w:val="16"/>
        </w:rPr>
        <w:t xml:space="preserve"> </w:t>
      </w:r>
      <w:hyperlink r:id="rId8" w:history="1">
        <w:r w:rsidRPr="00845C9A">
          <w:rPr>
            <w:rStyle w:val="Hyperlink"/>
            <w:szCs w:val="16"/>
          </w:rPr>
          <w:t>Home Care Pricing Schedule Definitions | Australian Government Department of Health</w:t>
        </w:r>
      </w:hyperlink>
      <w:r>
        <w:rPr>
          <w:rStyle w:val="Hyperlink"/>
          <w:szCs w:val="16"/>
        </w:rPr>
        <w:t xml:space="preserve"> and Aged Care</w:t>
      </w:r>
    </w:p>
  </w:footnote>
  <w:footnote w:id="29">
    <w:p w14:paraId="5EB96F42" w14:textId="62ADC586" w:rsidR="00FA0FC3" w:rsidRDefault="00FA0FC3" w:rsidP="006E10B0">
      <w:pPr>
        <w:pStyle w:val="FootnoteText"/>
      </w:pPr>
      <w:r>
        <w:rPr>
          <w:rStyle w:val="FootnoteReference"/>
        </w:rPr>
        <w:footnoteRef/>
      </w:r>
      <w:r>
        <w:t xml:space="preserve"> </w:t>
      </w:r>
      <w:r w:rsidRPr="007C540E">
        <w:rPr>
          <w:szCs w:val="16"/>
        </w:rPr>
        <w:t>Section 21L of the User Rights Principles</w:t>
      </w:r>
      <w:r>
        <w:rPr>
          <w:szCs w:val="16"/>
        </w:rPr>
        <w:t xml:space="preserve"> 2014</w:t>
      </w:r>
      <w:r w:rsidRPr="007C540E">
        <w:rPr>
          <w:szCs w:val="16"/>
        </w:rPr>
        <w:t xml:space="preserve"> (Prices and Business costs to be kept to reasonable amounts) refers to ‘reasonable’ in a very specific manner: An approved provider of home care must not charge a care recipient to whom the approved provider provides home care a price that is more than a reasonable amount for a matter mentioned in paragraph 19B(1)(b), (c) or (d) (certain travel, subcontracting arrangements and Package Management).</w:t>
      </w:r>
      <w:r>
        <w:rPr>
          <w:szCs w:val="16"/>
        </w:rPr>
        <w:t xml:space="preserve"> The Review team notes that ‘reasonableness’ of charges was not within scope for this Review. </w:t>
      </w:r>
    </w:p>
  </w:footnote>
  <w:footnote w:id="30">
    <w:p w14:paraId="7F85319F" w14:textId="77777777" w:rsidR="00FA0FC3" w:rsidRPr="00845C9A" w:rsidRDefault="00FA0FC3" w:rsidP="00E401A6">
      <w:pPr>
        <w:pStyle w:val="FootnoteText"/>
        <w:rPr>
          <w:szCs w:val="16"/>
        </w:rPr>
      </w:pPr>
      <w:r w:rsidRPr="00845C9A">
        <w:rPr>
          <w:rStyle w:val="FootnoteReference"/>
          <w:szCs w:val="16"/>
        </w:rPr>
        <w:footnoteRef/>
      </w:r>
      <w:r w:rsidRPr="00845C9A">
        <w:rPr>
          <w:szCs w:val="16"/>
        </w:rPr>
        <w:t xml:space="preserve"> Available here: </w:t>
      </w:r>
      <w:hyperlink r:id="rId9" w:history="1">
        <w:r w:rsidRPr="00845C9A">
          <w:rPr>
            <w:rStyle w:val="Hyperlink"/>
            <w:szCs w:val="16"/>
          </w:rPr>
          <w:t>User Rights Principles 2014 (legislation.gov.au)</w:t>
        </w:r>
      </w:hyperlink>
    </w:p>
  </w:footnote>
  <w:footnote w:id="31">
    <w:p w14:paraId="7E1BD3C0" w14:textId="1E6BA88B" w:rsidR="00FA0FC3" w:rsidRPr="00845C9A" w:rsidRDefault="00FA0FC3">
      <w:pPr>
        <w:pStyle w:val="FootnoteText"/>
        <w:rPr>
          <w:szCs w:val="16"/>
        </w:rPr>
      </w:pPr>
      <w:r w:rsidRPr="00845C9A">
        <w:rPr>
          <w:rStyle w:val="FootnoteReference"/>
          <w:szCs w:val="16"/>
        </w:rPr>
        <w:footnoteRef/>
      </w:r>
      <w:r w:rsidRPr="00845C9A">
        <w:rPr>
          <w:szCs w:val="16"/>
        </w:rPr>
        <w:t xml:space="preserve"> </w:t>
      </w:r>
      <w:hyperlink r:id="rId10" w:history="1">
        <w:r w:rsidRPr="00845C9A">
          <w:rPr>
            <w:rStyle w:val="Hyperlink"/>
            <w:szCs w:val="16"/>
          </w:rPr>
          <w:t>Complaints &amp; problems | ACCC</w:t>
        </w:r>
      </w:hyperlink>
    </w:p>
  </w:footnote>
  <w:footnote w:id="32">
    <w:p w14:paraId="659699BF" w14:textId="03799C33" w:rsidR="00FA0FC3" w:rsidRPr="00845C9A" w:rsidRDefault="00FA0FC3" w:rsidP="00512F02">
      <w:pPr>
        <w:pStyle w:val="FootnoteText"/>
        <w:rPr>
          <w:szCs w:val="16"/>
        </w:rPr>
      </w:pPr>
      <w:r w:rsidRPr="00845C9A">
        <w:rPr>
          <w:rStyle w:val="FootnoteReference"/>
          <w:szCs w:val="16"/>
        </w:rPr>
        <w:footnoteRef/>
      </w:r>
      <w:r w:rsidRPr="00845C9A">
        <w:rPr>
          <w:szCs w:val="16"/>
        </w:rPr>
        <w:t xml:space="preserve"> </w:t>
      </w:r>
      <w:hyperlink r:id="rId11" w:history="1">
        <w:r w:rsidRPr="00845C9A">
          <w:rPr>
            <w:rStyle w:val="Hyperlink"/>
            <w:szCs w:val="16"/>
          </w:rPr>
          <w:t>https://www.agedcarequality.gov.au/making-complaint</w:t>
        </w:r>
      </w:hyperlink>
      <w:r w:rsidRPr="00845C9A">
        <w:rPr>
          <w:szCs w:val="16"/>
        </w:rPr>
        <w:t xml:space="preserve"> </w:t>
      </w:r>
    </w:p>
  </w:footnote>
  <w:footnote w:id="33">
    <w:p w14:paraId="3A9D9B46" w14:textId="30C9B3D6" w:rsidR="00FA0FC3" w:rsidRPr="005E746F" w:rsidRDefault="00FA0FC3" w:rsidP="00FE7729">
      <w:pPr>
        <w:pStyle w:val="FootnoteText"/>
        <w:rPr>
          <w:szCs w:val="16"/>
        </w:rPr>
      </w:pPr>
      <w:r w:rsidRPr="00845C9A">
        <w:rPr>
          <w:rStyle w:val="FootnoteReference"/>
          <w:szCs w:val="16"/>
        </w:rPr>
        <w:footnoteRef/>
      </w:r>
      <w:r w:rsidRPr="00845C9A">
        <w:rPr>
          <w:szCs w:val="16"/>
        </w:rPr>
        <w:t xml:space="preserve"> This is the colloquial term used publicly – this comprises package management, staff travel, third-party invoice processing and other such </w:t>
      </w:r>
      <w:r>
        <w:rPr>
          <w:szCs w:val="16"/>
        </w:rPr>
        <w:t>‘</w:t>
      </w:r>
      <w:r w:rsidRPr="00845C9A">
        <w:rPr>
          <w:szCs w:val="16"/>
        </w:rPr>
        <w:t>indirect</w:t>
      </w:r>
      <w:r>
        <w:rPr>
          <w:szCs w:val="16"/>
        </w:rPr>
        <w:t>’</w:t>
      </w:r>
      <w:r w:rsidRPr="00845C9A">
        <w:rPr>
          <w:szCs w:val="16"/>
        </w:rPr>
        <w:t xml:space="preserve"> charges, and care management charges (which is a specific support service unlike indirect charges).</w:t>
      </w:r>
    </w:p>
  </w:footnote>
  <w:footnote w:id="34">
    <w:p w14:paraId="41918C24" w14:textId="4A4D5D6F" w:rsidR="00FA0FC3" w:rsidRPr="003C74A6" w:rsidRDefault="00FA0FC3">
      <w:pPr>
        <w:pStyle w:val="FootnoteText"/>
        <w:rPr>
          <w:szCs w:val="16"/>
        </w:rPr>
      </w:pPr>
      <w:r w:rsidRPr="003C74A6">
        <w:rPr>
          <w:rStyle w:val="FootnoteReference"/>
          <w:szCs w:val="16"/>
        </w:rPr>
        <w:footnoteRef/>
      </w:r>
      <w:r w:rsidRPr="003C74A6">
        <w:rPr>
          <w:szCs w:val="16"/>
        </w:rPr>
        <w:t xml:space="preserve"> For example, it is understandable if in regional and remote areas some indirect charges are higher for providers, or difficult to absorb (for example longer distances need to be travelled by staff to get to a HCP residence in rural areas).</w:t>
      </w:r>
    </w:p>
  </w:footnote>
  <w:footnote w:id="35">
    <w:p w14:paraId="0D3662FC" w14:textId="77777777" w:rsidR="00FA0FC3" w:rsidRPr="00254F5B" w:rsidRDefault="00FA0FC3" w:rsidP="00D771AD">
      <w:pPr>
        <w:pStyle w:val="FootnoteText"/>
        <w:rPr>
          <w:szCs w:val="16"/>
        </w:rPr>
      </w:pPr>
      <w:r w:rsidRPr="00254F5B">
        <w:rPr>
          <w:rStyle w:val="FootnoteReference"/>
          <w:szCs w:val="16"/>
        </w:rPr>
        <w:footnoteRef/>
      </w:r>
      <w:r w:rsidRPr="00254F5B">
        <w:rPr>
          <w:szCs w:val="16"/>
        </w:rPr>
        <w:t xml:space="preserve"> Departmental policies and guidance on indirect and care management charges.</w:t>
      </w:r>
    </w:p>
  </w:footnote>
  <w:footnote w:id="36">
    <w:p w14:paraId="7A80204E" w14:textId="4701336C" w:rsidR="00FA0FC3" w:rsidRPr="0041358A" w:rsidRDefault="00FA0FC3" w:rsidP="00D771AD">
      <w:pPr>
        <w:pStyle w:val="FootnoteText"/>
        <w:rPr>
          <w:szCs w:val="16"/>
        </w:rPr>
      </w:pPr>
      <w:r w:rsidRPr="0041358A">
        <w:rPr>
          <w:rStyle w:val="FootnoteReference"/>
          <w:szCs w:val="16"/>
        </w:rPr>
        <w:footnoteRef/>
      </w:r>
      <w:r w:rsidRPr="0041358A">
        <w:rPr>
          <w:szCs w:val="16"/>
        </w:rPr>
        <w:t xml:space="preserve"> The </w:t>
      </w:r>
      <w:r>
        <w:rPr>
          <w:szCs w:val="16"/>
        </w:rPr>
        <w:t>R</w:t>
      </w:r>
      <w:r w:rsidRPr="0041358A">
        <w:rPr>
          <w:szCs w:val="16"/>
        </w:rPr>
        <w:t xml:space="preserve">eview team verified the calculations applied within the </w:t>
      </w:r>
      <w:r>
        <w:rPr>
          <w:szCs w:val="16"/>
        </w:rPr>
        <w:t>p</w:t>
      </w:r>
      <w:r w:rsidRPr="0041358A">
        <w:rPr>
          <w:szCs w:val="16"/>
        </w:rPr>
        <w:t xml:space="preserve">rovider’s methodology submitted to the Department as part of the </w:t>
      </w:r>
      <w:r>
        <w:rPr>
          <w:szCs w:val="16"/>
        </w:rPr>
        <w:t>R</w:t>
      </w:r>
      <w:r w:rsidRPr="0041358A">
        <w:rPr>
          <w:szCs w:val="16"/>
        </w:rPr>
        <w:t>eview, where relevant and possible.</w:t>
      </w:r>
    </w:p>
  </w:footnote>
  <w:footnote w:id="37">
    <w:p w14:paraId="20644A79" w14:textId="141E8A15" w:rsidR="00FA0FC3" w:rsidRPr="00254F5B" w:rsidRDefault="00FA0FC3" w:rsidP="00D771AD">
      <w:pPr>
        <w:pStyle w:val="FootnoteText"/>
        <w:rPr>
          <w:szCs w:val="16"/>
        </w:rPr>
      </w:pPr>
      <w:r w:rsidRPr="00254F5B">
        <w:rPr>
          <w:rStyle w:val="FootnoteReference"/>
          <w:szCs w:val="16"/>
        </w:rPr>
        <w:footnoteRef/>
      </w:r>
      <w:r w:rsidRPr="00254F5B">
        <w:rPr>
          <w:szCs w:val="16"/>
        </w:rPr>
        <w:t xml:space="preserve"> In line with the </w:t>
      </w:r>
      <w:r>
        <w:rPr>
          <w:szCs w:val="16"/>
        </w:rPr>
        <w:t>p</w:t>
      </w:r>
      <w:r w:rsidRPr="00254F5B">
        <w:rPr>
          <w:szCs w:val="16"/>
        </w:rPr>
        <w:t>rovider’s methodology for these charges.</w:t>
      </w:r>
    </w:p>
  </w:footnote>
  <w:footnote w:id="38">
    <w:p w14:paraId="4289BA6E" w14:textId="77777777" w:rsidR="00FA0FC3" w:rsidRPr="00254F5B" w:rsidRDefault="00FA0FC3" w:rsidP="00D771AD">
      <w:pPr>
        <w:pStyle w:val="FootnoteText"/>
        <w:rPr>
          <w:szCs w:val="16"/>
        </w:rPr>
      </w:pPr>
      <w:r w:rsidRPr="00254F5B">
        <w:rPr>
          <w:rStyle w:val="FootnoteReference"/>
          <w:szCs w:val="16"/>
        </w:rPr>
        <w:footnoteRef/>
      </w:r>
      <w:r w:rsidRPr="00254F5B">
        <w:rPr>
          <w:szCs w:val="16"/>
        </w:rPr>
        <w:t xml:space="preserve"> IIA Whitepaper: Internal Audit Sampling</w:t>
      </w:r>
    </w:p>
  </w:footnote>
  <w:footnote w:id="39">
    <w:p w14:paraId="38C1E9D3" w14:textId="77777777" w:rsidR="00FA0FC3" w:rsidRPr="00254F5B" w:rsidRDefault="00FA0FC3" w:rsidP="00D771AD">
      <w:pPr>
        <w:pStyle w:val="FootnoteText"/>
        <w:rPr>
          <w:szCs w:val="16"/>
        </w:rPr>
      </w:pPr>
      <w:r w:rsidRPr="00254F5B">
        <w:rPr>
          <w:rStyle w:val="FootnoteReference"/>
          <w:szCs w:val="16"/>
        </w:rPr>
        <w:footnoteRef/>
      </w:r>
      <w:r w:rsidRPr="00254F5B">
        <w:rPr>
          <w:szCs w:val="16"/>
        </w:rPr>
        <w:t xml:space="preserve"> The HCP Program does not mandate indirect and care management charges related methodology or mandate charges.</w:t>
      </w:r>
    </w:p>
  </w:footnote>
  <w:footnote w:id="40">
    <w:p w14:paraId="023411A8" w14:textId="77777777" w:rsidR="00FA0FC3" w:rsidRPr="00254F5B" w:rsidRDefault="00FA0FC3" w:rsidP="00D771AD">
      <w:pPr>
        <w:pStyle w:val="FootnoteText"/>
        <w:rPr>
          <w:szCs w:val="16"/>
        </w:rPr>
      </w:pPr>
      <w:r w:rsidRPr="00254F5B">
        <w:rPr>
          <w:rStyle w:val="FootnoteReference"/>
          <w:szCs w:val="16"/>
        </w:rPr>
        <w:footnoteRef/>
      </w:r>
      <w:r w:rsidRPr="00254F5B">
        <w:rPr>
          <w:szCs w:val="16"/>
        </w:rPr>
        <w:t xml:space="preserve"> Providers need to run a profitable business while also supporting the delivery of quality and safe care to HCP care recipients.</w:t>
      </w:r>
    </w:p>
  </w:footnote>
  <w:footnote w:id="41">
    <w:p w14:paraId="229610E2" w14:textId="33D264CC" w:rsidR="00FA0FC3" w:rsidRPr="00254F5B" w:rsidRDefault="00FA0FC3" w:rsidP="00D771AD">
      <w:pPr>
        <w:pStyle w:val="FootnoteText"/>
        <w:rPr>
          <w:szCs w:val="16"/>
        </w:rPr>
      </w:pPr>
      <w:r w:rsidRPr="00254F5B">
        <w:rPr>
          <w:rStyle w:val="FootnoteReference"/>
          <w:szCs w:val="16"/>
        </w:rPr>
        <w:footnoteRef/>
      </w:r>
      <w:r w:rsidRPr="00254F5B">
        <w:rPr>
          <w:szCs w:val="16"/>
        </w:rPr>
        <w:t xml:space="preserve"> The Aged Care Quality and Safety Commission is the national regulator </w:t>
      </w:r>
      <w:r>
        <w:rPr>
          <w:szCs w:val="16"/>
        </w:rPr>
        <w:t>of</w:t>
      </w:r>
      <w:r w:rsidRPr="00254F5B">
        <w:rPr>
          <w:szCs w:val="16"/>
        </w:rPr>
        <w:t xml:space="preserve"> aged care including the Home Care Packages Program.</w:t>
      </w:r>
    </w:p>
  </w:footnote>
  <w:footnote w:id="42">
    <w:p w14:paraId="72126014" w14:textId="77777777" w:rsidR="00FA0FC3" w:rsidRPr="00A97C2F" w:rsidRDefault="00FA0FC3" w:rsidP="00D771AD">
      <w:pPr>
        <w:pStyle w:val="FootnoteText"/>
        <w:rPr>
          <w:szCs w:val="16"/>
        </w:rPr>
      </w:pPr>
      <w:r w:rsidRPr="00A97C2F">
        <w:rPr>
          <w:rStyle w:val="FootnoteReference"/>
          <w:szCs w:val="16"/>
        </w:rPr>
        <w:footnoteRef/>
      </w:r>
      <w:r w:rsidRPr="00A97C2F">
        <w:rPr>
          <w:szCs w:val="16"/>
        </w:rPr>
        <w:t xml:space="preserve"> A standard template supported consistency of approach.</w:t>
      </w:r>
    </w:p>
  </w:footnote>
  <w:footnote w:id="43">
    <w:p w14:paraId="45FCD607" w14:textId="77777777" w:rsidR="00FA0FC3" w:rsidRPr="00A97C2F" w:rsidRDefault="00FA0FC3" w:rsidP="00D771AD">
      <w:pPr>
        <w:pStyle w:val="FootnoteText"/>
        <w:rPr>
          <w:szCs w:val="16"/>
        </w:rPr>
      </w:pPr>
      <w:r w:rsidRPr="00A97C2F">
        <w:rPr>
          <w:rStyle w:val="FootnoteReference"/>
          <w:szCs w:val="16"/>
        </w:rPr>
        <w:footnoteRef/>
      </w:r>
      <w:r w:rsidRPr="00A97C2F">
        <w:rPr>
          <w:szCs w:val="16"/>
        </w:rPr>
        <w:t xml:space="preserve"> </w:t>
      </w:r>
      <w:r w:rsidRPr="00DD6576">
        <w:rPr>
          <w:szCs w:val="16"/>
        </w:rPr>
        <w:t>Due to potential impact from COVID-19 on some providers, the Department proactively extended the finalisation period to four weeks.</w:t>
      </w:r>
    </w:p>
  </w:footnote>
  <w:footnote w:id="44">
    <w:p w14:paraId="7AF153A1" w14:textId="77777777" w:rsidR="00FA0FC3" w:rsidRPr="00362192" w:rsidRDefault="00FA0FC3" w:rsidP="00542EAD">
      <w:pPr>
        <w:pStyle w:val="FootnoteText"/>
        <w:rPr>
          <w:szCs w:val="16"/>
        </w:rPr>
      </w:pPr>
      <w:r w:rsidRPr="00362192">
        <w:rPr>
          <w:rStyle w:val="FootnoteReference"/>
          <w:szCs w:val="16"/>
        </w:rPr>
        <w:footnoteRef/>
      </w:r>
      <w:r w:rsidRPr="00362192">
        <w:rPr>
          <w:szCs w:val="16"/>
        </w:rPr>
        <w:t xml:space="preserve"> 25% of data points fall below the lower quartile, or first quartile, Q1, when arranged in an increasing order.</w:t>
      </w:r>
    </w:p>
  </w:footnote>
  <w:footnote w:id="45">
    <w:p w14:paraId="17224CB7" w14:textId="77777777" w:rsidR="00FA0FC3" w:rsidRDefault="00FA0FC3" w:rsidP="00542EAD">
      <w:pPr>
        <w:pStyle w:val="FootnoteText"/>
      </w:pPr>
      <w:r w:rsidRPr="00362192">
        <w:rPr>
          <w:rStyle w:val="FootnoteReference"/>
          <w:szCs w:val="16"/>
        </w:rPr>
        <w:footnoteRef/>
      </w:r>
      <w:r w:rsidRPr="00362192">
        <w:rPr>
          <w:szCs w:val="16"/>
        </w:rPr>
        <w:t xml:space="preserve"> 75% of data points fall below the upper quartile, or third quartile, Q3, when arranged in an increasing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0B02" w14:textId="7FE76473" w:rsidR="00FA0FC3" w:rsidRDefault="00FA0FC3">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1" locked="0" layoutInCell="1" allowOverlap="1" wp14:anchorId="6B058E8E" wp14:editId="754E4AE2">
          <wp:simplePos x="0" y="0"/>
          <wp:positionH relativeFrom="page">
            <wp:posOffset>-1889</wp:posOffset>
          </wp:positionH>
          <wp:positionV relativeFrom="page">
            <wp:align>top</wp:align>
          </wp:positionV>
          <wp:extent cx="7559245" cy="10692675"/>
          <wp:effectExtent l="0" t="0" r="381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6E21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48B8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360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FA8744"/>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DAA0B3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18F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183CEA"/>
    <w:lvl w:ilvl="0">
      <w:start w:val="1"/>
      <w:numFmt w:val="bullet"/>
      <w:pStyle w:val="ListBullet3"/>
      <w:lvlText w:val=""/>
      <w:lvlJc w:val="left"/>
      <w:pPr>
        <w:ind w:left="926" w:hanging="360"/>
      </w:pPr>
      <w:rPr>
        <w:rFonts w:ascii="Wingdings" w:hAnsi="Wingdings" w:hint="default"/>
      </w:rPr>
    </w:lvl>
  </w:abstractNum>
  <w:abstractNum w:abstractNumId="7" w15:restartNumberingAfterBreak="0">
    <w:nsid w:val="FFFFFF83"/>
    <w:multiLevelType w:val="singleLevel"/>
    <w:tmpl w:val="3E4AEAF4"/>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D4F2E7E0"/>
    <w:lvl w:ilvl="0">
      <w:start w:val="1"/>
      <w:numFmt w:val="decimal"/>
      <w:pStyle w:val="ListNumber"/>
      <w:lvlText w:val="%1)"/>
      <w:lvlJc w:val="left"/>
      <w:pPr>
        <w:ind w:left="360" w:hanging="360"/>
      </w:pPr>
    </w:lvl>
  </w:abstractNum>
  <w:abstractNum w:abstractNumId="9" w15:restartNumberingAfterBreak="0">
    <w:nsid w:val="FFFFFF89"/>
    <w:multiLevelType w:val="singleLevel"/>
    <w:tmpl w:val="527497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25C66"/>
    <w:multiLevelType w:val="hybridMultilevel"/>
    <w:tmpl w:val="3EAE2614"/>
    <w:lvl w:ilvl="0" w:tplc="8D48785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FC5EE4"/>
    <w:multiLevelType w:val="hybridMultilevel"/>
    <w:tmpl w:val="4A680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25652AE"/>
    <w:multiLevelType w:val="hybridMultilevel"/>
    <w:tmpl w:val="421CA9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4E917B6"/>
    <w:multiLevelType w:val="multilevel"/>
    <w:tmpl w:val="DCE61D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8F4323D"/>
    <w:multiLevelType w:val="hybridMultilevel"/>
    <w:tmpl w:val="A3DA72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354936"/>
    <w:multiLevelType w:val="hybridMultilevel"/>
    <w:tmpl w:val="B79EB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26E3C80"/>
    <w:multiLevelType w:val="hybridMultilevel"/>
    <w:tmpl w:val="61C2B0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851A08"/>
    <w:multiLevelType w:val="hybridMultilevel"/>
    <w:tmpl w:val="BF8E5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57C74EC"/>
    <w:multiLevelType w:val="hybridMultilevel"/>
    <w:tmpl w:val="C434B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DC49B1"/>
    <w:multiLevelType w:val="hybridMultilevel"/>
    <w:tmpl w:val="BC8492D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6657E6"/>
    <w:multiLevelType w:val="hybridMultilevel"/>
    <w:tmpl w:val="B784E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DB54492"/>
    <w:multiLevelType w:val="hybridMultilevel"/>
    <w:tmpl w:val="C33A19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FE2748"/>
    <w:multiLevelType w:val="hybridMultilevel"/>
    <w:tmpl w:val="78CC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A36BF7"/>
    <w:multiLevelType w:val="hybridMultilevel"/>
    <w:tmpl w:val="3F46E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064C8E"/>
    <w:multiLevelType w:val="hybridMultilevel"/>
    <w:tmpl w:val="52CAA4D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7E5122"/>
    <w:multiLevelType w:val="hybridMultilevel"/>
    <w:tmpl w:val="BB0EA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727599A"/>
    <w:multiLevelType w:val="hybridMultilevel"/>
    <w:tmpl w:val="281E80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7816F25"/>
    <w:multiLevelType w:val="multilevel"/>
    <w:tmpl w:val="5A34F5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956C6F"/>
    <w:multiLevelType w:val="hybridMultilevel"/>
    <w:tmpl w:val="60D06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4C327C"/>
    <w:multiLevelType w:val="hybridMultilevel"/>
    <w:tmpl w:val="FD4A9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4C5222"/>
    <w:multiLevelType w:val="hybridMultilevel"/>
    <w:tmpl w:val="4CA268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A912AA"/>
    <w:multiLevelType w:val="hybridMultilevel"/>
    <w:tmpl w:val="5DAACD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11024C0"/>
    <w:multiLevelType w:val="hybridMultilevel"/>
    <w:tmpl w:val="343412F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657B74"/>
    <w:multiLevelType w:val="hybridMultilevel"/>
    <w:tmpl w:val="E2EAB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613634"/>
    <w:multiLevelType w:val="hybridMultilevel"/>
    <w:tmpl w:val="2A44C0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3B41A0"/>
    <w:multiLevelType w:val="hybridMultilevel"/>
    <w:tmpl w:val="C5DCFFF4"/>
    <w:lvl w:ilvl="0" w:tplc="FEDABF62">
      <w:start w:val="1"/>
      <w:numFmt w:val="decimal"/>
      <w:pStyle w:val="Table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90C44CF"/>
    <w:multiLevelType w:val="hybridMultilevel"/>
    <w:tmpl w:val="FA067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862522"/>
    <w:multiLevelType w:val="multilevel"/>
    <w:tmpl w:val="3C74AECA"/>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4E2020"/>
    <w:multiLevelType w:val="hybridMultilevel"/>
    <w:tmpl w:val="37A2C804"/>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5632986"/>
    <w:multiLevelType w:val="hybridMultilevel"/>
    <w:tmpl w:val="DF4E3F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3A65B1"/>
    <w:multiLevelType w:val="hybridMultilevel"/>
    <w:tmpl w:val="0D3063E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C6A4450"/>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7C74455C"/>
    <w:multiLevelType w:val="hybridMultilevel"/>
    <w:tmpl w:val="5ECE87B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8"/>
  </w:num>
  <w:num w:numId="2">
    <w:abstractNumId w:val="14"/>
  </w:num>
  <w:num w:numId="3">
    <w:abstractNumId w:val="20"/>
  </w:num>
  <w:num w:numId="4">
    <w:abstractNumId w:val="20"/>
  </w:num>
  <w:num w:numId="5">
    <w:abstractNumId w:val="16"/>
  </w:num>
  <w:num w:numId="6">
    <w:abstractNumId w:val="29"/>
  </w:num>
  <w:num w:numId="7">
    <w:abstractNumId w:val="12"/>
  </w:num>
  <w:num w:numId="8">
    <w:abstractNumId w:val="37"/>
  </w:num>
  <w:num w:numId="9">
    <w:abstractNumId w:val="18"/>
  </w:num>
  <w:num w:numId="10">
    <w:abstractNumId w:val="17"/>
  </w:num>
  <w:num w:numId="11">
    <w:abstractNumId w:val="26"/>
  </w:num>
  <w:num w:numId="12">
    <w:abstractNumId w:val="27"/>
  </w:num>
  <w:num w:numId="13">
    <w:abstractNumId w:val="19"/>
  </w:num>
  <w:num w:numId="14">
    <w:abstractNumId w:val="40"/>
  </w:num>
  <w:num w:numId="15">
    <w:abstractNumId w:val="13"/>
  </w:num>
  <w:num w:numId="16">
    <w:abstractNumId w:val="24"/>
  </w:num>
  <w:num w:numId="17">
    <w:abstractNumId w:val="39"/>
  </w:num>
  <w:num w:numId="18">
    <w:abstractNumId w:val="15"/>
  </w:num>
  <w:num w:numId="19">
    <w:abstractNumId w:val="28"/>
  </w:num>
  <w:num w:numId="20">
    <w:abstractNumId w:val="30"/>
  </w:num>
  <w:num w:numId="21">
    <w:abstractNumId w:val="25"/>
  </w:num>
  <w:num w:numId="22">
    <w:abstractNumId w:val="42"/>
  </w:num>
  <w:num w:numId="23">
    <w:abstractNumId w:val="32"/>
  </w:num>
  <w:num w:numId="24">
    <w:abstractNumId w:val="21"/>
  </w:num>
  <w:num w:numId="25">
    <w:abstractNumId w:val="23"/>
  </w:num>
  <w:num w:numId="26">
    <w:abstractNumId w:val="33"/>
  </w:num>
  <w:num w:numId="27">
    <w:abstractNumId w:val="11"/>
  </w:num>
  <w:num w:numId="28">
    <w:abstractNumId w:val="36"/>
  </w:num>
  <w:num w:numId="29">
    <w:abstractNumId w:val="31"/>
  </w:num>
  <w:num w:numId="30">
    <w:abstractNumId w:val="22"/>
  </w:num>
  <w:num w:numId="31">
    <w:abstractNumId w:val="10"/>
  </w:num>
  <w:num w:numId="32">
    <w:abstractNumId w:val="3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8"/>
    <w:lvlOverride w:ilvl="0">
      <w:startOverride w:val="1"/>
    </w:lvlOverride>
  </w:num>
  <w:num w:numId="44">
    <w:abstractNumId w:val="41"/>
  </w:num>
  <w:num w:numId="45">
    <w:abstractNumId w:val="35"/>
  </w:num>
  <w:num w:numId="46">
    <w:abstractNumId w:val="8"/>
  </w:num>
  <w:num w:numId="47">
    <w:abstractNumId w:val="8"/>
    <w:lvlOverride w:ilvl="0">
      <w:startOverride w:val="1"/>
    </w:lvlOverride>
  </w:num>
  <w:num w:numId="4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6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86"/>
    <w:rsid w:val="000006DF"/>
    <w:rsid w:val="00001A2A"/>
    <w:rsid w:val="00003027"/>
    <w:rsid w:val="000033E4"/>
    <w:rsid w:val="0000476B"/>
    <w:rsid w:val="000049B3"/>
    <w:rsid w:val="000059DD"/>
    <w:rsid w:val="0000670F"/>
    <w:rsid w:val="00007C6F"/>
    <w:rsid w:val="00007D2A"/>
    <w:rsid w:val="00010CB4"/>
    <w:rsid w:val="00011C8C"/>
    <w:rsid w:val="00011C99"/>
    <w:rsid w:val="00012432"/>
    <w:rsid w:val="00012616"/>
    <w:rsid w:val="000134A4"/>
    <w:rsid w:val="00013CE8"/>
    <w:rsid w:val="00014AFE"/>
    <w:rsid w:val="0001571E"/>
    <w:rsid w:val="00020527"/>
    <w:rsid w:val="0002140B"/>
    <w:rsid w:val="000219B2"/>
    <w:rsid w:val="00022810"/>
    <w:rsid w:val="00023201"/>
    <w:rsid w:val="000236E1"/>
    <w:rsid w:val="00023A5A"/>
    <w:rsid w:val="00023D87"/>
    <w:rsid w:val="00024A74"/>
    <w:rsid w:val="00026A57"/>
    <w:rsid w:val="000274D9"/>
    <w:rsid w:val="00034E48"/>
    <w:rsid w:val="0003548C"/>
    <w:rsid w:val="00035DC0"/>
    <w:rsid w:val="00035F8C"/>
    <w:rsid w:val="00037151"/>
    <w:rsid w:val="00037F14"/>
    <w:rsid w:val="000404A0"/>
    <w:rsid w:val="00040EF9"/>
    <w:rsid w:val="00041933"/>
    <w:rsid w:val="00041F9C"/>
    <w:rsid w:val="0004273D"/>
    <w:rsid w:val="00043CAC"/>
    <w:rsid w:val="0004414A"/>
    <w:rsid w:val="00045EE0"/>
    <w:rsid w:val="000466AE"/>
    <w:rsid w:val="00050533"/>
    <w:rsid w:val="0005059D"/>
    <w:rsid w:val="000514B1"/>
    <w:rsid w:val="00051925"/>
    <w:rsid w:val="00051B7C"/>
    <w:rsid w:val="000529FE"/>
    <w:rsid w:val="0005313E"/>
    <w:rsid w:val="00054F4B"/>
    <w:rsid w:val="00055BFD"/>
    <w:rsid w:val="00055FAD"/>
    <w:rsid w:val="00056A73"/>
    <w:rsid w:val="0005705F"/>
    <w:rsid w:val="0006164A"/>
    <w:rsid w:val="000647B2"/>
    <w:rsid w:val="00066AF5"/>
    <w:rsid w:val="00072625"/>
    <w:rsid w:val="00074420"/>
    <w:rsid w:val="00075F7A"/>
    <w:rsid w:val="00075FBA"/>
    <w:rsid w:val="000807DB"/>
    <w:rsid w:val="00080C4C"/>
    <w:rsid w:val="000813C4"/>
    <w:rsid w:val="00081B37"/>
    <w:rsid w:val="00082731"/>
    <w:rsid w:val="00082AE3"/>
    <w:rsid w:val="00083266"/>
    <w:rsid w:val="0008362A"/>
    <w:rsid w:val="0008470A"/>
    <w:rsid w:val="00084715"/>
    <w:rsid w:val="000852ED"/>
    <w:rsid w:val="00086778"/>
    <w:rsid w:val="0008690E"/>
    <w:rsid w:val="00090EF0"/>
    <w:rsid w:val="0009553E"/>
    <w:rsid w:val="00096440"/>
    <w:rsid w:val="00097E38"/>
    <w:rsid w:val="000A0A45"/>
    <w:rsid w:val="000A208C"/>
    <w:rsid w:val="000A2F0C"/>
    <w:rsid w:val="000A4E23"/>
    <w:rsid w:val="000A6C6D"/>
    <w:rsid w:val="000B0D30"/>
    <w:rsid w:val="000B245D"/>
    <w:rsid w:val="000B33DB"/>
    <w:rsid w:val="000B3B34"/>
    <w:rsid w:val="000B4037"/>
    <w:rsid w:val="000B455A"/>
    <w:rsid w:val="000B4EFC"/>
    <w:rsid w:val="000B526A"/>
    <w:rsid w:val="000B5395"/>
    <w:rsid w:val="000B58F4"/>
    <w:rsid w:val="000B5FF7"/>
    <w:rsid w:val="000C06BF"/>
    <w:rsid w:val="000C1BE0"/>
    <w:rsid w:val="000C1F84"/>
    <w:rsid w:val="000C1FE5"/>
    <w:rsid w:val="000C2330"/>
    <w:rsid w:val="000C3E24"/>
    <w:rsid w:val="000C3E50"/>
    <w:rsid w:val="000C4575"/>
    <w:rsid w:val="000C4ACA"/>
    <w:rsid w:val="000C4DA4"/>
    <w:rsid w:val="000C4EA9"/>
    <w:rsid w:val="000C72AD"/>
    <w:rsid w:val="000D0456"/>
    <w:rsid w:val="000D1A25"/>
    <w:rsid w:val="000D1B33"/>
    <w:rsid w:val="000D28F2"/>
    <w:rsid w:val="000D2D42"/>
    <w:rsid w:val="000D3055"/>
    <w:rsid w:val="000E1E22"/>
    <w:rsid w:val="000E368F"/>
    <w:rsid w:val="000E4737"/>
    <w:rsid w:val="000E5A33"/>
    <w:rsid w:val="000E65D5"/>
    <w:rsid w:val="000F05F4"/>
    <w:rsid w:val="000F0A34"/>
    <w:rsid w:val="000F20E8"/>
    <w:rsid w:val="000F22A4"/>
    <w:rsid w:val="000F22A8"/>
    <w:rsid w:val="000F2DE6"/>
    <w:rsid w:val="000F47A1"/>
    <w:rsid w:val="000F6E1B"/>
    <w:rsid w:val="000F7D19"/>
    <w:rsid w:val="001034C3"/>
    <w:rsid w:val="00104221"/>
    <w:rsid w:val="00104399"/>
    <w:rsid w:val="00104B96"/>
    <w:rsid w:val="00104BDB"/>
    <w:rsid w:val="00111793"/>
    <w:rsid w:val="0011288C"/>
    <w:rsid w:val="00112DA7"/>
    <w:rsid w:val="001147EB"/>
    <w:rsid w:val="00115171"/>
    <w:rsid w:val="001154D6"/>
    <w:rsid w:val="00116F98"/>
    <w:rsid w:val="00117905"/>
    <w:rsid w:val="00117BD5"/>
    <w:rsid w:val="0012114D"/>
    <w:rsid w:val="00121A14"/>
    <w:rsid w:val="00121D26"/>
    <w:rsid w:val="00122415"/>
    <w:rsid w:val="00124419"/>
    <w:rsid w:val="00125086"/>
    <w:rsid w:val="00126DAB"/>
    <w:rsid w:val="00127CED"/>
    <w:rsid w:val="001300D4"/>
    <w:rsid w:val="0013042D"/>
    <w:rsid w:val="001318AE"/>
    <w:rsid w:val="00131D7B"/>
    <w:rsid w:val="00131EA3"/>
    <w:rsid w:val="00132392"/>
    <w:rsid w:val="00132F4F"/>
    <w:rsid w:val="00134E74"/>
    <w:rsid w:val="00137755"/>
    <w:rsid w:val="00137FDC"/>
    <w:rsid w:val="00140325"/>
    <w:rsid w:val="0014283F"/>
    <w:rsid w:val="001464C7"/>
    <w:rsid w:val="001520E3"/>
    <w:rsid w:val="0015358A"/>
    <w:rsid w:val="00153FCD"/>
    <w:rsid w:val="00156C46"/>
    <w:rsid w:val="00156D1C"/>
    <w:rsid w:val="001576C7"/>
    <w:rsid w:val="00157EE9"/>
    <w:rsid w:val="00160694"/>
    <w:rsid w:val="00162D17"/>
    <w:rsid w:val="00162E62"/>
    <w:rsid w:val="0016439E"/>
    <w:rsid w:val="001645C3"/>
    <w:rsid w:val="00164A70"/>
    <w:rsid w:val="0016732F"/>
    <w:rsid w:val="00167773"/>
    <w:rsid w:val="00167CFE"/>
    <w:rsid w:val="00174203"/>
    <w:rsid w:val="001773C6"/>
    <w:rsid w:val="00177EE6"/>
    <w:rsid w:val="00181255"/>
    <w:rsid w:val="001866B5"/>
    <w:rsid w:val="00191F26"/>
    <w:rsid w:val="00191F32"/>
    <w:rsid w:val="00192201"/>
    <w:rsid w:val="0019508B"/>
    <w:rsid w:val="001960A8"/>
    <w:rsid w:val="0019647B"/>
    <w:rsid w:val="00196EAC"/>
    <w:rsid w:val="00197F41"/>
    <w:rsid w:val="001A000B"/>
    <w:rsid w:val="001A0B39"/>
    <w:rsid w:val="001A1157"/>
    <w:rsid w:val="001A12E4"/>
    <w:rsid w:val="001A2755"/>
    <w:rsid w:val="001A2764"/>
    <w:rsid w:val="001A5755"/>
    <w:rsid w:val="001A61BD"/>
    <w:rsid w:val="001A7C7A"/>
    <w:rsid w:val="001B0C22"/>
    <w:rsid w:val="001B1AD2"/>
    <w:rsid w:val="001B3CAE"/>
    <w:rsid w:val="001B6AE5"/>
    <w:rsid w:val="001B6CBE"/>
    <w:rsid w:val="001B6E42"/>
    <w:rsid w:val="001B7AC9"/>
    <w:rsid w:val="001B7D64"/>
    <w:rsid w:val="001C02B1"/>
    <w:rsid w:val="001C196E"/>
    <w:rsid w:val="001C1CC6"/>
    <w:rsid w:val="001C37C0"/>
    <w:rsid w:val="001C45CF"/>
    <w:rsid w:val="001C712C"/>
    <w:rsid w:val="001D0412"/>
    <w:rsid w:val="001D0848"/>
    <w:rsid w:val="001D113D"/>
    <w:rsid w:val="001D4108"/>
    <w:rsid w:val="001D4DCC"/>
    <w:rsid w:val="001D4E3E"/>
    <w:rsid w:val="001D5882"/>
    <w:rsid w:val="001D678B"/>
    <w:rsid w:val="001D7BBC"/>
    <w:rsid w:val="001E05F7"/>
    <w:rsid w:val="001E070E"/>
    <w:rsid w:val="001E2179"/>
    <w:rsid w:val="001E2FD8"/>
    <w:rsid w:val="001E3460"/>
    <w:rsid w:val="001E4611"/>
    <w:rsid w:val="001E548C"/>
    <w:rsid w:val="001E5516"/>
    <w:rsid w:val="001F07EE"/>
    <w:rsid w:val="001F1279"/>
    <w:rsid w:val="001F1F31"/>
    <w:rsid w:val="001F371B"/>
    <w:rsid w:val="001F3FF2"/>
    <w:rsid w:val="001F49A9"/>
    <w:rsid w:val="001F50B1"/>
    <w:rsid w:val="001F715E"/>
    <w:rsid w:val="001F753E"/>
    <w:rsid w:val="0020297E"/>
    <w:rsid w:val="002034FB"/>
    <w:rsid w:val="00203CFC"/>
    <w:rsid w:val="00204D7D"/>
    <w:rsid w:val="0020672E"/>
    <w:rsid w:val="002102B6"/>
    <w:rsid w:val="00210E00"/>
    <w:rsid w:val="00211A4F"/>
    <w:rsid w:val="00211CDA"/>
    <w:rsid w:val="00211F45"/>
    <w:rsid w:val="00213122"/>
    <w:rsid w:val="00213D4B"/>
    <w:rsid w:val="00214427"/>
    <w:rsid w:val="00214F13"/>
    <w:rsid w:val="00215087"/>
    <w:rsid w:val="0021587C"/>
    <w:rsid w:val="00216A1F"/>
    <w:rsid w:val="002200E3"/>
    <w:rsid w:val="00220B28"/>
    <w:rsid w:val="00220E7B"/>
    <w:rsid w:val="00221B89"/>
    <w:rsid w:val="00221BA0"/>
    <w:rsid w:val="00221D73"/>
    <w:rsid w:val="002231E3"/>
    <w:rsid w:val="002254BE"/>
    <w:rsid w:val="00225666"/>
    <w:rsid w:val="00230636"/>
    <w:rsid w:val="00230A03"/>
    <w:rsid w:val="00230E39"/>
    <w:rsid w:val="0023271E"/>
    <w:rsid w:val="00232EE1"/>
    <w:rsid w:val="00233DE9"/>
    <w:rsid w:val="00234AB6"/>
    <w:rsid w:val="00234F90"/>
    <w:rsid w:val="00236A66"/>
    <w:rsid w:val="00240C4F"/>
    <w:rsid w:val="00242A3D"/>
    <w:rsid w:val="00245524"/>
    <w:rsid w:val="002522F6"/>
    <w:rsid w:val="002528A1"/>
    <w:rsid w:val="00254736"/>
    <w:rsid w:val="00254E6B"/>
    <w:rsid w:val="0025569A"/>
    <w:rsid w:val="00256432"/>
    <w:rsid w:val="002578AE"/>
    <w:rsid w:val="002601E9"/>
    <w:rsid w:val="00261B22"/>
    <w:rsid w:val="002654BA"/>
    <w:rsid w:val="002659AD"/>
    <w:rsid w:val="002662A3"/>
    <w:rsid w:val="00267560"/>
    <w:rsid w:val="00267FB3"/>
    <w:rsid w:val="00270478"/>
    <w:rsid w:val="00270C40"/>
    <w:rsid w:val="0027141F"/>
    <w:rsid w:val="00271F2C"/>
    <w:rsid w:val="00272335"/>
    <w:rsid w:val="0027275B"/>
    <w:rsid w:val="0027353B"/>
    <w:rsid w:val="00273A8F"/>
    <w:rsid w:val="00273F86"/>
    <w:rsid w:val="00277290"/>
    <w:rsid w:val="00277A19"/>
    <w:rsid w:val="00281F1F"/>
    <w:rsid w:val="00286608"/>
    <w:rsid w:val="00286D24"/>
    <w:rsid w:val="0029097D"/>
    <w:rsid w:val="00290C6A"/>
    <w:rsid w:val="002941E0"/>
    <w:rsid w:val="00294D70"/>
    <w:rsid w:val="0029616B"/>
    <w:rsid w:val="00296DE2"/>
    <w:rsid w:val="00297B37"/>
    <w:rsid w:val="002A04FF"/>
    <w:rsid w:val="002A06C8"/>
    <w:rsid w:val="002A3168"/>
    <w:rsid w:val="002A365F"/>
    <w:rsid w:val="002A6197"/>
    <w:rsid w:val="002A6E0E"/>
    <w:rsid w:val="002A798A"/>
    <w:rsid w:val="002A7F3A"/>
    <w:rsid w:val="002B0AB7"/>
    <w:rsid w:val="002B1E79"/>
    <w:rsid w:val="002B3418"/>
    <w:rsid w:val="002B34C4"/>
    <w:rsid w:val="002B5285"/>
    <w:rsid w:val="002B649B"/>
    <w:rsid w:val="002B741B"/>
    <w:rsid w:val="002C1F3B"/>
    <w:rsid w:val="002C20F2"/>
    <w:rsid w:val="002C26FC"/>
    <w:rsid w:val="002C3098"/>
    <w:rsid w:val="002C3C40"/>
    <w:rsid w:val="002C59FD"/>
    <w:rsid w:val="002C6226"/>
    <w:rsid w:val="002C6B20"/>
    <w:rsid w:val="002C77A9"/>
    <w:rsid w:val="002C7E12"/>
    <w:rsid w:val="002D06BA"/>
    <w:rsid w:val="002D095E"/>
    <w:rsid w:val="002D143E"/>
    <w:rsid w:val="002D1710"/>
    <w:rsid w:val="002D2EA2"/>
    <w:rsid w:val="002D2F7F"/>
    <w:rsid w:val="002D5F29"/>
    <w:rsid w:val="002D62E3"/>
    <w:rsid w:val="002E02C0"/>
    <w:rsid w:val="002E15B2"/>
    <w:rsid w:val="002E2705"/>
    <w:rsid w:val="002E39FF"/>
    <w:rsid w:val="002E3CF9"/>
    <w:rsid w:val="002E441A"/>
    <w:rsid w:val="002E5189"/>
    <w:rsid w:val="002E6C3E"/>
    <w:rsid w:val="002F0264"/>
    <w:rsid w:val="002F0E92"/>
    <w:rsid w:val="002F1370"/>
    <w:rsid w:val="002F13E6"/>
    <w:rsid w:val="002F18F4"/>
    <w:rsid w:val="002F249F"/>
    <w:rsid w:val="002F469C"/>
    <w:rsid w:val="002F48A6"/>
    <w:rsid w:val="002F496C"/>
    <w:rsid w:val="002F4B1D"/>
    <w:rsid w:val="002F5BDB"/>
    <w:rsid w:val="002F6D5F"/>
    <w:rsid w:val="002F7474"/>
    <w:rsid w:val="003011F9"/>
    <w:rsid w:val="003018BC"/>
    <w:rsid w:val="00301D9B"/>
    <w:rsid w:val="003029AC"/>
    <w:rsid w:val="00302B05"/>
    <w:rsid w:val="0030321B"/>
    <w:rsid w:val="00303C40"/>
    <w:rsid w:val="00303DF9"/>
    <w:rsid w:val="0030563E"/>
    <w:rsid w:val="003061EC"/>
    <w:rsid w:val="00306A6F"/>
    <w:rsid w:val="003072A7"/>
    <w:rsid w:val="00307885"/>
    <w:rsid w:val="0031191B"/>
    <w:rsid w:val="0031444C"/>
    <w:rsid w:val="003144BE"/>
    <w:rsid w:val="00314F09"/>
    <w:rsid w:val="00315029"/>
    <w:rsid w:val="00315F54"/>
    <w:rsid w:val="003209E5"/>
    <w:rsid w:val="00322006"/>
    <w:rsid w:val="003229AE"/>
    <w:rsid w:val="00324923"/>
    <w:rsid w:val="003261BC"/>
    <w:rsid w:val="003271BF"/>
    <w:rsid w:val="003279D4"/>
    <w:rsid w:val="00327A46"/>
    <w:rsid w:val="00330F5B"/>
    <w:rsid w:val="003332F1"/>
    <w:rsid w:val="00333692"/>
    <w:rsid w:val="00334DEA"/>
    <w:rsid w:val="003362A3"/>
    <w:rsid w:val="00337AC6"/>
    <w:rsid w:val="00340303"/>
    <w:rsid w:val="00341CB6"/>
    <w:rsid w:val="003428EF"/>
    <w:rsid w:val="00342BE6"/>
    <w:rsid w:val="003436E2"/>
    <w:rsid w:val="00343D86"/>
    <w:rsid w:val="003450F4"/>
    <w:rsid w:val="00346CD8"/>
    <w:rsid w:val="00347B59"/>
    <w:rsid w:val="00347EB6"/>
    <w:rsid w:val="00351341"/>
    <w:rsid w:val="00351986"/>
    <w:rsid w:val="00351F95"/>
    <w:rsid w:val="00353BCB"/>
    <w:rsid w:val="00353C12"/>
    <w:rsid w:val="0035409F"/>
    <w:rsid w:val="00355CF4"/>
    <w:rsid w:val="0035798E"/>
    <w:rsid w:val="00360641"/>
    <w:rsid w:val="00360AD4"/>
    <w:rsid w:val="00361F47"/>
    <w:rsid w:val="00362192"/>
    <w:rsid w:val="0036264A"/>
    <w:rsid w:val="003634C3"/>
    <w:rsid w:val="00363E6B"/>
    <w:rsid w:val="0036487F"/>
    <w:rsid w:val="0036544D"/>
    <w:rsid w:val="00365AB5"/>
    <w:rsid w:val="0036762D"/>
    <w:rsid w:val="0037100B"/>
    <w:rsid w:val="00372972"/>
    <w:rsid w:val="00372B79"/>
    <w:rsid w:val="00373E24"/>
    <w:rsid w:val="003759E2"/>
    <w:rsid w:val="003771F8"/>
    <w:rsid w:val="00380A48"/>
    <w:rsid w:val="00382D52"/>
    <w:rsid w:val="003834AF"/>
    <w:rsid w:val="0038457C"/>
    <w:rsid w:val="003869C8"/>
    <w:rsid w:val="00391821"/>
    <w:rsid w:val="00393651"/>
    <w:rsid w:val="00393F0B"/>
    <w:rsid w:val="00396F33"/>
    <w:rsid w:val="003A0F43"/>
    <w:rsid w:val="003A38C7"/>
    <w:rsid w:val="003A3C12"/>
    <w:rsid w:val="003A4658"/>
    <w:rsid w:val="003A5648"/>
    <w:rsid w:val="003B0029"/>
    <w:rsid w:val="003B05F6"/>
    <w:rsid w:val="003B1911"/>
    <w:rsid w:val="003B1F0C"/>
    <w:rsid w:val="003B4923"/>
    <w:rsid w:val="003B4E74"/>
    <w:rsid w:val="003B6DC6"/>
    <w:rsid w:val="003B6E7B"/>
    <w:rsid w:val="003C1B28"/>
    <w:rsid w:val="003C1C05"/>
    <w:rsid w:val="003C2890"/>
    <w:rsid w:val="003C37F7"/>
    <w:rsid w:val="003C4081"/>
    <w:rsid w:val="003C5FCD"/>
    <w:rsid w:val="003C6CA5"/>
    <w:rsid w:val="003C6F16"/>
    <w:rsid w:val="003C74A6"/>
    <w:rsid w:val="003D0538"/>
    <w:rsid w:val="003D0FD8"/>
    <w:rsid w:val="003D1D72"/>
    <w:rsid w:val="003D3275"/>
    <w:rsid w:val="003D3855"/>
    <w:rsid w:val="003D78D0"/>
    <w:rsid w:val="003E0B80"/>
    <w:rsid w:val="003E1473"/>
    <w:rsid w:val="003E266E"/>
    <w:rsid w:val="003E36F4"/>
    <w:rsid w:val="003E372D"/>
    <w:rsid w:val="003E3F99"/>
    <w:rsid w:val="003E5372"/>
    <w:rsid w:val="003E6FF5"/>
    <w:rsid w:val="003E7D12"/>
    <w:rsid w:val="003F0B4F"/>
    <w:rsid w:val="003F16AB"/>
    <w:rsid w:val="003F1862"/>
    <w:rsid w:val="003F33DB"/>
    <w:rsid w:val="003F7A12"/>
    <w:rsid w:val="003F7E3E"/>
    <w:rsid w:val="00400BCA"/>
    <w:rsid w:val="00401696"/>
    <w:rsid w:val="004041B2"/>
    <w:rsid w:val="00404AF5"/>
    <w:rsid w:val="00404CCB"/>
    <w:rsid w:val="00405588"/>
    <w:rsid w:val="004060AF"/>
    <w:rsid w:val="004107F4"/>
    <w:rsid w:val="0041294D"/>
    <w:rsid w:val="00413D76"/>
    <w:rsid w:val="00413EE0"/>
    <w:rsid w:val="00414E89"/>
    <w:rsid w:val="00420F47"/>
    <w:rsid w:val="00422744"/>
    <w:rsid w:val="00424536"/>
    <w:rsid w:val="00427666"/>
    <w:rsid w:val="00427B3C"/>
    <w:rsid w:val="00431096"/>
    <w:rsid w:val="00432A2F"/>
    <w:rsid w:val="004350A7"/>
    <w:rsid w:val="00435C35"/>
    <w:rsid w:val="00436596"/>
    <w:rsid w:val="0043722A"/>
    <w:rsid w:val="00437531"/>
    <w:rsid w:val="004400C6"/>
    <w:rsid w:val="004401AB"/>
    <w:rsid w:val="00442A53"/>
    <w:rsid w:val="00444C66"/>
    <w:rsid w:val="00445D78"/>
    <w:rsid w:val="00445E1F"/>
    <w:rsid w:val="00446DAD"/>
    <w:rsid w:val="00447322"/>
    <w:rsid w:val="00451141"/>
    <w:rsid w:val="004527AF"/>
    <w:rsid w:val="00452C2A"/>
    <w:rsid w:val="00453CBB"/>
    <w:rsid w:val="00454ABF"/>
    <w:rsid w:val="00455A63"/>
    <w:rsid w:val="00456912"/>
    <w:rsid w:val="004602F7"/>
    <w:rsid w:val="004609B7"/>
    <w:rsid w:val="00462BB3"/>
    <w:rsid w:val="00462BD1"/>
    <w:rsid w:val="00462F24"/>
    <w:rsid w:val="004658C6"/>
    <w:rsid w:val="004664FD"/>
    <w:rsid w:val="00471432"/>
    <w:rsid w:val="004716A7"/>
    <w:rsid w:val="00472E35"/>
    <w:rsid w:val="004731A1"/>
    <w:rsid w:val="004742BD"/>
    <w:rsid w:val="00474EB8"/>
    <w:rsid w:val="00474F3B"/>
    <w:rsid w:val="00475382"/>
    <w:rsid w:val="00480063"/>
    <w:rsid w:val="0048021A"/>
    <w:rsid w:val="0048049B"/>
    <w:rsid w:val="0048067B"/>
    <w:rsid w:val="004837C5"/>
    <w:rsid w:val="00485D56"/>
    <w:rsid w:val="00485F3E"/>
    <w:rsid w:val="00486301"/>
    <w:rsid w:val="00486A65"/>
    <w:rsid w:val="004874EF"/>
    <w:rsid w:val="0049002B"/>
    <w:rsid w:val="00490464"/>
    <w:rsid w:val="00491A64"/>
    <w:rsid w:val="00492097"/>
    <w:rsid w:val="0049285F"/>
    <w:rsid w:val="0049470A"/>
    <w:rsid w:val="00494D06"/>
    <w:rsid w:val="00495DE1"/>
    <w:rsid w:val="004960FC"/>
    <w:rsid w:val="00497FAF"/>
    <w:rsid w:val="004A006E"/>
    <w:rsid w:val="004A19A9"/>
    <w:rsid w:val="004A3207"/>
    <w:rsid w:val="004A43BD"/>
    <w:rsid w:val="004A6029"/>
    <w:rsid w:val="004B0DB7"/>
    <w:rsid w:val="004B1154"/>
    <w:rsid w:val="004B1C66"/>
    <w:rsid w:val="004B4C53"/>
    <w:rsid w:val="004B554D"/>
    <w:rsid w:val="004B5FE9"/>
    <w:rsid w:val="004B7ECD"/>
    <w:rsid w:val="004C1087"/>
    <w:rsid w:val="004C218C"/>
    <w:rsid w:val="004C2290"/>
    <w:rsid w:val="004C4C2A"/>
    <w:rsid w:val="004C5EA3"/>
    <w:rsid w:val="004C6BFF"/>
    <w:rsid w:val="004C73B7"/>
    <w:rsid w:val="004C768B"/>
    <w:rsid w:val="004C7C3C"/>
    <w:rsid w:val="004D0234"/>
    <w:rsid w:val="004D0DEC"/>
    <w:rsid w:val="004D1900"/>
    <w:rsid w:val="004D3323"/>
    <w:rsid w:val="004D3431"/>
    <w:rsid w:val="004D3AE3"/>
    <w:rsid w:val="004D3F10"/>
    <w:rsid w:val="004D557D"/>
    <w:rsid w:val="004D672F"/>
    <w:rsid w:val="004D7B71"/>
    <w:rsid w:val="004D7EFD"/>
    <w:rsid w:val="004E1F82"/>
    <w:rsid w:val="004E2D4E"/>
    <w:rsid w:val="004E2F1B"/>
    <w:rsid w:val="004E3144"/>
    <w:rsid w:val="004E3A0E"/>
    <w:rsid w:val="004E4C9D"/>
    <w:rsid w:val="004E4DF7"/>
    <w:rsid w:val="004E599A"/>
    <w:rsid w:val="004E5A52"/>
    <w:rsid w:val="004E6D5F"/>
    <w:rsid w:val="004E7382"/>
    <w:rsid w:val="004F2156"/>
    <w:rsid w:val="004F24A7"/>
    <w:rsid w:val="004F440A"/>
    <w:rsid w:val="004F5474"/>
    <w:rsid w:val="004F595B"/>
    <w:rsid w:val="004F5FB7"/>
    <w:rsid w:val="004F6728"/>
    <w:rsid w:val="004F6C1E"/>
    <w:rsid w:val="004F76D2"/>
    <w:rsid w:val="004F7E4A"/>
    <w:rsid w:val="005009C6"/>
    <w:rsid w:val="00500A45"/>
    <w:rsid w:val="00500C28"/>
    <w:rsid w:val="00500FB8"/>
    <w:rsid w:val="00501FCC"/>
    <w:rsid w:val="005034D6"/>
    <w:rsid w:val="00504F7C"/>
    <w:rsid w:val="005119AB"/>
    <w:rsid w:val="00512C12"/>
    <w:rsid w:val="00512C2D"/>
    <w:rsid w:val="00512F02"/>
    <w:rsid w:val="00513BB6"/>
    <w:rsid w:val="00514475"/>
    <w:rsid w:val="005202D7"/>
    <w:rsid w:val="00520D1B"/>
    <w:rsid w:val="005217A7"/>
    <w:rsid w:val="00522D48"/>
    <w:rsid w:val="00526DF2"/>
    <w:rsid w:val="00526E13"/>
    <w:rsid w:val="00527652"/>
    <w:rsid w:val="00527FC4"/>
    <w:rsid w:val="005309EF"/>
    <w:rsid w:val="005323C3"/>
    <w:rsid w:val="005327C0"/>
    <w:rsid w:val="005330A6"/>
    <w:rsid w:val="00533E85"/>
    <w:rsid w:val="00534930"/>
    <w:rsid w:val="00535D0E"/>
    <w:rsid w:val="00535DEF"/>
    <w:rsid w:val="0053606D"/>
    <w:rsid w:val="00536111"/>
    <w:rsid w:val="00537B88"/>
    <w:rsid w:val="005400D7"/>
    <w:rsid w:val="005406FD"/>
    <w:rsid w:val="0054071C"/>
    <w:rsid w:val="005407F8"/>
    <w:rsid w:val="00542EAD"/>
    <w:rsid w:val="005451B1"/>
    <w:rsid w:val="0054533D"/>
    <w:rsid w:val="00545B23"/>
    <w:rsid w:val="00545DDD"/>
    <w:rsid w:val="0054779A"/>
    <w:rsid w:val="00547EE0"/>
    <w:rsid w:val="005505C2"/>
    <w:rsid w:val="00551BD2"/>
    <w:rsid w:val="00555D23"/>
    <w:rsid w:val="0056080D"/>
    <w:rsid w:val="00562227"/>
    <w:rsid w:val="00562718"/>
    <w:rsid w:val="00565D94"/>
    <w:rsid w:val="00567807"/>
    <w:rsid w:val="00567A22"/>
    <w:rsid w:val="00571129"/>
    <w:rsid w:val="00573029"/>
    <w:rsid w:val="00573A5E"/>
    <w:rsid w:val="00573E9D"/>
    <w:rsid w:val="00575ABF"/>
    <w:rsid w:val="00577AC9"/>
    <w:rsid w:val="0058134B"/>
    <w:rsid w:val="005813B5"/>
    <w:rsid w:val="0058169C"/>
    <w:rsid w:val="0058217F"/>
    <w:rsid w:val="00585560"/>
    <w:rsid w:val="00585D98"/>
    <w:rsid w:val="0058753C"/>
    <w:rsid w:val="00587DFA"/>
    <w:rsid w:val="005911B5"/>
    <w:rsid w:val="0059186D"/>
    <w:rsid w:val="005A0B53"/>
    <w:rsid w:val="005A0D9B"/>
    <w:rsid w:val="005A18B0"/>
    <w:rsid w:val="005A47F8"/>
    <w:rsid w:val="005A5CB6"/>
    <w:rsid w:val="005A5F72"/>
    <w:rsid w:val="005A6C85"/>
    <w:rsid w:val="005A7A28"/>
    <w:rsid w:val="005B0F4B"/>
    <w:rsid w:val="005B1686"/>
    <w:rsid w:val="005B3365"/>
    <w:rsid w:val="005B455F"/>
    <w:rsid w:val="005B54B7"/>
    <w:rsid w:val="005B69C1"/>
    <w:rsid w:val="005B7010"/>
    <w:rsid w:val="005B7335"/>
    <w:rsid w:val="005B7661"/>
    <w:rsid w:val="005B7F0D"/>
    <w:rsid w:val="005C01E9"/>
    <w:rsid w:val="005C2028"/>
    <w:rsid w:val="005C270D"/>
    <w:rsid w:val="005C28B5"/>
    <w:rsid w:val="005C49FB"/>
    <w:rsid w:val="005C4FEF"/>
    <w:rsid w:val="005C5A9B"/>
    <w:rsid w:val="005C5D13"/>
    <w:rsid w:val="005D0876"/>
    <w:rsid w:val="005D2405"/>
    <w:rsid w:val="005D28E4"/>
    <w:rsid w:val="005D3413"/>
    <w:rsid w:val="005D3B25"/>
    <w:rsid w:val="005D3F48"/>
    <w:rsid w:val="005D5A08"/>
    <w:rsid w:val="005D6D41"/>
    <w:rsid w:val="005D7D05"/>
    <w:rsid w:val="005D7FF1"/>
    <w:rsid w:val="005E00C0"/>
    <w:rsid w:val="005E0167"/>
    <w:rsid w:val="005E0A44"/>
    <w:rsid w:val="005E0D6D"/>
    <w:rsid w:val="005E3985"/>
    <w:rsid w:val="005E44D7"/>
    <w:rsid w:val="005E47DE"/>
    <w:rsid w:val="005E4BD8"/>
    <w:rsid w:val="005E5119"/>
    <w:rsid w:val="005E514A"/>
    <w:rsid w:val="005E59AD"/>
    <w:rsid w:val="005E68F1"/>
    <w:rsid w:val="005E746F"/>
    <w:rsid w:val="005F1627"/>
    <w:rsid w:val="005F2762"/>
    <w:rsid w:val="005F35E5"/>
    <w:rsid w:val="005F387C"/>
    <w:rsid w:val="005F3E8D"/>
    <w:rsid w:val="005F6AE6"/>
    <w:rsid w:val="005F6E31"/>
    <w:rsid w:val="00601035"/>
    <w:rsid w:val="006019FC"/>
    <w:rsid w:val="00601B06"/>
    <w:rsid w:val="00607D64"/>
    <w:rsid w:val="00612EFB"/>
    <w:rsid w:val="00614BBD"/>
    <w:rsid w:val="00614E17"/>
    <w:rsid w:val="0061524C"/>
    <w:rsid w:val="00616EE2"/>
    <w:rsid w:val="006173F1"/>
    <w:rsid w:val="006177BD"/>
    <w:rsid w:val="0062276D"/>
    <w:rsid w:val="00623016"/>
    <w:rsid w:val="00623BB2"/>
    <w:rsid w:val="0062508B"/>
    <w:rsid w:val="00627681"/>
    <w:rsid w:val="006278AF"/>
    <w:rsid w:val="00632C00"/>
    <w:rsid w:val="00635346"/>
    <w:rsid w:val="0063685A"/>
    <w:rsid w:val="00636B14"/>
    <w:rsid w:val="006423F4"/>
    <w:rsid w:val="0064268A"/>
    <w:rsid w:val="00642735"/>
    <w:rsid w:val="00642880"/>
    <w:rsid w:val="00643DC3"/>
    <w:rsid w:val="00645372"/>
    <w:rsid w:val="0064571A"/>
    <w:rsid w:val="00645E3E"/>
    <w:rsid w:val="00645EB1"/>
    <w:rsid w:val="00646170"/>
    <w:rsid w:val="0064678B"/>
    <w:rsid w:val="006536EA"/>
    <w:rsid w:val="00654B45"/>
    <w:rsid w:val="00655AAA"/>
    <w:rsid w:val="00656BB6"/>
    <w:rsid w:val="006575FA"/>
    <w:rsid w:val="00662036"/>
    <w:rsid w:val="00662629"/>
    <w:rsid w:val="00663F79"/>
    <w:rsid w:val="00664A63"/>
    <w:rsid w:val="00665589"/>
    <w:rsid w:val="0066615A"/>
    <w:rsid w:val="00667703"/>
    <w:rsid w:val="006677BA"/>
    <w:rsid w:val="00667923"/>
    <w:rsid w:val="0067121C"/>
    <w:rsid w:val="006719D9"/>
    <w:rsid w:val="00672E8F"/>
    <w:rsid w:val="00674646"/>
    <w:rsid w:val="0067540A"/>
    <w:rsid w:val="00676AE5"/>
    <w:rsid w:val="006773A0"/>
    <w:rsid w:val="006808B6"/>
    <w:rsid w:val="00681B3D"/>
    <w:rsid w:val="006832D2"/>
    <w:rsid w:val="0068401F"/>
    <w:rsid w:val="00684FE7"/>
    <w:rsid w:val="0068516F"/>
    <w:rsid w:val="00685AD4"/>
    <w:rsid w:val="00685BAE"/>
    <w:rsid w:val="00685DF9"/>
    <w:rsid w:val="006904FC"/>
    <w:rsid w:val="0069073E"/>
    <w:rsid w:val="00690EFB"/>
    <w:rsid w:val="00693766"/>
    <w:rsid w:val="0069472F"/>
    <w:rsid w:val="00694E2D"/>
    <w:rsid w:val="0069560B"/>
    <w:rsid w:val="00695C23"/>
    <w:rsid w:val="00695F7E"/>
    <w:rsid w:val="00696F7C"/>
    <w:rsid w:val="006A0658"/>
    <w:rsid w:val="006A24E1"/>
    <w:rsid w:val="006A2D8B"/>
    <w:rsid w:val="006A3DFB"/>
    <w:rsid w:val="006B0264"/>
    <w:rsid w:val="006B0B5F"/>
    <w:rsid w:val="006B1123"/>
    <w:rsid w:val="006B119D"/>
    <w:rsid w:val="006B1BEC"/>
    <w:rsid w:val="006B2F7D"/>
    <w:rsid w:val="006B3480"/>
    <w:rsid w:val="006B38A0"/>
    <w:rsid w:val="006B4BAD"/>
    <w:rsid w:val="006B4C05"/>
    <w:rsid w:val="006B56E1"/>
    <w:rsid w:val="006B6F47"/>
    <w:rsid w:val="006B7335"/>
    <w:rsid w:val="006B758A"/>
    <w:rsid w:val="006B780F"/>
    <w:rsid w:val="006C09BF"/>
    <w:rsid w:val="006C0EF8"/>
    <w:rsid w:val="006C21F8"/>
    <w:rsid w:val="006C2A39"/>
    <w:rsid w:val="006C4E03"/>
    <w:rsid w:val="006C5758"/>
    <w:rsid w:val="006C6B61"/>
    <w:rsid w:val="006C7291"/>
    <w:rsid w:val="006D000F"/>
    <w:rsid w:val="006D0BC5"/>
    <w:rsid w:val="006D19B7"/>
    <w:rsid w:val="006D264C"/>
    <w:rsid w:val="006D4A77"/>
    <w:rsid w:val="006D4E04"/>
    <w:rsid w:val="006D578C"/>
    <w:rsid w:val="006D5B20"/>
    <w:rsid w:val="006E10B0"/>
    <w:rsid w:val="006E12BD"/>
    <w:rsid w:val="006E1DB1"/>
    <w:rsid w:val="006E25E3"/>
    <w:rsid w:val="006E3470"/>
    <w:rsid w:val="006E4956"/>
    <w:rsid w:val="006E4C11"/>
    <w:rsid w:val="006F0FAE"/>
    <w:rsid w:val="006F12FD"/>
    <w:rsid w:val="006F1513"/>
    <w:rsid w:val="006F2BC0"/>
    <w:rsid w:val="006F3001"/>
    <w:rsid w:val="006F397A"/>
    <w:rsid w:val="006F4478"/>
    <w:rsid w:val="006F62E5"/>
    <w:rsid w:val="006F646E"/>
    <w:rsid w:val="006F672B"/>
    <w:rsid w:val="0070133B"/>
    <w:rsid w:val="00702095"/>
    <w:rsid w:val="00702284"/>
    <w:rsid w:val="0070297A"/>
    <w:rsid w:val="00702F6F"/>
    <w:rsid w:val="007052BB"/>
    <w:rsid w:val="0070666F"/>
    <w:rsid w:val="0070687D"/>
    <w:rsid w:val="00706A46"/>
    <w:rsid w:val="00712F11"/>
    <w:rsid w:val="0071378F"/>
    <w:rsid w:val="007164E8"/>
    <w:rsid w:val="00716841"/>
    <w:rsid w:val="00716ED0"/>
    <w:rsid w:val="0072641F"/>
    <w:rsid w:val="0072685D"/>
    <w:rsid w:val="007269F1"/>
    <w:rsid w:val="00727AF7"/>
    <w:rsid w:val="007311B4"/>
    <w:rsid w:val="007331C8"/>
    <w:rsid w:val="00734069"/>
    <w:rsid w:val="0073597B"/>
    <w:rsid w:val="00735E8F"/>
    <w:rsid w:val="0073622D"/>
    <w:rsid w:val="007365BE"/>
    <w:rsid w:val="00737379"/>
    <w:rsid w:val="00740898"/>
    <w:rsid w:val="00741284"/>
    <w:rsid w:val="0074216D"/>
    <w:rsid w:val="007425CF"/>
    <w:rsid w:val="00744E84"/>
    <w:rsid w:val="00747DAB"/>
    <w:rsid w:val="0075168B"/>
    <w:rsid w:val="00753A7F"/>
    <w:rsid w:val="00754EE9"/>
    <w:rsid w:val="007579CA"/>
    <w:rsid w:val="00760413"/>
    <w:rsid w:val="00760B94"/>
    <w:rsid w:val="00761270"/>
    <w:rsid w:val="00762681"/>
    <w:rsid w:val="00763D49"/>
    <w:rsid w:val="0076460C"/>
    <w:rsid w:val="0076718C"/>
    <w:rsid w:val="00767F91"/>
    <w:rsid w:val="00770DC9"/>
    <w:rsid w:val="007716EB"/>
    <w:rsid w:val="007718FD"/>
    <w:rsid w:val="0077229E"/>
    <w:rsid w:val="00773158"/>
    <w:rsid w:val="00773755"/>
    <w:rsid w:val="00773EC8"/>
    <w:rsid w:val="007761CF"/>
    <w:rsid w:val="00776615"/>
    <w:rsid w:val="007766F3"/>
    <w:rsid w:val="00776C3B"/>
    <w:rsid w:val="00781688"/>
    <w:rsid w:val="00784014"/>
    <w:rsid w:val="007846B8"/>
    <w:rsid w:val="00784B24"/>
    <w:rsid w:val="00785DFE"/>
    <w:rsid w:val="00787DF9"/>
    <w:rsid w:val="00790531"/>
    <w:rsid w:val="00793828"/>
    <w:rsid w:val="007940AD"/>
    <w:rsid w:val="00795615"/>
    <w:rsid w:val="00795CF9"/>
    <w:rsid w:val="00796017"/>
    <w:rsid w:val="007963A1"/>
    <w:rsid w:val="00797308"/>
    <w:rsid w:val="007A0476"/>
    <w:rsid w:val="007A0CF5"/>
    <w:rsid w:val="007A2E5F"/>
    <w:rsid w:val="007A3798"/>
    <w:rsid w:val="007A3BB1"/>
    <w:rsid w:val="007A4F93"/>
    <w:rsid w:val="007A55C0"/>
    <w:rsid w:val="007A5A19"/>
    <w:rsid w:val="007A5B9D"/>
    <w:rsid w:val="007A6A6B"/>
    <w:rsid w:val="007A7A1E"/>
    <w:rsid w:val="007B1433"/>
    <w:rsid w:val="007B3D56"/>
    <w:rsid w:val="007B4B35"/>
    <w:rsid w:val="007B4BE8"/>
    <w:rsid w:val="007B7041"/>
    <w:rsid w:val="007C03D3"/>
    <w:rsid w:val="007C0751"/>
    <w:rsid w:val="007C1715"/>
    <w:rsid w:val="007C19B9"/>
    <w:rsid w:val="007C2B99"/>
    <w:rsid w:val="007C497E"/>
    <w:rsid w:val="007C4A23"/>
    <w:rsid w:val="007C56F9"/>
    <w:rsid w:val="007C70C5"/>
    <w:rsid w:val="007D00D2"/>
    <w:rsid w:val="007D075A"/>
    <w:rsid w:val="007D2519"/>
    <w:rsid w:val="007D4A27"/>
    <w:rsid w:val="007D4AA6"/>
    <w:rsid w:val="007D53AA"/>
    <w:rsid w:val="007D5CE9"/>
    <w:rsid w:val="007D5D6A"/>
    <w:rsid w:val="007D6316"/>
    <w:rsid w:val="007D688E"/>
    <w:rsid w:val="007D71A6"/>
    <w:rsid w:val="007D734F"/>
    <w:rsid w:val="007E1AF5"/>
    <w:rsid w:val="007E1F03"/>
    <w:rsid w:val="007E2048"/>
    <w:rsid w:val="007E33CB"/>
    <w:rsid w:val="007E3EB9"/>
    <w:rsid w:val="007E6E6F"/>
    <w:rsid w:val="007E75AC"/>
    <w:rsid w:val="007E79D9"/>
    <w:rsid w:val="007F284D"/>
    <w:rsid w:val="007F4475"/>
    <w:rsid w:val="007F45FF"/>
    <w:rsid w:val="007F77A0"/>
    <w:rsid w:val="007F7E0A"/>
    <w:rsid w:val="00800652"/>
    <w:rsid w:val="008020D5"/>
    <w:rsid w:val="00802503"/>
    <w:rsid w:val="008036B5"/>
    <w:rsid w:val="00803903"/>
    <w:rsid w:val="00803A33"/>
    <w:rsid w:val="0080451F"/>
    <w:rsid w:val="0080515F"/>
    <w:rsid w:val="008058C3"/>
    <w:rsid w:val="00807F19"/>
    <w:rsid w:val="008107B5"/>
    <w:rsid w:val="00812CCC"/>
    <w:rsid w:val="00812FEF"/>
    <w:rsid w:val="00813042"/>
    <w:rsid w:val="0081325B"/>
    <w:rsid w:val="00813F91"/>
    <w:rsid w:val="008146C8"/>
    <w:rsid w:val="00815280"/>
    <w:rsid w:val="00817549"/>
    <w:rsid w:val="008177A6"/>
    <w:rsid w:val="00817881"/>
    <w:rsid w:val="00820159"/>
    <w:rsid w:val="008206F0"/>
    <w:rsid w:val="00820A2A"/>
    <w:rsid w:val="00822F4B"/>
    <w:rsid w:val="00823B03"/>
    <w:rsid w:val="00823C40"/>
    <w:rsid w:val="00823D98"/>
    <w:rsid w:val="008244C9"/>
    <w:rsid w:val="008246B9"/>
    <w:rsid w:val="008247D3"/>
    <w:rsid w:val="0082600D"/>
    <w:rsid w:val="00826F6B"/>
    <w:rsid w:val="00827122"/>
    <w:rsid w:val="008273BE"/>
    <w:rsid w:val="00827B63"/>
    <w:rsid w:val="00827CBE"/>
    <w:rsid w:val="00830319"/>
    <w:rsid w:val="00831D75"/>
    <w:rsid w:val="00831F6A"/>
    <w:rsid w:val="00831FEE"/>
    <w:rsid w:val="00832563"/>
    <w:rsid w:val="00832FF0"/>
    <w:rsid w:val="0083330C"/>
    <w:rsid w:val="0083348C"/>
    <w:rsid w:val="00833835"/>
    <w:rsid w:val="00834489"/>
    <w:rsid w:val="00834A79"/>
    <w:rsid w:val="00835210"/>
    <w:rsid w:val="008370DF"/>
    <w:rsid w:val="00841B01"/>
    <w:rsid w:val="00843A60"/>
    <w:rsid w:val="0084455D"/>
    <w:rsid w:val="00845C9A"/>
    <w:rsid w:val="0084624B"/>
    <w:rsid w:val="008512F6"/>
    <w:rsid w:val="00851A2E"/>
    <w:rsid w:val="0085224E"/>
    <w:rsid w:val="00854099"/>
    <w:rsid w:val="00856D38"/>
    <w:rsid w:val="00860FF3"/>
    <w:rsid w:val="00863445"/>
    <w:rsid w:val="008636DA"/>
    <w:rsid w:val="00864208"/>
    <w:rsid w:val="00864A54"/>
    <w:rsid w:val="00864E1C"/>
    <w:rsid w:val="00870BE6"/>
    <w:rsid w:val="008719BE"/>
    <w:rsid w:val="00871DF0"/>
    <w:rsid w:val="0087310C"/>
    <w:rsid w:val="00873287"/>
    <w:rsid w:val="0087462B"/>
    <w:rsid w:val="0087732B"/>
    <w:rsid w:val="00877693"/>
    <w:rsid w:val="00877F0D"/>
    <w:rsid w:val="008802BA"/>
    <w:rsid w:val="00880836"/>
    <w:rsid w:val="00883DBB"/>
    <w:rsid w:val="0088483A"/>
    <w:rsid w:val="00884E0B"/>
    <w:rsid w:val="00887E5E"/>
    <w:rsid w:val="00887F0F"/>
    <w:rsid w:val="00890BEF"/>
    <w:rsid w:val="00892675"/>
    <w:rsid w:val="00894B0D"/>
    <w:rsid w:val="008954C3"/>
    <w:rsid w:val="00895ADC"/>
    <w:rsid w:val="00895B66"/>
    <w:rsid w:val="00897C75"/>
    <w:rsid w:val="008A0A62"/>
    <w:rsid w:val="008A0B57"/>
    <w:rsid w:val="008A0D66"/>
    <w:rsid w:val="008A1BC9"/>
    <w:rsid w:val="008A252F"/>
    <w:rsid w:val="008A32F8"/>
    <w:rsid w:val="008A49E0"/>
    <w:rsid w:val="008A5406"/>
    <w:rsid w:val="008A5600"/>
    <w:rsid w:val="008A5C0B"/>
    <w:rsid w:val="008A766B"/>
    <w:rsid w:val="008B049E"/>
    <w:rsid w:val="008B0A47"/>
    <w:rsid w:val="008B1C31"/>
    <w:rsid w:val="008B22B5"/>
    <w:rsid w:val="008B232E"/>
    <w:rsid w:val="008B4F5D"/>
    <w:rsid w:val="008B5EB0"/>
    <w:rsid w:val="008B7799"/>
    <w:rsid w:val="008B7BC3"/>
    <w:rsid w:val="008C1402"/>
    <w:rsid w:val="008C2EE8"/>
    <w:rsid w:val="008C32BF"/>
    <w:rsid w:val="008C3783"/>
    <w:rsid w:val="008C49E5"/>
    <w:rsid w:val="008C4B94"/>
    <w:rsid w:val="008C5F2A"/>
    <w:rsid w:val="008C695B"/>
    <w:rsid w:val="008C6CFB"/>
    <w:rsid w:val="008C792E"/>
    <w:rsid w:val="008C7977"/>
    <w:rsid w:val="008D123E"/>
    <w:rsid w:val="008D1E5D"/>
    <w:rsid w:val="008D1F90"/>
    <w:rsid w:val="008D223B"/>
    <w:rsid w:val="008D4254"/>
    <w:rsid w:val="008D4B57"/>
    <w:rsid w:val="008D56E5"/>
    <w:rsid w:val="008D6243"/>
    <w:rsid w:val="008D7D98"/>
    <w:rsid w:val="008E0CAB"/>
    <w:rsid w:val="008E0D6C"/>
    <w:rsid w:val="008E23CC"/>
    <w:rsid w:val="008E2C00"/>
    <w:rsid w:val="008E4637"/>
    <w:rsid w:val="008E50E3"/>
    <w:rsid w:val="008F00B7"/>
    <w:rsid w:val="008F00E8"/>
    <w:rsid w:val="008F0485"/>
    <w:rsid w:val="008F24A9"/>
    <w:rsid w:val="008F33D0"/>
    <w:rsid w:val="008F4DE2"/>
    <w:rsid w:val="008F50FE"/>
    <w:rsid w:val="008F6860"/>
    <w:rsid w:val="008F6FF1"/>
    <w:rsid w:val="008F7FBA"/>
    <w:rsid w:val="0090069D"/>
    <w:rsid w:val="0090140F"/>
    <w:rsid w:val="0090182F"/>
    <w:rsid w:val="00906B50"/>
    <w:rsid w:val="00907AF8"/>
    <w:rsid w:val="00910313"/>
    <w:rsid w:val="00911059"/>
    <w:rsid w:val="009120DE"/>
    <w:rsid w:val="0091390F"/>
    <w:rsid w:val="00913F87"/>
    <w:rsid w:val="0091631B"/>
    <w:rsid w:val="00916961"/>
    <w:rsid w:val="00917312"/>
    <w:rsid w:val="009173E0"/>
    <w:rsid w:val="009206E5"/>
    <w:rsid w:val="00920A18"/>
    <w:rsid w:val="009218D5"/>
    <w:rsid w:val="009236BF"/>
    <w:rsid w:val="00924E7C"/>
    <w:rsid w:val="009251AC"/>
    <w:rsid w:val="00925553"/>
    <w:rsid w:val="00925F22"/>
    <w:rsid w:val="00927601"/>
    <w:rsid w:val="009302E7"/>
    <w:rsid w:val="00933151"/>
    <w:rsid w:val="009341FC"/>
    <w:rsid w:val="00934E26"/>
    <w:rsid w:val="00935946"/>
    <w:rsid w:val="009421E0"/>
    <w:rsid w:val="009442B9"/>
    <w:rsid w:val="009443E7"/>
    <w:rsid w:val="00944A8B"/>
    <w:rsid w:val="009456D8"/>
    <w:rsid w:val="00951DC6"/>
    <w:rsid w:val="00952EB8"/>
    <w:rsid w:val="00954C14"/>
    <w:rsid w:val="00955444"/>
    <w:rsid w:val="00955CB8"/>
    <w:rsid w:val="00956472"/>
    <w:rsid w:val="00957088"/>
    <w:rsid w:val="00961602"/>
    <w:rsid w:val="00962806"/>
    <w:rsid w:val="00962E3E"/>
    <w:rsid w:val="00964002"/>
    <w:rsid w:val="0096582A"/>
    <w:rsid w:val="00965D17"/>
    <w:rsid w:val="00970B28"/>
    <w:rsid w:val="009729A1"/>
    <w:rsid w:val="00975369"/>
    <w:rsid w:val="00976FFA"/>
    <w:rsid w:val="009773AB"/>
    <w:rsid w:val="009824AE"/>
    <w:rsid w:val="00984894"/>
    <w:rsid w:val="00985B0F"/>
    <w:rsid w:val="0099205A"/>
    <w:rsid w:val="00992BC0"/>
    <w:rsid w:val="009943A9"/>
    <w:rsid w:val="00994CC7"/>
    <w:rsid w:val="0099538C"/>
    <w:rsid w:val="00995AF3"/>
    <w:rsid w:val="00996433"/>
    <w:rsid w:val="009A0A14"/>
    <w:rsid w:val="009A2052"/>
    <w:rsid w:val="009A3B8C"/>
    <w:rsid w:val="009A4030"/>
    <w:rsid w:val="009A4A8E"/>
    <w:rsid w:val="009A5454"/>
    <w:rsid w:val="009A7338"/>
    <w:rsid w:val="009B3EF1"/>
    <w:rsid w:val="009B4CAE"/>
    <w:rsid w:val="009B5A4E"/>
    <w:rsid w:val="009B62FA"/>
    <w:rsid w:val="009B668E"/>
    <w:rsid w:val="009B6E61"/>
    <w:rsid w:val="009B7D9A"/>
    <w:rsid w:val="009C1255"/>
    <w:rsid w:val="009C25D1"/>
    <w:rsid w:val="009C285C"/>
    <w:rsid w:val="009C3491"/>
    <w:rsid w:val="009C3912"/>
    <w:rsid w:val="009C5696"/>
    <w:rsid w:val="009C5A3C"/>
    <w:rsid w:val="009C6111"/>
    <w:rsid w:val="009C67F0"/>
    <w:rsid w:val="009D3017"/>
    <w:rsid w:val="009D3717"/>
    <w:rsid w:val="009D4D42"/>
    <w:rsid w:val="009D4E12"/>
    <w:rsid w:val="009D63A8"/>
    <w:rsid w:val="009E239A"/>
    <w:rsid w:val="009E79D6"/>
    <w:rsid w:val="009E7CBE"/>
    <w:rsid w:val="009F2DCC"/>
    <w:rsid w:val="009F3B63"/>
    <w:rsid w:val="009F3DEE"/>
    <w:rsid w:val="009F61AC"/>
    <w:rsid w:val="009F6E77"/>
    <w:rsid w:val="009F6F06"/>
    <w:rsid w:val="009F7344"/>
    <w:rsid w:val="009F7418"/>
    <w:rsid w:val="00A00E5E"/>
    <w:rsid w:val="00A043AC"/>
    <w:rsid w:val="00A045AF"/>
    <w:rsid w:val="00A0595E"/>
    <w:rsid w:val="00A06379"/>
    <w:rsid w:val="00A0770E"/>
    <w:rsid w:val="00A07C77"/>
    <w:rsid w:val="00A07E46"/>
    <w:rsid w:val="00A1008A"/>
    <w:rsid w:val="00A1115E"/>
    <w:rsid w:val="00A1180A"/>
    <w:rsid w:val="00A11D20"/>
    <w:rsid w:val="00A127B3"/>
    <w:rsid w:val="00A13CE4"/>
    <w:rsid w:val="00A1443B"/>
    <w:rsid w:val="00A15A76"/>
    <w:rsid w:val="00A15F9B"/>
    <w:rsid w:val="00A165C2"/>
    <w:rsid w:val="00A16DD8"/>
    <w:rsid w:val="00A20084"/>
    <w:rsid w:val="00A20361"/>
    <w:rsid w:val="00A21549"/>
    <w:rsid w:val="00A23603"/>
    <w:rsid w:val="00A2410A"/>
    <w:rsid w:val="00A243C1"/>
    <w:rsid w:val="00A2716E"/>
    <w:rsid w:val="00A301EA"/>
    <w:rsid w:val="00A317DF"/>
    <w:rsid w:val="00A340D6"/>
    <w:rsid w:val="00A34C56"/>
    <w:rsid w:val="00A3562B"/>
    <w:rsid w:val="00A36948"/>
    <w:rsid w:val="00A36F7B"/>
    <w:rsid w:val="00A42066"/>
    <w:rsid w:val="00A4208D"/>
    <w:rsid w:val="00A511DB"/>
    <w:rsid w:val="00A528BC"/>
    <w:rsid w:val="00A54126"/>
    <w:rsid w:val="00A55A37"/>
    <w:rsid w:val="00A56C3F"/>
    <w:rsid w:val="00A56F56"/>
    <w:rsid w:val="00A57C62"/>
    <w:rsid w:val="00A60997"/>
    <w:rsid w:val="00A60BEE"/>
    <w:rsid w:val="00A6175E"/>
    <w:rsid w:val="00A6189E"/>
    <w:rsid w:val="00A6220F"/>
    <w:rsid w:val="00A62A63"/>
    <w:rsid w:val="00A64EED"/>
    <w:rsid w:val="00A65A34"/>
    <w:rsid w:val="00A66E9D"/>
    <w:rsid w:val="00A66F20"/>
    <w:rsid w:val="00A70498"/>
    <w:rsid w:val="00A70C1F"/>
    <w:rsid w:val="00A72666"/>
    <w:rsid w:val="00A7350A"/>
    <w:rsid w:val="00A75C22"/>
    <w:rsid w:val="00A75D37"/>
    <w:rsid w:val="00A76B61"/>
    <w:rsid w:val="00A77C78"/>
    <w:rsid w:val="00A77C98"/>
    <w:rsid w:val="00A80B16"/>
    <w:rsid w:val="00A80EC7"/>
    <w:rsid w:val="00A814AB"/>
    <w:rsid w:val="00A814D4"/>
    <w:rsid w:val="00A8166A"/>
    <w:rsid w:val="00A83C69"/>
    <w:rsid w:val="00A83DA9"/>
    <w:rsid w:val="00A83F3B"/>
    <w:rsid w:val="00A847DC"/>
    <w:rsid w:val="00A84CF1"/>
    <w:rsid w:val="00A860FC"/>
    <w:rsid w:val="00A8685D"/>
    <w:rsid w:val="00A86C0D"/>
    <w:rsid w:val="00A86C24"/>
    <w:rsid w:val="00A86E3E"/>
    <w:rsid w:val="00A86EB0"/>
    <w:rsid w:val="00A90039"/>
    <w:rsid w:val="00A90193"/>
    <w:rsid w:val="00A9118C"/>
    <w:rsid w:val="00A945FE"/>
    <w:rsid w:val="00A94D89"/>
    <w:rsid w:val="00A95668"/>
    <w:rsid w:val="00A96131"/>
    <w:rsid w:val="00A96525"/>
    <w:rsid w:val="00A96E75"/>
    <w:rsid w:val="00A979D0"/>
    <w:rsid w:val="00A97BB5"/>
    <w:rsid w:val="00AA00CC"/>
    <w:rsid w:val="00AA0A1A"/>
    <w:rsid w:val="00AA192F"/>
    <w:rsid w:val="00AA2B0B"/>
    <w:rsid w:val="00AA312D"/>
    <w:rsid w:val="00AA374F"/>
    <w:rsid w:val="00AA3D70"/>
    <w:rsid w:val="00AA3F4E"/>
    <w:rsid w:val="00AA528B"/>
    <w:rsid w:val="00AA5858"/>
    <w:rsid w:val="00AB07C8"/>
    <w:rsid w:val="00AB0DD4"/>
    <w:rsid w:val="00AB3435"/>
    <w:rsid w:val="00AB3684"/>
    <w:rsid w:val="00AB37FC"/>
    <w:rsid w:val="00AB4D97"/>
    <w:rsid w:val="00AB512C"/>
    <w:rsid w:val="00AB55F7"/>
    <w:rsid w:val="00AB7A70"/>
    <w:rsid w:val="00AB7A77"/>
    <w:rsid w:val="00AC03E6"/>
    <w:rsid w:val="00AC0EE6"/>
    <w:rsid w:val="00AC3033"/>
    <w:rsid w:val="00AC4D26"/>
    <w:rsid w:val="00AC7013"/>
    <w:rsid w:val="00AD0C33"/>
    <w:rsid w:val="00AD182B"/>
    <w:rsid w:val="00AD45C7"/>
    <w:rsid w:val="00AD4BD2"/>
    <w:rsid w:val="00AD68F5"/>
    <w:rsid w:val="00AD7842"/>
    <w:rsid w:val="00AD7F24"/>
    <w:rsid w:val="00AE4187"/>
    <w:rsid w:val="00AE4298"/>
    <w:rsid w:val="00AE604E"/>
    <w:rsid w:val="00AE60DA"/>
    <w:rsid w:val="00AF0AB6"/>
    <w:rsid w:val="00AF12DF"/>
    <w:rsid w:val="00AF1E58"/>
    <w:rsid w:val="00AF240B"/>
    <w:rsid w:val="00AF2BA7"/>
    <w:rsid w:val="00AF2F50"/>
    <w:rsid w:val="00AF332A"/>
    <w:rsid w:val="00AF3982"/>
    <w:rsid w:val="00AF5520"/>
    <w:rsid w:val="00AF6071"/>
    <w:rsid w:val="00B03995"/>
    <w:rsid w:val="00B045AA"/>
    <w:rsid w:val="00B07C56"/>
    <w:rsid w:val="00B07D85"/>
    <w:rsid w:val="00B108EE"/>
    <w:rsid w:val="00B11B38"/>
    <w:rsid w:val="00B13D76"/>
    <w:rsid w:val="00B14540"/>
    <w:rsid w:val="00B14A3F"/>
    <w:rsid w:val="00B161FE"/>
    <w:rsid w:val="00B16E78"/>
    <w:rsid w:val="00B16E8C"/>
    <w:rsid w:val="00B2050E"/>
    <w:rsid w:val="00B2519C"/>
    <w:rsid w:val="00B25337"/>
    <w:rsid w:val="00B26435"/>
    <w:rsid w:val="00B26881"/>
    <w:rsid w:val="00B27B72"/>
    <w:rsid w:val="00B30822"/>
    <w:rsid w:val="00B31CF0"/>
    <w:rsid w:val="00B3354A"/>
    <w:rsid w:val="00B359D4"/>
    <w:rsid w:val="00B364A1"/>
    <w:rsid w:val="00B40224"/>
    <w:rsid w:val="00B40A44"/>
    <w:rsid w:val="00B4339E"/>
    <w:rsid w:val="00B43739"/>
    <w:rsid w:val="00B443F9"/>
    <w:rsid w:val="00B454C8"/>
    <w:rsid w:val="00B47619"/>
    <w:rsid w:val="00B52BF9"/>
    <w:rsid w:val="00B53547"/>
    <w:rsid w:val="00B53EE6"/>
    <w:rsid w:val="00B55913"/>
    <w:rsid w:val="00B564FD"/>
    <w:rsid w:val="00B56A8F"/>
    <w:rsid w:val="00B5716D"/>
    <w:rsid w:val="00B61F47"/>
    <w:rsid w:val="00B62D79"/>
    <w:rsid w:val="00B62FFE"/>
    <w:rsid w:val="00B63128"/>
    <w:rsid w:val="00B6322E"/>
    <w:rsid w:val="00B6341F"/>
    <w:rsid w:val="00B65417"/>
    <w:rsid w:val="00B660FF"/>
    <w:rsid w:val="00B66276"/>
    <w:rsid w:val="00B66951"/>
    <w:rsid w:val="00B67042"/>
    <w:rsid w:val="00B6727F"/>
    <w:rsid w:val="00B70C36"/>
    <w:rsid w:val="00B719CC"/>
    <w:rsid w:val="00B72068"/>
    <w:rsid w:val="00B73C8B"/>
    <w:rsid w:val="00B759D7"/>
    <w:rsid w:val="00B8056A"/>
    <w:rsid w:val="00B80678"/>
    <w:rsid w:val="00B811FD"/>
    <w:rsid w:val="00B81567"/>
    <w:rsid w:val="00B81607"/>
    <w:rsid w:val="00B82C85"/>
    <w:rsid w:val="00B8312C"/>
    <w:rsid w:val="00B84519"/>
    <w:rsid w:val="00B848E4"/>
    <w:rsid w:val="00B84C24"/>
    <w:rsid w:val="00B87E70"/>
    <w:rsid w:val="00B87E95"/>
    <w:rsid w:val="00B902E2"/>
    <w:rsid w:val="00B90E68"/>
    <w:rsid w:val="00B91BB1"/>
    <w:rsid w:val="00B93F86"/>
    <w:rsid w:val="00B94ADF"/>
    <w:rsid w:val="00B95B2F"/>
    <w:rsid w:val="00B96E19"/>
    <w:rsid w:val="00B977B2"/>
    <w:rsid w:val="00BA0FB0"/>
    <w:rsid w:val="00BA1204"/>
    <w:rsid w:val="00BA6D87"/>
    <w:rsid w:val="00BB0D93"/>
    <w:rsid w:val="00BB2F6D"/>
    <w:rsid w:val="00BB51BC"/>
    <w:rsid w:val="00BB5AA2"/>
    <w:rsid w:val="00BB5C12"/>
    <w:rsid w:val="00BB5CDB"/>
    <w:rsid w:val="00BB7B12"/>
    <w:rsid w:val="00BC15CD"/>
    <w:rsid w:val="00BC1AB5"/>
    <w:rsid w:val="00BC2088"/>
    <w:rsid w:val="00BC360A"/>
    <w:rsid w:val="00BC3A4A"/>
    <w:rsid w:val="00BC3BCF"/>
    <w:rsid w:val="00BC55D1"/>
    <w:rsid w:val="00BC6C0C"/>
    <w:rsid w:val="00BC79CC"/>
    <w:rsid w:val="00BD31D0"/>
    <w:rsid w:val="00BD36A7"/>
    <w:rsid w:val="00BD3D70"/>
    <w:rsid w:val="00BD3E7A"/>
    <w:rsid w:val="00BD3F92"/>
    <w:rsid w:val="00BD4574"/>
    <w:rsid w:val="00BD4630"/>
    <w:rsid w:val="00BD51A0"/>
    <w:rsid w:val="00BD6B2D"/>
    <w:rsid w:val="00BE098F"/>
    <w:rsid w:val="00BE167C"/>
    <w:rsid w:val="00BE4104"/>
    <w:rsid w:val="00BE4646"/>
    <w:rsid w:val="00BE574C"/>
    <w:rsid w:val="00BE5A9F"/>
    <w:rsid w:val="00BE7BD3"/>
    <w:rsid w:val="00BF4BFB"/>
    <w:rsid w:val="00BF6E69"/>
    <w:rsid w:val="00BF6F3E"/>
    <w:rsid w:val="00BF7182"/>
    <w:rsid w:val="00BF72A2"/>
    <w:rsid w:val="00BF7423"/>
    <w:rsid w:val="00BF7FEC"/>
    <w:rsid w:val="00C00BB3"/>
    <w:rsid w:val="00C02090"/>
    <w:rsid w:val="00C02099"/>
    <w:rsid w:val="00C03545"/>
    <w:rsid w:val="00C05604"/>
    <w:rsid w:val="00C05F88"/>
    <w:rsid w:val="00C07871"/>
    <w:rsid w:val="00C11FDE"/>
    <w:rsid w:val="00C13052"/>
    <w:rsid w:val="00C156F7"/>
    <w:rsid w:val="00C1607F"/>
    <w:rsid w:val="00C16164"/>
    <w:rsid w:val="00C20E92"/>
    <w:rsid w:val="00C210D1"/>
    <w:rsid w:val="00C21107"/>
    <w:rsid w:val="00C21976"/>
    <w:rsid w:val="00C21F85"/>
    <w:rsid w:val="00C23BCF"/>
    <w:rsid w:val="00C261B8"/>
    <w:rsid w:val="00C26486"/>
    <w:rsid w:val="00C30888"/>
    <w:rsid w:val="00C30AE0"/>
    <w:rsid w:val="00C30B11"/>
    <w:rsid w:val="00C31F65"/>
    <w:rsid w:val="00C32DC6"/>
    <w:rsid w:val="00C345AF"/>
    <w:rsid w:val="00C34A26"/>
    <w:rsid w:val="00C35518"/>
    <w:rsid w:val="00C35CE7"/>
    <w:rsid w:val="00C36978"/>
    <w:rsid w:val="00C37E31"/>
    <w:rsid w:val="00C417B5"/>
    <w:rsid w:val="00C41BA2"/>
    <w:rsid w:val="00C41BA5"/>
    <w:rsid w:val="00C42AC2"/>
    <w:rsid w:val="00C4690B"/>
    <w:rsid w:val="00C477C6"/>
    <w:rsid w:val="00C47940"/>
    <w:rsid w:val="00C51CA1"/>
    <w:rsid w:val="00C52509"/>
    <w:rsid w:val="00C53336"/>
    <w:rsid w:val="00C53793"/>
    <w:rsid w:val="00C55B7D"/>
    <w:rsid w:val="00C563D9"/>
    <w:rsid w:val="00C57D82"/>
    <w:rsid w:val="00C6049B"/>
    <w:rsid w:val="00C6061A"/>
    <w:rsid w:val="00C60958"/>
    <w:rsid w:val="00C62AE0"/>
    <w:rsid w:val="00C64A4C"/>
    <w:rsid w:val="00C66E37"/>
    <w:rsid w:val="00C70528"/>
    <w:rsid w:val="00C705BA"/>
    <w:rsid w:val="00C72549"/>
    <w:rsid w:val="00C743DA"/>
    <w:rsid w:val="00C74C34"/>
    <w:rsid w:val="00C751C6"/>
    <w:rsid w:val="00C75AED"/>
    <w:rsid w:val="00C762AE"/>
    <w:rsid w:val="00C769F9"/>
    <w:rsid w:val="00C80306"/>
    <w:rsid w:val="00C81BDF"/>
    <w:rsid w:val="00C82A9D"/>
    <w:rsid w:val="00C85754"/>
    <w:rsid w:val="00C85FE0"/>
    <w:rsid w:val="00C8726D"/>
    <w:rsid w:val="00C90486"/>
    <w:rsid w:val="00C9092E"/>
    <w:rsid w:val="00C92473"/>
    <w:rsid w:val="00C94E20"/>
    <w:rsid w:val="00C94E54"/>
    <w:rsid w:val="00C953F8"/>
    <w:rsid w:val="00C97586"/>
    <w:rsid w:val="00C97DF6"/>
    <w:rsid w:val="00CA0F2D"/>
    <w:rsid w:val="00CA12CD"/>
    <w:rsid w:val="00CA144E"/>
    <w:rsid w:val="00CA1B82"/>
    <w:rsid w:val="00CA430A"/>
    <w:rsid w:val="00CA4C0F"/>
    <w:rsid w:val="00CA562C"/>
    <w:rsid w:val="00CA6BC0"/>
    <w:rsid w:val="00CB00A6"/>
    <w:rsid w:val="00CB0CFC"/>
    <w:rsid w:val="00CB40D0"/>
    <w:rsid w:val="00CB555B"/>
    <w:rsid w:val="00CB742D"/>
    <w:rsid w:val="00CC0B4D"/>
    <w:rsid w:val="00CC150E"/>
    <w:rsid w:val="00CC186B"/>
    <w:rsid w:val="00CC2114"/>
    <w:rsid w:val="00CC3DDF"/>
    <w:rsid w:val="00CC3F86"/>
    <w:rsid w:val="00CC4B56"/>
    <w:rsid w:val="00CD01A5"/>
    <w:rsid w:val="00CD0C1A"/>
    <w:rsid w:val="00CD1AFF"/>
    <w:rsid w:val="00CD1FC7"/>
    <w:rsid w:val="00CD264F"/>
    <w:rsid w:val="00CD39C6"/>
    <w:rsid w:val="00CD4030"/>
    <w:rsid w:val="00CD580D"/>
    <w:rsid w:val="00CE278D"/>
    <w:rsid w:val="00CE57F7"/>
    <w:rsid w:val="00CE591F"/>
    <w:rsid w:val="00CE60F8"/>
    <w:rsid w:val="00CF2228"/>
    <w:rsid w:val="00CF358F"/>
    <w:rsid w:val="00CF4B00"/>
    <w:rsid w:val="00CF4E3B"/>
    <w:rsid w:val="00CF5263"/>
    <w:rsid w:val="00CF7574"/>
    <w:rsid w:val="00D0330B"/>
    <w:rsid w:val="00D03A3E"/>
    <w:rsid w:val="00D07199"/>
    <w:rsid w:val="00D11B34"/>
    <w:rsid w:val="00D14B5A"/>
    <w:rsid w:val="00D1516B"/>
    <w:rsid w:val="00D15620"/>
    <w:rsid w:val="00D172D4"/>
    <w:rsid w:val="00D202E6"/>
    <w:rsid w:val="00D20566"/>
    <w:rsid w:val="00D240C4"/>
    <w:rsid w:val="00D24737"/>
    <w:rsid w:val="00D248A8"/>
    <w:rsid w:val="00D262B8"/>
    <w:rsid w:val="00D265EA"/>
    <w:rsid w:val="00D306E6"/>
    <w:rsid w:val="00D3302F"/>
    <w:rsid w:val="00D333B4"/>
    <w:rsid w:val="00D33A52"/>
    <w:rsid w:val="00D33BFA"/>
    <w:rsid w:val="00D34690"/>
    <w:rsid w:val="00D366C8"/>
    <w:rsid w:val="00D40AB3"/>
    <w:rsid w:val="00D42341"/>
    <w:rsid w:val="00D42854"/>
    <w:rsid w:val="00D448EB"/>
    <w:rsid w:val="00D45219"/>
    <w:rsid w:val="00D46F43"/>
    <w:rsid w:val="00D47EE7"/>
    <w:rsid w:val="00D52331"/>
    <w:rsid w:val="00D53430"/>
    <w:rsid w:val="00D553A4"/>
    <w:rsid w:val="00D55458"/>
    <w:rsid w:val="00D6040D"/>
    <w:rsid w:val="00D608FF"/>
    <w:rsid w:val="00D6117A"/>
    <w:rsid w:val="00D6138D"/>
    <w:rsid w:val="00D62070"/>
    <w:rsid w:val="00D6231B"/>
    <w:rsid w:val="00D62E45"/>
    <w:rsid w:val="00D63C92"/>
    <w:rsid w:val="00D64D27"/>
    <w:rsid w:val="00D65B91"/>
    <w:rsid w:val="00D65EA8"/>
    <w:rsid w:val="00D66B56"/>
    <w:rsid w:val="00D670CC"/>
    <w:rsid w:val="00D6746A"/>
    <w:rsid w:val="00D705BF"/>
    <w:rsid w:val="00D72B96"/>
    <w:rsid w:val="00D72CBB"/>
    <w:rsid w:val="00D734F2"/>
    <w:rsid w:val="00D75F4F"/>
    <w:rsid w:val="00D771AD"/>
    <w:rsid w:val="00D80BC3"/>
    <w:rsid w:val="00D828BF"/>
    <w:rsid w:val="00D82957"/>
    <w:rsid w:val="00D830A5"/>
    <w:rsid w:val="00D84020"/>
    <w:rsid w:val="00D84B5A"/>
    <w:rsid w:val="00D85968"/>
    <w:rsid w:val="00D861C4"/>
    <w:rsid w:val="00D86676"/>
    <w:rsid w:val="00D937A5"/>
    <w:rsid w:val="00D94DDC"/>
    <w:rsid w:val="00D94DEE"/>
    <w:rsid w:val="00D96072"/>
    <w:rsid w:val="00D96355"/>
    <w:rsid w:val="00D974C8"/>
    <w:rsid w:val="00D97912"/>
    <w:rsid w:val="00DA0658"/>
    <w:rsid w:val="00DA192D"/>
    <w:rsid w:val="00DA2387"/>
    <w:rsid w:val="00DA25EB"/>
    <w:rsid w:val="00DA2619"/>
    <w:rsid w:val="00DA3623"/>
    <w:rsid w:val="00DA591D"/>
    <w:rsid w:val="00DA5CF3"/>
    <w:rsid w:val="00DA6AC5"/>
    <w:rsid w:val="00DB01FF"/>
    <w:rsid w:val="00DB065A"/>
    <w:rsid w:val="00DB17CA"/>
    <w:rsid w:val="00DB2172"/>
    <w:rsid w:val="00DC0F55"/>
    <w:rsid w:val="00DC1FED"/>
    <w:rsid w:val="00DC39D2"/>
    <w:rsid w:val="00DC553E"/>
    <w:rsid w:val="00DC6DD7"/>
    <w:rsid w:val="00DC77D3"/>
    <w:rsid w:val="00DC7FFE"/>
    <w:rsid w:val="00DD334E"/>
    <w:rsid w:val="00DD3810"/>
    <w:rsid w:val="00DD491E"/>
    <w:rsid w:val="00DD49AC"/>
    <w:rsid w:val="00DD740C"/>
    <w:rsid w:val="00DD76F2"/>
    <w:rsid w:val="00DE11A7"/>
    <w:rsid w:val="00DE6C3E"/>
    <w:rsid w:val="00DE713A"/>
    <w:rsid w:val="00DF0AD4"/>
    <w:rsid w:val="00DF0E1B"/>
    <w:rsid w:val="00DF185C"/>
    <w:rsid w:val="00DF2C7B"/>
    <w:rsid w:val="00DF2E05"/>
    <w:rsid w:val="00DF4816"/>
    <w:rsid w:val="00DF4D8E"/>
    <w:rsid w:val="00DF5177"/>
    <w:rsid w:val="00DF53ED"/>
    <w:rsid w:val="00DF53FE"/>
    <w:rsid w:val="00DF5799"/>
    <w:rsid w:val="00DF5B2F"/>
    <w:rsid w:val="00DF60FA"/>
    <w:rsid w:val="00DF661E"/>
    <w:rsid w:val="00DF680E"/>
    <w:rsid w:val="00E002EA"/>
    <w:rsid w:val="00E01AE7"/>
    <w:rsid w:val="00E0521D"/>
    <w:rsid w:val="00E0634D"/>
    <w:rsid w:val="00E06469"/>
    <w:rsid w:val="00E079EA"/>
    <w:rsid w:val="00E11F66"/>
    <w:rsid w:val="00E123E5"/>
    <w:rsid w:val="00E137F8"/>
    <w:rsid w:val="00E13926"/>
    <w:rsid w:val="00E17459"/>
    <w:rsid w:val="00E1756C"/>
    <w:rsid w:val="00E2032D"/>
    <w:rsid w:val="00E2082B"/>
    <w:rsid w:val="00E20B54"/>
    <w:rsid w:val="00E22644"/>
    <w:rsid w:val="00E226DD"/>
    <w:rsid w:val="00E23430"/>
    <w:rsid w:val="00E23457"/>
    <w:rsid w:val="00E23752"/>
    <w:rsid w:val="00E2488C"/>
    <w:rsid w:val="00E24D26"/>
    <w:rsid w:val="00E25AD4"/>
    <w:rsid w:val="00E31BE4"/>
    <w:rsid w:val="00E35AD9"/>
    <w:rsid w:val="00E36190"/>
    <w:rsid w:val="00E367E8"/>
    <w:rsid w:val="00E401A6"/>
    <w:rsid w:val="00E41D8A"/>
    <w:rsid w:val="00E425FD"/>
    <w:rsid w:val="00E42615"/>
    <w:rsid w:val="00E46103"/>
    <w:rsid w:val="00E46A73"/>
    <w:rsid w:val="00E4712E"/>
    <w:rsid w:val="00E477BC"/>
    <w:rsid w:val="00E47E41"/>
    <w:rsid w:val="00E50659"/>
    <w:rsid w:val="00E5115D"/>
    <w:rsid w:val="00E52176"/>
    <w:rsid w:val="00E52668"/>
    <w:rsid w:val="00E54071"/>
    <w:rsid w:val="00E557D2"/>
    <w:rsid w:val="00E566EF"/>
    <w:rsid w:val="00E57FB7"/>
    <w:rsid w:val="00E614EC"/>
    <w:rsid w:val="00E61CBA"/>
    <w:rsid w:val="00E62C76"/>
    <w:rsid w:val="00E62F82"/>
    <w:rsid w:val="00E64FDA"/>
    <w:rsid w:val="00E64FF5"/>
    <w:rsid w:val="00E65047"/>
    <w:rsid w:val="00E664A9"/>
    <w:rsid w:val="00E71473"/>
    <w:rsid w:val="00E74751"/>
    <w:rsid w:val="00E7518E"/>
    <w:rsid w:val="00E7610B"/>
    <w:rsid w:val="00E77FA0"/>
    <w:rsid w:val="00E80E66"/>
    <w:rsid w:val="00E81006"/>
    <w:rsid w:val="00E81E86"/>
    <w:rsid w:val="00E83540"/>
    <w:rsid w:val="00E835C3"/>
    <w:rsid w:val="00E8367A"/>
    <w:rsid w:val="00E8410B"/>
    <w:rsid w:val="00E86FD9"/>
    <w:rsid w:val="00E90883"/>
    <w:rsid w:val="00E90A98"/>
    <w:rsid w:val="00E90E8F"/>
    <w:rsid w:val="00E950C4"/>
    <w:rsid w:val="00E9512A"/>
    <w:rsid w:val="00E96733"/>
    <w:rsid w:val="00EA4244"/>
    <w:rsid w:val="00EA4B45"/>
    <w:rsid w:val="00EA7DD0"/>
    <w:rsid w:val="00EB071E"/>
    <w:rsid w:val="00EB33CC"/>
    <w:rsid w:val="00EB3F42"/>
    <w:rsid w:val="00EB4638"/>
    <w:rsid w:val="00EB5253"/>
    <w:rsid w:val="00EB6348"/>
    <w:rsid w:val="00EB6B13"/>
    <w:rsid w:val="00EB75EF"/>
    <w:rsid w:val="00EB79E0"/>
    <w:rsid w:val="00EC0894"/>
    <w:rsid w:val="00EC107A"/>
    <w:rsid w:val="00EC22B5"/>
    <w:rsid w:val="00EC26AD"/>
    <w:rsid w:val="00EC3E74"/>
    <w:rsid w:val="00EC573F"/>
    <w:rsid w:val="00EC7417"/>
    <w:rsid w:val="00ED1C47"/>
    <w:rsid w:val="00ED259D"/>
    <w:rsid w:val="00ED36EC"/>
    <w:rsid w:val="00ED43EC"/>
    <w:rsid w:val="00ED53A9"/>
    <w:rsid w:val="00ED59FB"/>
    <w:rsid w:val="00ED7887"/>
    <w:rsid w:val="00EE092F"/>
    <w:rsid w:val="00EE0D66"/>
    <w:rsid w:val="00EE2541"/>
    <w:rsid w:val="00EE5801"/>
    <w:rsid w:val="00EE5D45"/>
    <w:rsid w:val="00EE6011"/>
    <w:rsid w:val="00EE7906"/>
    <w:rsid w:val="00EF15AC"/>
    <w:rsid w:val="00EF31CD"/>
    <w:rsid w:val="00EF35EB"/>
    <w:rsid w:val="00EF35F4"/>
    <w:rsid w:val="00EF3897"/>
    <w:rsid w:val="00EF5F5D"/>
    <w:rsid w:val="00EF7AFA"/>
    <w:rsid w:val="00EF7D94"/>
    <w:rsid w:val="00F00A2D"/>
    <w:rsid w:val="00F00F0A"/>
    <w:rsid w:val="00F01B2E"/>
    <w:rsid w:val="00F0217B"/>
    <w:rsid w:val="00F04DE5"/>
    <w:rsid w:val="00F064BA"/>
    <w:rsid w:val="00F07469"/>
    <w:rsid w:val="00F076FE"/>
    <w:rsid w:val="00F1197D"/>
    <w:rsid w:val="00F11E97"/>
    <w:rsid w:val="00F126D2"/>
    <w:rsid w:val="00F136ED"/>
    <w:rsid w:val="00F14FD1"/>
    <w:rsid w:val="00F15AF6"/>
    <w:rsid w:val="00F1705B"/>
    <w:rsid w:val="00F179EC"/>
    <w:rsid w:val="00F2175D"/>
    <w:rsid w:val="00F21CA6"/>
    <w:rsid w:val="00F228C5"/>
    <w:rsid w:val="00F22D59"/>
    <w:rsid w:val="00F24F28"/>
    <w:rsid w:val="00F26E9F"/>
    <w:rsid w:val="00F278F1"/>
    <w:rsid w:val="00F27F8E"/>
    <w:rsid w:val="00F322C0"/>
    <w:rsid w:val="00F32A50"/>
    <w:rsid w:val="00F330A0"/>
    <w:rsid w:val="00F33829"/>
    <w:rsid w:val="00F355E6"/>
    <w:rsid w:val="00F36E61"/>
    <w:rsid w:val="00F36F83"/>
    <w:rsid w:val="00F37444"/>
    <w:rsid w:val="00F37AC1"/>
    <w:rsid w:val="00F37B81"/>
    <w:rsid w:val="00F422CE"/>
    <w:rsid w:val="00F43A47"/>
    <w:rsid w:val="00F43C88"/>
    <w:rsid w:val="00F44162"/>
    <w:rsid w:val="00F46A03"/>
    <w:rsid w:val="00F514A6"/>
    <w:rsid w:val="00F51B8A"/>
    <w:rsid w:val="00F523D0"/>
    <w:rsid w:val="00F5489F"/>
    <w:rsid w:val="00F54F09"/>
    <w:rsid w:val="00F55560"/>
    <w:rsid w:val="00F60AC3"/>
    <w:rsid w:val="00F61C0F"/>
    <w:rsid w:val="00F62332"/>
    <w:rsid w:val="00F623F8"/>
    <w:rsid w:val="00F649CC"/>
    <w:rsid w:val="00F65D3F"/>
    <w:rsid w:val="00F65D7B"/>
    <w:rsid w:val="00F66283"/>
    <w:rsid w:val="00F67704"/>
    <w:rsid w:val="00F7148B"/>
    <w:rsid w:val="00F7169C"/>
    <w:rsid w:val="00F73782"/>
    <w:rsid w:val="00F73A81"/>
    <w:rsid w:val="00F74C6D"/>
    <w:rsid w:val="00F7690B"/>
    <w:rsid w:val="00F8008C"/>
    <w:rsid w:val="00F81875"/>
    <w:rsid w:val="00F825D8"/>
    <w:rsid w:val="00F84C41"/>
    <w:rsid w:val="00F853EA"/>
    <w:rsid w:val="00F860A3"/>
    <w:rsid w:val="00F865B9"/>
    <w:rsid w:val="00F86E13"/>
    <w:rsid w:val="00F8706E"/>
    <w:rsid w:val="00F87136"/>
    <w:rsid w:val="00F910D9"/>
    <w:rsid w:val="00F92655"/>
    <w:rsid w:val="00F94367"/>
    <w:rsid w:val="00F9599F"/>
    <w:rsid w:val="00F9780F"/>
    <w:rsid w:val="00FA0B27"/>
    <w:rsid w:val="00FA0FC3"/>
    <w:rsid w:val="00FA1A5E"/>
    <w:rsid w:val="00FA3116"/>
    <w:rsid w:val="00FA465C"/>
    <w:rsid w:val="00FB1199"/>
    <w:rsid w:val="00FB26BD"/>
    <w:rsid w:val="00FB2FF9"/>
    <w:rsid w:val="00FB4D29"/>
    <w:rsid w:val="00FB5107"/>
    <w:rsid w:val="00FB5275"/>
    <w:rsid w:val="00FB52D0"/>
    <w:rsid w:val="00FB62BB"/>
    <w:rsid w:val="00FB68BD"/>
    <w:rsid w:val="00FC012D"/>
    <w:rsid w:val="00FC1419"/>
    <w:rsid w:val="00FC1A88"/>
    <w:rsid w:val="00FC43E2"/>
    <w:rsid w:val="00FC48BC"/>
    <w:rsid w:val="00FC4AD3"/>
    <w:rsid w:val="00FC4D01"/>
    <w:rsid w:val="00FC657A"/>
    <w:rsid w:val="00FC69A2"/>
    <w:rsid w:val="00FC7E39"/>
    <w:rsid w:val="00FD04AC"/>
    <w:rsid w:val="00FD223B"/>
    <w:rsid w:val="00FD311F"/>
    <w:rsid w:val="00FD33C5"/>
    <w:rsid w:val="00FD44FD"/>
    <w:rsid w:val="00FD4E7F"/>
    <w:rsid w:val="00FD4EC0"/>
    <w:rsid w:val="00FD5ABC"/>
    <w:rsid w:val="00FD6D98"/>
    <w:rsid w:val="00FE1D57"/>
    <w:rsid w:val="00FE1E62"/>
    <w:rsid w:val="00FE2BD3"/>
    <w:rsid w:val="00FE33D5"/>
    <w:rsid w:val="00FE3BA3"/>
    <w:rsid w:val="00FE4863"/>
    <w:rsid w:val="00FE4FAE"/>
    <w:rsid w:val="00FE581F"/>
    <w:rsid w:val="00FE7729"/>
    <w:rsid w:val="00FF120A"/>
    <w:rsid w:val="00FF2765"/>
    <w:rsid w:val="00FF2C26"/>
    <w:rsid w:val="00FF5FD7"/>
    <w:rsid w:val="00FF60DB"/>
    <w:rsid w:val="00FF628A"/>
    <w:rsid w:val="00FF6730"/>
    <w:rsid w:val="00FF6BC8"/>
    <w:rsid w:val="00FF6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05D7AE"/>
  <w15:docId w15:val="{1851A624-41C5-4D60-95FD-DE0B58F2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42"/>
    <w:pPr>
      <w:spacing w:before="240" w:after="240" w:line="360" w:lineRule="auto"/>
    </w:pPr>
  </w:style>
  <w:style w:type="paragraph" w:styleId="Heading1">
    <w:name w:val="heading 1"/>
    <w:basedOn w:val="Normal"/>
    <w:next w:val="Normal"/>
    <w:link w:val="Heading1Char"/>
    <w:uiPriority w:val="9"/>
    <w:qFormat/>
    <w:rsid w:val="00F32A50"/>
    <w:pPr>
      <w:keepNext/>
      <w:spacing w:after="60"/>
      <w:outlineLvl w:val="0"/>
    </w:pPr>
    <w:rPr>
      <w:color w:val="3F4A75"/>
      <w:sz w:val="36"/>
      <w:szCs w:val="36"/>
    </w:rPr>
  </w:style>
  <w:style w:type="paragraph" w:styleId="Heading2">
    <w:name w:val="heading 2"/>
    <w:basedOn w:val="Heading1"/>
    <w:next w:val="Normal"/>
    <w:uiPriority w:val="9"/>
    <w:unhideWhenUsed/>
    <w:qFormat/>
    <w:rsid w:val="00B8056A"/>
    <w:pPr>
      <w:numPr>
        <w:ilvl w:val="1"/>
        <w:numId w:val="8"/>
      </w:numPr>
      <w:spacing w:line="240" w:lineRule="auto"/>
      <w:ind w:left="567" w:hanging="567"/>
      <w:outlineLvl w:val="1"/>
    </w:pPr>
    <w:rPr>
      <w:sz w:val="28"/>
    </w:rPr>
  </w:style>
  <w:style w:type="paragraph" w:styleId="Heading3">
    <w:name w:val="heading 3"/>
    <w:basedOn w:val="Normal"/>
    <w:next w:val="Normal"/>
    <w:uiPriority w:val="9"/>
    <w:unhideWhenUsed/>
    <w:qFormat/>
    <w:rsid w:val="00F32A50"/>
    <w:pPr>
      <w:keepNext/>
      <w:pBdr>
        <w:top w:val="nil"/>
        <w:left w:val="nil"/>
        <w:bottom w:val="nil"/>
        <w:right w:val="nil"/>
        <w:between w:val="nil"/>
      </w:pBdr>
      <w:spacing w:before="180" w:after="60"/>
      <w:outlineLvl w:val="2"/>
    </w:pPr>
    <w:rPr>
      <w:color w:val="358189"/>
      <w:sz w:val="28"/>
      <w:szCs w:val="28"/>
    </w:rPr>
  </w:style>
  <w:style w:type="paragraph" w:styleId="Heading4">
    <w:name w:val="heading 4"/>
    <w:basedOn w:val="Normal"/>
    <w:next w:val="Normal"/>
    <w:uiPriority w:val="9"/>
    <w:unhideWhenUsed/>
    <w:qFormat/>
    <w:rsid w:val="00F32A50"/>
    <w:pPr>
      <w:keepNext/>
      <w:spacing w:after="60"/>
      <w:outlineLvl w:val="3"/>
    </w:pPr>
    <w:rPr>
      <w:b/>
      <w:i/>
      <w:color w:val="414141"/>
      <w:sz w:val="24"/>
      <w:szCs w:val="24"/>
    </w:rPr>
  </w:style>
  <w:style w:type="paragraph" w:styleId="Heading5">
    <w:name w:val="heading 5"/>
    <w:basedOn w:val="Normal"/>
    <w:next w:val="Normal"/>
    <w:uiPriority w:val="9"/>
    <w:semiHidden/>
    <w:unhideWhenUsed/>
    <w:qFormat/>
    <w:rsid w:val="00F32A50"/>
    <w:pPr>
      <w:keepNext/>
      <w:spacing w:after="60"/>
      <w:outlineLvl w:val="4"/>
    </w:pPr>
    <w:rPr>
      <w:b/>
    </w:rPr>
  </w:style>
  <w:style w:type="paragraph" w:styleId="Heading6">
    <w:name w:val="heading 6"/>
    <w:basedOn w:val="Normal"/>
    <w:next w:val="Normal"/>
    <w:uiPriority w:val="9"/>
    <w:semiHidden/>
    <w:unhideWhenUsed/>
    <w:qFormat/>
    <w:rsid w:val="00F32A50"/>
    <w:pPr>
      <w:keepNext/>
      <w:spacing w:after="60"/>
      <w:outlineLvl w:val="5"/>
    </w:pPr>
    <w:rPr>
      <w:b/>
      <w:i/>
    </w:rPr>
  </w:style>
  <w:style w:type="paragraph" w:styleId="Heading7">
    <w:name w:val="heading 7"/>
    <w:basedOn w:val="Normal"/>
    <w:next w:val="Normal"/>
    <w:link w:val="Heading7Char"/>
    <w:uiPriority w:val="9"/>
    <w:semiHidden/>
    <w:unhideWhenUsed/>
    <w:qFormat/>
    <w:rsid w:val="00F32A5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32A5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2A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1180A"/>
    <w:pPr>
      <w:spacing w:before="1280" w:after="120" w:line="240" w:lineRule="auto"/>
    </w:pPr>
    <w:rPr>
      <w:b/>
      <w:color w:val="3F4A75"/>
      <w:sz w:val="48"/>
      <w:szCs w:val="48"/>
    </w:rPr>
  </w:style>
  <w:style w:type="paragraph" w:styleId="Subtitle">
    <w:name w:val="Subtitle"/>
    <w:basedOn w:val="Normal"/>
    <w:next w:val="Normal"/>
    <w:uiPriority w:val="11"/>
    <w:qFormat/>
    <w:rsid w:val="00A1180A"/>
    <w:pPr>
      <w:pBdr>
        <w:top w:val="nil"/>
        <w:left w:val="nil"/>
        <w:bottom w:val="nil"/>
        <w:right w:val="nil"/>
        <w:between w:val="nil"/>
      </w:pBdr>
      <w:spacing w:before="120" w:after="60" w:line="240" w:lineRule="auto"/>
    </w:pPr>
    <w:rPr>
      <w:color w:val="3F4A75"/>
      <w:sz w:val="40"/>
      <w:szCs w:val="40"/>
    </w:r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tblPr>
      <w:tblStyleRowBandSize w:val="1"/>
      <w:tblStyleColBandSize w:val="1"/>
      <w:tblCellMar>
        <w:top w:w="100" w:type="dxa"/>
        <w:left w:w="100" w:type="dxa"/>
        <w:bottom w:w="100" w:type="dxa"/>
        <w:right w:w="100"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top w:w="100" w:type="dxa"/>
        <w:left w:w="100" w:type="dxa"/>
        <w:bottom w:w="100" w:type="dxa"/>
        <w:right w:w="100" w:type="dxa"/>
      </w:tblCellMar>
    </w:tblPr>
  </w:style>
  <w:style w:type="table" w:customStyle="1" w:styleId="21">
    <w:name w:val="21"/>
    <w:basedOn w:val="TableNormal"/>
    <w:tblPr>
      <w:tblStyleRowBandSize w:val="1"/>
      <w:tblStyleColBandSize w:val="1"/>
      <w:tblCellMar>
        <w:top w:w="100" w:type="dxa"/>
        <w:left w:w="100" w:type="dxa"/>
        <w:bottom w:w="100" w:type="dxa"/>
        <w:right w:w="100" w:type="dxa"/>
      </w:tblCellMar>
    </w:tblPr>
  </w:style>
  <w:style w:type="table" w:customStyle="1" w:styleId="20">
    <w:name w:val="20"/>
    <w:basedOn w:val="TableNormal"/>
    <w:tblPr>
      <w:tblStyleRowBandSize w:val="1"/>
      <w:tblStyleColBandSize w:val="1"/>
      <w:tblCellMar>
        <w:top w:w="100" w:type="dxa"/>
        <w:left w:w="100" w:type="dxa"/>
        <w:bottom w:w="100" w:type="dxa"/>
        <w:right w:w="100" w:type="dxa"/>
      </w:tblCellMar>
    </w:tblPr>
  </w:style>
  <w:style w:type="table" w:customStyle="1" w:styleId="19">
    <w:name w:val="19"/>
    <w:basedOn w:val="TableNormal"/>
    <w:tblPr>
      <w:tblStyleRowBandSize w:val="1"/>
      <w:tblStyleColBandSize w:val="1"/>
      <w:tblCellMar>
        <w:top w:w="100" w:type="dxa"/>
        <w:left w:w="100" w:type="dxa"/>
        <w:bottom w:w="100" w:type="dxa"/>
        <w:right w:w="100"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List Paragraph1,Recommendation,#List Paragraph,L,List Paragraph11,Bullet point,Bullets,CV text,Dot pt,F5 List Paragraph,FooterText,List Paragraph111,List Paragraph2,Medium Grid 1 - Accent 21,NAST Quote,NFP GP Bulleted List,列,Figure_name,l"/>
    <w:basedOn w:val="Normal"/>
    <w:link w:val="ListParagraphChar"/>
    <w:uiPriority w:val="34"/>
    <w:qFormat/>
    <w:rsid w:val="00F910D9"/>
    <w:pPr>
      <w:ind w:left="720"/>
      <w:contextualSpacing/>
    </w:pPr>
  </w:style>
  <w:style w:type="character" w:styleId="Hyperlink">
    <w:name w:val="Hyperlink"/>
    <w:basedOn w:val="DefaultParagraphFont"/>
    <w:uiPriority w:val="99"/>
    <w:unhideWhenUsed/>
    <w:rsid w:val="00F910D9"/>
    <w:rPr>
      <w:color w:val="0000FF" w:themeColor="hyperlink"/>
      <w:u w:val="single"/>
    </w:rPr>
  </w:style>
  <w:style w:type="character" w:customStyle="1" w:styleId="ListParagraphChar">
    <w:name w:val="List Paragraph Char"/>
    <w:aliases w:val="List Paragraph1 Char,Recommendation Char,#List Paragraph Char,L Char,List Paragraph11 Char,Bullet point Char,Bullets Char,CV text Char,Dot pt Char,F5 List Paragraph Char,FooterText Char,List Paragraph111 Char,List Paragraph2 Char"/>
    <w:link w:val="ListParagraph"/>
    <w:uiPriority w:val="34"/>
    <w:qFormat/>
    <w:locked/>
    <w:rsid w:val="00F910D9"/>
  </w:style>
  <w:style w:type="paragraph" w:styleId="FootnoteText">
    <w:name w:val="footnote text"/>
    <w:basedOn w:val="Normal"/>
    <w:link w:val="FootnoteTextChar"/>
    <w:uiPriority w:val="99"/>
    <w:unhideWhenUsed/>
    <w:rsid w:val="008206F0"/>
    <w:rPr>
      <w:sz w:val="16"/>
      <w:szCs w:val="20"/>
    </w:rPr>
  </w:style>
  <w:style w:type="character" w:customStyle="1" w:styleId="FootnoteTextChar">
    <w:name w:val="Footnote Text Char"/>
    <w:basedOn w:val="DefaultParagraphFont"/>
    <w:link w:val="FootnoteText"/>
    <w:uiPriority w:val="99"/>
    <w:rsid w:val="008206F0"/>
    <w:rPr>
      <w:sz w:val="16"/>
      <w:szCs w:val="20"/>
    </w:rPr>
  </w:style>
  <w:style w:type="character" w:styleId="FootnoteReference">
    <w:name w:val="footnote reference"/>
    <w:basedOn w:val="DefaultParagraphFont"/>
    <w:uiPriority w:val="99"/>
    <w:semiHidden/>
    <w:unhideWhenUsed/>
    <w:rsid w:val="00F910D9"/>
    <w:rPr>
      <w:vertAlign w:val="superscript"/>
    </w:rPr>
  </w:style>
  <w:style w:type="table" w:styleId="TableGrid">
    <w:name w:val="Table Grid"/>
    <w:basedOn w:val="TableNormal"/>
    <w:uiPriority w:val="39"/>
    <w:rsid w:val="00F91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622D"/>
  </w:style>
  <w:style w:type="paragraph" w:styleId="Header">
    <w:name w:val="header"/>
    <w:basedOn w:val="Normal"/>
    <w:link w:val="HeaderChar"/>
    <w:uiPriority w:val="99"/>
    <w:unhideWhenUsed/>
    <w:rsid w:val="00C47940"/>
    <w:pPr>
      <w:tabs>
        <w:tab w:val="center" w:pos="4513"/>
        <w:tab w:val="right" w:pos="9026"/>
      </w:tabs>
    </w:pPr>
  </w:style>
  <w:style w:type="character" w:customStyle="1" w:styleId="HeaderChar">
    <w:name w:val="Header Char"/>
    <w:basedOn w:val="DefaultParagraphFont"/>
    <w:link w:val="Header"/>
    <w:uiPriority w:val="99"/>
    <w:rsid w:val="00C47940"/>
  </w:style>
  <w:style w:type="paragraph" w:styleId="Footer">
    <w:name w:val="footer"/>
    <w:basedOn w:val="Normal"/>
    <w:link w:val="FooterChar"/>
    <w:uiPriority w:val="99"/>
    <w:unhideWhenUsed/>
    <w:rsid w:val="00C47940"/>
    <w:pPr>
      <w:tabs>
        <w:tab w:val="center" w:pos="4513"/>
        <w:tab w:val="right" w:pos="9026"/>
      </w:tabs>
    </w:pPr>
  </w:style>
  <w:style w:type="character" w:customStyle="1" w:styleId="FooterChar">
    <w:name w:val="Footer Char"/>
    <w:basedOn w:val="DefaultParagraphFont"/>
    <w:link w:val="Footer"/>
    <w:uiPriority w:val="99"/>
    <w:rsid w:val="00C47940"/>
  </w:style>
  <w:style w:type="paragraph" w:styleId="CommentSubject">
    <w:name w:val="annotation subject"/>
    <w:basedOn w:val="CommentText"/>
    <w:next w:val="CommentText"/>
    <w:link w:val="CommentSubjectChar"/>
    <w:uiPriority w:val="99"/>
    <w:semiHidden/>
    <w:unhideWhenUsed/>
    <w:rsid w:val="00C47940"/>
    <w:rPr>
      <w:b/>
      <w:bCs/>
    </w:rPr>
  </w:style>
  <w:style w:type="character" w:customStyle="1" w:styleId="CommentSubjectChar">
    <w:name w:val="Comment Subject Char"/>
    <w:basedOn w:val="CommentTextChar"/>
    <w:link w:val="CommentSubject"/>
    <w:uiPriority w:val="99"/>
    <w:semiHidden/>
    <w:rsid w:val="00C47940"/>
    <w:rPr>
      <w:b/>
      <w:bCs/>
      <w:sz w:val="20"/>
      <w:szCs w:val="20"/>
    </w:rPr>
  </w:style>
  <w:style w:type="paragraph" w:customStyle="1" w:styleId="Default">
    <w:name w:val="Default"/>
    <w:rsid w:val="00C62AE0"/>
    <w:pPr>
      <w:autoSpaceDE w:val="0"/>
      <w:autoSpaceDN w:val="0"/>
      <w:adjustRightInd w:val="0"/>
    </w:pPr>
    <w:rPr>
      <w:rFonts w:ascii="Calibri" w:hAnsi="Calibri" w:cs="Calibri"/>
      <w:color w:val="000000"/>
      <w:sz w:val="24"/>
      <w:szCs w:val="24"/>
    </w:rPr>
  </w:style>
  <w:style w:type="paragraph" w:styleId="TOC1">
    <w:name w:val="toc 1"/>
    <w:basedOn w:val="Normal"/>
    <w:next w:val="Normal"/>
    <w:autoRedefine/>
    <w:uiPriority w:val="39"/>
    <w:unhideWhenUsed/>
    <w:rsid w:val="00A90039"/>
    <w:pPr>
      <w:tabs>
        <w:tab w:val="left" w:pos="660"/>
        <w:tab w:val="right" w:pos="8777"/>
      </w:tabs>
      <w:spacing w:after="100" w:line="276" w:lineRule="auto"/>
      <w:contextualSpacing/>
      <w:jc w:val="right"/>
    </w:pPr>
  </w:style>
  <w:style w:type="paragraph" w:styleId="TOC2">
    <w:name w:val="toc 2"/>
    <w:basedOn w:val="Normal"/>
    <w:next w:val="Normal"/>
    <w:autoRedefine/>
    <w:uiPriority w:val="39"/>
    <w:unhideWhenUsed/>
    <w:rsid w:val="00A90039"/>
    <w:pPr>
      <w:spacing w:after="100" w:line="276" w:lineRule="auto"/>
      <w:ind w:left="221"/>
      <w:contextualSpacing/>
    </w:pPr>
  </w:style>
  <w:style w:type="paragraph" w:styleId="TOC4">
    <w:name w:val="toc 4"/>
    <w:basedOn w:val="Normal"/>
    <w:next w:val="Normal"/>
    <w:autoRedefine/>
    <w:uiPriority w:val="39"/>
    <w:unhideWhenUsed/>
    <w:rsid w:val="00D33BFA"/>
    <w:pPr>
      <w:spacing w:after="100"/>
      <w:ind w:left="660"/>
    </w:pPr>
  </w:style>
  <w:style w:type="paragraph" w:styleId="EndnoteText">
    <w:name w:val="endnote text"/>
    <w:basedOn w:val="Normal"/>
    <w:link w:val="EndnoteTextChar"/>
    <w:uiPriority w:val="99"/>
    <w:unhideWhenUsed/>
    <w:rsid w:val="0069073E"/>
    <w:rPr>
      <w:sz w:val="20"/>
      <w:szCs w:val="20"/>
    </w:rPr>
  </w:style>
  <w:style w:type="character" w:customStyle="1" w:styleId="EndnoteTextChar">
    <w:name w:val="Endnote Text Char"/>
    <w:basedOn w:val="DefaultParagraphFont"/>
    <w:link w:val="EndnoteText"/>
    <w:uiPriority w:val="99"/>
    <w:rsid w:val="0069073E"/>
    <w:rPr>
      <w:sz w:val="20"/>
      <w:szCs w:val="20"/>
    </w:rPr>
  </w:style>
  <w:style w:type="character" w:styleId="EndnoteReference">
    <w:name w:val="endnote reference"/>
    <w:basedOn w:val="DefaultParagraphFont"/>
    <w:uiPriority w:val="99"/>
    <w:semiHidden/>
    <w:unhideWhenUsed/>
    <w:rsid w:val="0069073E"/>
    <w:rPr>
      <w:vertAlign w:val="superscript"/>
    </w:rPr>
  </w:style>
  <w:style w:type="character" w:styleId="UnresolvedMention">
    <w:name w:val="Unresolved Mention"/>
    <w:basedOn w:val="DefaultParagraphFont"/>
    <w:uiPriority w:val="99"/>
    <w:semiHidden/>
    <w:unhideWhenUsed/>
    <w:rsid w:val="00ED53A9"/>
    <w:rPr>
      <w:color w:val="605E5C"/>
      <w:shd w:val="clear" w:color="auto" w:fill="E1DFDD"/>
    </w:rPr>
  </w:style>
  <w:style w:type="character" w:styleId="FollowedHyperlink">
    <w:name w:val="FollowedHyperlink"/>
    <w:basedOn w:val="DefaultParagraphFont"/>
    <w:uiPriority w:val="99"/>
    <w:semiHidden/>
    <w:unhideWhenUsed/>
    <w:rsid w:val="007C4A23"/>
    <w:rPr>
      <w:color w:val="800080" w:themeColor="followedHyperlink"/>
      <w:u w:val="single"/>
    </w:rPr>
  </w:style>
  <w:style w:type="paragraph" w:customStyle="1" w:styleId="Paragraphtext">
    <w:name w:val="Paragraph text"/>
    <w:basedOn w:val="Normal"/>
    <w:qFormat/>
    <w:rsid w:val="00F32A50"/>
    <w:pPr>
      <w:spacing w:before="120" w:after="60"/>
    </w:pPr>
    <w:rPr>
      <w:rFonts w:eastAsia="Times New Roman" w:cs="Times New Roman"/>
      <w:color w:val="000000" w:themeColor="text1"/>
      <w:sz w:val="21"/>
      <w:szCs w:val="24"/>
      <w:lang w:eastAsia="en-US"/>
    </w:rPr>
  </w:style>
  <w:style w:type="paragraph" w:styleId="NormalWeb">
    <w:name w:val="Normal (Web)"/>
    <w:basedOn w:val="Normal"/>
    <w:uiPriority w:val="99"/>
    <w:unhideWhenUsed/>
    <w:rsid w:val="00DF5B2F"/>
    <w:pPr>
      <w:spacing w:before="100" w:beforeAutospacing="1" w:after="100" w:afterAutospacing="1"/>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B62FFE"/>
    <w:pPr>
      <w:spacing w:after="100"/>
      <w:ind w:left="440"/>
    </w:pPr>
  </w:style>
  <w:style w:type="character" w:customStyle="1" w:styleId="Heading7Char">
    <w:name w:val="Heading 7 Char"/>
    <w:basedOn w:val="DefaultParagraphFont"/>
    <w:link w:val="Heading7"/>
    <w:uiPriority w:val="9"/>
    <w:semiHidden/>
    <w:rsid w:val="00F32A5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32A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32A50"/>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rsid w:val="00F32A50"/>
    <w:pPr>
      <w:numPr>
        <w:numId w:val="33"/>
      </w:numPr>
      <w:spacing w:before="120" w:after="120"/>
      <w:contextualSpacing/>
    </w:pPr>
  </w:style>
  <w:style w:type="table" w:styleId="GridTable5Dark-Accent1">
    <w:name w:val="Grid Table 5 Dark Accent 1"/>
    <w:basedOn w:val="TableNormal"/>
    <w:uiPriority w:val="50"/>
    <w:rsid w:val="00F32A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shd w:val="clear" w:color="auto" w:fill="1F497D"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shd w:val="clear" w:color="auto" w:fill="1F497D" w:themeFill="text2"/>
      </w:tcPr>
    </w:tblStylePr>
    <w:tblStylePr w:type="lastCol">
      <w:rPr>
        <w:b/>
        <w:bCs/>
        <w:color w:val="FFFFFF" w:themeColor="background1"/>
      </w:r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Bullet2">
    <w:name w:val="List Bullet 2"/>
    <w:basedOn w:val="Normal"/>
    <w:uiPriority w:val="99"/>
    <w:unhideWhenUsed/>
    <w:rsid w:val="00F32A50"/>
    <w:pPr>
      <w:numPr>
        <w:numId w:val="34"/>
      </w:numPr>
      <w:spacing w:before="120" w:after="120"/>
      <w:contextualSpacing/>
    </w:pPr>
  </w:style>
  <w:style w:type="character" w:styleId="Strong">
    <w:name w:val="Strong"/>
    <w:basedOn w:val="DefaultParagraphFont"/>
    <w:uiPriority w:val="22"/>
    <w:qFormat/>
    <w:rsid w:val="00F32A50"/>
    <w:rPr>
      <w:b/>
      <w:bCs/>
    </w:rPr>
  </w:style>
  <w:style w:type="table" w:styleId="GridTable1Light">
    <w:name w:val="Grid Table 1 Light"/>
    <w:basedOn w:val="TableNormal"/>
    <w:uiPriority w:val="46"/>
    <w:rsid w:val="00F32A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val="0"/>
        <w:bCs/>
      </w:rPr>
    </w:tblStylePr>
    <w:tblStylePr w:type="lastCol">
      <w:rPr>
        <w:b/>
        <w:bCs/>
      </w:rPr>
    </w:tblStylePr>
  </w:style>
  <w:style w:type="paragraph" w:styleId="ListNumber">
    <w:name w:val="List Number"/>
    <w:basedOn w:val="Normal"/>
    <w:uiPriority w:val="99"/>
    <w:unhideWhenUsed/>
    <w:rsid w:val="00F32A50"/>
    <w:pPr>
      <w:numPr>
        <w:numId w:val="38"/>
      </w:numPr>
      <w:spacing w:before="120" w:after="120"/>
      <w:contextualSpacing/>
    </w:pPr>
  </w:style>
  <w:style w:type="paragraph" w:styleId="ListNumber2">
    <w:name w:val="List Number 2"/>
    <w:basedOn w:val="Normal"/>
    <w:uiPriority w:val="99"/>
    <w:unhideWhenUsed/>
    <w:rsid w:val="00F32A50"/>
    <w:pPr>
      <w:numPr>
        <w:numId w:val="39"/>
      </w:numPr>
      <w:spacing w:before="120" w:after="120"/>
      <w:contextualSpacing/>
    </w:pPr>
  </w:style>
  <w:style w:type="paragraph" w:customStyle="1" w:styleId="Heading1numbered">
    <w:name w:val="Heading 1 (numbered)"/>
    <w:basedOn w:val="Heading1"/>
    <w:link w:val="Heading1numberedChar"/>
    <w:qFormat/>
    <w:rsid w:val="00F32A50"/>
    <w:rPr>
      <w:sz w:val="32"/>
    </w:rPr>
  </w:style>
  <w:style w:type="character" w:customStyle="1" w:styleId="Heading1Char">
    <w:name w:val="Heading 1 Char"/>
    <w:basedOn w:val="DefaultParagraphFont"/>
    <w:link w:val="Heading1"/>
    <w:uiPriority w:val="9"/>
    <w:rsid w:val="00F32A50"/>
    <w:rPr>
      <w:color w:val="3F4A75"/>
      <w:sz w:val="36"/>
      <w:szCs w:val="36"/>
    </w:rPr>
  </w:style>
  <w:style w:type="character" w:customStyle="1" w:styleId="Heading1numberedChar">
    <w:name w:val="Heading 1 (numbered) Char"/>
    <w:basedOn w:val="Heading1Char"/>
    <w:link w:val="Heading1numbered"/>
    <w:rsid w:val="00F32A50"/>
    <w:rPr>
      <w:color w:val="3F4A75"/>
      <w:sz w:val="32"/>
      <w:szCs w:val="36"/>
    </w:rPr>
  </w:style>
  <w:style w:type="character" w:styleId="Emphasis">
    <w:name w:val="Emphasis"/>
    <w:basedOn w:val="DefaultParagraphFont"/>
    <w:uiPriority w:val="20"/>
    <w:qFormat/>
    <w:rsid w:val="00F32A50"/>
    <w:rPr>
      <w:i/>
      <w:iCs/>
    </w:rPr>
  </w:style>
  <w:style w:type="paragraph" w:customStyle="1" w:styleId="Tablelist">
    <w:name w:val="Table list"/>
    <w:basedOn w:val="Normal"/>
    <w:link w:val="TablelistChar"/>
    <w:qFormat/>
    <w:rsid w:val="00F32A50"/>
    <w:pPr>
      <w:numPr>
        <w:numId w:val="45"/>
      </w:numPr>
      <w:spacing w:before="120" w:after="120"/>
    </w:pPr>
    <w:rPr>
      <w:bCs/>
    </w:rPr>
  </w:style>
  <w:style w:type="paragraph" w:styleId="ListBullet3">
    <w:name w:val="List Bullet 3"/>
    <w:basedOn w:val="Normal"/>
    <w:uiPriority w:val="99"/>
    <w:unhideWhenUsed/>
    <w:rsid w:val="00F32A50"/>
    <w:pPr>
      <w:numPr>
        <w:numId w:val="35"/>
      </w:numPr>
      <w:spacing w:before="120" w:after="120"/>
      <w:contextualSpacing/>
    </w:pPr>
  </w:style>
  <w:style w:type="character" w:customStyle="1" w:styleId="TablelistChar">
    <w:name w:val="Table list Char"/>
    <w:basedOn w:val="DefaultParagraphFont"/>
    <w:link w:val="Tablelist"/>
    <w:rsid w:val="00F32A50"/>
    <w:rPr>
      <w:bCs/>
    </w:rPr>
  </w:style>
  <w:style w:type="paragraph" w:styleId="Revision">
    <w:name w:val="Revision"/>
    <w:hidden/>
    <w:uiPriority w:val="99"/>
    <w:semiHidden/>
    <w:rsid w:val="00F32A50"/>
  </w:style>
  <w:style w:type="paragraph" w:styleId="BalloonText">
    <w:name w:val="Balloon Text"/>
    <w:basedOn w:val="Normal"/>
    <w:link w:val="BalloonTextChar"/>
    <w:uiPriority w:val="99"/>
    <w:semiHidden/>
    <w:unhideWhenUsed/>
    <w:rsid w:val="001B6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42"/>
    <w:rPr>
      <w:rFonts w:ascii="Segoe UI" w:hAnsi="Segoe UI" w:cs="Segoe UI"/>
      <w:sz w:val="18"/>
      <w:szCs w:val="18"/>
    </w:rPr>
  </w:style>
  <w:style w:type="paragraph" w:styleId="TOCHeading">
    <w:name w:val="TOC Heading"/>
    <w:basedOn w:val="Normal"/>
    <w:next w:val="Normal"/>
    <w:uiPriority w:val="39"/>
    <w:unhideWhenUsed/>
    <w:qFormat/>
    <w:rsid w:val="00776615"/>
    <w:rPr>
      <w:color w:val="365F91" w:themeColor="accent1" w:themeShade="BF"/>
      <w:sz w:val="32"/>
      <w:szCs w:val="32"/>
    </w:rPr>
  </w:style>
  <w:style w:type="paragraph" w:styleId="Caption">
    <w:name w:val="caption"/>
    <w:basedOn w:val="Normal"/>
    <w:next w:val="Normal"/>
    <w:uiPriority w:val="35"/>
    <w:unhideWhenUsed/>
    <w:qFormat/>
    <w:rsid w:val="00211A4F"/>
    <w:rPr>
      <w:b/>
    </w:rPr>
  </w:style>
  <w:style w:type="paragraph" w:styleId="List5">
    <w:name w:val="List 5"/>
    <w:basedOn w:val="Normal"/>
    <w:uiPriority w:val="99"/>
    <w:unhideWhenUsed/>
    <w:rsid w:val="008D223B"/>
    <w:pPr>
      <w:ind w:left="1415" w:hanging="283"/>
      <w:contextualSpacing/>
    </w:pPr>
  </w:style>
  <w:style w:type="paragraph" w:styleId="List">
    <w:name w:val="List"/>
    <w:basedOn w:val="Normal"/>
    <w:uiPriority w:val="99"/>
    <w:unhideWhenUsed/>
    <w:rsid w:val="00674646"/>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73762">
      <w:bodyDiv w:val="1"/>
      <w:marLeft w:val="0"/>
      <w:marRight w:val="0"/>
      <w:marTop w:val="0"/>
      <w:marBottom w:val="0"/>
      <w:divBdr>
        <w:top w:val="none" w:sz="0" w:space="0" w:color="auto"/>
        <w:left w:val="none" w:sz="0" w:space="0" w:color="auto"/>
        <w:bottom w:val="none" w:sz="0" w:space="0" w:color="auto"/>
        <w:right w:val="none" w:sz="0" w:space="0" w:color="auto"/>
      </w:divBdr>
    </w:div>
    <w:div w:id="622468800">
      <w:bodyDiv w:val="1"/>
      <w:marLeft w:val="0"/>
      <w:marRight w:val="0"/>
      <w:marTop w:val="0"/>
      <w:marBottom w:val="0"/>
      <w:divBdr>
        <w:top w:val="none" w:sz="0" w:space="0" w:color="auto"/>
        <w:left w:val="none" w:sz="0" w:space="0" w:color="auto"/>
        <w:bottom w:val="none" w:sz="0" w:space="0" w:color="auto"/>
        <w:right w:val="none" w:sz="0" w:space="0" w:color="auto"/>
      </w:divBdr>
    </w:div>
    <w:div w:id="642858263">
      <w:bodyDiv w:val="1"/>
      <w:marLeft w:val="0"/>
      <w:marRight w:val="0"/>
      <w:marTop w:val="0"/>
      <w:marBottom w:val="0"/>
      <w:divBdr>
        <w:top w:val="none" w:sz="0" w:space="0" w:color="auto"/>
        <w:left w:val="none" w:sz="0" w:space="0" w:color="auto"/>
        <w:bottom w:val="none" w:sz="0" w:space="0" w:color="auto"/>
        <w:right w:val="none" w:sz="0" w:space="0" w:color="auto"/>
      </w:divBdr>
    </w:div>
    <w:div w:id="675307372">
      <w:bodyDiv w:val="1"/>
      <w:marLeft w:val="0"/>
      <w:marRight w:val="0"/>
      <w:marTop w:val="0"/>
      <w:marBottom w:val="0"/>
      <w:divBdr>
        <w:top w:val="none" w:sz="0" w:space="0" w:color="auto"/>
        <w:left w:val="none" w:sz="0" w:space="0" w:color="auto"/>
        <w:bottom w:val="none" w:sz="0" w:space="0" w:color="auto"/>
        <w:right w:val="none" w:sz="0" w:space="0" w:color="auto"/>
      </w:divBdr>
    </w:div>
    <w:div w:id="1075784482">
      <w:bodyDiv w:val="1"/>
      <w:marLeft w:val="0"/>
      <w:marRight w:val="0"/>
      <w:marTop w:val="0"/>
      <w:marBottom w:val="0"/>
      <w:divBdr>
        <w:top w:val="none" w:sz="0" w:space="0" w:color="auto"/>
        <w:left w:val="none" w:sz="0" w:space="0" w:color="auto"/>
        <w:bottom w:val="none" w:sz="0" w:space="0" w:color="auto"/>
        <w:right w:val="none" w:sz="0" w:space="0" w:color="auto"/>
      </w:divBdr>
    </w:div>
    <w:div w:id="1260135285">
      <w:bodyDiv w:val="1"/>
      <w:marLeft w:val="0"/>
      <w:marRight w:val="0"/>
      <w:marTop w:val="0"/>
      <w:marBottom w:val="0"/>
      <w:divBdr>
        <w:top w:val="none" w:sz="0" w:space="0" w:color="auto"/>
        <w:left w:val="none" w:sz="0" w:space="0" w:color="auto"/>
        <w:bottom w:val="none" w:sz="0" w:space="0" w:color="auto"/>
        <w:right w:val="none" w:sz="0" w:space="0" w:color="auto"/>
      </w:divBdr>
    </w:div>
    <w:div w:id="1260717042">
      <w:bodyDiv w:val="1"/>
      <w:marLeft w:val="0"/>
      <w:marRight w:val="0"/>
      <w:marTop w:val="0"/>
      <w:marBottom w:val="0"/>
      <w:divBdr>
        <w:top w:val="none" w:sz="0" w:space="0" w:color="auto"/>
        <w:left w:val="none" w:sz="0" w:space="0" w:color="auto"/>
        <w:bottom w:val="none" w:sz="0" w:space="0" w:color="auto"/>
        <w:right w:val="none" w:sz="0" w:space="0" w:color="auto"/>
      </w:divBdr>
    </w:div>
    <w:div w:id="1352686483">
      <w:bodyDiv w:val="1"/>
      <w:marLeft w:val="0"/>
      <w:marRight w:val="0"/>
      <w:marTop w:val="0"/>
      <w:marBottom w:val="0"/>
      <w:divBdr>
        <w:top w:val="none" w:sz="0" w:space="0" w:color="auto"/>
        <w:left w:val="none" w:sz="0" w:space="0" w:color="auto"/>
        <w:bottom w:val="none" w:sz="0" w:space="0" w:color="auto"/>
        <w:right w:val="none" w:sz="0" w:space="0" w:color="auto"/>
      </w:divBdr>
    </w:div>
    <w:div w:id="1359313192">
      <w:bodyDiv w:val="1"/>
      <w:marLeft w:val="0"/>
      <w:marRight w:val="0"/>
      <w:marTop w:val="0"/>
      <w:marBottom w:val="0"/>
      <w:divBdr>
        <w:top w:val="none" w:sz="0" w:space="0" w:color="auto"/>
        <w:left w:val="none" w:sz="0" w:space="0" w:color="auto"/>
        <w:bottom w:val="none" w:sz="0" w:space="0" w:color="auto"/>
        <w:right w:val="none" w:sz="0" w:space="0" w:color="auto"/>
      </w:divBdr>
    </w:div>
    <w:div w:id="1426850864">
      <w:bodyDiv w:val="1"/>
      <w:marLeft w:val="0"/>
      <w:marRight w:val="0"/>
      <w:marTop w:val="0"/>
      <w:marBottom w:val="0"/>
      <w:divBdr>
        <w:top w:val="none" w:sz="0" w:space="0" w:color="auto"/>
        <w:left w:val="none" w:sz="0" w:space="0" w:color="auto"/>
        <w:bottom w:val="none" w:sz="0" w:space="0" w:color="auto"/>
        <w:right w:val="none" w:sz="0" w:space="0" w:color="auto"/>
      </w:divBdr>
    </w:div>
    <w:div w:id="1478915831">
      <w:bodyDiv w:val="1"/>
      <w:marLeft w:val="0"/>
      <w:marRight w:val="0"/>
      <w:marTop w:val="0"/>
      <w:marBottom w:val="0"/>
      <w:divBdr>
        <w:top w:val="none" w:sz="0" w:space="0" w:color="auto"/>
        <w:left w:val="none" w:sz="0" w:space="0" w:color="auto"/>
        <w:bottom w:val="none" w:sz="0" w:space="0" w:color="auto"/>
        <w:right w:val="none" w:sz="0" w:space="0" w:color="auto"/>
      </w:divBdr>
    </w:div>
    <w:div w:id="1620646462">
      <w:bodyDiv w:val="1"/>
      <w:marLeft w:val="0"/>
      <w:marRight w:val="0"/>
      <w:marTop w:val="0"/>
      <w:marBottom w:val="0"/>
      <w:divBdr>
        <w:top w:val="none" w:sz="0" w:space="0" w:color="auto"/>
        <w:left w:val="none" w:sz="0" w:space="0" w:color="auto"/>
        <w:bottom w:val="none" w:sz="0" w:space="0" w:color="auto"/>
        <w:right w:val="none" w:sz="0" w:space="0" w:color="auto"/>
      </w:divBdr>
    </w:div>
    <w:div w:id="2093113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yperlink" Target="https://www.health.gov.au/initiatives-and-programs/home-care-packages-program/managing-home-care-packages/price-transparency-for-home-care-packages" TargetMode="External"/><Relationship Id="rId21" Type="http://schemas.openxmlformats.org/officeDocument/2006/relationships/image" Target="media/image8.emf"/><Relationship Id="rId34" Type="http://schemas.openxmlformats.org/officeDocument/2006/relationships/hyperlink" Target="https://www.health.gov.au/resources/publications/home-care-packages-program-operational-manual-a-guide-for-home-care-providers" TargetMode="External"/><Relationship Id="rId42" Type="http://schemas.openxmlformats.org/officeDocument/2006/relationships/hyperlink" Target="file:///C:\Users\chehch\AppData\Roaming\Microsoft\Word\Public%20Summary%20Report%20HCP%20PA%20Indirect%20309666311444387932\Home%20Care%20Packages%20Program%20Operational%20Manual:%20A%20Guide%20for%20Home%20Care%20Providers" TargetMode="External"/><Relationship Id="rId47" Type="http://schemas.openxmlformats.org/officeDocument/2006/relationships/hyperlink" Target="https://opan.org.au/" TargetMode="External"/><Relationship Id="rId50" Type="http://schemas.openxmlformats.org/officeDocument/2006/relationships/hyperlink" Target="https://www.health.gov.au/resources/publications/home-care-pricing-schedule-definitions" TargetMode="External"/><Relationship Id="rId55" Type="http://schemas.openxmlformats.org/officeDocument/2006/relationships/image" Target="media/image1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www.health.gov.au/initiatives-and-programs/home-care-packages-program/managing-home-care-packages/monthly-statements-for-home-care-packages" TargetMode="External"/><Relationship Id="rId38" Type="http://schemas.openxmlformats.org/officeDocument/2006/relationships/hyperlink" Target="https://www.legislation.gov.au/Latest/F2019C00619/Text" TargetMode="External"/><Relationship Id="rId46" Type="http://schemas.openxmlformats.org/officeDocument/2006/relationships/hyperlink" Target="https://www.health.gov.au/resources/publications/national-summary-of-home-care-prices-may-2021"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myagedcare.gov.au/find-a-provider/" TargetMode="External"/><Relationship Id="rId41" Type="http://schemas.openxmlformats.org/officeDocument/2006/relationships/hyperlink" Target="https://www.health.gov.au/resources/publications/consumer-guidance-understanding-your-home-care-package-statement" TargetMode="External"/><Relationship Id="rId54"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hyperlink" Target="https://www.health.gov.au/resources/publications/home-care-packages-program-operational-manual-a-guide-for-home-care-providers" TargetMode="External"/><Relationship Id="rId37" Type="http://schemas.openxmlformats.org/officeDocument/2006/relationships/hyperlink" Target="https://www.health.gov.au/initiatives-and-programs/home-care-packages-program/managing-home-care-packages/care-plans-for-home-care-packages" TargetMode="External"/><Relationship Id="rId40" Type="http://schemas.openxmlformats.org/officeDocument/2006/relationships/hyperlink" Target="https://www.health.gov.au/resources/collections/monthly-statement-resources" TargetMode="External"/><Relationship Id="rId45" Type="http://schemas.openxmlformats.org/officeDocument/2006/relationships/hyperlink" Target="https://www.myagedcare.gov.au/find-a-provider/" TargetMode="External"/><Relationship Id="rId53" Type="http://schemas.openxmlformats.org/officeDocument/2006/relationships/image" Target="media/image17.png"/><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www.health.gov.au/resources/publications/national-summary-of-home-care-prices-may-2021" TargetMode="External"/><Relationship Id="rId36" Type="http://schemas.openxmlformats.org/officeDocument/2006/relationships/hyperlink" Target="https://www.health.gov.au/sites/default/files/documents/2020/01/home-care-pricing-schedule-definitions_0.pdf" TargetMode="External"/><Relationship Id="rId49" Type="http://schemas.openxmlformats.org/officeDocument/2006/relationships/hyperlink" Target="https://www.health.gov.au/resources/publications/home-care-packages-program-assurance-framework" TargetMode="External"/><Relationship Id="rId57"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www.health.gov.au/resources/publications/home-care-pricing-schedule-definitions" TargetMode="External"/><Relationship Id="rId44" Type="http://schemas.openxmlformats.org/officeDocument/2006/relationships/hyperlink" Target="tel:1800951822" TargetMode="External"/><Relationship Id="rId52"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documents/2021/10/home-care-packages-program-assurance-framework.pdf"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www.accc.gov.au/business/pricing-surcharging/displaying-prices" TargetMode="External"/><Relationship Id="rId35" Type="http://schemas.openxmlformats.org/officeDocument/2006/relationships/hyperlink" Target="https://www.health.gov.au/initiatives-and-programs/home-care-packages-program/managing-home-care-packages/price-transparency-for-home-care-packages" TargetMode="External"/><Relationship Id="rId43" Type="http://schemas.openxmlformats.org/officeDocument/2006/relationships/hyperlink" Target="https://www.myagedcare.gov.au/publications/home-care-packages-manual-pdf" TargetMode="External"/><Relationship Id="rId48" Type="http://schemas.openxmlformats.org/officeDocument/2006/relationships/hyperlink" Target="https://www.cota.org.au/information/aged-care-navigators/" TargetMode="External"/><Relationship Id="rId56" Type="http://schemas.openxmlformats.org/officeDocument/2006/relationships/image" Target="media/image20.png"/><Relationship Id="rId8" Type="http://schemas.openxmlformats.org/officeDocument/2006/relationships/webSettings" Target="webSettings.xml"/><Relationship Id="rId51" Type="http://schemas.openxmlformats.org/officeDocument/2006/relationships/image" Target="media/image15.emf"/><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home-care-pricing-schedule-definitions" TargetMode="External"/><Relationship Id="rId3" Type="http://schemas.openxmlformats.org/officeDocument/2006/relationships/hyperlink" Target="https://www.accc.gov.au/business/pricing-surcharging" TargetMode="External"/><Relationship Id="rId7" Type="http://schemas.openxmlformats.org/officeDocument/2006/relationships/hyperlink" Target="https://www.agedcarequality.gov.au/sites/default/files/media/acqsc_aged_care_quality_standards_fact_sheet_4pp_v8.pdf" TargetMode="External"/><Relationship Id="rId2" Type="http://schemas.openxmlformats.org/officeDocument/2006/relationships/hyperlink" Target="https://www.health.gov.au/initiatives-and-programs/home-care-packages-program/managing-home-care-packages/price-transparency-for-home-care-packages" TargetMode="External"/><Relationship Id="rId1" Type="http://schemas.openxmlformats.org/officeDocument/2006/relationships/hyperlink" Target="https://www.legislation.gov.au/Details/F2021C00861" TargetMode="External"/><Relationship Id="rId6" Type="http://schemas.openxmlformats.org/officeDocument/2006/relationships/hyperlink" Target="https://www.agedcarequality.gov.au/sites/default/files/media/acqsc_aged_care_quality_standards_fact_sheet_4pp_v8.pdf" TargetMode="External"/><Relationship Id="rId11" Type="http://schemas.openxmlformats.org/officeDocument/2006/relationships/hyperlink" Target="https://www.agedcarequality.gov.au/making-complaint" TargetMode="External"/><Relationship Id="rId5" Type="http://schemas.openxmlformats.org/officeDocument/2006/relationships/hyperlink" Target="https://www.agedcarequality.gov.au/sites/default/files/media/acqsc_aged_care_quality_standards_fact_sheet_4pp_v8.pdf" TargetMode="External"/><Relationship Id="rId10" Type="http://schemas.openxmlformats.org/officeDocument/2006/relationships/hyperlink" Target="https://www.accc.gov.au/consumers/complaints-problems" TargetMode="External"/><Relationship Id="rId4" Type="http://schemas.openxmlformats.org/officeDocument/2006/relationships/hyperlink" Target="https://www.legislation.gov.au/Details/F2020C00096" TargetMode="External"/><Relationship Id="rId9" Type="http://schemas.openxmlformats.org/officeDocument/2006/relationships/hyperlink" Target="https://www.legislation.gov.au/Details/F2021C008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9239AE3B148247B7B49DB638B70FF0" ma:contentTypeVersion="" ma:contentTypeDescription="PDMS Document Site Content Type" ma:contentTypeScope="" ma:versionID="9322d53526ee6e71aaf90c296bbf4e10">
  <xsd:schema xmlns:xsd="http://www.w3.org/2001/XMLSchema" xmlns:xs="http://www.w3.org/2001/XMLSchema" xmlns:p="http://schemas.microsoft.com/office/2006/metadata/properties" xmlns:ns2="3F22601F-7218-4890-A2B7-D389AD976645" targetNamespace="http://schemas.microsoft.com/office/2006/metadata/properties" ma:root="true" ma:fieldsID="261d719f7cad480e513a12d05c61a0aa" ns2:_="">
    <xsd:import namespace="3F22601F-7218-4890-A2B7-D389AD97664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2601F-7218-4890-A2B7-D389AD97664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3F22601F-7218-4890-A2B7-D389AD976645" xsi:nil="true"/>
  </documentManagement>
</p:properties>
</file>

<file path=customXml/itemProps1.xml><?xml version="1.0" encoding="utf-8"?>
<ds:datastoreItem xmlns:ds="http://schemas.openxmlformats.org/officeDocument/2006/customXml" ds:itemID="{2DD9DC30-3E7E-4C79-B306-B70D85F231DD}">
  <ds:schemaRefs>
    <ds:schemaRef ds:uri="http://schemas.microsoft.com/sharepoint/v3/contenttype/forms"/>
  </ds:schemaRefs>
</ds:datastoreItem>
</file>

<file path=customXml/itemProps2.xml><?xml version="1.0" encoding="utf-8"?>
<ds:datastoreItem xmlns:ds="http://schemas.openxmlformats.org/officeDocument/2006/customXml" ds:itemID="{E8B131DA-17CA-4E29-94FE-41E4EB37F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2601F-7218-4890-A2B7-D389AD976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660B5-9B58-4D98-A24E-183B34A5B5E6}">
  <ds:schemaRefs>
    <ds:schemaRef ds:uri="http://schemas.openxmlformats.org/officeDocument/2006/bibliography"/>
  </ds:schemaRefs>
</ds:datastoreItem>
</file>

<file path=customXml/itemProps4.xml><?xml version="1.0" encoding="utf-8"?>
<ds:datastoreItem xmlns:ds="http://schemas.openxmlformats.org/officeDocument/2006/customXml" ds:itemID="{7D31E15A-5D0A-40B8-A469-387C4E6E024F}">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F22601F-7218-4890-A2B7-D389AD9766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57</Pages>
  <Words>14097</Words>
  <Characters>80356</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Home Care Packages Program Assurance Review – Report – Indirect and care management charges</vt:lpstr>
    </vt:vector>
  </TitlesOfParts>
  <Company/>
  <LinksUpToDate>false</LinksUpToDate>
  <CharactersWithSpaces>94265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Care Packages Program Assurance Review – Report – Indirect and care management charges</dc:title>
  <dc:subject>Aged care; Seniors' health</dc:subject>
  <dc:creator>Australian Government Department of Health and Aged Care</dc:creator>
  <cp:keywords>hcp program</cp:keywords>
  <cp:lastModifiedBy>MCCAY, Meryl</cp:lastModifiedBy>
  <cp:revision>20</cp:revision>
  <cp:lastPrinted>2022-06-01T06:34:00Z</cp:lastPrinted>
  <dcterms:created xsi:type="dcterms:W3CDTF">2022-08-18T23:16:00Z</dcterms:created>
  <dcterms:modified xsi:type="dcterms:W3CDTF">2022-08-19T05:49:00Z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0x010100266966F133664895A6EE3632470D45F500599239AE3B148247B7B49DB638B70FF0</vt:lpwstr>
  </property>
</Properties>
</file>