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A15D5" w14:textId="77777777" w:rsidR="005A68F6" w:rsidRPr="007C6E38" w:rsidRDefault="005A68F6" w:rsidP="00D86CAC">
      <w:pPr>
        <w:pStyle w:val="Title"/>
      </w:pPr>
      <w:bookmarkStart w:id="0" w:name="_Toc62043363"/>
      <w:bookmarkStart w:id="1" w:name="_Toc62043372"/>
      <w:r>
        <w:t xml:space="preserve">Health Care </w:t>
      </w:r>
      <w:r w:rsidRPr="007C6E38">
        <w:t xml:space="preserve">Assistance Fund </w:t>
      </w:r>
      <w:r w:rsidR="00D45F71">
        <w:t>(HCAF)</w:t>
      </w:r>
    </w:p>
    <w:p w14:paraId="6AF44C24" w14:textId="77777777" w:rsidR="005A68F6" w:rsidRPr="007C6E38" w:rsidRDefault="005A68F6" w:rsidP="00D86CAC">
      <w:pPr>
        <w:pStyle w:val="Heading1"/>
        <w:rPr>
          <w:b w:val="0"/>
        </w:rPr>
      </w:pPr>
      <w:r w:rsidRPr="007C6E38">
        <w:t>Factsheet</w:t>
      </w:r>
      <w:r w:rsidR="00D91881">
        <w:t xml:space="preserve"> –</w:t>
      </w:r>
      <w:r w:rsidR="00D45F71">
        <w:t xml:space="preserve"> </w:t>
      </w:r>
      <w:r w:rsidR="00D91881">
        <w:t>HCAF</w:t>
      </w:r>
      <w:r w:rsidR="00E42ADD">
        <w:t xml:space="preserve"> support </w:t>
      </w:r>
      <w:r w:rsidR="00E42ADD" w:rsidRPr="00D86CAC">
        <w:t>c</w:t>
      </w:r>
      <w:r w:rsidR="00D45F71" w:rsidRPr="00D86CAC">
        <w:t>ategories</w:t>
      </w:r>
    </w:p>
    <w:p w14:paraId="3919F106" w14:textId="77777777" w:rsidR="005A68F6" w:rsidRPr="005A68F6" w:rsidRDefault="005A68F6" w:rsidP="00D86CAC">
      <w:pPr>
        <w:pStyle w:val="Heading2"/>
      </w:pPr>
      <w:r w:rsidRPr="005A68F6">
        <w:t xml:space="preserve">Australian Thalidomide </w:t>
      </w:r>
      <w:r w:rsidRPr="00D86CAC">
        <w:t>Survivors</w:t>
      </w:r>
      <w:r w:rsidRPr="005A68F6">
        <w:t xml:space="preserve"> Support Program </w:t>
      </w:r>
    </w:p>
    <w:p w14:paraId="3340350B" w14:textId="77777777" w:rsidR="005A68F6" w:rsidRPr="00D86CAC" w:rsidRDefault="005A68F6" w:rsidP="00D86CAC">
      <w:r w:rsidRPr="00D86CAC">
        <w:t xml:space="preserve">The information provided in this factsheet is for </w:t>
      </w:r>
      <w:r w:rsidR="008E26F7" w:rsidRPr="00D86CAC">
        <w:t>thalidomide survivors registered with</w:t>
      </w:r>
      <w:r w:rsidRPr="00D86CAC">
        <w:t xml:space="preserve"> the Australian Thalidomide Survivors Support Program (the Program)  </w:t>
      </w:r>
    </w:p>
    <w:p w14:paraId="413FB3DF" w14:textId="77777777" w:rsidR="005A68F6" w:rsidRPr="00D86CAC" w:rsidRDefault="005A68F6" w:rsidP="00D86CAC">
      <w:r w:rsidRPr="00D86CAC">
        <w:t xml:space="preserve">This factsheet provides information about </w:t>
      </w:r>
      <w:r w:rsidR="00D45F71" w:rsidRPr="00D86CAC">
        <w:t xml:space="preserve">the goods and/or services you can receive support for under the </w:t>
      </w:r>
      <w:r w:rsidRPr="00D86CAC">
        <w:t xml:space="preserve">Health Care Assistant Fund (HCAF). </w:t>
      </w:r>
    </w:p>
    <w:p w14:paraId="43E459CA" w14:textId="68D2B2C9" w:rsidR="005A68F6" w:rsidRDefault="005A68F6" w:rsidP="005A68F6">
      <w:pPr>
        <w:pStyle w:val="Heading2"/>
        <w:rPr>
          <w:bCs w:val="0"/>
          <w:iCs w:val="0"/>
        </w:rPr>
      </w:pPr>
      <w:r w:rsidRPr="004B142D">
        <w:rPr>
          <w:bCs w:val="0"/>
          <w:iCs w:val="0"/>
        </w:rPr>
        <w:t>About the Program</w:t>
      </w:r>
    </w:p>
    <w:p w14:paraId="2A5563D0" w14:textId="1325517C" w:rsidR="005A68F6" w:rsidRPr="00D86CAC" w:rsidRDefault="005A68F6" w:rsidP="00D86CAC">
      <w:r w:rsidRPr="00087C31">
        <w:t xml:space="preserve">The </w:t>
      </w:r>
      <w:r>
        <w:t>Program</w:t>
      </w:r>
      <w:r w:rsidRPr="00087C31">
        <w:t xml:space="preserve"> is an Australian Government program </w:t>
      </w:r>
      <w:r>
        <w:t>ai</w:t>
      </w:r>
      <w:r w:rsidRPr="00AB0404">
        <w:t>med</w:t>
      </w:r>
      <w:r w:rsidRPr="00087C31">
        <w:t xml:space="preserve"> at providing financial support to Australian thalidomide survivors. The Program includes a </w:t>
      </w:r>
      <w:r>
        <w:t>HCAF</w:t>
      </w:r>
      <w:r w:rsidRPr="00087C31">
        <w:t xml:space="preserve"> and </w:t>
      </w:r>
      <w:r>
        <w:t xml:space="preserve">an </w:t>
      </w:r>
      <w:r w:rsidR="00476E23">
        <w:t>Extraordinary Assistance Fund (</w:t>
      </w:r>
      <w:r>
        <w:t>EAF</w:t>
      </w:r>
      <w:r w:rsidR="00476E23">
        <w:t>)</w:t>
      </w:r>
      <w:r w:rsidRPr="00087C31">
        <w:t xml:space="preserve"> which provides health, medical and daily living support to eligible Australian thalidomide survivors. </w:t>
      </w:r>
    </w:p>
    <w:p w14:paraId="28E2FCB4" w14:textId="77777777" w:rsidR="005A68F6" w:rsidRDefault="005A68F6" w:rsidP="005A68F6">
      <w:pPr>
        <w:pStyle w:val="Heading2"/>
      </w:pPr>
      <w:r>
        <w:t>What is the Health Care Assistance Fund (HCAF)?</w:t>
      </w:r>
    </w:p>
    <w:p w14:paraId="27054C93" w14:textId="1CE33764" w:rsidR="005A68F6" w:rsidRPr="00D86CAC" w:rsidRDefault="005A68F6" w:rsidP="00D86CAC">
      <w:r w:rsidRPr="00D86CAC">
        <w:t>The HCAF is intended to cover the out</w:t>
      </w:r>
      <w:r w:rsidR="00133975" w:rsidRPr="00D86CAC">
        <w:t>-</w:t>
      </w:r>
      <w:r w:rsidRPr="00D86CAC">
        <w:t>of</w:t>
      </w:r>
      <w:r w:rsidR="00133975" w:rsidRPr="00D86CAC">
        <w:t>-</w:t>
      </w:r>
      <w:r w:rsidRPr="00D86CAC">
        <w:t>pocket health care expenses</w:t>
      </w:r>
      <w:r w:rsidR="00704198" w:rsidRPr="00D86CAC">
        <w:t xml:space="preserve"> incurred in Australia that are likely</w:t>
      </w:r>
      <w:r w:rsidRPr="00D86CAC">
        <w:t xml:space="preserve"> associated with thalidomide</w:t>
      </w:r>
      <w:r w:rsidRPr="00D86CAC">
        <w:noBreakHyphen/>
        <w:t>related injuries. This may include:</w:t>
      </w:r>
    </w:p>
    <w:p w14:paraId="11576C50" w14:textId="77777777" w:rsidR="005A68F6" w:rsidRDefault="005A68F6" w:rsidP="00D86CAC">
      <w:pPr>
        <w:pStyle w:val="ListBullet"/>
      </w:pPr>
      <w:r>
        <w:t xml:space="preserve">health products and </w:t>
      </w:r>
      <w:proofErr w:type="gramStart"/>
      <w:r>
        <w:t>consumables;</w:t>
      </w:r>
      <w:proofErr w:type="gramEnd"/>
    </w:p>
    <w:p w14:paraId="61E2E26C" w14:textId="77777777" w:rsidR="005A68F6" w:rsidRDefault="00476E23" w:rsidP="005A68F6">
      <w:pPr>
        <w:pStyle w:val="ListBullet"/>
      </w:pPr>
      <w:r>
        <w:t xml:space="preserve">out-of-pocket pharmaceutical </w:t>
      </w:r>
      <w:proofErr w:type="gramStart"/>
      <w:r>
        <w:t>costs</w:t>
      </w:r>
      <w:r w:rsidR="005A68F6">
        <w:t>;</w:t>
      </w:r>
      <w:proofErr w:type="gramEnd"/>
    </w:p>
    <w:p w14:paraId="58152D43" w14:textId="77777777" w:rsidR="005A68F6" w:rsidRDefault="00476E23" w:rsidP="005A68F6">
      <w:pPr>
        <w:pStyle w:val="ListBullet"/>
      </w:pPr>
      <w:r>
        <w:t>out-of-pocket health service costs</w:t>
      </w:r>
      <w:r w:rsidR="005A68F6">
        <w:t xml:space="preserve">, including medical, </w:t>
      </w:r>
      <w:proofErr w:type="gramStart"/>
      <w:r w:rsidR="005A68F6">
        <w:t>surgical</w:t>
      </w:r>
      <w:proofErr w:type="gramEnd"/>
      <w:r w:rsidR="005A68F6">
        <w:t xml:space="preserve"> and allied health; and</w:t>
      </w:r>
    </w:p>
    <w:p w14:paraId="3F764FFC" w14:textId="77777777" w:rsidR="005A68F6" w:rsidRDefault="005A68F6" w:rsidP="005A68F6">
      <w:pPr>
        <w:pStyle w:val="ListBullet"/>
      </w:pPr>
      <w:r>
        <w:t>health-related travel and transport costs.</w:t>
      </w:r>
    </w:p>
    <w:p w14:paraId="38E75EEC" w14:textId="08FB9E14" w:rsidR="00D91881" w:rsidRPr="00D86CAC" w:rsidRDefault="00D91881" w:rsidP="00D86CAC">
      <w:r>
        <w:t>The HCAF is intended to cover o</w:t>
      </w:r>
      <w:r w:rsidR="005A68F6" w:rsidRPr="00131A4F">
        <w:t>ut</w:t>
      </w:r>
      <w:r w:rsidR="00133975">
        <w:t>-</w:t>
      </w:r>
      <w:r w:rsidR="005A68F6" w:rsidRPr="00131A4F">
        <w:t>of</w:t>
      </w:r>
      <w:r w:rsidR="00133975">
        <w:t>-</w:t>
      </w:r>
      <w:r w:rsidR="005A68F6" w:rsidRPr="00131A4F">
        <w:t>pocket</w:t>
      </w:r>
      <w:r>
        <w:t xml:space="preserve"> health care</w:t>
      </w:r>
      <w:r w:rsidR="005A68F6" w:rsidRPr="00131A4F">
        <w:t xml:space="preserve"> expenses</w:t>
      </w:r>
      <w:r>
        <w:t>,</w:t>
      </w:r>
      <w:r w:rsidR="005A68F6" w:rsidRPr="00131A4F">
        <w:t xml:space="preserve"> </w:t>
      </w:r>
      <w:r>
        <w:t>including</w:t>
      </w:r>
      <w:r w:rsidR="005A68F6" w:rsidRPr="00131A4F">
        <w:t xml:space="preserve"> </w:t>
      </w:r>
      <w:r>
        <w:t>those</w:t>
      </w:r>
      <w:r w:rsidR="005A68F6" w:rsidRPr="00131A4F">
        <w:t xml:space="preserve"> whi</w:t>
      </w:r>
      <w:r w:rsidR="005A68F6">
        <w:t xml:space="preserve">ch are not covered, or </w:t>
      </w:r>
      <w:r w:rsidR="003E7ACB">
        <w:t xml:space="preserve">are </w:t>
      </w:r>
      <w:r w:rsidR="005A68F6">
        <w:t>only partially covered, by Medicare, the Pharmaceutical B</w:t>
      </w:r>
      <w:r w:rsidR="005A68F6" w:rsidRPr="00FC7192">
        <w:t>enefits</w:t>
      </w:r>
      <w:r w:rsidR="005A68F6">
        <w:t xml:space="preserve"> S</w:t>
      </w:r>
      <w:r w:rsidR="005A68F6" w:rsidRPr="00FC7192">
        <w:t>cheme</w:t>
      </w:r>
      <w:r w:rsidR="003E7ACB">
        <w:t xml:space="preserve"> (PBS)</w:t>
      </w:r>
      <w:r w:rsidR="005A68F6">
        <w:t xml:space="preserve"> </w:t>
      </w:r>
      <w:r w:rsidR="005A68F6" w:rsidRPr="00131A4F">
        <w:t xml:space="preserve">and/or any other </w:t>
      </w:r>
      <w:r w:rsidR="005A68F6">
        <w:t xml:space="preserve">relevant Australian, </w:t>
      </w:r>
      <w:r w:rsidR="005A68F6" w:rsidRPr="00131A4F">
        <w:t xml:space="preserve">state or territory government </w:t>
      </w:r>
      <w:proofErr w:type="gramStart"/>
      <w:r w:rsidR="005A68F6" w:rsidRPr="00131A4F">
        <w:t>schemes</w:t>
      </w:r>
      <w:r w:rsidR="005A68F6">
        <w:t>;</w:t>
      </w:r>
      <w:proofErr w:type="gramEnd"/>
      <w:r w:rsidR="005A68F6">
        <w:t xml:space="preserve"> or </w:t>
      </w:r>
      <w:r w:rsidR="005A68F6" w:rsidRPr="00131A4F">
        <w:t>private health insurance.</w:t>
      </w:r>
    </w:p>
    <w:p w14:paraId="1F315E8D" w14:textId="3EE8C812" w:rsidR="003F4191" w:rsidRPr="00D45F71" w:rsidRDefault="003F4191" w:rsidP="00D86CAC">
      <w:r w:rsidRPr="009D4FED">
        <w:t xml:space="preserve">For information about the support available </w:t>
      </w:r>
      <w:r>
        <w:t xml:space="preserve">to </w:t>
      </w:r>
      <w:r w:rsidRPr="009D4FED">
        <w:t xml:space="preserve">help cover the costs of goods and/or services to assist with activities of daily </w:t>
      </w:r>
      <w:r w:rsidRPr="00D86CAC">
        <w:t>living</w:t>
      </w:r>
      <w:r>
        <w:t xml:space="preserve">, please refer to </w:t>
      </w:r>
      <w:hyperlink r:id="rId8" w:history="1">
        <w:r w:rsidRPr="00D86CAC">
          <w:rPr>
            <w:rStyle w:val="Hyperlink"/>
          </w:rPr>
          <w:t>Factsheet </w:t>
        </w:r>
        <w:r w:rsidRPr="00D86CAC">
          <w:rPr>
            <w:rStyle w:val="Hyperlink"/>
          </w:rPr>
          <w:noBreakHyphen/>
          <w:t xml:space="preserve"> Making a </w:t>
        </w:r>
        <w:r w:rsidR="00476E23" w:rsidRPr="00D86CAC">
          <w:rPr>
            <w:rStyle w:val="Hyperlink"/>
          </w:rPr>
          <w:t>c</w:t>
        </w:r>
        <w:r w:rsidRPr="00D86CAC">
          <w:rPr>
            <w:rStyle w:val="Hyperlink"/>
          </w:rPr>
          <w:t>laim to the EAF</w:t>
        </w:r>
      </w:hyperlink>
      <w:r w:rsidRPr="00D86CAC">
        <w:t xml:space="preserve"> and </w:t>
      </w:r>
      <w:hyperlink r:id="rId9" w:history="1">
        <w:r w:rsidRPr="00D86CAC">
          <w:rPr>
            <w:rStyle w:val="Hyperlink"/>
          </w:rPr>
          <w:t xml:space="preserve">Factsheet – EAF </w:t>
        </w:r>
        <w:r w:rsidR="00476E23" w:rsidRPr="00D86CAC">
          <w:rPr>
            <w:rStyle w:val="Hyperlink"/>
          </w:rPr>
          <w:t>s</w:t>
        </w:r>
        <w:r w:rsidRPr="00D86CAC">
          <w:rPr>
            <w:rStyle w:val="Hyperlink"/>
          </w:rPr>
          <w:t xml:space="preserve">upport </w:t>
        </w:r>
        <w:r w:rsidR="00476E23" w:rsidRPr="00D86CAC">
          <w:rPr>
            <w:rStyle w:val="Hyperlink"/>
          </w:rPr>
          <w:t>c</w:t>
        </w:r>
        <w:r w:rsidRPr="00D86CAC">
          <w:rPr>
            <w:rStyle w:val="Hyperlink"/>
          </w:rPr>
          <w:t>ategories</w:t>
        </w:r>
      </w:hyperlink>
      <w:r>
        <w:t>.</w:t>
      </w:r>
    </w:p>
    <w:p w14:paraId="44050065" w14:textId="77777777" w:rsidR="00D45F71" w:rsidRDefault="00D45F71" w:rsidP="00D45F71">
      <w:pPr>
        <w:pStyle w:val="Heading2"/>
      </w:pPr>
      <w:r>
        <w:t xml:space="preserve">What goods and/or services can I claim under the HCAF? </w:t>
      </w:r>
    </w:p>
    <w:p w14:paraId="3247FA1C" w14:textId="779501A8" w:rsidR="00D45F71" w:rsidRPr="00D86CAC" w:rsidRDefault="00D45F71" w:rsidP="00D86CAC">
      <w:r w:rsidRPr="00D86CAC">
        <w:t xml:space="preserve">The table </w:t>
      </w:r>
      <w:r w:rsidR="003F4191" w:rsidRPr="00D86CAC">
        <w:t>following</w:t>
      </w:r>
      <w:r w:rsidRPr="00D86CAC">
        <w:t xml:space="preserve"> outlines examples of eligible and ineligible items under the HCAF</w:t>
      </w:r>
      <w:r w:rsidR="003F4191" w:rsidRPr="00D86CAC">
        <w:t>.</w:t>
      </w:r>
      <w:r w:rsidR="00D75FD1" w:rsidRPr="00D86CAC">
        <w:t xml:space="preserve"> </w:t>
      </w:r>
      <w:r w:rsidRPr="00D86CAC">
        <w:t>Claims for goods and services that align with the intent and scope of the relevant fund, but are not specifically listed, will be considered on a case</w:t>
      </w:r>
      <w:r w:rsidR="00133975" w:rsidRPr="00D86CAC">
        <w:t>-</w:t>
      </w:r>
      <w:r w:rsidRPr="00D86CAC">
        <w:t>by</w:t>
      </w:r>
      <w:r w:rsidR="00133975" w:rsidRPr="00D86CAC">
        <w:t>-</w:t>
      </w:r>
      <w:r w:rsidRPr="00D86CAC">
        <w:t xml:space="preserve">case basis. </w:t>
      </w:r>
    </w:p>
    <w:p w14:paraId="24891879" w14:textId="3A7CAC01" w:rsidR="00D75FD1" w:rsidRPr="00D86CAC" w:rsidRDefault="00D75FD1" w:rsidP="00D86CAC">
      <w:r w:rsidRPr="00D86CAC">
        <w:t>Consideration should be given to return/refund policies and procedures, especially if purchasing custom</w:t>
      </w:r>
      <w:r w:rsidRPr="00D86CAC">
        <w:noBreakHyphen/>
        <w:t>made products</w:t>
      </w:r>
    </w:p>
    <w:p w14:paraId="18E2EFE2" w14:textId="374FFB8D" w:rsidR="00056E6B" w:rsidRPr="00D86CAC" w:rsidRDefault="00056E6B" w:rsidP="00D86CAC">
      <w:r w:rsidRPr="00D86CAC">
        <w:t xml:space="preserve">Further information about how to make a claim under the HCAF is available in the </w:t>
      </w:r>
      <w:hyperlink r:id="rId10" w:history="1">
        <w:r w:rsidRPr="00D86CAC">
          <w:rPr>
            <w:rStyle w:val="Hyperlink"/>
          </w:rPr>
          <w:t>Factsheet </w:t>
        </w:r>
        <w:r w:rsidRPr="00D86CAC">
          <w:rPr>
            <w:rStyle w:val="Hyperlink"/>
          </w:rPr>
          <w:noBreakHyphen/>
          <w:t xml:space="preserve"> Making a </w:t>
        </w:r>
        <w:r w:rsidR="00476E23" w:rsidRPr="00D86CAC">
          <w:rPr>
            <w:rStyle w:val="Hyperlink"/>
          </w:rPr>
          <w:t>c</w:t>
        </w:r>
        <w:r w:rsidRPr="00D86CAC">
          <w:rPr>
            <w:rStyle w:val="Hyperlink"/>
          </w:rPr>
          <w:t>laim to the HCAF</w:t>
        </w:r>
      </w:hyperlink>
      <w:r w:rsidRPr="00D86CAC">
        <w:t>.</w:t>
      </w:r>
    </w:p>
    <w:p w14:paraId="55195D9C" w14:textId="0D8E3107" w:rsidR="00D45F71" w:rsidRPr="00133975" w:rsidRDefault="00D86CAC" w:rsidP="00D86CAC">
      <w:pPr>
        <w:pStyle w:val="Caption"/>
        <w:rPr>
          <w:b w:val="0"/>
          <w:lang w:val="en-US"/>
        </w:rPr>
      </w:pPr>
      <w:r>
        <w:lastRenderedPageBreak/>
        <w:t xml:space="preserve">Table </w:t>
      </w:r>
      <w:fldSimple w:instr=" SEQ Table \* ARABIC ">
        <w:r>
          <w:rPr>
            <w:noProof/>
          </w:rPr>
          <w:t>1</w:t>
        </w:r>
      </w:fldSimple>
      <w:r w:rsidR="00101984" w:rsidRPr="00133975">
        <w:rPr>
          <w:lang w:val="en-US"/>
        </w:rPr>
        <w:t>. HCAF s</w:t>
      </w:r>
      <w:r w:rsidR="00D45F71" w:rsidRPr="00133975">
        <w:rPr>
          <w:lang w:val="en-US"/>
        </w:rPr>
        <w:t xml:space="preserve">upport </w:t>
      </w:r>
      <w:r w:rsidR="00101984" w:rsidRPr="00133975">
        <w:rPr>
          <w:lang w:val="en-US"/>
        </w:rPr>
        <w:t>c</w:t>
      </w:r>
      <w:r w:rsidR="00D45F71" w:rsidRPr="00133975">
        <w:rPr>
          <w:lang w:val="en-US"/>
        </w:rPr>
        <w:t>ategories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</w:tblPr>
      <w:tblGrid>
        <w:gridCol w:w="3327"/>
        <w:gridCol w:w="5745"/>
      </w:tblGrid>
      <w:tr w:rsidR="00D45F71" w:rsidRPr="00D86CAC" w14:paraId="7982AFA1" w14:textId="77777777" w:rsidTr="00D8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928FF77" w14:textId="77777777" w:rsidR="00D45F71" w:rsidRPr="00D86CAC" w:rsidRDefault="00D45F71" w:rsidP="00D86CAC">
            <w:pPr>
              <w:pStyle w:val="TableHeaderWhite"/>
            </w:pPr>
            <w:r w:rsidRPr="00D86CAC">
              <w:t xml:space="preserve">HCAF Category  </w:t>
            </w:r>
          </w:p>
        </w:tc>
        <w:tc>
          <w:tcPr>
            <w:tcW w:w="5745" w:type="dxa"/>
          </w:tcPr>
          <w:p w14:paraId="44DD513F" w14:textId="77777777" w:rsidR="00D45F71" w:rsidRPr="00D86CAC" w:rsidRDefault="00D45F71" w:rsidP="00D86CAC">
            <w:pPr>
              <w:pStyle w:val="TableHeaderWhit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86CAC">
              <w:t>ELIGIBLE goods and</w:t>
            </w:r>
            <w:r w:rsidR="00056E6B" w:rsidRPr="00D86CAC">
              <w:t>/or</w:t>
            </w:r>
            <w:r w:rsidRPr="00D86CAC">
              <w:t xml:space="preserve"> services* - examples </w:t>
            </w:r>
          </w:p>
        </w:tc>
      </w:tr>
      <w:tr w:rsidR="00D45F71" w:rsidRPr="00DD31A1" w14:paraId="749C4391" w14:textId="77777777" w:rsidTr="00D8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598BA36" w14:textId="77777777" w:rsidR="00D45F71" w:rsidRPr="00DD31A1" w:rsidRDefault="00D45F71" w:rsidP="00133975">
            <w:pPr>
              <w:spacing w:before="60" w:after="60"/>
            </w:pPr>
            <w:r w:rsidRPr="00DD31A1">
              <w:t>Health Products</w:t>
            </w:r>
          </w:p>
        </w:tc>
        <w:tc>
          <w:tcPr>
            <w:tcW w:w="5745" w:type="dxa"/>
          </w:tcPr>
          <w:p w14:paraId="6F2C73DE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Health-related consumables, such as incontinence products, enteral feeding products</w:t>
            </w:r>
          </w:p>
          <w:p w14:paraId="17660C14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Ventilators</w:t>
            </w:r>
          </w:p>
          <w:p w14:paraId="40EA1BA1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Aspirators</w:t>
            </w:r>
          </w:p>
          <w:p w14:paraId="7032CA73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Cough assist machine</w:t>
            </w:r>
          </w:p>
          <w:p w14:paraId="678D8B3F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Compression garments</w:t>
            </w:r>
          </w:p>
          <w:p w14:paraId="3C23D843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Custom prostheses and artificial limbs</w:t>
            </w:r>
          </w:p>
          <w:p w14:paraId="462C5D27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Custom orthoses</w:t>
            </w:r>
          </w:p>
          <w:p w14:paraId="2EFE80B4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Cooling / heating vests</w:t>
            </w:r>
          </w:p>
        </w:tc>
      </w:tr>
      <w:tr w:rsidR="00D45F71" w:rsidRPr="00DD31A1" w14:paraId="141E0763" w14:textId="77777777" w:rsidTr="00D86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9D90B23" w14:textId="77777777" w:rsidR="00D45F71" w:rsidRPr="00DD31A1" w:rsidRDefault="00D45F71" w:rsidP="00133975">
            <w:pPr>
              <w:spacing w:before="60" w:after="60"/>
            </w:pPr>
            <w:r w:rsidRPr="00DD31A1">
              <w:t>Pharmaceuticals</w:t>
            </w:r>
          </w:p>
        </w:tc>
        <w:tc>
          <w:tcPr>
            <w:tcW w:w="5745" w:type="dxa"/>
          </w:tcPr>
          <w:p w14:paraId="068D0221" w14:textId="481AA902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Pharmaceuticals not covered, or partially covered, by the PBS</w:t>
            </w:r>
          </w:p>
          <w:p w14:paraId="4B4794A3" w14:textId="5488FF3C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Medications</w:t>
            </w:r>
            <w:r w:rsidR="00DF2CC3" w:rsidRPr="00DD31A1">
              <w:t xml:space="preserve"> / Pharmaceuticals by prescription </w:t>
            </w:r>
          </w:p>
        </w:tc>
      </w:tr>
      <w:tr w:rsidR="00D45F71" w:rsidRPr="00DD31A1" w14:paraId="7C8AE9BE" w14:textId="77777777" w:rsidTr="00D8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398C4C39" w14:textId="4A7DA1F8" w:rsidR="00D45F71" w:rsidRPr="00DD31A1" w:rsidRDefault="00D45F71" w:rsidP="00133975">
            <w:pPr>
              <w:spacing w:before="60" w:after="60"/>
            </w:pPr>
            <w:r w:rsidRPr="00DD31A1">
              <w:t>Health Services – Allied Health</w:t>
            </w:r>
          </w:p>
          <w:p w14:paraId="565508F0" w14:textId="3276DD8F" w:rsidR="00D45F71" w:rsidRPr="00DD31A1" w:rsidRDefault="00D45F71" w:rsidP="008E42E4">
            <w:pPr>
              <w:spacing w:after="60"/>
            </w:pPr>
            <w:r w:rsidRPr="00DD31A1">
              <w:t>(</w:t>
            </w:r>
            <w:r w:rsidR="00056E6B" w:rsidRPr="00DD31A1">
              <w:t xml:space="preserve">Provided by a </w:t>
            </w:r>
            <w:r w:rsidR="00DF2CC3" w:rsidRPr="00DD31A1">
              <w:t xml:space="preserve">registered health care practitioner or </w:t>
            </w:r>
            <w:r w:rsidR="00056E6B" w:rsidRPr="00DD31A1">
              <w:t xml:space="preserve">qualified health care professional – </w:t>
            </w:r>
            <w:proofErr w:type="gramStart"/>
            <w:r w:rsidR="00056E6B" w:rsidRPr="00DD31A1">
              <w:t>i.e.</w:t>
            </w:r>
            <w:proofErr w:type="gramEnd"/>
            <w:r w:rsidR="00056E6B" w:rsidRPr="00DD31A1">
              <w:t xml:space="preserve"> an individual who is qualified by education, training, or licensure/regulation, when applicable, who performs a professional service within his/her scope of practice.)</w:t>
            </w:r>
          </w:p>
        </w:tc>
        <w:tc>
          <w:tcPr>
            <w:tcW w:w="5745" w:type="dxa"/>
          </w:tcPr>
          <w:p w14:paraId="1744BE0D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 xml:space="preserve">Chiropractic </w:t>
            </w:r>
          </w:p>
          <w:p w14:paraId="433BAA8D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Exercise physiology</w:t>
            </w:r>
          </w:p>
          <w:p w14:paraId="630AB50B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Podiatry</w:t>
            </w:r>
          </w:p>
          <w:p w14:paraId="2CD04E53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Occupational therapy</w:t>
            </w:r>
          </w:p>
          <w:p w14:paraId="4E598C23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Dietetics</w:t>
            </w:r>
          </w:p>
          <w:p w14:paraId="5C61E737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Speech therapy</w:t>
            </w:r>
          </w:p>
          <w:p w14:paraId="32F01447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Audiology</w:t>
            </w:r>
          </w:p>
          <w:p w14:paraId="3F46C5D4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Physiotherapy</w:t>
            </w:r>
          </w:p>
          <w:p w14:paraId="19202E49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Massage therapy</w:t>
            </w:r>
          </w:p>
          <w:p w14:paraId="029C58F3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Psychology</w:t>
            </w:r>
          </w:p>
          <w:p w14:paraId="430D1F1F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Counselling</w:t>
            </w:r>
          </w:p>
          <w:p w14:paraId="56FD0AEE" w14:textId="77777777" w:rsidR="00D45F7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Optometry</w:t>
            </w:r>
          </w:p>
          <w:p w14:paraId="696FAE9F" w14:textId="44993729" w:rsidR="00133975" w:rsidRPr="00DD31A1" w:rsidRDefault="00133975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3975">
              <w:t xml:space="preserve">Fitness classes, such as </w:t>
            </w:r>
            <w:proofErr w:type="spellStart"/>
            <w:r w:rsidRPr="00133975">
              <w:t>pilates</w:t>
            </w:r>
            <w:proofErr w:type="spellEnd"/>
            <w:r w:rsidRPr="00133975">
              <w:t>, yoga or aquarobics, delivered by an appropriately qualified allied health care professional</w:t>
            </w:r>
          </w:p>
        </w:tc>
      </w:tr>
      <w:tr w:rsidR="00D45F71" w:rsidRPr="00DD31A1" w14:paraId="613BB9AA" w14:textId="77777777" w:rsidTr="00D86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4D5DDDD2" w14:textId="50BB85F4" w:rsidR="00D45F71" w:rsidRPr="00DD31A1" w:rsidRDefault="00D45F71" w:rsidP="008E42E4">
            <w:pPr>
              <w:spacing w:before="60" w:after="60"/>
            </w:pPr>
            <w:r w:rsidRPr="00DD31A1">
              <w:t xml:space="preserve">Health Services – Medical </w:t>
            </w:r>
          </w:p>
          <w:p w14:paraId="2513AE50" w14:textId="77777777" w:rsidR="00D45F71" w:rsidRPr="00DD31A1" w:rsidRDefault="00D45F71" w:rsidP="008E42E4">
            <w:pPr>
              <w:spacing w:after="60"/>
            </w:pPr>
            <w:r w:rsidRPr="00DD31A1">
              <w:t>(Provided by a regist</w:t>
            </w:r>
            <w:r w:rsidR="00056E6B" w:rsidRPr="00DD31A1">
              <w:t>ered health care practitioner)</w:t>
            </w:r>
          </w:p>
        </w:tc>
        <w:tc>
          <w:tcPr>
            <w:tcW w:w="5745" w:type="dxa"/>
          </w:tcPr>
          <w:p w14:paraId="7F12F18D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Services covered by Medicare (out of pocket component)</w:t>
            </w:r>
          </w:p>
          <w:p w14:paraId="14C99ACC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Surgery, including mastectomy</w:t>
            </w:r>
          </w:p>
          <w:p w14:paraId="15443F3B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Pathology</w:t>
            </w:r>
          </w:p>
          <w:p w14:paraId="763A79F8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Psychiatric</w:t>
            </w:r>
          </w:p>
          <w:p w14:paraId="3C66207F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Consultation</w:t>
            </w:r>
          </w:p>
          <w:p w14:paraId="34F9764A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Hospital costs not covered by public patient arrangements or private insurance</w:t>
            </w:r>
          </w:p>
        </w:tc>
      </w:tr>
      <w:tr w:rsidR="00D45F71" w:rsidRPr="00DD31A1" w14:paraId="5008C190" w14:textId="77777777" w:rsidTr="00D8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232535DA" w14:textId="450EB9D5" w:rsidR="00D45F71" w:rsidRPr="00DD31A1" w:rsidRDefault="00D45F71" w:rsidP="008E42E4">
            <w:pPr>
              <w:spacing w:before="60" w:after="60"/>
            </w:pPr>
            <w:r w:rsidRPr="00DD31A1">
              <w:t xml:space="preserve">Health Services – Dental </w:t>
            </w:r>
          </w:p>
          <w:p w14:paraId="658FC43C" w14:textId="77777777" w:rsidR="00D45F71" w:rsidRPr="00DD31A1" w:rsidRDefault="00D45F71" w:rsidP="008E42E4">
            <w:pPr>
              <w:spacing w:after="60"/>
            </w:pPr>
            <w:r w:rsidRPr="00DD31A1">
              <w:t xml:space="preserve">(Provided by a registered health care </w:t>
            </w:r>
            <w:r w:rsidR="00056E6B" w:rsidRPr="00DD31A1">
              <w:t>practitioner</w:t>
            </w:r>
            <w:r w:rsidRPr="00DD31A1">
              <w:t>)</w:t>
            </w:r>
          </w:p>
        </w:tc>
        <w:tc>
          <w:tcPr>
            <w:tcW w:w="5745" w:type="dxa"/>
          </w:tcPr>
          <w:p w14:paraId="57681C0B" w14:textId="77777777" w:rsidR="00D45F71" w:rsidRPr="00DD31A1" w:rsidRDefault="00D45F71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Complex and major dental</w:t>
            </w:r>
          </w:p>
        </w:tc>
      </w:tr>
      <w:tr w:rsidR="00D45F71" w:rsidRPr="00DD31A1" w14:paraId="126CA1A9" w14:textId="77777777" w:rsidTr="00D86C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7AF69CE8" w14:textId="77777777" w:rsidR="00D45F71" w:rsidRPr="00DD31A1" w:rsidRDefault="00D45F71" w:rsidP="008E42E4">
            <w:pPr>
              <w:spacing w:before="60" w:after="60"/>
            </w:pPr>
            <w:r w:rsidRPr="00DD31A1">
              <w:lastRenderedPageBreak/>
              <w:t>Travel and accommodation costs</w:t>
            </w:r>
          </w:p>
        </w:tc>
        <w:tc>
          <w:tcPr>
            <w:tcW w:w="5745" w:type="dxa"/>
          </w:tcPr>
          <w:p w14:paraId="61EE6A30" w14:textId="77777777" w:rsidR="00D45F71" w:rsidRPr="00DD31A1" w:rsidRDefault="00D45F71" w:rsidP="008E42E4">
            <w:pPr>
              <w:pStyle w:val="ListBulle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DD31A1">
              <w:t>Reasonable travel and accommodation costs associated with attending or accessing health services</w:t>
            </w:r>
          </w:p>
        </w:tc>
      </w:tr>
      <w:tr w:rsidR="00DF2CC3" w:rsidRPr="00DD31A1" w14:paraId="2E81448F" w14:textId="77777777" w:rsidTr="00D86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7" w:type="dxa"/>
          </w:tcPr>
          <w:p w14:paraId="040B2CCE" w14:textId="77777777" w:rsidR="00DF2CC3" w:rsidRPr="00DD31A1" w:rsidRDefault="00DF2CC3" w:rsidP="008E42E4">
            <w:pPr>
              <w:spacing w:before="60" w:after="60"/>
            </w:pPr>
            <w:r w:rsidRPr="00DD31A1">
              <w:t xml:space="preserve">Complementary / alternative medicines, </w:t>
            </w:r>
            <w:proofErr w:type="gramStart"/>
            <w:r w:rsidRPr="00DD31A1">
              <w:t>therapies</w:t>
            </w:r>
            <w:proofErr w:type="gramEnd"/>
            <w:r w:rsidRPr="00DD31A1">
              <w:t xml:space="preserve"> and treatments</w:t>
            </w:r>
          </w:p>
          <w:p w14:paraId="5AA167E6" w14:textId="45B6E60C" w:rsidR="00DF2CC3" w:rsidRPr="00DD31A1" w:rsidRDefault="00DF2CC3" w:rsidP="008E42E4">
            <w:pPr>
              <w:spacing w:after="60"/>
            </w:pPr>
            <w:r w:rsidRPr="00DD31A1">
              <w:t>(</w:t>
            </w:r>
            <w:r w:rsidR="008E42E4">
              <w:t>R</w:t>
            </w:r>
            <w:r w:rsidRPr="00DD31A1">
              <w:t xml:space="preserve">efer to </w:t>
            </w:r>
            <w:r w:rsidR="00FD0310" w:rsidRPr="00DD31A1">
              <w:t>EAF and HCAF - Program Guidelines, Part 6. Additional claiming guidance for complex services</w:t>
            </w:r>
            <w:r w:rsidRPr="00DD31A1">
              <w:t>)</w:t>
            </w:r>
          </w:p>
        </w:tc>
        <w:tc>
          <w:tcPr>
            <w:tcW w:w="5745" w:type="dxa"/>
          </w:tcPr>
          <w:p w14:paraId="7D1BCC80" w14:textId="780F15BE" w:rsidR="00DF2CC3" w:rsidRPr="00DD31A1" w:rsidRDefault="00DF2CC3" w:rsidP="008E42E4">
            <w:pPr>
              <w:pStyle w:val="ListBulle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31A1">
              <w:t>Complementary / alternative medicines, therapies and treatments may be considered if they are provided or prescribed by a registered health care practitioner or a qualified health care professional.</w:t>
            </w:r>
          </w:p>
        </w:tc>
      </w:tr>
    </w:tbl>
    <w:p w14:paraId="6C828B49" w14:textId="77777777" w:rsidR="00D45F71" w:rsidRPr="00D86CAC" w:rsidRDefault="00476E23" w:rsidP="00D86CAC">
      <w:pPr>
        <w:pStyle w:val="NoSpacing"/>
      </w:pPr>
      <w:r w:rsidRPr="00D86CAC">
        <w:t>* Any associated delivery, set up, training, repairs and/or maintenance costs would also be covered.</w:t>
      </w:r>
    </w:p>
    <w:tbl>
      <w:tblPr>
        <w:tblStyle w:val="DepartmentofHealthtable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D45F71" w:rsidRPr="00DD31A1" w14:paraId="4745AD37" w14:textId="77777777" w:rsidTr="00D86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72666E1" w14:textId="044FDA37" w:rsidR="00D45F71" w:rsidRPr="00D86CAC" w:rsidRDefault="00117E9A" w:rsidP="00D86CAC">
            <w:pPr>
              <w:pStyle w:val="TableHeaderWhite"/>
            </w:pPr>
            <w:r w:rsidRPr="00D86CAC">
              <w:t xml:space="preserve">HCAF </w:t>
            </w:r>
            <w:r w:rsidR="00D45F71" w:rsidRPr="00D86CAC">
              <w:t xml:space="preserve">INELIGIBLE goods and services - examples </w:t>
            </w:r>
          </w:p>
        </w:tc>
      </w:tr>
      <w:tr w:rsidR="00D45F71" w:rsidRPr="00DD31A1" w14:paraId="0BCA642E" w14:textId="77777777" w:rsidTr="004E7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712EAE6" w14:textId="77777777" w:rsidR="00D45F71" w:rsidRPr="00DD31A1" w:rsidRDefault="00D45F71" w:rsidP="008E42E4">
            <w:pPr>
              <w:pStyle w:val="TableText"/>
            </w:pPr>
            <w:r w:rsidRPr="00DD31A1">
              <w:t xml:space="preserve">Any service, product, </w:t>
            </w:r>
            <w:proofErr w:type="gramStart"/>
            <w:r w:rsidRPr="00DD31A1">
              <w:t>procedure</w:t>
            </w:r>
            <w:proofErr w:type="gramEnd"/>
            <w:r w:rsidRPr="00DD31A1">
              <w:t xml:space="preserve"> or activity that is required, but </w:t>
            </w:r>
            <w:r w:rsidRPr="008E42E4">
              <w:t>not</w:t>
            </w:r>
            <w:r w:rsidRPr="00DD31A1">
              <w:t xml:space="preserve"> as a result of thalidomide</w:t>
            </w:r>
            <w:r w:rsidRPr="00DD31A1">
              <w:noBreakHyphen/>
              <w:t>related injuries.</w:t>
            </w:r>
          </w:p>
        </w:tc>
      </w:tr>
      <w:tr w:rsidR="00D45F71" w:rsidRPr="00DD31A1" w14:paraId="26393FAF" w14:textId="77777777" w:rsidTr="004E7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E71FE64" w14:textId="75C21534" w:rsidR="00D45F71" w:rsidRPr="00DD31A1" w:rsidRDefault="00D45F71" w:rsidP="008E42E4">
            <w:pPr>
              <w:pStyle w:val="TableText"/>
            </w:pPr>
            <w:r w:rsidRPr="00DD31A1">
              <w:t xml:space="preserve">Support already received through Medicare, the </w:t>
            </w:r>
            <w:r w:rsidR="00522C8C" w:rsidRPr="00DD31A1">
              <w:t>PBS</w:t>
            </w:r>
            <w:r w:rsidRPr="00DD31A1">
              <w:t xml:space="preserve"> and/or any other relevant Australian, state or territory government schemes; or private health.</w:t>
            </w:r>
          </w:p>
        </w:tc>
      </w:tr>
      <w:tr w:rsidR="00D45F71" w:rsidRPr="00DD31A1" w14:paraId="0BEF59AF" w14:textId="77777777" w:rsidTr="004E7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D4CF210" w14:textId="60E670D0" w:rsidR="00D45F71" w:rsidRPr="00DD31A1" w:rsidRDefault="00D45F71" w:rsidP="008E42E4">
            <w:pPr>
              <w:pStyle w:val="TableText"/>
            </w:pPr>
            <w:r w:rsidRPr="00DD31A1">
              <w:t xml:space="preserve">Non-prescribed pharmaceutical and medications - for </w:t>
            </w:r>
            <w:proofErr w:type="gramStart"/>
            <w:r w:rsidRPr="00DD31A1">
              <w:t>example;</w:t>
            </w:r>
            <w:proofErr w:type="gramEnd"/>
            <w:r w:rsidRPr="00DD31A1">
              <w:t xml:space="preserve"> cosmetic products and supplements.</w:t>
            </w:r>
          </w:p>
        </w:tc>
      </w:tr>
      <w:tr w:rsidR="00D45F71" w:rsidRPr="00DD31A1" w14:paraId="3B44AFE9" w14:textId="77777777" w:rsidTr="004E7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8504A70" w14:textId="404CF105" w:rsidR="00D45F71" w:rsidRPr="00DD31A1" w:rsidRDefault="001D6B99" w:rsidP="008E42E4">
            <w:pPr>
              <w:pStyle w:val="TableText"/>
            </w:pPr>
            <w:r>
              <w:t>M</w:t>
            </w:r>
            <w:r w:rsidR="00522C8C" w:rsidRPr="00DD31A1">
              <w:t xml:space="preserve">edicines, </w:t>
            </w:r>
            <w:proofErr w:type="gramStart"/>
            <w:r w:rsidR="00522C8C" w:rsidRPr="00DD31A1">
              <w:t>therapies</w:t>
            </w:r>
            <w:proofErr w:type="gramEnd"/>
            <w:r w:rsidR="00522C8C" w:rsidRPr="00DD31A1">
              <w:t xml:space="preserve"> or treatments </w:t>
            </w:r>
            <w:r w:rsidR="00522C8C" w:rsidRPr="008E42E4">
              <w:t>not</w:t>
            </w:r>
            <w:r w:rsidR="00522C8C" w:rsidRPr="00DD31A1">
              <w:t xml:space="preserve"> provided or prescribed by a registered health care practitioner or a qualified health care professional. </w:t>
            </w:r>
          </w:p>
        </w:tc>
      </w:tr>
      <w:tr w:rsidR="00D45F71" w:rsidRPr="00DD31A1" w14:paraId="6178844E" w14:textId="77777777" w:rsidTr="004E7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551D55FC" w14:textId="77777777" w:rsidR="00D45F71" w:rsidRPr="00DD31A1" w:rsidRDefault="00D45F71" w:rsidP="008E42E4">
            <w:pPr>
              <w:pStyle w:val="TableText"/>
            </w:pPr>
            <w:r w:rsidRPr="00DD31A1">
              <w:t>Routine dental check-ups and eye examinations.</w:t>
            </w:r>
          </w:p>
        </w:tc>
      </w:tr>
      <w:tr w:rsidR="00D45F71" w:rsidRPr="00DD31A1" w14:paraId="15568CF8" w14:textId="77777777" w:rsidTr="004E7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778836B" w14:textId="77777777" w:rsidR="00D45F71" w:rsidRPr="00DD31A1" w:rsidRDefault="00D45F71" w:rsidP="008E42E4">
            <w:pPr>
              <w:pStyle w:val="TableText"/>
            </w:pPr>
            <w:r w:rsidRPr="00DD31A1">
              <w:t>Out of pocket costs associated with the use of private health insurance – for example, premiums and excess costs.</w:t>
            </w:r>
          </w:p>
        </w:tc>
      </w:tr>
      <w:tr w:rsidR="00D45F71" w:rsidRPr="00DD31A1" w14:paraId="000FC8AD" w14:textId="77777777" w:rsidTr="004E73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346ACB8E" w14:textId="77777777" w:rsidR="00D45F71" w:rsidRPr="00DD31A1" w:rsidRDefault="00D45F71" w:rsidP="008E42E4">
            <w:pPr>
              <w:pStyle w:val="TableText"/>
            </w:pPr>
            <w:r w:rsidRPr="00DD31A1">
              <w:t xml:space="preserve">Any service, product, </w:t>
            </w:r>
            <w:proofErr w:type="gramStart"/>
            <w:r w:rsidRPr="00DD31A1">
              <w:t>procedure</w:t>
            </w:r>
            <w:proofErr w:type="gramEnd"/>
            <w:r w:rsidRPr="00DD31A1">
              <w:t xml:space="preserve"> or activity that is required, but </w:t>
            </w:r>
            <w:r w:rsidRPr="008E42E4">
              <w:t>not</w:t>
            </w:r>
            <w:r w:rsidRPr="00DD31A1">
              <w:t xml:space="preserve"> as a result of thalidomide</w:t>
            </w:r>
            <w:r w:rsidRPr="00DD31A1">
              <w:noBreakHyphen/>
              <w:t>related injuries.</w:t>
            </w:r>
          </w:p>
        </w:tc>
      </w:tr>
      <w:tr w:rsidR="00704198" w:rsidRPr="00DD31A1" w14:paraId="7E81373C" w14:textId="77777777" w:rsidTr="004E73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67F00874" w14:textId="77777777" w:rsidR="00704198" w:rsidRPr="00DD31A1" w:rsidRDefault="00704198" w:rsidP="008E42E4">
            <w:pPr>
              <w:pStyle w:val="TableText"/>
            </w:pPr>
            <w:r w:rsidRPr="00DD31A1">
              <w:t>Any goods and/or services supplied or received outside Australia.</w:t>
            </w:r>
          </w:p>
        </w:tc>
      </w:tr>
    </w:tbl>
    <w:p w14:paraId="3E30E49E" w14:textId="77777777" w:rsidR="003F4191" w:rsidRDefault="003F4191" w:rsidP="00D86CAC">
      <w:pPr>
        <w:pStyle w:val="Heading2"/>
        <w:pageBreakBefore/>
        <w:rPr>
          <w:lang w:val="en-US"/>
        </w:rPr>
      </w:pPr>
      <w:r>
        <w:rPr>
          <w:lang w:val="en-US"/>
        </w:rPr>
        <w:lastRenderedPageBreak/>
        <w:t xml:space="preserve">HCAF – Further </w:t>
      </w:r>
      <w:r w:rsidR="00476E23">
        <w:rPr>
          <w:lang w:val="en-US"/>
        </w:rPr>
        <w:t>i</w:t>
      </w:r>
      <w:r>
        <w:rPr>
          <w:lang w:val="en-US"/>
        </w:rPr>
        <w:t>nformation</w:t>
      </w:r>
    </w:p>
    <w:p w14:paraId="74BF69EC" w14:textId="77777777" w:rsidR="003F4191" w:rsidRPr="00D86CAC" w:rsidRDefault="003F4191" w:rsidP="00D86CAC">
      <w:r>
        <w:t xml:space="preserve">The </w:t>
      </w:r>
      <w:r w:rsidRPr="00D06043">
        <w:t xml:space="preserve">Extraordinary Assistance Fund (EAF) and Health Care Assistance Fund (HCAF) - Program Guidelines </w:t>
      </w:r>
      <w:r w:rsidR="008D10A3">
        <w:t>provide</w:t>
      </w:r>
      <w:r>
        <w:t xml:space="preserve"> further information about:</w:t>
      </w:r>
    </w:p>
    <w:p w14:paraId="6E4F6B7B" w14:textId="77777777" w:rsidR="003F4191" w:rsidRDefault="003F4191" w:rsidP="003F4191">
      <w:pPr>
        <w:pStyle w:val="ListBullet"/>
      </w:pPr>
      <w:r>
        <w:t xml:space="preserve">eligibility to the </w:t>
      </w:r>
      <w:proofErr w:type="gramStart"/>
      <w:r>
        <w:t>HCAF;</w:t>
      </w:r>
      <w:proofErr w:type="gramEnd"/>
    </w:p>
    <w:p w14:paraId="77DB4B7C" w14:textId="77777777" w:rsidR="003F4191" w:rsidRDefault="003F4191" w:rsidP="003F4191">
      <w:pPr>
        <w:pStyle w:val="ListBullet"/>
      </w:pPr>
      <w:r>
        <w:t xml:space="preserve">making a claim under the </w:t>
      </w:r>
      <w:proofErr w:type="gramStart"/>
      <w:r>
        <w:t>HCAF;</w:t>
      </w:r>
      <w:proofErr w:type="gramEnd"/>
    </w:p>
    <w:p w14:paraId="32EBD35A" w14:textId="77777777" w:rsidR="003F4191" w:rsidRDefault="003F4191" w:rsidP="003F4191">
      <w:pPr>
        <w:pStyle w:val="ListBullet"/>
      </w:pPr>
      <w:r>
        <w:t xml:space="preserve">the requirements for pre-approval of an HCAF </w:t>
      </w:r>
      <w:proofErr w:type="gramStart"/>
      <w:r>
        <w:t>claim;</w:t>
      </w:r>
      <w:proofErr w:type="gramEnd"/>
    </w:p>
    <w:p w14:paraId="1C17EE8D" w14:textId="77777777" w:rsidR="003F4191" w:rsidRDefault="003F4191" w:rsidP="003F4191">
      <w:pPr>
        <w:pStyle w:val="ListBullet"/>
      </w:pPr>
      <w:r>
        <w:t>supporting documentation; and</w:t>
      </w:r>
    </w:p>
    <w:p w14:paraId="5D275C4E" w14:textId="77777777" w:rsidR="003F4191" w:rsidRDefault="003F4191" w:rsidP="003F4191">
      <w:pPr>
        <w:pStyle w:val="ListBullet"/>
      </w:pPr>
      <w:r>
        <w:t>the goods and/or services eligible to be claimed under the HCAF, including guidance for complex claims (such as private health care costs, and support for travel and accommodation).</w:t>
      </w:r>
    </w:p>
    <w:p w14:paraId="4A0D084F" w14:textId="5111E2D3" w:rsidR="00D95309" w:rsidRPr="00F651DB" w:rsidRDefault="00D95309" w:rsidP="00D95309">
      <w:pPr>
        <w:pStyle w:val="Heading1"/>
        <w:rPr>
          <w:lang w:val="en-US"/>
        </w:rPr>
      </w:pPr>
      <w:r>
        <w:rPr>
          <w:lang w:val="en-US"/>
        </w:rPr>
        <w:t>How can I get more information?</w:t>
      </w:r>
    </w:p>
    <w:bookmarkEnd w:id="0"/>
    <w:bookmarkEnd w:id="1"/>
    <w:p w14:paraId="71048EB8" w14:textId="77777777" w:rsidR="00D061E0" w:rsidRDefault="00D061E0" w:rsidP="00D061E0">
      <w:pPr>
        <w:pStyle w:val="Heading2"/>
      </w:pPr>
      <w:r w:rsidRPr="009141FE">
        <w:t>Thalidomide</w:t>
      </w:r>
      <w:r>
        <w:t xml:space="preserve"> Support Service</w:t>
      </w:r>
    </w:p>
    <w:p w14:paraId="56E428BF" w14:textId="77777777" w:rsidR="00D061E0" w:rsidRPr="00D86CAC" w:rsidRDefault="00D061E0" w:rsidP="00D86CAC">
      <w:r w:rsidRPr="00D86CAC">
        <w:t xml:space="preserve">For queries about the HCAF or </w:t>
      </w:r>
      <w:r w:rsidR="0007501E" w:rsidRPr="00D86CAC">
        <w:t xml:space="preserve">the </w:t>
      </w:r>
      <w:r w:rsidRPr="00D86CAC">
        <w:t xml:space="preserve">EAF, </w:t>
      </w:r>
      <w:r w:rsidR="005A165F" w:rsidRPr="00D86CAC">
        <w:t xml:space="preserve">including eligible support categories, </w:t>
      </w:r>
      <w:r w:rsidRPr="00D86CAC">
        <w:t>or general queries concerning the Program, you can contact the Thalidomide Support Service by calling 1800</w:t>
      </w:r>
      <w:r w:rsidR="0007501E" w:rsidRPr="00D86CAC">
        <w:t> </w:t>
      </w:r>
      <w:r w:rsidRPr="00D86CAC">
        <w:t>643</w:t>
      </w:r>
      <w:r w:rsidR="0007501E" w:rsidRPr="00D86CAC">
        <w:t> </w:t>
      </w:r>
      <w:r w:rsidRPr="00D86CAC">
        <w:t xml:space="preserve">787 or via email at thalidomide.support@benevolent.org.au. </w:t>
      </w:r>
    </w:p>
    <w:p w14:paraId="09FC03A1" w14:textId="77777777" w:rsidR="00D061E0" w:rsidRPr="00D86CAC" w:rsidRDefault="00D061E0" w:rsidP="00D86CAC">
      <w:r w:rsidRPr="00D86CAC">
        <w:t>For further information about the Thalidomide Support Service, please visit the Thalidomide Support Service website at: www.benevolent.org.au/thalidomidesupportservice.</w:t>
      </w:r>
    </w:p>
    <w:p w14:paraId="2423DB9B" w14:textId="0BDF2F08" w:rsidR="00190B8B" w:rsidRDefault="00D061E0" w:rsidP="00190B8B">
      <w:pPr>
        <w:pStyle w:val="Heading2"/>
      </w:pPr>
      <w:r>
        <w:t>Services Australia</w:t>
      </w:r>
    </w:p>
    <w:p w14:paraId="0EAC91EB" w14:textId="0C1C0C6B" w:rsidR="00190B8B" w:rsidRPr="00D86CAC" w:rsidRDefault="00190B8B" w:rsidP="00D86CAC">
      <w:r w:rsidRPr="00D86CAC">
        <w:t>Information about the HCAF</w:t>
      </w:r>
      <w:r w:rsidR="0007501E" w:rsidRPr="00D86CAC">
        <w:t xml:space="preserve"> and the EAF</w:t>
      </w:r>
      <w:r w:rsidR="00274A94" w:rsidRPr="00D86CAC">
        <w:t>, including how to make a claim,</w:t>
      </w:r>
      <w:r w:rsidRPr="00D86CAC">
        <w:t xml:space="preserve"> can also be found on the Services Australia website at </w:t>
      </w:r>
      <w:hyperlink r:id="rId11" w:history="1">
        <w:r w:rsidRPr="00D86CAC">
          <w:rPr>
            <w:rStyle w:val="Hyperlink"/>
          </w:rPr>
          <w:t>www.servicesaustralia.gov.au/thalidomide</w:t>
        </w:r>
      </w:hyperlink>
      <w:r w:rsidRPr="00D86CAC">
        <w:t>.</w:t>
      </w:r>
    </w:p>
    <w:p w14:paraId="0D66983A" w14:textId="77777777" w:rsidR="00190B8B" w:rsidRPr="00D86CAC" w:rsidRDefault="00190B8B" w:rsidP="00D86CAC">
      <w:r w:rsidRPr="00D86CAC">
        <w:t xml:space="preserve">Alternatively, for more information, you can call Services Australia on 1800 565 863 or email at </w:t>
      </w:r>
      <w:hyperlink r:id="rId12" w:history="1">
        <w:r w:rsidRPr="00D86CAC">
          <w:rPr>
            <w:rStyle w:val="Hyperlink"/>
          </w:rPr>
          <w:t>thalidomide.claims@servicesaustralia.gov.au</w:t>
        </w:r>
      </w:hyperlink>
      <w:r w:rsidRPr="00D86CAC">
        <w:t xml:space="preserve">.  </w:t>
      </w:r>
    </w:p>
    <w:p w14:paraId="33EA90DC" w14:textId="77777777" w:rsidR="00190B8B" w:rsidRPr="00E5046B" w:rsidRDefault="00190B8B" w:rsidP="00190B8B">
      <w:pPr>
        <w:pStyle w:val="Heading2"/>
      </w:pPr>
      <w:r>
        <w:t>Australian Thalidomide Survivors Support Program</w:t>
      </w:r>
    </w:p>
    <w:p w14:paraId="24284BDB" w14:textId="4044949D" w:rsidR="00280050" w:rsidRPr="00D86CAC" w:rsidRDefault="00190B8B" w:rsidP="00D86CAC">
      <w:r w:rsidRPr="00D86CAC">
        <w:t>General information about the Program can be found on the Department of Health</w:t>
      </w:r>
      <w:r w:rsidR="00ED10D7" w:rsidRPr="00D86CAC">
        <w:t xml:space="preserve"> and Aged Care</w:t>
      </w:r>
      <w:r w:rsidRPr="00D86CAC">
        <w:t xml:space="preserve"> website at </w:t>
      </w:r>
      <w:hyperlink r:id="rId13" w:history="1">
        <w:r w:rsidR="0007501E" w:rsidRPr="00D86CAC">
          <w:rPr>
            <w:rStyle w:val="Hyperlink"/>
          </w:rPr>
          <w:t>www.health.gov.au/initiatives-and-programs/australian-thalidomide-survivors-support-program</w:t>
        </w:r>
      </w:hyperlink>
      <w:r w:rsidRPr="00D86CAC">
        <w:t xml:space="preserve">. </w:t>
      </w:r>
    </w:p>
    <w:sectPr w:rsidR="00280050" w:rsidRPr="00D86CAC" w:rsidSect="00D86CAC">
      <w:headerReference w:type="default" r:id="rId14"/>
      <w:footerReference w:type="default" r:id="rId15"/>
      <w:pgSz w:w="11906" w:h="16838"/>
      <w:pgMar w:top="1440" w:right="1440" w:bottom="1440" w:left="1440" w:header="708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237F" w14:textId="77777777" w:rsidR="00A1213A" w:rsidRDefault="00A1213A" w:rsidP="005A68F6">
      <w:pPr>
        <w:spacing w:after="0"/>
      </w:pPr>
      <w:r>
        <w:separator/>
      </w:r>
    </w:p>
  </w:endnote>
  <w:endnote w:type="continuationSeparator" w:id="0">
    <w:p w14:paraId="3728498C" w14:textId="77777777" w:rsidR="00A1213A" w:rsidRDefault="00A1213A" w:rsidP="005A68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75AF" w14:textId="77777777" w:rsidR="00D91881" w:rsidRPr="00D91881" w:rsidRDefault="00D91881">
    <w:pPr>
      <w:pStyle w:val="Footer"/>
      <w:jc w:val="right"/>
      <w:rPr>
        <w:rFonts w:cs="Arial"/>
        <w:sz w:val="21"/>
        <w:szCs w:val="21"/>
      </w:rPr>
    </w:pPr>
    <w:r w:rsidRPr="00D91881">
      <w:rPr>
        <w:rFonts w:cs="Arial"/>
        <w:sz w:val="21"/>
        <w:szCs w:val="21"/>
      </w:rPr>
      <w:t>Factsheet –</w:t>
    </w:r>
    <w:r w:rsidR="00056E6B">
      <w:rPr>
        <w:rFonts w:cs="Arial"/>
        <w:sz w:val="21"/>
        <w:szCs w:val="21"/>
      </w:rPr>
      <w:t xml:space="preserve"> </w:t>
    </w:r>
    <w:r w:rsidRPr="00D91881">
      <w:rPr>
        <w:rFonts w:cs="Arial"/>
        <w:sz w:val="21"/>
        <w:szCs w:val="21"/>
      </w:rPr>
      <w:t>HCAF</w:t>
    </w:r>
    <w:r w:rsidR="00056E6B">
      <w:rPr>
        <w:rFonts w:cs="Arial"/>
        <w:sz w:val="21"/>
        <w:szCs w:val="21"/>
      </w:rPr>
      <w:t xml:space="preserve"> </w:t>
    </w:r>
    <w:r w:rsidR="004564AC">
      <w:rPr>
        <w:rFonts w:cs="Arial"/>
        <w:sz w:val="21"/>
        <w:szCs w:val="21"/>
      </w:rPr>
      <w:t>s</w:t>
    </w:r>
    <w:r w:rsidR="00056E6B">
      <w:rPr>
        <w:rFonts w:cs="Arial"/>
        <w:sz w:val="21"/>
        <w:szCs w:val="21"/>
      </w:rPr>
      <w:t xml:space="preserve">upport </w:t>
    </w:r>
    <w:r w:rsidR="004564AC">
      <w:rPr>
        <w:rFonts w:cs="Arial"/>
        <w:sz w:val="21"/>
        <w:szCs w:val="21"/>
      </w:rPr>
      <w:t>c</w:t>
    </w:r>
    <w:r w:rsidR="00056E6B">
      <w:rPr>
        <w:rFonts w:cs="Arial"/>
        <w:sz w:val="21"/>
        <w:szCs w:val="21"/>
      </w:rPr>
      <w:t>ategories</w:t>
    </w:r>
  </w:p>
  <w:p w14:paraId="7C42F8E6" w14:textId="4A9B5919" w:rsidR="00D91881" w:rsidRPr="00D86CAC" w:rsidRDefault="00D86CAC" w:rsidP="00D86CAC">
    <w:pPr>
      <w:pStyle w:val="Footer"/>
      <w:jc w:val="right"/>
      <w:rPr>
        <w:rFonts w:cs="Arial"/>
        <w:sz w:val="21"/>
        <w:szCs w:val="21"/>
      </w:rPr>
    </w:pPr>
    <w:sdt>
      <w:sdtPr>
        <w:rPr>
          <w:rFonts w:cs="Arial"/>
          <w:sz w:val="21"/>
          <w:szCs w:val="21"/>
        </w:rPr>
        <w:id w:val="15620665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91881" w:rsidRPr="00D91881">
          <w:rPr>
            <w:rFonts w:cs="Arial"/>
            <w:sz w:val="21"/>
            <w:szCs w:val="21"/>
          </w:rPr>
          <w:fldChar w:fldCharType="begin"/>
        </w:r>
        <w:r w:rsidR="00D91881" w:rsidRPr="00D91881">
          <w:rPr>
            <w:rFonts w:cs="Arial"/>
            <w:sz w:val="21"/>
            <w:szCs w:val="21"/>
          </w:rPr>
          <w:instrText xml:space="preserve"> PAGE   \* MERGEFORMAT </w:instrText>
        </w:r>
        <w:r w:rsidR="00D91881" w:rsidRPr="00D91881">
          <w:rPr>
            <w:rFonts w:cs="Arial"/>
            <w:sz w:val="21"/>
            <w:szCs w:val="21"/>
          </w:rPr>
          <w:fldChar w:fldCharType="separate"/>
        </w:r>
        <w:r w:rsidR="001C6BCA">
          <w:rPr>
            <w:rFonts w:cs="Arial"/>
            <w:noProof/>
            <w:sz w:val="21"/>
            <w:szCs w:val="21"/>
          </w:rPr>
          <w:t>1</w:t>
        </w:r>
        <w:r w:rsidR="00D91881" w:rsidRPr="00D91881">
          <w:rPr>
            <w:rFonts w:cs="Arial"/>
            <w:noProof/>
            <w:sz w:val="21"/>
            <w:szCs w:val="2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85C8" w14:textId="77777777" w:rsidR="00A1213A" w:rsidRDefault="00A1213A" w:rsidP="005A68F6">
      <w:pPr>
        <w:spacing w:after="0"/>
      </w:pPr>
      <w:r>
        <w:separator/>
      </w:r>
    </w:p>
  </w:footnote>
  <w:footnote w:type="continuationSeparator" w:id="0">
    <w:p w14:paraId="54DABD69" w14:textId="77777777" w:rsidR="00A1213A" w:rsidRDefault="00A1213A" w:rsidP="005A68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72CA8" w14:textId="22120E42" w:rsidR="00133975" w:rsidRPr="00D86CAC" w:rsidRDefault="00133975">
    <w:pPr>
      <w:pStyle w:val="Header"/>
    </w:pPr>
    <w:r>
      <w:rPr>
        <w:noProof/>
        <w:lang w:eastAsia="en-AU"/>
      </w:rPr>
      <w:drawing>
        <wp:inline distT="0" distB="0" distL="0" distR="0" wp14:anchorId="313D30EE" wp14:editId="51AADA21">
          <wp:extent cx="5731510" cy="937137"/>
          <wp:effectExtent l="0" t="0" r="2540" b="0"/>
          <wp:docPr id="5" name="Picture 5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31510" cy="93713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31C6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842A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B42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F44A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770B13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432E9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2025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806E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0AD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B69A1"/>
    <w:multiLevelType w:val="hybridMultilevel"/>
    <w:tmpl w:val="CD3E7684"/>
    <w:lvl w:ilvl="0" w:tplc="1CF67A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BD2E6F"/>
    <w:multiLevelType w:val="hybridMultilevel"/>
    <w:tmpl w:val="23BC4CE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440"/>
    <w:rsid w:val="00056E6B"/>
    <w:rsid w:val="0007501E"/>
    <w:rsid w:val="000A47A4"/>
    <w:rsid w:val="000F7B87"/>
    <w:rsid w:val="00101984"/>
    <w:rsid w:val="00117E9A"/>
    <w:rsid w:val="00133975"/>
    <w:rsid w:val="00146F0B"/>
    <w:rsid w:val="00190B8B"/>
    <w:rsid w:val="001C6BCA"/>
    <w:rsid w:val="001D6B99"/>
    <w:rsid w:val="002459A7"/>
    <w:rsid w:val="00263DF5"/>
    <w:rsid w:val="00264FF5"/>
    <w:rsid w:val="00274A94"/>
    <w:rsid w:val="00280050"/>
    <w:rsid w:val="002E5440"/>
    <w:rsid w:val="00350480"/>
    <w:rsid w:val="003E7ACB"/>
    <w:rsid w:val="003F4191"/>
    <w:rsid w:val="00410508"/>
    <w:rsid w:val="004564AC"/>
    <w:rsid w:val="00471B2A"/>
    <w:rsid w:val="00476E23"/>
    <w:rsid w:val="004E732C"/>
    <w:rsid w:val="00522C8C"/>
    <w:rsid w:val="005A165F"/>
    <w:rsid w:val="005A68F6"/>
    <w:rsid w:val="005D4E7E"/>
    <w:rsid w:val="006D3AF6"/>
    <w:rsid w:val="006F52E0"/>
    <w:rsid w:val="00704198"/>
    <w:rsid w:val="00733468"/>
    <w:rsid w:val="008531F3"/>
    <w:rsid w:val="008D10A3"/>
    <w:rsid w:val="008E26F7"/>
    <w:rsid w:val="008E42E4"/>
    <w:rsid w:val="009451BC"/>
    <w:rsid w:val="00953639"/>
    <w:rsid w:val="009554AE"/>
    <w:rsid w:val="00A1213A"/>
    <w:rsid w:val="00BF0CF2"/>
    <w:rsid w:val="00C83E21"/>
    <w:rsid w:val="00CB2E47"/>
    <w:rsid w:val="00D061E0"/>
    <w:rsid w:val="00D45F71"/>
    <w:rsid w:val="00D75FD1"/>
    <w:rsid w:val="00D86CAC"/>
    <w:rsid w:val="00D91881"/>
    <w:rsid w:val="00D95309"/>
    <w:rsid w:val="00DD31A1"/>
    <w:rsid w:val="00DF2CC3"/>
    <w:rsid w:val="00E42ADD"/>
    <w:rsid w:val="00ED10D7"/>
    <w:rsid w:val="00F14D6C"/>
    <w:rsid w:val="00F56F67"/>
    <w:rsid w:val="00FD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236376"/>
  <w15:chartTrackingRefBased/>
  <w15:docId w15:val="{E2604AFF-9703-4A7B-82A4-7F8C8324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CAC"/>
    <w:pPr>
      <w:spacing w:before="120" w:after="120" w:line="240" w:lineRule="auto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D86CAC"/>
    <w:pPr>
      <w:keepNext/>
      <w:spacing w:before="240" w:after="60"/>
      <w:outlineLvl w:val="0"/>
    </w:pPr>
    <w:rPr>
      <w:rFonts w:eastAsia="Times New Roman" w:cs="Arial"/>
      <w:b/>
      <w:bCs/>
      <w:color w:val="3F4A75"/>
      <w:kern w:val="28"/>
      <w:sz w:val="36"/>
      <w:szCs w:val="36"/>
    </w:rPr>
  </w:style>
  <w:style w:type="paragraph" w:styleId="Heading2">
    <w:name w:val="heading 2"/>
    <w:next w:val="Paragraphtext"/>
    <w:link w:val="Heading2Char"/>
    <w:qFormat/>
    <w:rsid w:val="00D86CAC"/>
    <w:pPr>
      <w:keepNext/>
      <w:spacing w:before="120" w:after="120" w:line="240" w:lineRule="auto"/>
      <w:outlineLvl w:val="1"/>
    </w:pPr>
    <w:rPr>
      <w:rFonts w:ascii="Arial" w:eastAsia="Times New Roman" w:hAnsi="Arial" w:cs="Arial"/>
      <w:bCs/>
      <w:iCs/>
      <w:color w:val="358189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6CAC"/>
    <w:rPr>
      <w:rFonts w:ascii="Arial" w:eastAsia="Times New Roman" w:hAnsi="Arial" w:cs="Arial"/>
      <w:b/>
      <w:bCs/>
      <w:color w:val="3F4A75"/>
      <w:kern w:val="28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D86CAC"/>
    <w:rPr>
      <w:rFonts w:ascii="Arial" w:eastAsia="Times New Roman" w:hAnsi="Arial" w:cs="Arial"/>
      <w:bCs/>
      <w:iCs/>
      <w:color w:val="358189"/>
      <w:sz w:val="32"/>
      <w:szCs w:val="28"/>
    </w:rPr>
  </w:style>
  <w:style w:type="paragraph" w:customStyle="1" w:styleId="Paragraphtext">
    <w:name w:val="Paragraph text"/>
    <w:basedOn w:val="Normal"/>
    <w:qFormat/>
    <w:rsid w:val="002E5440"/>
    <w:pPr>
      <w:spacing w:after="60"/>
    </w:pPr>
    <w:rPr>
      <w:rFonts w:eastAsia="Times New Roman"/>
      <w:color w:val="000000" w:themeColor="text1"/>
      <w:sz w:val="21"/>
    </w:rPr>
  </w:style>
  <w:style w:type="paragraph" w:customStyle="1" w:styleId="TableText">
    <w:name w:val="Table Text"/>
    <w:autoRedefine/>
    <w:qFormat/>
    <w:locked/>
    <w:rsid w:val="00133975"/>
    <w:pPr>
      <w:spacing w:before="60" w:after="60" w:line="240" w:lineRule="auto"/>
    </w:pPr>
    <w:rPr>
      <w:rFonts w:ascii="Arial" w:eastAsia="Times New Roman" w:hAnsi="Arial" w:cs="Arial"/>
      <w:color w:val="000000" w:themeColor="text1"/>
      <w:sz w:val="22"/>
      <w:szCs w:val="22"/>
      <w:lang w:eastAsia="en-AU"/>
    </w:rPr>
  </w:style>
  <w:style w:type="paragraph" w:customStyle="1" w:styleId="TableHeaderWhite">
    <w:name w:val="Table Header White"/>
    <w:basedOn w:val="Normal"/>
    <w:next w:val="TableText"/>
    <w:qFormat/>
    <w:rsid w:val="002E5440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customStyle="1" w:styleId="DepartmentofHealthtable">
    <w:name w:val="Department of Health table"/>
    <w:basedOn w:val="TableNormal"/>
    <w:uiPriority w:val="99"/>
    <w:rsid w:val="00D86CAC"/>
    <w:pPr>
      <w:spacing w:after="0" w:line="240" w:lineRule="auto"/>
    </w:pPr>
    <w:rPr>
      <w:rFonts w:ascii="Arial" w:eastAsia="Times New Roman" w:hAnsi="Arial"/>
      <w:color w:val="000000" w:themeColor="text1"/>
      <w:sz w:val="21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">
    <w:name w:val="Table title"/>
    <w:basedOn w:val="Normal"/>
    <w:rsid w:val="002E5440"/>
    <w:rPr>
      <w:rFonts w:eastAsia="Times New Roman"/>
      <w:b/>
      <w:bCs/>
      <w:color w:val="000000" w:themeColor="text1"/>
      <w:szCs w:val="20"/>
    </w:rPr>
  </w:style>
  <w:style w:type="paragraph" w:styleId="ListBullet">
    <w:name w:val="List Bullet"/>
    <w:basedOn w:val="Normal"/>
    <w:qFormat/>
    <w:rsid w:val="00D86CAC"/>
    <w:pPr>
      <w:numPr>
        <w:numId w:val="2"/>
      </w:numPr>
      <w:spacing w:before="60" w:after="60"/>
      <w:ind w:left="357" w:hanging="357"/>
    </w:pPr>
    <w:rPr>
      <w:rFonts w:eastAsia="Times New Roman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5A68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A68F6"/>
  </w:style>
  <w:style w:type="paragraph" w:styleId="Footer">
    <w:name w:val="footer"/>
    <w:basedOn w:val="Normal"/>
    <w:link w:val="FooterChar"/>
    <w:uiPriority w:val="99"/>
    <w:unhideWhenUsed/>
    <w:rsid w:val="005A68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A68F6"/>
  </w:style>
  <w:style w:type="paragraph" w:styleId="Subtitle">
    <w:name w:val="Subtitle"/>
    <w:next w:val="Normal"/>
    <w:link w:val="SubtitleChar"/>
    <w:uiPriority w:val="11"/>
    <w:qFormat/>
    <w:rsid w:val="005A68F6"/>
    <w:pPr>
      <w:numPr>
        <w:ilvl w:val="1"/>
      </w:numPr>
      <w:spacing w:before="120" w:after="60" w:line="240" w:lineRule="auto"/>
    </w:pPr>
    <w:rPr>
      <w:rFonts w:ascii="Arial" w:eastAsiaTheme="majorEastAsia" w:hAnsi="Arial" w:cstheme="majorBidi"/>
      <w:iCs/>
      <w:color w:val="3F4A75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A68F6"/>
    <w:rPr>
      <w:rFonts w:ascii="Arial" w:eastAsiaTheme="majorEastAsia" w:hAnsi="Arial" w:cstheme="majorBidi"/>
      <w:iCs/>
      <w:color w:val="3F4A75"/>
      <w:spacing w:val="15"/>
      <w:sz w:val="40"/>
    </w:rPr>
  </w:style>
  <w:style w:type="character" w:styleId="Hyperlink">
    <w:name w:val="Hyperlink"/>
    <w:basedOn w:val="DefaultParagraphFont"/>
    <w:uiPriority w:val="99"/>
    <w:unhideWhenUsed/>
    <w:rsid w:val="00190B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1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1E0"/>
    <w:rPr>
      <w:rFonts w:ascii="Segoe UI" w:hAnsi="Segoe UI" w:cs="Segoe UI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D86CAC"/>
    <w:pPr>
      <w:spacing w:before="120" w:after="120" w:line="240" w:lineRule="auto"/>
    </w:pPr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CAC"/>
    <w:rPr>
      <w:rFonts w:ascii="Arial" w:eastAsiaTheme="majorEastAsia" w:hAnsi="Arial" w:cstheme="majorBidi"/>
      <w:color w:val="44546A" w:themeColor="text2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86CA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86CAC"/>
    <w:rPr>
      <w:b/>
      <w:bCs/>
    </w:rPr>
  </w:style>
  <w:style w:type="paragraph" w:styleId="Caption">
    <w:name w:val="caption"/>
    <w:next w:val="Normal"/>
    <w:uiPriority w:val="35"/>
    <w:unhideWhenUsed/>
    <w:qFormat/>
    <w:rsid w:val="00D86CAC"/>
    <w:pPr>
      <w:keepNext/>
      <w:spacing w:before="120" w:after="60" w:line="240" w:lineRule="auto"/>
    </w:pPr>
    <w:rPr>
      <w:rFonts w:ascii="Arial" w:hAnsi="Arial"/>
      <w:b/>
      <w:iCs/>
      <w:color w:val="44546A" w:themeColor="text2"/>
      <w:sz w:val="20"/>
      <w:szCs w:val="18"/>
    </w:rPr>
  </w:style>
  <w:style w:type="table" w:styleId="TableGrid">
    <w:name w:val="Table Grid"/>
    <w:basedOn w:val="TableNormal"/>
    <w:uiPriority w:val="39"/>
    <w:rsid w:val="00D86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6CAC"/>
    <w:pPr>
      <w:spacing w:after="24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resources/publications/making-a-claim-to-the-eaf-fact-sheet" TargetMode="External"/><Relationship Id="rId13" Type="http://schemas.openxmlformats.org/officeDocument/2006/relationships/hyperlink" Target="http://www.health.gov.au/initiatives-and-programs/australian-thalidomide-survivors-support-progr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halidomide.claims@servicesaustralia.gov.a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vicesaustralia.gov.au/thalidomi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ealth.gov.au/resources/publications/making-a-claim-to-the-hcaf-fact-shee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eaf-support-categories-fact-shee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D6F8A-98B8-460E-AC02-C06E7B4B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6286</Characters>
  <Application>Microsoft Office Word</Application>
  <DocSecurity>4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Care Assistance Fund (HCAF) factsheet – HCAF support categories</vt:lpstr>
    </vt:vector>
  </TitlesOfParts>
  <Company>Department of Health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Care Assistance Fund (HCAF) factsheet – HCAF support categories</dc:title>
  <dc:subject>Chronic conditions</dc:subject>
  <dc:creator>Australian Government Department of Health</dc:creator>
  <cp:keywords>Health Care Assistance Fund (HCAF); fact sheet; Chronic conditions; Australian Thalidomide Survivors Support Program</cp:keywords>
  <dc:description>_x000d_
</dc:description>
  <cp:lastModifiedBy>Elvia</cp:lastModifiedBy>
  <cp:revision>2</cp:revision>
  <dcterms:created xsi:type="dcterms:W3CDTF">2022-08-02T07:11:00Z</dcterms:created>
  <dcterms:modified xsi:type="dcterms:W3CDTF">2022-08-02T07:11:00Z</dcterms:modified>
  <cp:category> </cp:category>
</cp:coreProperties>
</file>