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E8DA5" w14:textId="77777777" w:rsidR="0093200A" w:rsidRPr="007C6E38" w:rsidRDefault="0093200A" w:rsidP="00AB7489">
      <w:pPr>
        <w:pStyle w:val="Title"/>
      </w:pPr>
      <w:r w:rsidRPr="007C6E38">
        <w:t xml:space="preserve">Extraordinary Assistance Fund </w:t>
      </w:r>
      <w:r w:rsidR="00496946">
        <w:t>(EAF)</w:t>
      </w:r>
    </w:p>
    <w:p w14:paraId="3B8CC07E" w14:textId="3D630B85" w:rsidR="0093200A" w:rsidRPr="007C6E38" w:rsidRDefault="0093200A" w:rsidP="00AB7489">
      <w:pPr>
        <w:pStyle w:val="Heading1"/>
        <w:rPr>
          <w:b w:val="0"/>
        </w:rPr>
      </w:pPr>
      <w:r w:rsidRPr="007C6E38">
        <w:t>Fact</w:t>
      </w:r>
      <w:r w:rsidR="00AB7489">
        <w:t xml:space="preserve"> </w:t>
      </w:r>
      <w:r w:rsidRPr="007C6E38">
        <w:t>sheet</w:t>
      </w:r>
      <w:r w:rsidR="003505E8">
        <w:t xml:space="preserve"> – </w:t>
      </w:r>
      <w:r w:rsidR="0091044E">
        <w:t xml:space="preserve">EAF </w:t>
      </w:r>
      <w:r w:rsidR="00074C39">
        <w:t>support c</w:t>
      </w:r>
      <w:r w:rsidR="003505E8">
        <w:t>ategories</w:t>
      </w:r>
    </w:p>
    <w:p w14:paraId="21C17B8A" w14:textId="4705BF5F" w:rsidR="00324785" w:rsidRPr="0093200A" w:rsidRDefault="00324785" w:rsidP="0093200A">
      <w:pPr>
        <w:pStyle w:val="Heading2"/>
        <w:rPr>
          <w:bCs w:val="0"/>
          <w:iCs w:val="0"/>
        </w:rPr>
      </w:pPr>
      <w:r w:rsidRPr="0093200A">
        <w:rPr>
          <w:bCs w:val="0"/>
          <w:iCs w:val="0"/>
        </w:rPr>
        <w:t>Australian Thalidomide Survivors Support Program</w:t>
      </w:r>
    </w:p>
    <w:p w14:paraId="16AD27D7" w14:textId="77777777" w:rsidR="00324785" w:rsidRDefault="00324785" w:rsidP="00AB7489">
      <w:pPr>
        <w:rPr>
          <w:iCs/>
        </w:rPr>
      </w:pPr>
      <w:r>
        <w:t xml:space="preserve">The information provided in this factsheet is for </w:t>
      </w:r>
      <w:r w:rsidR="004C65CE">
        <w:t>thalidomide survivors registered with</w:t>
      </w:r>
      <w:r w:rsidRPr="00850C97">
        <w:t xml:space="preserve"> the Australian Thalidomide Survivors Support Program (the Program)</w:t>
      </w:r>
      <w:r>
        <w:t xml:space="preserve">  </w:t>
      </w:r>
    </w:p>
    <w:p w14:paraId="0BDE1A42" w14:textId="77777777" w:rsidR="00324785" w:rsidRDefault="00324785" w:rsidP="00AB7489">
      <w:pPr>
        <w:rPr>
          <w:iCs/>
        </w:rPr>
      </w:pPr>
      <w:r w:rsidRPr="00850C97">
        <w:t xml:space="preserve">This factsheet provides information about the </w:t>
      </w:r>
      <w:r w:rsidR="004C65CE">
        <w:t>goods and/or services you can receive support for under the E</w:t>
      </w:r>
      <w:r w:rsidRPr="00850C97">
        <w:t>xtraordinary Assistance Fund (EAF)</w:t>
      </w:r>
      <w:r w:rsidR="00A8093E">
        <w:t>.</w:t>
      </w:r>
      <w:r w:rsidRPr="00850C97">
        <w:t xml:space="preserve"> </w:t>
      </w:r>
    </w:p>
    <w:p w14:paraId="62A1FD76" w14:textId="77777777" w:rsidR="00324785" w:rsidRDefault="00324785" w:rsidP="00324785">
      <w:pPr>
        <w:pStyle w:val="Heading2"/>
        <w:rPr>
          <w:bCs w:val="0"/>
          <w:iCs w:val="0"/>
        </w:rPr>
      </w:pPr>
      <w:r w:rsidRPr="004B142D">
        <w:rPr>
          <w:bCs w:val="0"/>
          <w:iCs w:val="0"/>
        </w:rPr>
        <w:t xml:space="preserve">About the Program </w:t>
      </w:r>
    </w:p>
    <w:p w14:paraId="7B858D80" w14:textId="5313D846" w:rsidR="00324785" w:rsidRPr="00AB7489" w:rsidRDefault="00324785" w:rsidP="00AB7489">
      <w:r w:rsidRPr="00087C31">
        <w:t xml:space="preserve">The </w:t>
      </w:r>
      <w:r>
        <w:t>Program</w:t>
      </w:r>
      <w:r w:rsidRPr="00087C31">
        <w:t xml:space="preserve"> is an Australian Government program </w:t>
      </w:r>
      <w:r>
        <w:t>ai</w:t>
      </w:r>
      <w:r w:rsidRPr="00AB0404">
        <w:t>med</w:t>
      </w:r>
      <w:r w:rsidRPr="00087C31">
        <w:t xml:space="preserve"> at providing financial support to Australian thalidomide survivors. The Program includes a </w:t>
      </w:r>
      <w:r w:rsidR="00074C39">
        <w:t>Health Care Assistance Fund (</w:t>
      </w:r>
      <w:r w:rsidR="000F372D">
        <w:t>HCAF</w:t>
      </w:r>
      <w:r w:rsidR="00074C39">
        <w:t>)</w:t>
      </w:r>
      <w:r w:rsidR="000F372D">
        <w:t xml:space="preserve"> </w:t>
      </w:r>
      <w:r w:rsidRPr="00087C31">
        <w:t xml:space="preserve">and </w:t>
      </w:r>
      <w:r>
        <w:t xml:space="preserve">an </w:t>
      </w:r>
      <w:r w:rsidR="000F372D">
        <w:t>EAF</w:t>
      </w:r>
      <w:r w:rsidRPr="00087C31">
        <w:t xml:space="preserve"> which provide health, medical and daily living support to eligible Australian thalidomide survivors. </w:t>
      </w:r>
    </w:p>
    <w:p w14:paraId="4D926E72" w14:textId="77777777" w:rsidR="00324785" w:rsidRPr="00850C97" w:rsidRDefault="00324785" w:rsidP="00324785">
      <w:pPr>
        <w:pStyle w:val="Heading2"/>
      </w:pPr>
      <w:r w:rsidRPr="00850C97">
        <w:t>What is the Extr</w:t>
      </w:r>
      <w:r>
        <w:t>aordinary Assistance Fund (EAF)?</w:t>
      </w:r>
    </w:p>
    <w:p w14:paraId="05A3EA80" w14:textId="77777777" w:rsidR="00324785" w:rsidRPr="004B142D" w:rsidRDefault="00324785" w:rsidP="00AB7489">
      <w:pPr>
        <w:rPr>
          <w:iCs/>
        </w:rPr>
      </w:pPr>
      <w:r w:rsidRPr="004B142D">
        <w:t xml:space="preserve">The EAF is intended to help cover the costs of goods and/or services </w:t>
      </w:r>
      <w:r w:rsidR="00C22E8D" w:rsidRPr="00C22E8D">
        <w:t>supplied and received in Australia</w:t>
      </w:r>
      <w:r w:rsidR="00FF0E6A">
        <w:t>,</w:t>
      </w:r>
      <w:r w:rsidR="00C22E8D" w:rsidRPr="00C22E8D">
        <w:t xml:space="preserve"> </w:t>
      </w:r>
      <w:r w:rsidRPr="004B142D">
        <w:t xml:space="preserve">to assist with activities of daily living, </w:t>
      </w:r>
      <w:r w:rsidRPr="00AB7489">
        <w:t>impacted</w:t>
      </w:r>
      <w:r w:rsidRPr="004B142D">
        <w:t xml:space="preserve"> as a</w:t>
      </w:r>
      <w:r w:rsidR="00C22E8D">
        <w:t xml:space="preserve"> likely</w:t>
      </w:r>
      <w:r w:rsidR="00781972">
        <w:t xml:space="preserve"> consequence of thalidomide</w:t>
      </w:r>
      <w:r w:rsidR="00781972">
        <w:noBreakHyphen/>
      </w:r>
      <w:r w:rsidRPr="004B142D">
        <w:t>related injuries. This may include:</w:t>
      </w:r>
    </w:p>
    <w:p w14:paraId="7C67F73B" w14:textId="77777777" w:rsidR="00324785" w:rsidRPr="004B142D" w:rsidRDefault="00324785" w:rsidP="00324785">
      <w:pPr>
        <w:pStyle w:val="ListBullet"/>
      </w:pPr>
      <w:r w:rsidRPr="004B142D">
        <w:t xml:space="preserve">assistance with personal domestic activities and self-care </w:t>
      </w:r>
      <w:proofErr w:type="gramStart"/>
      <w:r w:rsidRPr="004B142D">
        <w:t>activities;</w:t>
      </w:r>
      <w:proofErr w:type="gramEnd"/>
      <w:r w:rsidRPr="004B142D">
        <w:t xml:space="preserve"> </w:t>
      </w:r>
    </w:p>
    <w:p w14:paraId="3B847E42" w14:textId="77777777" w:rsidR="00324785" w:rsidRPr="004B142D" w:rsidRDefault="00324785" w:rsidP="00324785">
      <w:pPr>
        <w:pStyle w:val="ListBullet"/>
      </w:pPr>
      <w:r w:rsidRPr="004B142D">
        <w:t xml:space="preserve">personal aids and appliances, such as wheelchairs, scooters and </w:t>
      </w:r>
      <w:proofErr w:type="gramStart"/>
      <w:r w:rsidRPr="004B142D">
        <w:t>hoists;</w:t>
      </w:r>
      <w:proofErr w:type="gramEnd"/>
      <w:r w:rsidRPr="004B142D">
        <w:t xml:space="preserve"> </w:t>
      </w:r>
    </w:p>
    <w:p w14:paraId="64EC6C23" w14:textId="77777777" w:rsidR="00074C39" w:rsidRDefault="00074C39" w:rsidP="00324785">
      <w:pPr>
        <w:pStyle w:val="ListBullet"/>
      </w:pPr>
      <w:r>
        <w:t>assistive technology, such as household aids and appliances, and computer software;</w:t>
      </w:r>
    </w:p>
    <w:p w14:paraId="5CFD6377" w14:textId="3B5CD005" w:rsidR="00324785" w:rsidRPr="004B142D" w:rsidRDefault="00324785" w:rsidP="00324785">
      <w:pPr>
        <w:pStyle w:val="ListBullet"/>
      </w:pPr>
      <w:r w:rsidRPr="004B142D">
        <w:t xml:space="preserve">vehicle modifications, such as accessories/adaptations for driver control, car access </w:t>
      </w:r>
      <w:r>
        <w:t xml:space="preserve">lifter/hoist; </w:t>
      </w:r>
      <w:r w:rsidRPr="004B142D">
        <w:t xml:space="preserve">and </w:t>
      </w:r>
    </w:p>
    <w:p w14:paraId="7FDDA385" w14:textId="77777777" w:rsidR="00324785" w:rsidRPr="004B142D" w:rsidRDefault="00324785" w:rsidP="00324785">
      <w:pPr>
        <w:pStyle w:val="ListBullet"/>
      </w:pPr>
      <w:r w:rsidRPr="004B142D">
        <w:t xml:space="preserve">home modifications, such as necessary renovations/installations, slip resistant coatings, </w:t>
      </w:r>
      <w:r>
        <w:t xml:space="preserve">grab </w:t>
      </w:r>
      <w:r w:rsidRPr="004B142D">
        <w:t xml:space="preserve">and/or guide rails and ramps. </w:t>
      </w:r>
    </w:p>
    <w:p w14:paraId="74D7169B" w14:textId="77777777" w:rsidR="00496946" w:rsidRPr="00AB7489" w:rsidRDefault="00324785" w:rsidP="00AB7489">
      <w:r w:rsidRPr="004B142D">
        <w:t xml:space="preserve">The EAF is intended to cover costs that </w:t>
      </w:r>
      <w:r w:rsidR="00072FC0">
        <w:t xml:space="preserve">you are not eligible </w:t>
      </w:r>
      <w:r w:rsidR="00927C31">
        <w:t>to receive support for through existing mechanisms and schemes, such as</w:t>
      </w:r>
      <w:r w:rsidRPr="004B142D">
        <w:t xml:space="preserve"> the National Disability Insurance Scheme (NDIS) and/or any other relevant Australian, state or </w:t>
      </w:r>
      <w:r w:rsidRPr="00AB7489">
        <w:t xml:space="preserve">territory government </w:t>
      </w:r>
      <w:proofErr w:type="gramStart"/>
      <w:r w:rsidRPr="00AB7489">
        <w:t>schemes;</w:t>
      </w:r>
      <w:proofErr w:type="gramEnd"/>
      <w:r w:rsidRPr="00AB7489">
        <w:t xml:space="preserve"> or private insurance.</w:t>
      </w:r>
    </w:p>
    <w:p w14:paraId="7A8B2AB9" w14:textId="7630805C" w:rsidR="004062F3" w:rsidRPr="00AB7489" w:rsidRDefault="004062F3" w:rsidP="00AB7489">
      <w:r w:rsidRPr="00AB7489">
        <w:t>For information about the support available to he</w:t>
      </w:r>
      <w:r w:rsidRPr="004062F3">
        <w:t>lp cover out</w:t>
      </w:r>
      <w:r w:rsidR="0053341A">
        <w:t>-</w:t>
      </w:r>
      <w:r w:rsidRPr="004062F3">
        <w:t>of</w:t>
      </w:r>
      <w:r w:rsidR="0053341A">
        <w:t>-</w:t>
      </w:r>
      <w:r w:rsidRPr="004062F3">
        <w:t xml:space="preserve">pocket health care expenses, please refer to </w:t>
      </w:r>
      <w:hyperlink r:id="rId8" w:history="1">
        <w:r w:rsidR="00AB7489" w:rsidRPr="00AB7489">
          <w:rPr>
            <w:rStyle w:val="Hyperlink"/>
          </w:rPr>
          <w:t>Fact sheet - Making a claim to the HCAF</w:t>
        </w:r>
      </w:hyperlink>
      <w:r w:rsidR="00AB7489">
        <w:t xml:space="preserve"> </w:t>
      </w:r>
      <w:r w:rsidRPr="004062F3">
        <w:t xml:space="preserve">and </w:t>
      </w:r>
      <w:hyperlink r:id="rId9" w:history="1">
        <w:r w:rsidR="00AB7489">
          <w:rPr>
            <w:rStyle w:val="Hyperlink"/>
          </w:rPr>
          <w:t>Fact sheet – HCAF support categories</w:t>
        </w:r>
      </w:hyperlink>
      <w:r w:rsidRPr="00AB7489">
        <w:t>.</w:t>
      </w:r>
    </w:p>
    <w:p w14:paraId="47F2E322" w14:textId="77777777" w:rsidR="0093200A" w:rsidRDefault="0093200A" w:rsidP="003518A9">
      <w:pPr>
        <w:pStyle w:val="Heading2"/>
      </w:pPr>
      <w:r>
        <w:t xml:space="preserve">What </w:t>
      </w:r>
      <w:r w:rsidR="00FC1B27">
        <w:t>goods</w:t>
      </w:r>
      <w:r>
        <w:t xml:space="preserve"> and</w:t>
      </w:r>
      <w:r w:rsidR="00FC1B27">
        <w:t>/or</w:t>
      </w:r>
      <w:r>
        <w:t xml:space="preserve"> services can I claim</w:t>
      </w:r>
      <w:r w:rsidR="00FC1B27">
        <w:t xml:space="preserve"> under the EAF</w:t>
      </w:r>
      <w:r>
        <w:t xml:space="preserve">? </w:t>
      </w:r>
    </w:p>
    <w:p w14:paraId="4674529C" w14:textId="22A98AD7" w:rsidR="0093200A" w:rsidRPr="00AB7489" w:rsidRDefault="0093200A" w:rsidP="00AB7489">
      <w:r w:rsidRPr="00AB7489">
        <w:t xml:space="preserve">The table </w:t>
      </w:r>
      <w:r w:rsidR="00F36CC8" w:rsidRPr="00AB7489">
        <w:t>following</w:t>
      </w:r>
      <w:r w:rsidRPr="00AB7489">
        <w:t xml:space="preserve"> outlines examples of </w:t>
      </w:r>
      <w:r w:rsidR="0091044E" w:rsidRPr="00AB7489">
        <w:t xml:space="preserve">goods and/or services </w:t>
      </w:r>
      <w:r w:rsidRPr="00AB7489">
        <w:t xml:space="preserve">eligible </w:t>
      </w:r>
      <w:r w:rsidR="0091044E" w:rsidRPr="00AB7489">
        <w:t>or</w:t>
      </w:r>
      <w:r w:rsidRPr="00AB7489">
        <w:t xml:space="preserve"> </w:t>
      </w:r>
      <w:r w:rsidR="007A05EC" w:rsidRPr="00AB7489">
        <w:t xml:space="preserve">ineligible </w:t>
      </w:r>
      <w:r w:rsidR="0091044E" w:rsidRPr="00AB7489">
        <w:t>to be claimed under</w:t>
      </w:r>
      <w:r w:rsidR="007A05EC" w:rsidRPr="00AB7489">
        <w:t xml:space="preserve"> the EAF.</w:t>
      </w:r>
      <w:r w:rsidR="00F71D18" w:rsidRPr="00AB7489">
        <w:t xml:space="preserve"> </w:t>
      </w:r>
      <w:r w:rsidRPr="00AB7489">
        <w:t>Claims for goods and</w:t>
      </w:r>
      <w:r w:rsidR="0091044E" w:rsidRPr="00AB7489">
        <w:t>/or</w:t>
      </w:r>
      <w:r w:rsidRPr="00AB7489">
        <w:t xml:space="preserve"> services that align with the intent and scope of the relevant fund, but are not specifically listed, will be considered on a case</w:t>
      </w:r>
      <w:r w:rsidR="0053341A" w:rsidRPr="00AB7489">
        <w:t>-</w:t>
      </w:r>
      <w:r w:rsidRPr="00AB7489">
        <w:t>by</w:t>
      </w:r>
      <w:r w:rsidR="0053341A" w:rsidRPr="00AB7489">
        <w:t>-</w:t>
      </w:r>
      <w:r w:rsidRPr="00AB7489">
        <w:t xml:space="preserve">case basis. </w:t>
      </w:r>
    </w:p>
    <w:p w14:paraId="4E4D069A" w14:textId="11058092" w:rsidR="00F71D18" w:rsidRPr="00AB7489" w:rsidRDefault="00F71D18" w:rsidP="00AB7489">
      <w:r w:rsidRPr="00AB7489">
        <w:lastRenderedPageBreak/>
        <w:t>Consideration should be given to return/refund policies and procedures, especially if purchasing custom</w:t>
      </w:r>
      <w:r w:rsidRPr="00AB7489">
        <w:noBreakHyphen/>
        <w:t>made products.</w:t>
      </w:r>
    </w:p>
    <w:p w14:paraId="779214D8" w14:textId="3644776D" w:rsidR="00FC1B27" w:rsidRPr="00AB7489" w:rsidRDefault="00FC1B27" w:rsidP="00AB7489">
      <w:r w:rsidRPr="00AB7489">
        <w:t xml:space="preserve">Further information about how to make a claim under the EAF is available in the </w:t>
      </w:r>
      <w:hyperlink r:id="rId10" w:history="1">
        <w:r w:rsidR="00AB7489" w:rsidRPr="00AB7489">
          <w:rPr>
            <w:rStyle w:val="Hyperlink"/>
          </w:rPr>
          <w:t>Fact sheet Making a claim to the EAF</w:t>
        </w:r>
      </w:hyperlink>
      <w:r w:rsidRPr="00AB7489">
        <w:t>.</w:t>
      </w:r>
    </w:p>
    <w:p w14:paraId="5981FAE5" w14:textId="4863A393" w:rsidR="0093200A" w:rsidRPr="00FC1B27" w:rsidRDefault="00AB7489" w:rsidP="00AB7489">
      <w:pPr>
        <w:pStyle w:val="Caption"/>
        <w:rPr>
          <w:b w:val="0"/>
          <w:lang w:val="en-US"/>
        </w:rPr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 w:rsidR="00F02F93">
        <w:rPr>
          <w:lang w:val="en-US"/>
        </w:rPr>
        <w:t>: EAF s</w:t>
      </w:r>
      <w:r w:rsidR="0093200A" w:rsidRPr="00FC1B27">
        <w:rPr>
          <w:lang w:val="en-US"/>
        </w:rPr>
        <w:t xml:space="preserve">upport </w:t>
      </w:r>
      <w:r w:rsidR="00F02F93">
        <w:rPr>
          <w:lang w:val="en-US"/>
        </w:rPr>
        <w:t>c</w:t>
      </w:r>
      <w:r w:rsidR="0093200A" w:rsidRPr="00FC1B27">
        <w:rPr>
          <w:lang w:val="en-US"/>
        </w:rPr>
        <w:t>ategories</w:t>
      </w:r>
    </w:p>
    <w:tbl>
      <w:tblPr>
        <w:tblStyle w:val="DepartmentofHealthtable"/>
        <w:tblW w:w="9072" w:type="dxa"/>
        <w:tblLook w:val="04A0" w:firstRow="1" w:lastRow="0" w:firstColumn="1" w:lastColumn="0" w:noHBand="0" w:noVBand="1"/>
      </w:tblPr>
      <w:tblGrid>
        <w:gridCol w:w="3327"/>
        <w:gridCol w:w="5745"/>
      </w:tblGrid>
      <w:tr w:rsidR="0093200A" w:rsidRPr="00AB7489" w14:paraId="45F94FE3" w14:textId="77777777" w:rsidTr="0007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6A82F65C" w14:textId="77777777" w:rsidR="0093200A" w:rsidRPr="00AB7489" w:rsidRDefault="0093200A" w:rsidP="00AB7489">
            <w:pPr>
              <w:pStyle w:val="TableHeaderWhite"/>
            </w:pPr>
            <w:r w:rsidRPr="00AB7489">
              <w:t xml:space="preserve">EAF Category  </w:t>
            </w:r>
          </w:p>
        </w:tc>
        <w:tc>
          <w:tcPr>
            <w:tcW w:w="5745" w:type="dxa"/>
          </w:tcPr>
          <w:p w14:paraId="3D321917" w14:textId="77777777" w:rsidR="0093200A" w:rsidRPr="00AB7489" w:rsidRDefault="0093200A" w:rsidP="00AB7489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7489">
              <w:t>ELIGIBLE goods and</w:t>
            </w:r>
            <w:r w:rsidR="00FC1B27" w:rsidRPr="00AB7489">
              <w:t>/or</w:t>
            </w:r>
            <w:r w:rsidRPr="00AB7489">
              <w:t xml:space="preserve"> services* - examples </w:t>
            </w:r>
          </w:p>
        </w:tc>
      </w:tr>
      <w:tr w:rsidR="0093200A" w:rsidRPr="003022B7" w14:paraId="6FB0A78E" w14:textId="77777777" w:rsidTr="0007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087A8AB7" w14:textId="77777777" w:rsidR="0093200A" w:rsidRPr="003022B7" w:rsidRDefault="0093200A" w:rsidP="00AB7489">
            <w:pPr>
              <w:pStyle w:val="TableText"/>
            </w:pPr>
            <w:r w:rsidRPr="003022B7">
              <w:t>Assistance with daily living - Service and support</w:t>
            </w:r>
          </w:p>
        </w:tc>
        <w:tc>
          <w:tcPr>
            <w:tcW w:w="5745" w:type="dxa"/>
          </w:tcPr>
          <w:p w14:paraId="60283A63" w14:textId="77777777" w:rsidR="0093200A" w:rsidRPr="003022B7" w:rsidRDefault="0093200A" w:rsidP="0053341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Assistance with personal domestic activities</w:t>
            </w:r>
          </w:p>
          <w:p w14:paraId="0254D2BE" w14:textId="77777777" w:rsidR="0093200A" w:rsidRPr="003022B7" w:rsidRDefault="0093200A" w:rsidP="0053341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House and/or yard maintenance</w:t>
            </w:r>
          </w:p>
          <w:p w14:paraId="0B257049" w14:textId="77777777" w:rsidR="0093200A" w:rsidRPr="003022B7" w:rsidRDefault="0093200A" w:rsidP="0053341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House cleaning and other household activities</w:t>
            </w:r>
          </w:p>
          <w:p w14:paraId="365148E9" w14:textId="1F8D2083" w:rsidR="0093200A" w:rsidRPr="003022B7" w:rsidRDefault="0093200A" w:rsidP="0053341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Assistance with the cost of preparation and delivery of meals</w:t>
            </w:r>
            <w:r w:rsidR="00AD1987" w:rsidRPr="003022B7">
              <w:t xml:space="preserve"> </w:t>
            </w:r>
            <w:r w:rsidR="00AD1987" w:rsidRPr="0053341A">
              <w:rPr>
                <w:i/>
                <w:iCs/>
              </w:rPr>
              <w:t>(refer to EAF and HCAF - Program Guidelines, Part 6. Additional claiming guidance for complex services)</w:t>
            </w:r>
          </w:p>
          <w:p w14:paraId="6FB63101" w14:textId="77777777" w:rsidR="0093200A" w:rsidRPr="003022B7" w:rsidRDefault="0093200A" w:rsidP="0053341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Assistance with self-care activities</w:t>
            </w:r>
          </w:p>
          <w:p w14:paraId="6766D971" w14:textId="56384386" w:rsidR="00F71D18" w:rsidRPr="003022B7" w:rsidRDefault="00F71D18" w:rsidP="0053341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Registered assistance animal</w:t>
            </w:r>
          </w:p>
        </w:tc>
      </w:tr>
      <w:tr w:rsidR="0093200A" w:rsidRPr="003022B7" w14:paraId="2B9D984B" w14:textId="77777777" w:rsidTr="00074C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6718D4D1" w14:textId="77777777" w:rsidR="0093200A" w:rsidRPr="003022B7" w:rsidRDefault="0093200A" w:rsidP="00AB7489">
            <w:pPr>
              <w:pStyle w:val="TableText"/>
            </w:pPr>
            <w:r w:rsidRPr="003022B7">
              <w:t>Assistive Technology - Household aids and appliances – Toileting and hygiene</w:t>
            </w:r>
          </w:p>
        </w:tc>
        <w:tc>
          <w:tcPr>
            <w:tcW w:w="5745" w:type="dxa"/>
          </w:tcPr>
          <w:p w14:paraId="3EA934DC" w14:textId="77777777" w:rsidR="0093200A" w:rsidRPr="003022B7" w:rsidRDefault="0093200A" w:rsidP="0053341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>Toilet attachments and accessories - Seat and/or toilet raiser / toileting bidet</w:t>
            </w:r>
          </w:p>
          <w:p w14:paraId="7C5DBB14" w14:textId="77777777" w:rsidR="0093200A" w:rsidRPr="003022B7" w:rsidRDefault="0093200A" w:rsidP="0053341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>Bathing support</w:t>
            </w:r>
          </w:p>
          <w:p w14:paraId="32DEE255" w14:textId="77777777" w:rsidR="0093200A" w:rsidRPr="003022B7" w:rsidRDefault="0093200A" w:rsidP="0053341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>Shower commode</w:t>
            </w:r>
          </w:p>
        </w:tc>
      </w:tr>
      <w:tr w:rsidR="0093200A" w:rsidRPr="003022B7" w14:paraId="2EF67BED" w14:textId="77777777" w:rsidTr="0007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57E83EAD" w14:textId="77777777" w:rsidR="0093200A" w:rsidRPr="003022B7" w:rsidRDefault="0093200A" w:rsidP="00AB7489">
            <w:pPr>
              <w:pStyle w:val="TableText"/>
            </w:pPr>
            <w:r w:rsidRPr="003022B7">
              <w:t>Assistive Technology - Household aids and appliances – Furniture and mobility devices</w:t>
            </w:r>
          </w:p>
        </w:tc>
        <w:tc>
          <w:tcPr>
            <w:tcW w:w="5745" w:type="dxa"/>
          </w:tcPr>
          <w:p w14:paraId="03B94CFE" w14:textId="77777777" w:rsidR="0093200A" w:rsidRPr="003022B7" w:rsidRDefault="0093200A" w:rsidP="0053341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Bed furniture: Over-bed table or support</w:t>
            </w:r>
          </w:p>
          <w:p w14:paraId="76CB4D17" w14:textId="77777777" w:rsidR="0093200A" w:rsidRPr="003022B7" w:rsidRDefault="0093200A" w:rsidP="0053341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Specialised seating with sit-stand assistance</w:t>
            </w:r>
          </w:p>
          <w:p w14:paraId="70595A9F" w14:textId="77777777" w:rsidR="0093200A" w:rsidRPr="003022B7" w:rsidRDefault="0093200A" w:rsidP="0053341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Electric / manual beds</w:t>
            </w:r>
          </w:p>
        </w:tc>
      </w:tr>
      <w:tr w:rsidR="0093200A" w:rsidRPr="003022B7" w14:paraId="14F9A31C" w14:textId="77777777" w:rsidTr="00074C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40FCF7CF" w14:textId="77777777" w:rsidR="0093200A" w:rsidRPr="003022B7" w:rsidRDefault="0093200A" w:rsidP="00AB7489">
            <w:pPr>
              <w:pStyle w:val="TableText"/>
            </w:pPr>
            <w:r w:rsidRPr="003022B7">
              <w:t>Assistive Technology - Assistive products for household tasks</w:t>
            </w:r>
          </w:p>
        </w:tc>
        <w:tc>
          <w:tcPr>
            <w:tcW w:w="5745" w:type="dxa"/>
          </w:tcPr>
          <w:p w14:paraId="43BB8954" w14:textId="77777777" w:rsidR="0093200A" w:rsidRPr="003022B7" w:rsidRDefault="0093200A" w:rsidP="0053341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>Adapted or assistive devices for phone/tablets/personal computers</w:t>
            </w:r>
          </w:p>
          <w:p w14:paraId="56E62BA0" w14:textId="77777777" w:rsidR="0093200A" w:rsidRPr="003022B7" w:rsidRDefault="0093200A" w:rsidP="0053341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>Access / alarms / clocks / programmable memory</w:t>
            </w:r>
          </w:p>
          <w:p w14:paraId="0C904026" w14:textId="6E274BE4" w:rsidR="00F71D18" w:rsidRPr="003022B7" w:rsidRDefault="00F71D18" w:rsidP="0053341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>Purchase or adaptation of general household items (e.g. appliances and/or furniture</w:t>
            </w:r>
            <w:r w:rsidRPr="003022B7">
              <w:rPr>
                <w:color w:val="auto"/>
              </w:rPr>
              <w:t xml:space="preserve">) required to better accommodate daily living and disability requirements, </w:t>
            </w:r>
            <w:r w:rsidRPr="003022B7">
              <w:t xml:space="preserve">in special circumstances (refer to </w:t>
            </w:r>
            <w:r w:rsidR="00074F3F" w:rsidRPr="003022B7">
              <w:rPr>
                <w:i/>
                <w:iCs/>
              </w:rPr>
              <w:t xml:space="preserve">EAF and HCAF - Program Guidelines, </w:t>
            </w:r>
            <w:r w:rsidRPr="003022B7">
              <w:rPr>
                <w:i/>
                <w:iCs/>
              </w:rPr>
              <w:t>Part 6. Additional claiming guidance for complex services</w:t>
            </w:r>
            <w:r w:rsidRPr="003022B7">
              <w:t>)</w:t>
            </w:r>
          </w:p>
        </w:tc>
      </w:tr>
      <w:tr w:rsidR="0093200A" w:rsidRPr="003022B7" w14:paraId="6C736B00" w14:textId="77777777" w:rsidTr="0007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47F33094" w14:textId="77777777" w:rsidR="0093200A" w:rsidRPr="003022B7" w:rsidRDefault="0093200A" w:rsidP="00AB7489">
            <w:pPr>
              <w:pStyle w:val="TableText"/>
            </w:pPr>
            <w:r w:rsidRPr="003022B7">
              <w:t>Assistive Technology - Personal aids and appliances – Mobility (including accessories)</w:t>
            </w:r>
          </w:p>
        </w:tc>
        <w:tc>
          <w:tcPr>
            <w:tcW w:w="5745" w:type="dxa"/>
          </w:tcPr>
          <w:p w14:paraId="579B7B93" w14:textId="77777777" w:rsidR="0093200A" w:rsidRPr="003022B7" w:rsidRDefault="0093200A" w:rsidP="0053341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Walking supports – Sticks / canes / crutches</w:t>
            </w:r>
          </w:p>
          <w:p w14:paraId="02E0A021" w14:textId="77777777" w:rsidR="0093200A" w:rsidRPr="003022B7" w:rsidRDefault="0093200A" w:rsidP="0053341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Walking frame or walker</w:t>
            </w:r>
          </w:p>
          <w:p w14:paraId="7E6BD0C6" w14:textId="77777777" w:rsidR="0093200A" w:rsidRPr="003022B7" w:rsidRDefault="0093200A" w:rsidP="0053341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Rollator and wheeled walkers</w:t>
            </w:r>
          </w:p>
          <w:p w14:paraId="09354461" w14:textId="77777777" w:rsidR="0093200A" w:rsidRPr="003022B7" w:rsidRDefault="0093200A" w:rsidP="0053341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Wheelchairs, including motorised</w:t>
            </w:r>
          </w:p>
          <w:p w14:paraId="5B8CFECD" w14:textId="77777777" w:rsidR="0093200A" w:rsidRPr="003022B7" w:rsidRDefault="0093200A" w:rsidP="0053341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Scooters</w:t>
            </w:r>
          </w:p>
          <w:p w14:paraId="4B17D5D7" w14:textId="77777777" w:rsidR="0093200A" w:rsidRPr="003022B7" w:rsidRDefault="0093200A" w:rsidP="0053341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Hoists</w:t>
            </w:r>
          </w:p>
        </w:tc>
      </w:tr>
      <w:tr w:rsidR="0093200A" w:rsidRPr="003022B7" w14:paraId="667B5727" w14:textId="77777777" w:rsidTr="00074C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22DCCD4C" w14:textId="77777777" w:rsidR="0093200A" w:rsidRPr="003022B7" w:rsidRDefault="0093200A" w:rsidP="00AB7489">
            <w:pPr>
              <w:pStyle w:val="TableText"/>
            </w:pPr>
            <w:r w:rsidRPr="003022B7">
              <w:lastRenderedPageBreak/>
              <w:t>Assistive Technology - Personal aids and appliances</w:t>
            </w:r>
          </w:p>
        </w:tc>
        <w:tc>
          <w:tcPr>
            <w:tcW w:w="5745" w:type="dxa"/>
          </w:tcPr>
          <w:p w14:paraId="0BBC9E7A" w14:textId="77777777" w:rsidR="0093200A" w:rsidRPr="003022B7" w:rsidRDefault="0093200A" w:rsidP="0053341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>Postural aids and appliances</w:t>
            </w:r>
          </w:p>
          <w:p w14:paraId="34EF09D3" w14:textId="77777777" w:rsidR="0093200A" w:rsidRPr="003022B7" w:rsidRDefault="0093200A" w:rsidP="0053341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>Pressure reduction aids</w:t>
            </w:r>
          </w:p>
          <w:p w14:paraId="5E1854D5" w14:textId="621C3297" w:rsidR="00074F3F" w:rsidRPr="003022B7" w:rsidRDefault="00074F3F" w:rsidP="0053341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>Clothing alterations</w:t>
            </w:r>
          </w:p>
        </w:tc>
      </w:tr>
      <w:tr w:rsidR="0093200A" w:rsidRPr="003022B7" w14:paraId="00EAA544" w14:textId="77777777" w:rsidTr="0007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24CB62F7" w14:textId="77777777" w:rsidR="0093200A" w:rsidRPr="003022B7" w:rsidRDefault="0093200A" w:rsidP="00AB7489">
            <w:pPr>
              <w:pStyle w:val="TableText"/>
            </w:pPr>
            <w:r w:rsidRPr="003022B7">
              <w:t>Assistive Technology - Personal aids and appliances – Communication and accessibility</w:t>
            </w:r>
          </w:p>
        </w:tc>
        <w:tc>
          <w:tcPr>
            <w:tcW w:w="5745" w:type="dxa"/>
          </w:tcPr>
          <w:p w14:paraId="29A05182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Mobile phone with voice output and text enlargement</w:t>
            </w:r>
          </w:p>
          <w:p w14:paraId="0663AF6A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Adapted landline telephone</w:t>
            </w:r>
          </w:p>
          <w:p w14:paraId="394D180D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Hearing devices and accessories</w:t>
            </w:r>
          </w:p>
          <w:p w14:paraId="5DA07A72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Vision devices and accessories</w:t>
            </w:r>
          </w:p>
          <w:p w14:paraId="70864B71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Head pointer</w:t>
            </w:r>
          </w:p>
          <w:p w14:paraId="6B091AB2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Note-taking / braille / tactile displays</w:t>
            </w:r>
          </w:p>
          <w:p w14:paraId="57520730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Personal reader - Speech and visual output</w:t>
            </w:r>
          </w:p>
        </w:tc>
      </w:tr>
      <w:tr w:rsidR="0093200A" w:rsidRPr="003022B7" w14:paraId="2020C74C" w14:textId="77777777" w:rsidTr="00074C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44D2D99A" w14:textId="77777777" w:rsidR="0093200A" w:rsidRPr="003022B7" w:rsidRDefault="0093200A" w:rsidP="00AB7489">
            <w:pPr>
              <w:pStyle w:val="TableText"/>
            </w:pPr>
            <w:r w:rsidRPr="003022B7">
              <w:t>Assistive Technology - Safety devices</w:t>
            </w:r>
          </w:p>
        </w:tc>
        <w:tc>
          <w:tcPr>
            <w:tcW w:w="5745" w:type="dxa"/>
          </w:tcPr>
          <w:p w14:paraId="67F2AFC0" w14:textId="77777777" w:rsidR="0093200A" w:rsidRPr="003022B7" w:rsidRDefault="0093200A" w:rsidP="00AB7489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>Adapted smoke detector</w:t>
            </w:r>
          </w:p>
          <w:p w14:paraId="644D5701" w14:textId="77777777" w:rsidR="0093200A" w:rsidRPr="003022B7" w:rsidRDefault="0093200A" w:rsidP="00AB7489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>Vibrating doorbells</w:t>
            </w:r>
          </w:p>
          <w:p w14:paraId="060F9DAE" w14:textId="77777777" w:rsidR="0093200A" w:rsidRPr="003022B7" w:rsidRDefault="0093200A" w:rsidP="00AB7489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>Personal safety alarms, including fall detection devices</w:t>
            </w:r>
          </w:p>
        </w:tc>
      </w:tr>
      <w:tr w:rsidR="0093200A" w:rsidRPr="003022B7" w14:paraId="36874813" w14:textId="77777777" w:rsidTr="0007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248A7319" w14:textId="60D33563" w:rsidR="0093200A" w:rsidRDefault="0093200A" w:rsidP="00AB7489">
            <w:pPr>
              <w:pStyle w:val="TableText"/>
            </w:pPr>
            <w:r w:rsidRPr="003022B7">
              <w:t>Home Modifications - Access and safety</w:t>
            </w:r>
          </w:p>
          <w:p w14:paraId="6E6E3A4E" w14:textId="1A904FEC" w:rsidR="0093200A" w:rsidRPr="003022B7" w:rsidRDefault="0053341A" w:rsidP="00AB7489">
            <w:pPr>
              <w:pStyle w:val="TableText"/>
            </w:pPr>
            <w:r w:rsidRPr="0053341A">
              <w:t>(Refer to EAF and HCAF - Program Guidelines, Part 6. Additional claiming guidance for complex services)</w:t>
            </w:r>
          </w:p>
        </w:tc>
        <w:tc>
          <w:tcPr>
            <w:tcW w:w="5745" w:type="dxa"/>
          </w:tcPr>
          <w:p w14:paraId="15BFB355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Slip resistance coating</w:t>
            </w:r>
          </w:p>
          <w:p w14:paraId="764F740E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Grab and/or guide rails</w:t>
            </w:r>
          </w:p>
          <w:p w14:paraId="6124356B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Ramps</w:t>
            </w:r>
          </w:p>
          <w:p w14:paraId="45223F49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Widening doorways</w:t>
            </w:r>
          </w:p>
          <w:p w14:paraId="4DE29F32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Stair climber or stair / platform lift</w:t>
            </w:r>
          </w:p>
          <w:p w14:paraId="0A022C8A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Elevator</w:t>
            </w:r>
          </w:p>
          <w:p w14:paraId="107368C7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Structural modifications to improve safety and access to frequently used areas</w:t>
            </w:r>
          </w:p>
        </w:tc>
      </w:tr>
      <w:tr w:rsidR="0093200A" w:rsidRPr="003022B7" w14:paraId="764AD91C" w14:textId="77777777" w:rsidTr="00074C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7EE4DA10" w14:textId="77777777" w:rsidR="0093200A" w:rsidRPr="003022B7" w:rsidRDefault="0093200A" w:rsidP="00AB7489">
            <w:pPr>
              <w:pStyle w:val="TableText"/>
            </w:pPr>
            <w:r w:rsidRPr="003022B7">
              <w:t>Home Modifications – Adaptive fixtures</w:t>
            </w:r>
          </w:p>
        </w:tc>
        <w:tc>
          <w:tcPr>
            <w:tcW w:w="5745" w:type="dxa"/>
          </w:tcPr>
          <w:p w14:paraId="2C8E9DDC" w14:textId="77777777" w:rsidR="0093200A" w:rsidRPr="003022B7" w:rsidRDefault="0093200A" w:rsidP="00AB7489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>Switches / taps</w:t>
            </w:r>
          </w:p>
        </w:tc>
      </w:tr>
      <w:tr w:rsidR="0093200A" w:rsidRPr="003022B7" w14:paraId="540FEF97" w14:textId="77777777" w:rsidTr="0007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01E623B1" w14:textId="77777777" w:rsidR="0093200A" w:rsidRPr="003022B7" w:rsidRDefault="0093200A" w:rsidP="00AB7489">
            <w:pPr>
              <w:pStyle w:val="TableText"/>
            </w:pPr>
            <w:r w:rsidRPr="003022B7">
              <w:t>Vehicle modifications</w:t>
            </w:r>
          </w:p>
          <w:p w14:paraId="3077FF5C" w14:textId="5D4027BB" w:rsidR="00487626" w:rsidRPr="0053341A" w:rsidRDefault="00487626" w:rsidP="00AB7489">
            <w:pPr>
              <w:pStyle w:val="TableText"/>
            </w:pPr>
            <w:r w:rsidRPr="0053341A">
              <w:t>(</w:t>
            </w:r>
            <w:r w:rsidR="0053341A" w:rsidRPr="0053341A">
              <w:t>R</w:t>
            </w:r>
            <w:r w:rsidRPr="0053341A">
              <w:t>efer to EAF and HCAF - Program Guidelines, Part 6. Additional claiming guidance for complex services)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14:paraId="068C2D63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Accessories / adaptions for driver control (</w:t>
            </w:r>
            <w:proofErr w:type="gramStart"/>
            <w:r w:rsidRPr="003022B7">
              <w:t>e.g.</w:t>
            </w:r>
            <w:proofErr w:type="gramEnd"/>
            <w:r w:rsidRPr="003022B7">
              <w:t xml:space="preserve"> steering / braking / accelerator)</w:t>
            </w:r>
          </w:p>
          <w:p w14:paraId="4AB5F4F3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Vehicle hoist – wheelchair (driver / passenger)</w:t>
            </w:r>
          </w:p>
          <w:p w14:paraId="2364C66F" w14:textId="77777777" w:rsidR="0093200A" w:rsidRPr="003022B7" w:rsidRDefault="0093200A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B7">
              <w:t>Wheelchair carrier / trailer</w:t>
            </w:r>
          </w:p>
          <w:p w14:paraId="4182DAC8" w14:textId="0535F420" w:rsidR="00487626" w:rsidRPr="003022B7" w:rsidRDefault="00487626" w:rsidP="00AB748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00A" w:rsidRPr="003022B7" w14:paraId="09D939FE" w14:textId="77777777" w:rsidTr="00074C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026751E5" w14:textId="77777777" w:rsidR="0093200A" w:rsidRPr="0053341A" w:rsidRDefault="0093200A" w:rsidP="00AB7489">
            <w:pPr>
              <w:pStyle w:val="TableText"/>
            </w:pPr>
            <w:r w:rsidRPr="0053341A">
              <w:t xml:space="preserve">Respite Care 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14:paraId="50BD7018" w14:textId="77777777" w:rsidR="0093200A" w:rsidRPr="003022B7" w:rsidRDefault="0093200A" w:rsidP="00AB7489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 xml:space="preserve">Short term respite care for survivors, for example, during events such as: </w:t>
            </w:r>
          </w:p>
          <w:p w14:paraId="0E822184" w14:textId="77777777" w:rsidR="0093200A" w:rsidRPr="003022B7" w:rsidRDefault="0093200A" w:rsidP="00AB7489">
            <w:pPr>
              <w:pStyle w:val="Table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 xml:space="preserve">death of a primary </w:t>
            </w:r>
            <w:proofErr w:type="gramStart"/>
            <w:r w:rsidRPr="003022B7">
              <w:t>carer;</w:t>
            </w:r>
            <w:proofErr w:type="gramEnd"/>
          </w:p>
          <w:p w14:paraId="314C7270" w14:textId="77777777" w:rsidR="0093200A" w:rsidRPr="003022B7" w:rsidRDefault="0093200A" w:rsidP="00AB7489">
            <w:pPr>
              <w:pStyle w:val="Table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>major illness of a primary carer; and</w:t>
            </w:r>
          </w:p>
          <w:p w14:paraId="5CCEEFFA" w14:textId="77777777" w:rsidR="0093200A" w:rsidRPr="003022B7" w:rsidRDefault="0093200A" w:rsidP="00AB7489">
            <w:pPr>
              <w:pStyle w:val="Table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2B7">
              <w:t>urgent situations where usual care is unable to be provided.</w:t>
            </w:r>
          </w:p>
        </w:tc>
      </w:tr>
    </w:tbl>
    <w:p w14:paraId="1A006422" w14:textId="10D238FA" w:rsidR="00074C39" w:rsidRPr="00AB7489" w:rsidRDefault="00074C39" w:rsidP="00AB7489">
      <w:pPr>
        <w:pStyle w:val="NoSpacing"/>
      </w:pPr>
      <w:r w:rsidRPr="00AB7489">
        <w:t>* Any associated delivery, set up, training, repairs and/or maintenance costs would also be covered.</w:t>
      </w:r>
    </w:p>
    <w:tbl>
      <w:tblPr>
        <w:tblStyle w:val="DepartmentofHealthtable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93200A" w:rsidRPr="00AB7489" w14:paraId="52675266" w14:textId="77777777" w:rsidTr="00AB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6B394FC" w14:textId="7A74149E" w:rsidR="0093200A" w:rsidRPr="00AB7489" w:rsidRDefault="003022B7" w:rsidP="00AB7489">
            <w:pPr>
              <w:pStyle w:val="TableHeaderWhite"/>
              <w:keepNext/>
              <w:pageBreakBefore/>
            </w:pPr>
            <w:r w:rsidRPr="00AB7489">
              <w:lastRenderedPageBreak/>
              <w:br w:type="column"/>
            </w:r>
            <w:r w:rsidR="00CA3C95" w:rsidRPr="00AB7489">
              <w:t xml:space="preserve">EAF </w:t>
            </w:r>
            <w:r w:rsidR="0093200A" w:rsidRPr="00AB7489">
              <w:t>INELIGIBLE goods and</w:t>
            </w:r>
            <w:r w:rsidR="00FC1B27" w:rsidRPr="00AB7489">
              <w:t>/or</w:t>
            </w:r>
            <w:r w:rsidR="0093200A" w:rsidRPr="00AB7489">
              <w:t xml:space="preserve"> services - examples </w:t>
            </w:r>
          </w:p>
        </w:tc>
      </w:tr>
      <w:tr w:rsidR="0093200A" w:rsidRPr="003022B7" w14:paraId="4CC06079" w14:textId="77777777" w:rsidTr="0030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D8E6829" w14:textId="30D1E8A1" w:rsidR="0093200A" w:rsidRPr="003022B7" w:rsidRDefault="0093200A" w:rsidP="00AB7489">
            <w:pPr>
              <w:pStyle w:val="TableText"/>
            </w:pPr>
            <w:r w:rsidRPr="003022B7">
              <w:t xml:space="preserve">Any goods or services required, but not </w:t>
            </w:r>
            <w:proofErr w:type="gramStart"/>
            <w:r w:rsidRPr="003022B7">
              <w:t>as a result of</w:t>
            </w:r>
            <w:proofErr w:type="gramEnd"/>
            <w:r w:rsidRPr="003022B7">
              <w:t xml:space="preserve"> a survivor’s thalidomide-related injuries – for </w:t>
            </w:r>
            <w:r w:rsidR="00AB7489" w:rsidRPr="003022B7">
              <w:t>example,</w:t>
            </w:r>
            <w:r w:rsidRPr="003022B7">
              <w:t xml:space="preserve"> general household furniture and appliances.</w:t>
            </w:r>
          </w:p>
          <w:p w14:paraId="60D0FE80" w14:textId="4BA97A93" w:rsidR="00074F3F" w:rsidRPr="003022B7" w:rsidRDefault="00074F3F" w:rsidP="00AB7489">
            <w:pPr>
              <w:pStyle w:val="TableText"/>
            </w:pPr>
            <w:r w:rsidRPr="003022B7">
              <w:rPr>
                <w:b/>
                <w:bCs/>
              </w:rPr>
              <w:t>Note</w:t>
            </w:r>
            <w:r w:rsidRPr="003022B7">
              <w:t xml:space="preserve"> - Please refer to </w:t>
            </w:r>
            <w:hyperlink r:id="rId11" w:history="1">
              <w:r w:rsidRPr="00AB7489">
                <w:rPr>
                  <w:rStyle w:val="Hyperlink"/>
                </w:rPr>
                <w:t>EAF and HCAF Program Guidelines, Part 6. Additional guidance for complex</w:t>
              </w:r>
            </w:hyperlink>
            <w:r w:rsidRPr="00AB7489">
              <w:t xml:space="preserve"> </w:t>
            </w:r>
            <w:r w:rsidRPr="003022B7">
              <w:rPr>
                <w:i/>
                <w:iCs/>
              </w:rPr>
              <w:t>services</w:t>
            </w:r>
            <w:r w:rsidRPr="003022B7">
              <w:t xml:space="preserve"> for further information about purchasing or adapting general household items (</w:t>
            </w:r>
            <w:proofErr w:type="gramStart"/>
            <w:r w:rsidRPr="003022B7">
              <w:t>e.g.</w:t>
            </w:r>
            <w:proofErr w:type="gramEnd"/>
            <w:r w:rsidRPr="003022B7">
              <w:t xml:space="preserve"> furniture and/or appliances) required as a likely result of thalidomide-related injuries.</w:t>
            </w:r>
          </w:p>
        </w:tc>
      </w:tr>
      <w:tr w:rsidR="0093200A" w:rsidRPr="003022B7" w14:paraId="772163B8" w14:textId="77777777" w:rsidTr="003022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B41D1FC" w14:textId="77777777" w:rsidR="0093200A" w:rsidRPr="003022B7" w:rsidRDefault="0093200A" w:rsidP="00AB7489">
            <w:pPr>
              <w:pStyle w:val="TableText"/>
            </w:pPr>
            <w:r w:rsidRPr="003022B7">
              <w:t>Support already received through the NDIS, and/or any other relevant Australian, state or territory government schemes; or private insurance.</w:t>
            </w:r>
          </w:p>
        </w:tc>
      </w:tr>
      <w:tr w:rsidR="0093200A" w:rsidRPr="003022B7" w14:paraId="0B44DC2D" w14:textId="77777777" w:rsidTr="0030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6FB8C5E" w14:textId="77777777" w:rsidR="0093200A" w:rsidRPr="003022B7" w:rsidRDefault="0093200A" w:rsidP="00AB7489">
            <w:pPr>
              <w:pStyle w:val="TableText"/>
            </w:pPr>
            <w:r w:rsidRPr="003022B7">
              <w:t xml:space="preserve">Vehicle modifications that are not required </w:t>
            </w:r>
            <w:proofErr w:type="gramStart"/>
            <w:r w:rsidRPr="003022B7">
              <w:t>as a result of</w:t>
            </w:r>
            <w:proofErr w:type="gramEnd"/>
            <w:r w:rsidRPr="003022B7">
              <w:t xml:space="preserve"> thalidomide-related injuries, including accessories such as roof racks. </w:t>
            </w:r>
          </w:p>
        </w:tc>
      </w:tr>
      <w:tr w:rsidR="0093200A" w:rsidRPr="003022B7" w14:paraId="279ED7E7" w14:textId="77777777" w:rsidTr="003022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BBF5EA5" w14:textId="77777777" w:rsidR="0093200A" w:rsidRPr="003022B7" w:rsidRDefault="0093200A" w:rsidP="00AB7489">
            <w:pPr>
              <w:pStyle w:val="TableText"/>
            </w:pPr>
            <w:r w:rsidRPr="003022B7">
              <w:t xml:space="preserve">Home and building modifications that are not required </w:t>
            </w:r>
            <w:proofErr w:type="gramStart"/>
            <w:r w:rsidRPr="003022B7">
              <w:t>as a result of</w:t>
            </w:r>
            <w:proofErr w:type="gramEnd"/>
            <w:r w:rsidRPr="003022B7">
              <w:t xml:space="preserve"> thalidomide-related injuries.</w:t>
            </w:r>
          </w:p>
        </w:tc>
      </w:tr>
      <w:tr w:rsidR="0093200A" w:rsidRPr="003022B7" w14:paraId="4F6A3AD2" w14:textId="77777777" w:rsidTr="0030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3CD8B6B" w14:textId="77777777" w:rsidR="0093200A" w:rsidRPr="003022B7" w:rsidRDefault="0093200A" w:rsidP="00AB7489">
            <w:pPr>
              <w:pStyle w:val="TableText"/>
            </w:pPr>
            <w:r w:rsidRPr="003022B7">
              <w:t xml:space="preserve">Solar panels. </w:t>
            </w:r>
          </w:p>
        </w:tc>
      </w:tr>
      <w:tr w:rsidR="0093200A" w:rsidRPr="003022B7" w14:paraId="1E87F585" w14:textId="77777777" w:rsidTr="003022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95F77E9" w14:textId="77777777" w:rsidR="0093200A" w:rsidRPr="003022B7" w:rsidRDefault="0093200A" w:rsidP="00AB7489">
            <w:pPr>
              <w:pStyle w:val="TableText"/>
            </w:pPr>
            <w:r w:rsidRPr="003022B7">
              <w:t xml:space="preserve">Swimming pools, </w:t>
            </w:r>
            <w:proofErr w:type="gramStart"/>
            <w:r w:rsidRPr="003022B7">
              <w:t>spas</w:t>
            </w:r>
            <w:proofErr w:type="gramEnd"/>
            <w:r w:rsidRPr="003022B7">
              <w:t xml:space="preserve"> or saunas.</w:t>
            </w:r>
          </w:p>
        </w:tc>
      </w:tr>
      <w:tr w:rsidR="0093200A" w:rsidRPr="003022B7" w14:paraId="7529ADC6" w14:textId="77777777" w:rsidTr="0030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B971F05" w14:textId="77777777" w:rsidR="00E022E1" w:rsidRPr="003022B7" w:rsidRDefault="0093200A" w:rsidP="00AB7489">
            <w:pPr>
              <w:pStyle w:val="TableText"/>
            </w:pPr>
            <w:r w:rsidRPr="003022B7">
              <w:t>Travel and accommodation costs.</w:t>
            </w:r>
          </w:p>
          <w:p w14:paraId="60E2BAEB" w14:textId="400D08C9" w:rsidR="00487626" w:rsidRPr="003022B7" w:rsidRDefault="00487626" w:rsidP="00AB7489">
            <w:pPr>
              <w:pStyle w:val="TableText"/>
            </w:pPr>
            <w:r w:rsidRPr="003022B7">
              <w:rPr>
                <w:b/>
              </w:rPr>
              <w:t>Note</w:t>
            </w:r>
            <w:r w:rsidRPr="003022B7">
              <w:t xml:space="preserve"> – Please refer to the </w:t>
            </w:r>
            <w:hyperlink r:id="rId12" w:history="1">
              <w:r w:rsidR="00B30A5F" w:rsidRPr="00AB7489">
                <w:rPr>
                  <w:rStyle w:val="Hyperlink"/>
                </w:rPr>
                <w:t>Fact</w:t>
              </w:r>
              <w:r w:rsidR="00AB7489" w:rsidRPr="00AB7489">
                <w:rPr>
                  <w:rStyle w:val="Hyperlink"/>
                </w:rPr>
                <w:t xml:space="preserve"> </w:t>
              </w:r>
              <w:r w:rsidR="00B30A5F" w:rsidRPr="00AB7489">
                <w:rPr>
                  <w:rStyle w:val="Hyperlink"/>
                </w:rPr>
                <w:t>sheet</w:t>
              </w:r>
              <w:r w:rsidR="00FA0CC2" w:rsidRPr="00AB7489">
                <w:rPr>
                  <w:rStyle w:val="Hyperlink"/>
                </w:rPr>
                <w:t xml:space="preserve"> -</w:t>
              </w:r>
              <w:r w:rsidR="00B30A5F" w:rsidRPr="00AB7489">
                <w:rPr>
                  <w:rStyle w:val="Hyperlink"/>
                </w:rPr>
                <w:t xml:space="preserve"> HCAF </w:t>
              </w:r>
              <w:r w:rsidRPr="00AB7489">
                <w:rPr>
                  <w:rStyle w:val="Hyperlink"/>
                </w:rPr>
                <w:t>support categories</w:t>
              </w:r>
            </w:hyperlink>
            <w:r w:rsidRPr="003022B7">
              <w:t xml:space="preserve"> regarding the eligibility of reasonable travel and accommodation costs associated with attending or accessing health services, as well as to </w:t>
            </w:r>
            <w:hyperlink r:id="rId13" w:history="1">
              <w:r w:rsidR="00B30A5F" w:rsidRPr="00AB7489">
                <w:rPr>
                  <w:rStyle w:val="Hyperlink"/>
                </w:rPr>
                <w:t>EAF and HCAF Program Guidelines</w:t>
              </w:r>
              <w:r w:rsidR="00B30A5F" w:rsidRPr="00AB7489">
                <w:rPr>
                  <w:rStyle w:val="Hyperlink"/>
                  <w:i/>
                  <w:iCs/>
                </w:rPr>
                <w:t>,</w:t>
              </w:r>
              <w:r w:rsidR="0053341A" w:rsidRPr="00AB7489">
                <w:rPr>
                  <w:rStyle w:val="Hyperlink"/>
                  <w:i/>
                  <w:iCs/>
                </w:rPr>
                <w:t xml:space="preserve"> </w:t>
              </w:r>
              <w:r w:rsidRPr="00AB7489">
                <w:rPr>
                  <w:rStyle w:val="Hyperlink"/>
                </w:rPr>
                <w:t>Part 6. Additional guidance for complex services</w:t>
              </w:r>
            </w:hyperlink>
            <w:r w:rsidRPr="003022B7">
              <w:t>.</w:t>
            </w:r>
          </w:p>
        </w:tc>
      </w:tr>
      <w:tr w:rsidR="0093200A" w:rsidRPr="003022B7" w14:paraId="2116E2EF" w14:textId="77777777" w:rsidTr="003022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AFC6E0E" w14:textId="014111AC" w:rsidR="0093200A" w:rsidRPr="003022B7" w:rsidRDefault="0093200A" w:rsidP="00AB7489">
            <w:pPr>
              <w:pStyle w:val="TableText"/>
            </w:pPr>
            <w:r w:rsidRPr="003022B7">
              <w:t>Home or vehicle modifications that have already been claimed within a 5</w:t>
            </w:r>
            <w:r w:rsidR="0053341A">
              <w:t>-</w:t>
            </w:r>
            <w:r w:rsidRPr="003022B7">
              <w:t xml:space="preserve">year period. </w:t>
            </w:r>
          </w:p>
        </w:tc>
      </w:tr>
      <w:tr w:rsidR="0093200A" w:rsidRPr="003022B7" w14:paraId="2E9A50B4" w14:textId="77777777" w:rsidTr="0030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60CA81F" w14:textId="384F93B4" w:rsidR="0093200A" w:rsidRPr="003022B7" w:rsidRDefault="0093200A" w:rsidP="00AB7489">
            <w:pPr>
              <w:pStyle w:val="TableText"/>
            </w:pPr>
            <w:r w:rsidRPr="003022B7">
              <w:t>Expenses that are not considered reasonable or cost effective – for example, high end bathroom/kitchen finish</w:t>
            </w:r>
            <w:r w:rsidR="00AD1987" w:rsidRPr="003022B7">
              <w:t>es</w:t>
            </w:r>
            <w:r w:rsidRPr="003022B7">
              <w:t>.</w:t>
            </w:r>
          </w:p>
        </w:tc>
      </w:tr>
      <w:tr w:rsidR="00C22E8D" w:rsidRPr="003022B7" w14:paraId="159C85AB" w14:textId="77777777" w:rsidTr="003022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116E001" w14:textId="77777777" w:rsidR="00C22E8D" w:rsidRPr="003022B7" w:rsidRDefault="00C22E8D" w:rsidP="00AB7489">
            <w:pPr>
              <w:pStyle w:val="TableText"/>
            </w:pPr>
            <w:r w:rsidRPr="003022B7">
              <w:t>Any goods and/or services supplied or received outside Australia.</w:t>
            </w:r>
          </w:p>
        </w:tc>
      </w:tr>
    </w:tbl>
    <w:p w14:paraId="30C0BBFA" w14:textId="77777777" w:rsidR="00FC1B27" w:rsidRDefault="00FC1B27" w:rsidP="00FC1B27">
      <w:pPr>
        <w:pStyle w:val="Heading2"/>
        <w:rPr>
          <w:lang w:val="en-US"/>
        </w:rPr>
      </w:pPr>
      <w:bookmarkStart w:id="0" w:name="_Toc62043372"/>
      <w:r>
        <w:rPr>
          <w:lang w:val="en-US"/>
        </w:rPr>
        <w:t xml:space="preserve">EAF – Further </w:t>
      </w:r>
      <w:r w:rsidR="00074C39">
        <w:rPr>
          <w:lang w:val="en-US"/>
        </w:rPr>
        <w:t>i</w:t>
      </w:r>
      <w:r>
        <w:rPr>
          <w:lang w:val="en-US"/>
        </w:rPr>
        <w:t>nformation</w:t>
      </w:r>
    </w:p>
    <w:p w14:paraId="6CF82AE7" w14:textId="77777777" w:rsidR="00FC1B27" w:rsidRPr="00AB7489" w:rsidRDefault="00FC1B27" w:rsidP="00AB7489">
      <w:r w:rsidRPr="00AB7489">
        <w:t xml:space="preserve">The Extraordinary Assistance Fund (EAF) and Health Care Assistance Fund (HCAF) - Program Guidelines </w:t>
      </w:r>
      <w:r w:rsidR="00B17C86" w:rsidRPr="00AB7489">
        <w:t>provide</w:t>
      </w:r>
      <w:r w:rsidRPr="00AB7489">
        <w:t xml:space="preserve"> further information about:</w:t>
      </w:r>
    </w:p>
    <w:p w14:paraId="0792CBE5" w14:textId="77777777" w:rsidR="00FC1B27" w:rsidRDefault="00FC1B27" w:rsidP="00FC1B27">
      <w:pPr>
        <w:pStyle w:val="ListBullet"/>
      </w:pPr>
      <w:r>
        <w:t xml:space="preserve">eligibility to the </w:t>
      </w:r>
      <w:proofErr w:type="gramStart"/>
      <w:r>
        <w:t>EAF;</w:t>
      </w:r>
      <w:proofErr w:type="gramEnd"/>
    </w:p>
    <w:p w14:paraId="25A4B9EE" w14:textId="77777777" w:rsidR="00FC1B27" w:rsidRDefault="00FC1B27" w:rsidP="00FC1B27">
      <w:pPr>
        <w:pStyle w:val="ListBullet"/>
      </w:pPr>
      <w:r>
        <w:t>making a claim under the EAF;</w:t>
      </w:r>
    </w:p>
    <w:p w14:paraId="3B7D999B" w14:textId="77777777" w:rsidR="00FC1B27" w:rsidRDefault="00FC1B27" w:rsidP="00FC1B27">
      <w:pPr>
        <w:pStyle w:val="ListBullet"/>
      </w:pPr>
      <w:r>
        <w:t>the requirements for pre-approval of an EAF claim;</w:t>
      </w:r>
    </w:p>
    <w:p w14:paraId="5C7AA759" w14:textId="77777777" w:rsidR="00FC1B27" w:rsidRDefault="00FC1B27" w:rsidP="00FC1B27">
      <w:pPr>
        <w:pStyle w:val="ListBullet"/>
      </w:pPr>
      <w:r>
        <w:t>supporting documentation; and</w:t>
      </w:r>
    </w:p>
    <w:p w14:paraId="6872EB94" w14:textId="77777777" w:rsidR="00FC1B27" w:rsidRPr="00D06043" w:rsidRDefault="00FC1B27" w:rsidP="00FC1B27">
      <w:pPr>
        <w:pStyle w:val="ListBullet"/>
      </w:pPr>
      <w:r>
        <w:t>the goods and/or services eligible to be claimed under the EAF</w:t>
      </w:r>
      <w:r w:rsidR="0062166A">
        <w:t>, including guidance for complex claims (such as home and vehicle modifications)</w:t>
      </w:r>
      <w:r>
        <w:t>.</w:t>
      </w:r>
    </w:p>
    <w:p w14:paraId="1BC47C56" w14:textId="397B6397" w:rsidR="0093200A" w:rsidRPr="00F651DB" w:rsidRDefault="0093200A" w:rsidP="00CF33B5">
      <w:pPr>
        <w:pStyle w:val="Heading1"/>
        <w:pageBreakBefore/>
        <w:rPr>
          <w:lang w:val="en-US"/>
        </w:rPr>
      </w:pPr>
      <w:r>
        <w:rPr>
          <w:lang w:val="en-US"/>
        </w:rPr>
        <w:lastRenderedPageBreak/>
        <w:t>How can I get more information?</w:t>
      </w:r>
      <w:bookmarkEnd w:id="0"/>
    </w:p>
    <w:p w14:paraId="5BE2B479" w14:textId="77777777" w:rsidR="006717F2" w:rsidRDefault="006717F2" w:rsidP="006717F2">
      <w:pPr>
        <w:pStyle w:val="Heading2"/>
      </w:pPr>
      <w:r w:rsidRPr="009141FE">
        <w:t>Thalidomide</w:t>
      </w:r>
      <w:r>
        <w:t xml:space="preserve"> Support Service</w:t>
      </w:r>
    </w:p>
    <w:p w14:paraId="23327FDE" w14:textId="3F76EDAC" w:rsidR="006717F2" w:rsidRPr="00AB7489" w:rsidRDefault="006717F2" w:rsidP="00AB7489">
      <w:r>
        <w:t xml:space="preserve">For queries about the </w:t>
      </w:r>
      <w:r w:rsidR="00781972">
        <w:t xml:space="preserve">EAF or the </w:t>
      </w:r>
      <w:r>
        <w:t xml:space="preserve">HCAF, </w:t>
      </w:r>
      <w:r w:rsidR="00AF444B">
        <w:t xml:space="preserve">including eligible support categories, </w:t>
      </w:r>
      <w:r>
        <w:t>or general queries concerning the Program, you can contact the Thalidomide Support Service by calling 1800</w:t>
      </w:r>
      <w:r w:rsidR="00815826">
        <w:t> </w:t>
      </w:r>
      <w:r>
        <w:t>643</w:t>
      </w:r>
      <w:r w:rsidR="00815826">
        <w:t> </w:t>
      </w:r>
      <w:r>
        <w:t xml:space="preserve">787 or via email at thalidomide.support@benevolent.org.au. </w:t>
      </w:r>
    </w:p>
    <w:p w14:paraId="63602F6E" w14:textId="77777777" w:rsidR="006717F2" w:rsidRDefault="006717F2" w:rsidP="00AB7489">
      <w:r>
        <w:t>For further information about the Thalidomide Support Service, please visit the Thalidomide Support Service website at: www.benevolent.org.au/</w:t>
      </w:r>
      <w:r w:rsidRPr="00AB7489">
        <w:t>thalidomidesupportservice</w:t>
      </w:r>
      <w:r>
        <w:t>.</w:t>
      </w:r>
    </w:p>
    <w:p w14:paraId="7C08693F" w14:textId="26716B64" w:rsidR="00CF3F18" w:rsidRDefault="006717F2" w:rsidP="00CF3F18">
      <w:pPr>
        <w:pStyle w:val="Heading2"/>
      </w:pPr>
      <w:r>
        <w:t>Services Australia</w:t>
      </w:r>
    </w:p>
    <w:p w14:paraId="69BA915E" w14:textId="6831916D" w:rsidR="00CF3F18" w:rsidRPr="00AB7489" w:rsidRDefault="00CF3F18" w:rsidP="00AB7489">
      <w:r w:rsidRPr="00E07760">
        <w:t>Information about the EAF</w:t>
      </w:r>
      <w:r w:rsidR="00781972">
        <w:t xml:space="preserve"> and the HCAF</w:t>
      </w:r>
      <w:r w:rsidR="00115920">
        <w:t>, including how to make a claim,</w:t>
      </w:r>
      <w:r w:rsidRPr="00E07760">
        <w:t xml:space="preserve"> can also be found on the </w:t>
      </w:r>
      <w:r w:rsidRPr="0091044E">
        <w:t>Services Australia website</w:t>
      </w:r>
      <w:r>
        <w:t xml:space="preserve"> at </w:t>
      </w:r>
      <w:hyperlink r:id="rId14" w:history="1">
        <w:r w:rsidRPr="00993ADC">
          <w:rPr>
            <w:rStyle w:val="Hyperlink"/>
          </w:rPr>
          <w:t>www.servicesaustralia.gov.au/thalidomide</w:t>
        </w:r>
      </w:hyperlink>
      <w:r>
        <w:t>.</w:t>
      </w:r>
    </w:p>
    <w:p w14:paraId="3567AA2D" w14:textId="77777777" w:rsidR="00CF3F18" w:rsidRPr="00AB7489" w:rsidRDefault="00CF3F18" w:rsidP="00AB7489">
      <w:r>
        <w:t>Alternatively, for more information, you can call</w:t>
      </w:r>
      <w:r w:rsidRPr="00E07760">
        <w:t xml:space="preserve"> Ser</w:t>
      </w:r>
      <w:r>
        <w:t xml:space="preserve">vices Australia on 1800 565 863 or email at </w:t>
      </w:r>
      <w:hyperlink r:id="rId15" w:history="1">
        <w:r w:rsidRPr="00993ADC">
          <w:rPr>
            <w:rStyle w:val="Hyperlink"/>
          </w:rPr>
          <w:t>thalidomide.claims@servicesaustralia.gov.au</w:t>
        </w:r>
      </w:hyperlink>
      <w:r>
        <w:t xml:space="preserve">. </w:t>
      </w:r>
      <w:r w:rsidRPr="00E07760">
        <w:t xml:space="preserve"> </w:t>
      </w:r>
    </w:p>
    <w:p w14:paraId="64F850D2" w14:textId="77777777" w:rsidR="00CF3F18" w:rsidRPr="00E5046B" w:rsidRDefault="00CF3F18" w:rsidP="00CF3F18">
      <w:pPr>
        <w:pStyle w:val="Heading2"/>
      </w:pPr>
      <w:r>
        <w:t>Australian Thalidomide Survivors Support Program</w:t>
      </w:r>
    </w:p>
    <w:p w14:paraId="1CD616C3" w14:textId="7FD62F24" w:rsidR="0053393D" w:rsidRPr="00AB7489" w:rsidRDefault="00CF3F18" w:rsidP="00AB7489">
      <w:r>
        <w:t>General information about the Program can be found on the Department of Health</w:t>
      </w:r>
      <w:r w:rsidR="00BC030D">
        <w:t xml:space="preserve"> and Aged Care</w:t>
      </w:r>
      <w:r>
        <w:t xml:space="preserve"> website at </w:t>
      </w:r>
      <w:hyperlink r:id="rId16" w:history="1">
        <w:r w:rsidR="00781972" w:rsidRPr="006E60BE">
          <w:rPr>
            <w:rStyle w:val="Hyperlink"/>
          </w:rPr>
          <w:t>www.health.gov.au/initiatives-and-programs/australian-thalidomide-survivors-support-program</w:t>
        </w:r>
      </w:hyperlink>
      <w:r>
        <w:t xml:space="preserve">. </w:t>
      </w:r>
    </w:p>
    <w:sectPr w:rsidR="0053393D" w:rsidRPr="00AB7489" w:rsidSect="00AB7489">
      <w:headerReference w:type="default" r:id="rId17"/>
      <w:footerReference w:type="default" r:id="rId18"/>
      <w:pgSz w:w="11906" w:h="16838" w:code="9"/>
      <w:pgMar w:top="2694" w:right="1440" w:bottom="1440" w:left="144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E7D05" w14:textId="77777777" w:rsidR="008737F3" w:rsidRDefault="008737F3" w:rsidP="00A8093E">
      <w:pPr>
        <w:spacing w:after="0"/>
      </w:pPr>
      <w:r>
        <w:separator/>
      </w:r>
    </w:p>
  </w:endnote>
  <w:endnote w:type="continuationSeparator" w:id="0">
    <w:p w14:paraId="4F2769E7" w14:textId="77777777" w:rsidR="008737F3" w:rsidRDefault="008737F3" w:rsidP="00A809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5767538"/>
      <w:docPartObj>
        <w:docPartGallery w:val="Page Numbers (Bottom of Page)"/>
        <w:docPartUnique/>
      </w:docPartObj>
    </w:sdtPr>
    <w:sdtEndPr>
      <w:rPr>
        <w:rFonts w:cs="Arial"/>
        <w:noProof/>
        <w:sz w:val="20"/>
      </w:rPr>
    </w:sdtEndPr>
    <w:sdtContent>
      <w:p w14:paraId="081D30BD" w14:textId="77777777" w:rsidR="007A05EC" w:rsidRPr="007A05EC" w:rsidRDefault="007A05EC">
        <w:pPr>
          <w:pStyle w:val="Footer"/>
          <w:jc w:val="right"/>
          <w:rPr>
            <w:rFonts w:cs="Arial"/>
            <w:sz w:val="20"/>
          </w:rPr>
        </w:pPr>
        <w:r w:rsidRPr="007A05EC">
          <w:rPr>
            <w:rFonts w:cs="Arial"/>
            <w:sz w:val="20"/>
          </w:rPr>
          <w:t xml:space="preserve">Factsheet – </w:t>
        </w:r>
        <w:r w:rsidR="0091044E">
          <w:rPr>
            <w:rFonts w:cs="Arial"/>
            <w:sz w:val="20"/>
          </w:rPr>
          <w:t xml:space="preserve">EAF </w:t>
        </w:r>
        <w:r w:rsidR="007E7059">
          <w:rPr>
            <w:rFonts w:cs="Arial"/>
            <w:sz w:val="20"/>
          </w:rPr>
          <w:t>s</w:t>
        </w:r>
        <w:r w:rsidRPr="007A05EC">
          <w:rPr>
            <w:rFonts w:cs="Arial"/>
            <w:sz w:val="20"/>
          </w:rPr>
          <w:t xml:space="preserve">upport </w:t>
        </w:r>
        <w:r w:rsidR="007E7059">
          <w:rPr>
            <w:rFonts w:cs="Arial"/>
            <w:sz w:val="20"/>
          </w:rPr>
          <w:t>c</w:t>
        </w:r>
        <w:r w:rsidRPr="007A05EC">
          <w:rPr>
            <w:rFonts w:cs="Arial"/>
            <w:sz w:val="20"/>
          </w:rPr>
          <w:t>ategories</w:t>
        </w:r>
      </w:p>
      <w:p w14:paraId="62E3869E" w14:textId="77777777" w:rsidR="007A05EC" w:rsidRPr="007A05EC" w:rsidRDefault="007A05EC">
        <w:pPr>
          <w:pStyle w:val="Footer"/>
          <w:jc w:val="right"/>
          <w:rPr>
            <w:rFonts w:cs="Arial"/>
            <w:sz w:val="20"/>
          </w:rPr>
        </w:pPr>
        <w:r w:rsidRPr="007A05EC">
          <w:rPr>
            <w:rFonts w:cs="Arial"/>
            <w:sz w:val="20"/>
          </w:rPr>
          <w:fldChar w:fldCharType="begin"/>
        </w:r>
        <w:r w:rsidRPr="007A05EC">
          <w:rPr>
            <w:rFonts w:cs="Arial"/>
            <w:sz w:val="20"/>
          </w:rPr>
          <w:instrText xml:space="preserve"> PAGE   \* MERGEFORMAT </w:instrText>
        </w:r>
        <w:r w:rsidRPr="007A05EC">
          <w:rPr>
            <w:rFonts w:cs="Arial"/>
            <w:sz w:val="20"/>
          </w:rPr>
          <w:fldChar w:fldCharType="separate"/>
        </w:r>
        <w:r w:rsidR="00601938">
          <w:rPr>
            <w:rFonts w:cs="Arial"/>
            <w:noProof/>
            <w:sz w:val="20"/>
          </w:rPr>
          <w:t>4</w:t>
        </w:r>
        <w:r w:rsidRPr="007A05EC">
          <w:rPr>
            <w:rFonts w:cs="Arial"/>
            <w:noProof/>
            <w:sz w:val="20"/>
          </w:rPr>
          <w:fldChar w:fldCharType="end"/>
        </w:r>
      </w:p>
    </w:sdtContent>
  </w:sdt>
  <w:p w14:paraId="4DB051EF" w14:textId="77777777" w:rsidR="007A05EC" w:rsidRDefault="007A0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B25F1" w14:textId="77777777" w:rsidR="008737F3" w:rsidRDefault="008737F3" w:rsidP="00A8093E">
      <w:pPr>
        <w:spacing w:after="0"/>
      </w:pPr>
      <w:r>
        <w:separator/>
      </w:r>
    </w:p>
  </w:footnote>
  <w:footnote w:type="continuationSeparator" w:id="0">
    <w:p w14:paraId="7344C5A5" w14:textId="77777777" w:rsidR="008737F3" w:rsidRDefault="008737F3" w:rsidP="00A809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BBD0D" w14:textId="09289593" w:rsidR="00A8093E" w:rsidRDefault="0053341A">
    <w:pPr>
      <w:pStyle w:val="Header"/>
    </w:pPr>
    <w:r>
      <w:rPr>
        <w:noProof/>
        <w:lang w:eastAsia="en-AU"/>
      </w:rPr>
      <w:drawing>
        <wp:inline distT="0" distB="0" distL="0" distR="0" wp14:anchorId="2B838E11" wp14:editId="55764391">
          <wp:extent cx="5731510" cy="937137"/>
          <wp:effectExtent l="0" t="0" r="2540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2A82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ACB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5275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3AD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FC5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CC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4262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40A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26D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363506"/>
    <w:multiLevelType w:val="hybridMultilevel"/>
    <w:tmpl w:val="06DC94BA"/>
    <w:lvl w:ilvl="0" w:tplc="31D296B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567E5"/>
    <w:multiLevelType w:val="hybridMultilevel"/>
    <w:tmpl w:val="B44425E8"/>
    <w:lvl w:ilvl="0" w:tplc="B330E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D0517"/>
    <w:multiLevelType w:val="hybridMultilevel"/>
    <w:tmpl w:val="ACF60E82"/>
    <w:lvl w:ilvl="0" w:tplc="D81A0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5430F"/>
    <w:multiLevelType w:val="hybridMultilevel"/>
    <w:tmpl w:val="C37ACEF8"/>
    <w:lvl w:ilvl="0" w:tplc="78FE22BA">
      <w:start w:val="1"/>
      <w:numFmt w:val="bullet"/>
      <w:pStyle w:val="Table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BD2E6F"/>
    <w:multiLevelType w:val="hybridMultilevel"/>
    <w:tmpl w:val="AE0CAC08"/>
    <w:lvl w:ilvl="0" w:tplc="B1C2D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A88C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23"/>
    <w:rsid w:val="0002145C"/>
    <w:rsid w:val="00060F53"/>
    <w:rsid w:val="00072FC0"/>
    <w:rsid w:val="00074C39"/>
    <w:rsid w:val="00074F3F"/>
    <w:rsid w:val="000A65EB"/>
    <w:rsid w:val="000F372D"/>
    <w:rsid w:val="000F3823"/>
    <w:rsid w:val="00115920"/>
    <w:rsid w:val="00177D88"/>
    <w:rsid w:val="00190D28"/>
    <w:rsid w:val="00222D80"/>
    <w:rsid w:val="00280050"/>
    <w:rsid w:val="00293D32"/>
    <w:rsid w:val="002E037F"/>
    <w:rsid w:val="002E0832"/>
    <w:rsid w:val="003022B7"/>
    <w:rsid w:val="00324785"/>
    <w:rsid w:val="003505E8"/>
    <w:rsid w:val="003518A9"/>
    <w:rsid w:val="004062F3"/>
    <w:rsid w:val="00456C53"/>
    <w:rsid w:val="00487626"/>
    <w:rsid w:val="00492438"/>
    <w:rsid w:val="00496946"/>
    <w:rsid w:val="004C1FA1"/>
    <w:rsid w:val="004C65CE"/>
    <w:rsid w:val="00506D08"/>
    <w:rsid w:val="00511092"/>
    <w:rsid w:val="0053341A"/>
    <w:rsid w:val="0053393D"/>
    <w:rsid w:val="005524C7"/>
    <w:rsid w:val="00601938"/>
    <w:rsid w:val="0062166A"/>
    <w:rsid w:val="006717F2"/>
    <w:rsid w:val="00697A15"/>
    <w:rsid w:val="006A4A8C"/>
    <w:rsid w:val="006B0F9E"/>
    <w:rsid w:val="00781972"/>
    <w:rsid w:val="007A05EC"/>
    <w:rsid w:val="007C6E38"/>
    <w:rsid w:val="007E7059"/>
    <w:rsid w:val="00803B27"/>
    <w:rsid w:val="00815826"/>
    <w:rsid w:val="00816ED1"/>
    <w:rsid w:val="008257B9"/>
    <w:rsid w:val="008737F3"/>
    <w:rsid w:val="00875D81"/>
    <w:rsid w:val="0091044E"/>
    <w:rsid w:val="00927C31"/>
    <w:rsid w:val="0093200A"/>
    <w:rsid w:val="00983A1C"/>
    <w:rsid w:val="00A03BCC"/>
    <w:rsid w:val="00A8093E"/>
    <w:rsid w:val="00AB7489"/>
    <w:rsid w:val="00AD1987"/>
    <w:rsid w:val="00AF444B"/>
    <w:rsid w:val="00B17C86"/>
    <w:rsid w:val="00B30A5F"/>
    <w:rsid w:val="00BC030D"/>
    <w:rsid w:val="00C023C9"/>
    <w:rsid w:val="00C22E8D"/>
    <w:rsid w:val="00C257C6"/>
    <w:rsid w:val="00CA3C95"/>
    <w:rsid w:val="00CF33B5"/>
    <w:rsid w:val="00CF3F18"/>
    <w:rsid w:val="00E022E1"/>
    <w:rsid w:val="00E66DA6"/>
    <w:rsid w:val="00F02F93"/>
    <w:rsid w:val="00F0797D"/>
    <w:rsid w:val="00F14D6C"/>
    <w:rsid w:val="00F34880"/>
    <w:rsid w:val="00F36CC8"/>
    <w:rsid w:val="00F46084"/>
    <w:rsid w:val="00F51446"/>
    <w:rsid w:val="00F71D18"/>
    <w:rsid w:val="00FA0CC2"/>
    <w:rsid w:val="00FB4603"/>
    <w:rsid w:val="00FC1B27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D5B15F"/>
  <w15:chartTrackingRefBased/>
  <w15:docId w15:val="{7AE9EE22-08FC-430F-9CA7-A0022CFF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489"/>
    <w:pPr>
      <w:spacing w:before="120" w:after="12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AB7489"/>
    <w:pPr>
      <w:keepNext/>
      <w:outlineLvl w:val="0"/>
    </w:pPr>
    <w:rPr>
      <w:rFonts w:eastAsia="Times New Roman" w:cs="Arial"/>
      <w:b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rsid w:val="00AB7489"/>
    <w:pPr>
      <w:keepNext/>
      <w:spacing w:before="120" w:after="120" w:line="240" w:lineRule="auto"/>
      <w:outlineLvl w:val="1"/>
    </w:pPr>
    <w:rPr>
      <w:rFonts w:ascii="Arial" w:eastAsia="Times New Roman" w:hAnsi="Arial" w:cs="Arial"/>
      <w:bCs/>
      <w:iCs/>
      <w:color w:val="358189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7489"/>
    <w:rPr>
      <w:rFonts w:ascii="Arial" w:eastAsia="Times New Roman" w:hAnsi="Arial" w:cs="Arial"/>
      <w:b/>
      <w:bCs/>
      <w:color w:val="3F4A75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AB7489"/>
    <w:rPr>
      <w:rFonts w:ascii="Arial" w:eastAsia="Times New Roman" w:hAnsi="Arial" w:cs="Arial"/>
      <w:bCs/>
      <w:iCs/>
      <w:color w:val="358189"/>
      <w:sz w:val="32"/>
      <w:szCs w:val="28"/>
    </w:rPr>
  </w:style>
  <w:style w:type="paragraph" w:customStyle="1" w:styleId="Paragraphtext">
    <w:name w:val="Paragraph text"/>
    <w:basedOn w:val="Normal"/>
    <w:qFormat/>
    <w:rsid w:val="00324785"/>
    <w:pPr>
      <w:spacing w:after="60"/>
    </w:pPr>
    <w:rPr>
      <w:rFonts w:eastAsia="Times New Roman"/>
      <w:color w:val="000000" w:themeColor="text1"/>
      <w:sz w:val="21"/>
    </w:rPr>
  </w:style>
  <w:style w:type="paragraph" w:styleId="Subtitle">
    <w:name w:val="Subtitle"/>
    <w:next w:val="Normal"/>
    <w:link w:val="SubtitleChar"/>
    <w:uiPriority w:val="11"/>
    <w:qFormat/>
    <w:rsid w:val="00324785"/>
    <w:pPr>
      <w:numPr>
        <w:ilvl w:val="1"/>
      </w:numPr>
      <w:spacing w:before="120" w:after="60" w:line="240" w:lineRule="auto"/>
    </w:pPr>
    <w:rPr>
      <w:rFonts w:ascii="Arial" w:eastAsiaTheme="majorEastAsia" w:hAnsi="Arial" w:cstheme="majorBidi"/>
      <w:iCs/>
      <w:color w:val="3F4A75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24785"/>
    <w:rPr>
      <w:rFonts w:ascii="Arial" w:eastAsiaTheme="majorEastAsia" w:hAnsi="Arial" w:cstheme="majorBidi"/>
      <w:iCs/>
      <w:color w:val="3F4A75"/>
      <w:spacing w:val="15"/>
      <w:sz w:val="40"/>
    </w:rPr>
  </w:style>
  <w:style w:type="paragraph" w:styleId="ListBullet">
    <w:name w:val="List Bullet"/>
    <w:basedOn w:val="Normal"/>
    <w:link w:val="ListBulletChar"/>
    <w:qFormat/>
    <w:rsid w:val="00AB7489"/>
    <w:pPr>
      <w:numPr>
        <w:numId w:val="1"/>
      </w:numPr>
      <w:spacing w:before="60" w:after="60"/>
    </w:pPr>
    <w:rPr>
      <w:rFonts w:eastAsia="Times New Roman"/>
      <w:color w:val="000000" w:themeColor="text1"/>
    </w:rPr>
  </w:style>
  <w:style w:type="paragraph" w:customStyle="1" w:styleId="TableText">
    <w:name w:val="Table Text"/>
    <w:link w:val="TableTextChar"/>
    <w:autoRedefine/>
    <w:qFormat/>
    <w:locked/>
    <w:rsid w:val="00AB7489"/>
    <w:pPr>
      <w:spacing w:before="60" w:after="60" w:line="240" w:lineRule="auto"/>
    </w:pPr>
    <w:rPr>
      <w:rFonts w:ascii="Arial" w:eastAsia="Times New Roman" w:hAnsi="Arial" w:cs="Arial"/>
      <w:color w:val="000000" w:themeColor="text1"/>
      <w:sz w:val="20"/>
      <w:szCs w:val="22"/>
      <w:lang w:eastAsia="en-AU"/>
    </w:rPr>
  </w:style>
  <w:style w:type="paragraph" w:customStyle="1" w:styleId="TableHeaderWhite">
    <w:name w:val="Table Header White"/>
    <w:basedOn w:val="Normal"/>
    <w:next w:val="TableText"/>
    <w:qFormat/>
    <w:rsid w:val="0053393D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customStyle="1" w:styleId="DepartmentofHealthtable">
    <w:name w:val="Department of Health table"/>
    <w:basedOn w:val="TableNormal"/>
    <w:uiPriority w:val="99"/>
    <w:rsid w:val="0053393D"/>
    <w:pPr>
      <w:spacing w:after="0" w:line="240" w:lineRule="auto"/>
    </w:pPr>
    <w:rPr>
      <w:rFonts w:ascii="Arial" w:eastAsia="Times New Roman" w:hAnsi="Arial"/>
      <w:color w:val="000000" w:themeColor="text1"/>
      <w:sz w:val="21"/>
      <w:szCs w:val="20"/>
      <w:lang w:eastAsia="en-AU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">
    <w:name w:val="Table title"/>
    <w:basedOn w:val="Normal"/>
    <w:rsid w:val="0053393D"/>
    <w:rPr>
      <w:rFonts w:eastAsia="Times New Roman"/>
      <w:b/>
      <w:bCs/>
      <w:color w:val="000000" w:themeColor="text1"/>
      <w:szCs w:val="20"/>
    </w:r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093E"/>
  </w:style>
  <w:style w:type="paragraph" w:styleId="Footer">
    <w:name w:val="footer"/>
    <w:basedOn w:val="Normal"/>
    <w:link w:val="FooterChar"/>
    <w:uiPriority w:val="99"/>
    <w:unhideWhenUsed/>
    <w:qFormat/>
    <w:rsid w:val="00A809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093E"/>
  </w:style>
  <w:style w:type="character" w:styleId="Hyperlink">
    <w:name w:val="Hyperlink"/>
    <w:basedOn w:val="DefaultParagraphFont"/>
    <w:uiPriority w:val="99"/>
    <w:unhideWhenUsed/>
    <w:rsid w:val="00CF3F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7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F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1D18"/>
    <w:pPr>
      <w:spacing w:after="0" w:line="240" w:lineRule="auto"/>
    </w:pPr>
  </w:style>
  <w:style w:type="paragraph" w:styleId="Title">
    <w:name w:val="Title"/>
    <w:next w:val="Normal"/>
    <w:link w:val="TitleChar"/>
    <w:uiPriority w:val="10"/>
    <w:qFormat/>
    <w:rsid w:val="00AB7489"/>
    <w:pPr>
      <w:spacing w:after="0" w:line="240" w:lineRule="auto"/>
      <w:contextualSpacing/>
    </w:pPr>
    <w:rPr>
      <w:rFonts w:ascii="Arial" w:eastAsiaTheme="majorEastAsia" w:hAnsi="Arial" w:cstheme="majorBidi"/>
      <w:color w:val="44546A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489"/>
    <w:rPr>
      <w:rFonts w:ascii="Arial" w:eastAsiaTheme="majorEastAsia" w:hAnsi="Arial" w:cstheme="majorBidi"/>
      <w:color w:val="44546A" w:themeColor="text2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B7489"/>
    <w:rPr>
      <w:color w:val="605E5C"/>
      <w:shd w:val="clear" w:color="auto" w:fill="E1DFDD"/>
    </w:rPr>
  </w:style>
  <w:style w:type="paragraph" w:styleId="Caption">
    <w:name w:val="caption"/>
    <w:next w:val="Normal"/>
    <w:uiPriority w:val="35"/>
    <w:unhideWhenUsed/>
    <w:qFormat/>
    <w:rsid w:val="00AB7489"/>
    <w:pPr>
      <w:keepNext/>
      <w:spacing w:before="120" w:after="60" w:line="240" w:lineRule="auto"/>
    </w:pPr>
    <w:rPr>
      <w:rFonts w:ascii="Arial" w:hAnsi="Arial"/>
      <w:b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AB7489"/>
    <w:pPr>
      <w:spacing w:after="240" w:line="240" w:lineRule="auto"/>
    </w:pPr>
    <w:rPr>
      <w:rFonts w:ascii="Arial" w:hAnsi="Arial"/>
      <w:sz w:val="20"/>
    </w:rPr>
  </w:style>
  <w:style w:type="paragraph" w:customStyle="1" w:styleId="Tablelistbullet">
    <w:name w:val="Table list bullet"/>
    <w:basedOn w:val="ListBullet"/>
    <w:link w:val="TablelistbulletChar"/>
    <w:qFormat/>
    <w:rsid w:val="00AB7489"/>
    <w:pPr>
      <w:ind w:left="357" w:hanging="357"/>
    </w:pPr>
    <w:rPr>
      <w:sz w:val="20"/>
      <w:szCs w:val="20"/>
      <w:lang w:eastAsia="en-AU"/>
    </w:rPr>
  </w:style>
  <w:style w:type="paragraph" w:customStyle="1" w:styleId="Tablelistbullet2">
    <w:name w:val="Table list bullet (2)"/>
    <w:basedOn w:val="TableText"/>
    <w:link w:val="Tablelistbullet2Char"/>
    <w:qFormat/>
    <w:rsid w:val="00AB7489"/>
    <w:pPr>
      <w:numPr>
        <w:numId w:val="14"/>
      </w:numPr>
      <w:ind w:left="867" w:hanging="357"/>
    </w:pPr>
  </w:style>
  <w:style w:type="character" w:customStyle="1" w:styleId="ListBulletChar">
    <w:name w:val="List Bullet Char"/>
    <w:basedOn w:val="DefaultParagraphFont"/>
    <w:link w:val="ListBullet"/>
    <w:rsid w:val="00AB7489"/>
    <w:rPr>
      <w:rFonts w:ascii="Arial" w:eastAsia="Times New Roman" w:hAnsi="Arial"/>
      <w:color w:val="000000" w:themeColor="text1"/>
      <w:sz w:val="22"/>
    </w:rPr>
  </w:style>
  <w:style w:type="character" w:customStyle="1" w:styleId="TablelistbulletChar">
    <w:name w:val="Table list bullet Char"/>
    <w:basedOn w:val="ListBulletChar"/>
    <w:link w:val="Tablelistbullet"/>
    <w:rsid w:val="00AB7489"/>
    <w:rPr>
      <w:rFonts w:ascii="Arial" w:eastAsia="Times New Roman" w:hAnsi="Arial"/>
      <w:color w:val="000000" w:themeColor="text1"/>
      <w:sz w:val="20"/>
      <w:szCs w:val="20"/>
      <w:lang w:eastAsia="en-AU"/>
    </w:rPr>
  </w:style>
  <w:style w:type="character" w:customStyle="1" w:styleId="TableTextChar">
    <w:name w:val="Table Text Char"/>
    <w:basedOn w:val="DefaultParagraphFont"/>
    <w:link w:val="TableText"/>
    <w:rsid w:val="00AB7489"/>
    <w:rPr>
      <w:rFonts w:ascii="Arial" w:eastAsia="Times New Roman" w:hAnsi="Arial" w:cs="Arial"/>
      <w:color w:val="000000" w:themeColor="text1"/>
      <w:sz w:val="20"/>
      <w:szCs w:val="22"/>
      <w:lang w:eastAsia="en-AU"/>
    </w:rPr>
  </w:style>
  <w:style w:type="character" w:customStyle="1" w:styleId="Tablelistbullet2Char">
    <w:name w:val="Table list bullet (2) Char"/>
    <w:basedOn w:val="TableTextChar"/>
    <w:link w:val="Tablelistbullet2"/>
    <w:rsid w:val="00AB7489"/>
    <w:rPr>
      <w:rFonts w:ascii="Arial" w:eastAsia="Times New Roman" w:hAnsi="Arial" w:cs="Arial"/>
      <w:color w:val="000000" w:themeColor="text1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making-a-claim-to-the-hcaf-fact-sheet" TargetMode="External"/><Relationship Id="rId13" Type="http://schemas.openxmlformats.org/officeDocument/2006/relationships/hyperlink" Target="https://www.health.gov.au/resources/publications/australian-thalidomide-survivors-support-program-eaf-and-hcaf-guidelin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.gov.au/resources/publications/hcaf-support-categories-fact-she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ealth.gov.au/initiatives-and-programs/australian-thalidomide-survivors-support-progr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publications/australian-thalidomide-survivors-support-program-eaf-and-hcaf-guidelin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halidomide.claims@servicesaustralia.gov.au" TargetMode="External"/><Relationship Id="rId10" Type="http://schemas.openxmlformats.org/officeDocument/2006/relationships/hyperlink" Target="https://www.health.gov.au/resources/publications/making-a-claim-to-the-eaf-fact-she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hcaf-support-categories-fact-sheet" TargetMode="External"/><Relationship Id="rId14" Type="http://schemas.openxmlformats.org/officeDocument/2006/relationships/hyperlink" Target="http://www.servicesaustralia.gov.au/thalidomi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C64F-307E-4DA8-BEBB-E53FD3B6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1304</Words>
  <Characters>8349</Characters>
  <Application>Microsoft Office Word</Application>
  <DocSecurity>0</DocSecurity>
  <Lines>219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EAF support categories</vt:lpstr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Extraordinary Assistance Fund (EAF) support categories fact sheet</dc:title>
  <dc:subject>Chronic conditions</dc:subject>
  <dc:creator>Australian Government Department of Health and Aged Care</dc:creator>
  <cp:keywords>Chronic conditions; EAF support categories; Australian Thalidomide Survivors Support Program</cp:keywords>
  <dc:description/>
  <cp:lastModifiedBy>Elvia</cp:lastModifiedBy>
  <cp:revision>3</cp:revision>
  <dcterms:created xsi:type="dcterms:W3CDTF">2022-08-02T07:25:00Z</dcterms:created>
  <dcterms:modified xsi:type="dcterms:W3CDTF">2022-08-02T07:25:00Z</dcterms:modified>
</cp:coreProperties>
</file>