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DBF68D" w14:textId="3BAE4748" w:rsidR="00D565B4" w:rsidRDefault="00D565B4" w:rsidP="00A62D7F">
      <w:pPr>
        <w:pStyle w:val="Title"/>
        <w:spacing w:before="9840"/>
        <w:ind w:right="119"/>
        <w:contextualSpacing/>
      </w:pPr>
      <w:r>
        <w:rPr>
          <w:noProof/>
          <w:lang w:eastAsia="en-AU"/>
        </w:rPr>
        <w:drawing>
          <wp:anchor distT="0" distB="0" distL="114300" distR="114300" simplePos="0" relativeHeight="251667967" behindDoc="1" locked="0" layoutInCell="1" allowOverlap="1" wp14:anchorId="3015E535" wp14:editId="31F5CBD9">
            <wp:simplePos x="0" y="0"/>
            <wp:positionH relativeFrom="page">
              <wp:align>right</wp:align>
            </wp:positionH>
            <wp:positionV relativeFrom="paragraph">
              <wp:posOffset>-1254125</wp:posOffset>
            </wp:positionV>
            <wp:extent cx="7541260" cy="10674985"/>
            <wp:effectExtent l="0" t="0" r="254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1260" cy="10674985"/>
                    </a:xfrm>
                    <a:prstGeom prst="rect">
                      <a:avLst/>
                    </a:prstGeom>
                    <a:noFill/>
                  </pic:spPr>
                </pic:pic>
              </a:graphicData>
            </a:graphic>
          </wp:anchor>
        </w:drawing>
      </w:r>
      <w:r w:rsidR="00A85195">
        <w:t>Winter Plan</w:t>
      </w:r>
      <w:r w:rsidR="006556A0">
        <w:t xml:space="preserve"> – </w:t>
      </w:r>
      <w:r w:rsidR="002A7E46">
        <w:t>A guide for residential aged care providers</w:t>
      </w:r>
    </w:p>
    <w:p w14:paraId="4CF9BD5B" w14:textId="3A79C3EB" w:rsidR="00C51B1C" w:rsidRPr="00256E7C" w:rsidRDefault="00C70B98" w:rsidP="008121FA">
      <w:pPr>
        <w:pStyle w:val="Subtitle"/>
        <w:ind w:right="118"/>
        <w:jc w:val="both"/>
        <w:sectPr w:rsidR="00C51B1C" w:rsidRPr="00256E7C" w:rsidSect="006E5DBA">
          <w:headerReference w:type="default" r:id="rId12"/>
          <w:footerReference w:type="default" r:id="rId13"/>
          <w:type w:val="continuous"/>
          <w:pgSz w:w="11906" w:h="16838" w:code="9"/>
          <w:pgMar w:top="1985" w:right="851" w:bottom="1134" w:left="851" w:header="454" w:footer="567" w:gutter="0"/>
          <w:cols w:space="720"/>
          <w:titlePg/>
          <w:docGrid w:linePitch="360"/>
        </w:sectPr>
      </w:pPr>
      <w:r>
        <w:t xml:space="preserve">July </w:t>
      </w:r>
      <w:r w:rsidR="006556A0">
        <w:t xml:space="preserve">– </w:t>
      </w:r>
      <w:r>
        <w:t xml:space="preserve">September </w:t>
      </w:r>
      <w:r w:rsidR="00D565B4">
        <w:t>202</w:t>
      </w:r>
      <w:r w:rsidR="006556A0">
        <w:t>2</w:t>
      </w:r>
    </w:p>
    <w:sdt>
      <w:sdtPr>
        <w:rPr>
          <w:b/>
        </w:rPr>
        <w:id w:val="834883130"/>
        <w:docPartObj>
          <w:docPartGallery w:val="Table of Contents"/>
          <w:docPartUnique/>
        </w:docPartObj>
      </w:sdtPr>
      <w:sdtEndPr>
        <w:rPr>
          <w:b w:val="0"/>
          <w:bCs/>
          <w:noProof/>
        </w:rPr>
      </w:sdtEndPr>
      <w:sdtContent>
        <w:p w14:paraId="455313FE" w14:textId="77777777" w:rsidR="000B4EB4" w:rsidRPr="00435BEF" w:rsidRDefault="000B4EB4" w:rsidP="008121FA">
          <w:pPr>
            <w:ind w:right="118"/>
            <w:jc w:val="both"/>
            <w:rPr>
              <w:rStyle w:val="Heading1Char"/>
            </w:rPr>
          </w:pPr>
          <w:r w:rsidRPr="00435BEF">
            <w:rPr>
              <w:rStyle w:val="Heading1Char"/>
            </w:rPr>
            <w:t>Contents</w:t>
          </w:r>
        </w:p>
        <w:p w14:paraId="78F6C1AD" w14:textId="7526E61A" w:rsidR="00E85629" w:rsidRDefault="000B4EB4">
          <w:pPr>
            <w:pStyle w:val="TOC1"/>
            <w:rPr>
              <w:rFonts w:asciiTheme="minorHAnsi" w:eastAsiaTheme="minorEastAsia" w:hAnsiTheme="minorHAnsi" w:cstheme="minorBidi"/>
              <w:b w:val="0"/>
              <w:color w:val="auto"/>
              <w:sz w:val="22"/>
              <w:szCs w:val="22"/>
              <w:lang w:eastAsia="en-AU"/>
            </w:rPr>
          </w:pPr>
          <w:r>
            <w:fldChar w:fldCharType="begin"/>
          </w:r>
          <w:r>
            <w:instrText xml:space="preserve"> TOC \o "1-3" \h \z \u </w:instrText>
          </w:r>
          <w:r>
            <w:fldChar w:fldCharType="separate"/>
          </w:r>
          <w:hyperlink w:anchor="_Toc108624561" w:history="1">
            <w:r w:rsidR="00E85629" w:rsidRPr="00C977F5">
              <w:rPr>
                <w:rStyle w:val="Hyperlink"/>
                <w:rFonts w:ascii="Arial Nova" w:hAnsi="Arial Nova"/>
              </w:rPr>
              <w:t>Context</w:t>
            </w:r>
            <w:r w:rsidR="00E85629">
              <w:rPr>
                <w:webHidden/>
              </w:rPr>
              <w:tab/>
            </w:r>
            <w:r w:rsidR="00E85629">
              <w:rPr>
                <w:webHidden/>
              </w:rPr>
              <w:fldChar w:fldCharType="begin"/>
            </w:r>
            <w:r w:rsidR="00E85629">
              <w:rPr>
                <w:webHidden/>
              </w:rPr>
              <w:instrText xml:space="preserve"> PAGEREF _Toc108624561 \h </w:instrText>
            </w:r>
            <w:r w:rsidR="00E85629">
              <w:rPr>
                <w:webHidden/>
              </w:rPr>
            </w:r>
            <w:r w:rsidR="00E85629">
              <w:rPr>
                <w:webHidden/>
              </w:rPr>
              <w:fldChar w:fldCharType="separate"/>
            </w:r>
            <w:r w:rsidR="00E85629">
              <w:rPr>
                <w:webHidden/>
              </w:rPr>
              <w:t>4</w:t>
            </w:r>
            <w:r w:rsidR="00E85629">
              <w:rPr>
                <w:webHidden/>
              </w:rPr>
              <w:fldChar w:fldCharType="end"/>
            </w:r>
          </w:hyperlink>
        </w:p>
        <w:p w14:paraId="2D70FF30" w14:textId="509CBA36" w:rsidR="00E85629" w:rsidRDefault="00E35DE8">
          <w:pPr>
            <w:pStyle w:val="TOC2"/>
            <w:rPr>
              <w:rFonts w:asciiTheme="minorHAnsi" w:eastAsiaTheme="minorEastAsia" w:hAnsiTheme="minorHAnsi" w:cstheme="minorBidi"/>
              <w:sz w:val="22"/>
              <w:szCs w:val="22"/>
              <w:lang w:eastAsia="en-AU"/>
            </w:rPr>
          </w:pPr>
          <w:hyperlink w:anchor="_Toc108624562" w:history="1">
            <w:r w:rsidR="00E85629" w:rsidRPr="00C977F5">
              <w:rPr>
                <w:rStyle w:val="Hyperlink"/>
                <w:rFonts w:ascii="Arial Nova" w:hAnsi="Arial Nova"/>
                <w:b/>
              </w:rPr>
              <w:t>Existing Provider Role and Responsibilities</w:t>
            </w:r>
            <w:r w:rsidR="00E85629">
              <w:rPr>
                <w:webHidden/>
              </w:rPr>
              <w:tab/>
            </w:r>
            <w:r w:rsidR="00E85629">
              <w:rPr>
                <w:webHidden/>
              </w:rPr>
              <w:fldChar w:fldCharType="begin"/>
            </w:r>
            <w:r w:rsidR="00E85629">
              <w:rPr>
                <w:webHidden/>
              </w:rPr>
              <w:instrText xml:space="preserve"> PAGEREF _Toc108624562 \h </w:instrText>
            </w:r>
            <w:r w:rsidR="00E85629">
              <w:rPr>
                <w:webHidden/>
              </w:rPr>
            </w:r>
            <w:r w:rsidR="00E85629">
              <w:rPr>
                <w:webHidden/>
              </w:rPr>
              <w:fldChar w:fldCharType="separate"/>
            </w:r>
            <w:r w:rsidR="00E85629">
              <w:rPr>
                <w:webHidden/>
              </w:rPr>
              <w:t>4</w:t>
            </w:r>
            <w:r w:rsidR="00E85629">
              <w:rPr>
                <w:webHidden/>
              </w:rPr>
              <w:fldChar w:fldCharType="end"/>
            </w:r>
          </w:hyperlink>
        </w:p>
        <w:p w14:paraId="62FA994B" w14:textId="09CD1531" w:rsidR="00E85629" w:rsidRDefault="00E35DE8">
          <w:pPr>
            <w:pStyle w:val="TOC1"/>
            <w:rPr>
              <w:rFonts w:asciiTheme="minorHAnsi" w:eastAsiaTheme="minorEastAsia" w:hAnsiTheme="minorHAnsi" w:cstheme="minorBidi"/>
              <w:b w:val="0"/>
              <w:color w:val="auto"/>
              <w:sz w:val="22"/>
              <w:szCs w:val="22"/>
              <w:lang w:eastAsia="en-AU"/>
            </w:rPr>
          </w:pPr>
          <w:hyperlink w:anchor="_Toc108624563" w:history="1">
            <w:r w:rsidR="00E85629" w:rsidRPr="00C977F5">
              <w:rPr>
                <w:rStyle w:val="Hyperlink"/>
                <w:rFonts w:ascii="Arial Nova" w:hAnsi="Arial Nova"/>
              </w:rPr>
              <w:t>Readiness</w:t>
            </w:r>
            <w:r w:rsidR="00E85629">
              <w:rPr>
                <w:webHidden/>
              </w:rPr>
              <w:tab/>
            </w:r>
            <w:r w:rsidR="00E85629">
              <w:rPr>
                <w:webHidden/>
              </w:rPr>
              <w:fldChar w:fldCharType="begin"/>
            </w:r>
            <w:r w:rsidR="00E85629">
              <w:rPr>
                <w:webHidden/>
              </w:rPr>
              <w:instrText xml:space="preserve"> PAGEREF _Toc108624563 \h </w:instrText>
            </w:r>
            <w:r w:rsidR="00E85629">
              <w:rPr>
                <w:webHidden/>
              </w:rPr>
            </w:r>
            <w:r w:rsidR="00E85629">
              <w:rPr>
                <w:webHidden/>
              </w:rPr>
              <w:fldChar w:fldCharType="separate"/>
            </w:r>
            <w:r w:rsidR="00E85629">
              <w:rPr>
                <w:webHidden/>
              </w:rPr>
              <w:t>7</w:t>
            </w:r>
            <w:r w:rsidR="00E85629">
              <w:rPr>
                <w:webHidden/>
              </w:rPr>
              <w:fldChar w:fldCharType="end"/>
            </w:r>
          </w:hyperlink>
        </w:p>
        <w:p w14:paraId="42D7CFAD" w14:textId="60435DC5" w:rsidR="00E85629" w:rsidRDefault="00E35DE8">
          <w:pPr>
            <w:pStyle w:val="TOC3"/>
            <w:rPr>
              <w:rFonts w:asciiTheme="minorHAnsi" w:eastAsiaTheme="minorEastAsia" w:hAnsiTheme="minorHAnsi" w:cstheme="minorBidi"/>
              <w:i w:val="0"/>
              <w:iCs w:val="0"/>
              <w:sz w:val="22"/>
              <w:szCs w:val="22"/>
              <w:lang w:eastAsia="en-AU"/>
            </w:rPr>
          </w:pPr>
          <w:hyperlink w:anchor="_Toc108624564" w:history="1">
            <w:r w:rsidR="00E85629" w:rsidRPr="00C977F5">
              <w:rPr>
                <w:rStyle w:val="Hyperlink"/>
                <w:rFonts w:eastAsia="Calibri" w:cs="Calibri Light"/>
              </w:rPr>
              <w:t>Understanding Public Health Situation, Advice and Requirements</w:t>
            </w:r>
            <w:r w:rsidR="00E85629">
              <w:rPr>
                <w:webHidden/>
              </w:rPr>
              <w:tab/>
            </w:r>
            <w:r w:rsidR="00E85629">
              <w:rPr>
                <w:webHidden/>
              </w:rPr>
              <w:fldChar w:fldCharType="begin"/>
            </w:r>
            <w:r w:rsidR="00E85629">
              <w:rPr>
                <w:webHidden/>
              </w:rPr>
              <w:instrText xml:space="preserve"> PAGEREF _Toc108624564 \h </w:instrText>
            </w:r>
            <w:r w:rsidR="00E85629">
              <w:rPr>
                <w:webHidden/>
              </w:rPr>
            </w:r>
            <w:r w:rsidR="00E85629">
              <w:rPr>
                <w:webHidden/>
              </w:rPr>
              <w:fldChar w:fldCharType="separate"/>
            </w:r>
            <w:r w:rsidR="00E85629">
              <w:rPr>
                <w:webHidden/>
              </w:rPr>
              <w:t>8</w:t>
            </w:r>
            <w:r w:rsidR="00E85629">
              <w:rPr>
                <w:webHidden/>
              </w:rPr>
              <w:fldChar w:fldCharType="end"/>
            </w:r>
          </w:hyperlink>
        </w:p>
        <w:p w14:paraId="6C46FC3B" w14:textId="531B1D7D" w:rsidR="00E85629" w:rsidRDefault="00E35DE8">
          <w:pPr>
            <w:pStyle w:val="TOC2"/>
            <w:rPr>
              <w:rFonts w:asciiTheme="minorHAnsi" w:eastAsiaTheme="minorEastAsia" w:hAnsiTheme="minorHAnsi" w:cstheme="minorBidi"/>
              <w:sz w:val="22"/>
              <w:szCs w:val="22"/>
              <w:lang w:eastAsia="en-AU"/>
            </w:rPr>
          </w:pPr>
          <w:hyperlink w:anchor="_Toc108624565" w:history="1">
            <w:r w:rsidR="00E85629" w:rsidRPr="00C977F5">
              <w:rPr>
                <w:rStyle w:val="Hyperlink"/>
                <w:rFonts w:ascii="Arial Nova" w:hAnsi="Arial Nova"/>
                <w:b/>
              </w:rPr>
              <w:t>Strong Infection Prevention and Control (IPC)</w:t>
            </w:r>
            <w:r w:rsidR="00E85629">
              <w:rPr>
                <w:webHidden/>
              </w:rPr>
              <w:tab/>
            </w:r>
            <w:r w:rsidR="00E85629">
              <w:rPr>
                <w:webHidden/>
              </w:rPr>
              <w:fldChar w:fldCharType="begin"/>
            </w:r>
            <w:r w:rsidR="00E85629">
              <w:rPr>
                <w:webHidden/>
              </w:rPr>
              <w:instrText xml:space="preserve"> PAGEREF _Toc108624565 \h </w:instrText>
            </w:r>
            <w:r w:rsidR="00E85629">
              <w:rPr>
                <w:webHidden/>
              </w:rPr>
            </w:r>
            <w:r w:rsidR="00E85629">
              <w:rPr>
                <w:webHidden/>
              </w:rPr>
              <w:fldChar w:fldCharType="separate"/>
            </w:r>
            <w:r w:rsidR="00E85629">
              <w:rPr>
                <w:webHidden/>
              </w:rPr>
              <w:t>9</w:t>
            </w:r>
            <w:r w:rsidR="00E85629">
              <w:rPr>
                <w:webHidden/>
              </w:rPr>
              <w:fldChar w:fldCharType="end"/>
            </w:r>
          </w:hyperlink>
        </w:p>
        <w:p w14:paraId="7A476236" w14:textId="76D3FDC5" w:rsidR="00E85629" w:rsidRDefault="00E35DE8">
          <w:pPr>
            <w:pStyle w:val="TOC2"/>
            <w:rPr>
              <w:rFonts w:asciiTheme="minorHAnsi" w:eastAsiaTheme="minorEastAsia" w:hAnsiTheme="minorHAnsi" w:cstheme="minorBidi"/>
              <w:sz w:val="22"/>
              <w:szCs w:val="22"/>
              <w:lang w:eastAsia="en-AU"/>
            </w:rPr>
          </w:pPr>
          <w:hyperlink w:anchor="_Toc108624566" w:history="1">
            <w:r w:rsidR="00E85629" w:rsidRPr="00C977F5">
              <w:rPr>
                <w:rStyle w:val="Hyperlink"/>
                <w:rFonts w:ascii="Arial Nova" w:hAnsi="Arial Nova"/>
                <w:b/>
              </w:rPr>
              <w:t>Vaccination</w:t>
            </w:r>
            <w:r w:rsidR="00E85629">
              <w:rPr>
                <w:webHidden/>
              </w:rPr>
              <w:tab/>
            </w:r>
            <w:r w:rsidR="00E85629">
              <w:rPr>
                <w:webHidden/>
              </w:rPr>
              <w:fldChar w:fldCharType="begin"/>
            </w:r>
            <w:r w:rsidR="00E85629">
              <w:rPr>
                <w:webHidden/>
              </w:rPr>
              <w:instrText xml:space="preserve"> PAGEREF _Toc108624566 \h </w:instrText>
            </w:r>
            <w:r w:rsidR="00E85629">
              <w:rPr>
                <w:webHidden/>
              </w:rPr>
            </w:r>
            <w:r w:rsidR="00E85629">
              <w:rPr>
                <w:webHidden/>
              </w:rPr>
              <w:fldChar w:fldCharType="separate"/>
            </w:r>
            <w:r w:rsidR="00E85629">
              <w:rPr>
                <w:webHidden/>
              </w:rPr>
              <w:t>10</w:t>
            </w:r>
            <w:r w:rsidR="00E85629">
              <w:rPr>
                <w:webHidden/>
              </w:rPr>
              <w:fldChar w:fldCharType="end"/>
            </w:r>
          </w:hyperlink>
        </w:p>
        <w:p w14:paraId="1F8F9859" w14:textId="26BCEC7D" w:rsidR="00E85629" w:rsidRDefault="00E35DE8">
          <w:pPr>
            <w:pStyle w:val="TOC2"/>
            <w:rPr>
              <w:rFonts w:asciiTheme="minorHAnsi" w:eastAsiaTheme="minorEastAsia" w:hAnsiTheme="minorHAnsi" w:cstheme="minorBidi"/>
              <w:sz w:val="22"/>
              <w:szCs w:val="22"/>
              <w:lang w:eastAsia="en-AU"/>
            </w:rPr>
          </w:pPr>
          <w:hyperlink w:anchor="_Toc108624567" w:history="1">
            <w:r w:rsidR="00E85629" w:rsidRPr="00C977F5">
              <w:rPr>
                <w:rStyle w:val="Hyperlink"/>
                <w:rFonts w:ascii="Arial Nova" w:hAnsi="Arial Nova"/>
                <w:b/>
              </w:rPr>
              <w:t>Pre-deployment of essential resources</w:t>
            </w:r>
            <w:r w:rsidR="00E85629">
              <w:rPr>
                <w:webHidden/>
              </w:rPr>
              <w:tab/>
            </w:r>
            <w:r w:rsidR="00E85629">
              <w:rPr>
                <w:webHidden/>
              </w:rPr>
              <w:fldChar w:fldCharType="begin"/>
            </w:r>
            <w:r w:rsidR="00E85629">
              <w:rPr>
                <w:webHidden/>
              </w:rPr>
              <w:instrText xml:space="preserve"> PAGEREF _Toc108624567 \h </w:instrText>
            </w:r>
            <w:r w:rsidR="00E85629">
              <w:rPr>
                <w:webHidden/>
              </w:rPr>
            </w:r>
            <w:r w:rsidR="00E85629">
              <w:rPr>
                <w:webHidden/>
              </w:rPr>
              <w:fldChar w:fldCharType="separate"/>
            </w:r>
            <w:r w:rsidR="00E85629">
              <w:rPr>
                <w:webHidden/>
              </w:rPr>
              <w:t>11</w:t>
            </w:r>
            <w:r w:rsidR="00E85629">
              <w:rPr>
                <w:webHidden/>
              </w:rPr>
              <w:fldChar w:fldCharType="end"/>
            </w:r>
          </w:hyperlink>
        </w:p>
        <w:p w14:paraId="62D44301" w14:textId="5D2093D1" w:rsidR="00E85629" w:rsidRDefault="00E35DE8">
          <w:pPr>
            <w:pStyle w:val="TOC3"/>
            <w:rPr>
              <w:rFonts w:asciiTheme="minorHAnsi" w:eastAsiaTheme="minorEastAsia" w:hAnsiTheme="minorHAnsi" w:cstheme="minorBidi"/>
              <w:i w:val="0"/>
              <w:iCs w:val="0"/>
              <w:sz w:val="22"/>
              <w:szCs w:val="22"/>
              <w:lang w:eastAsia="en-AU"/>
            </w:rPr>
          </w:pPr>
          <w:hyperlink w:anchor="_Toc108624568" w:history="1">
            <w:r w:rsidR="00E85629" w:rsidRPr="00C977F5">
              <w:rPr>
                <w:rStyle w:val="Hyperlink"/>
              </w:rPr>
              <w:t>Pre-deployment of Standard PPE Packs from NMS</w:t>
            </w:r>
            <w:r w:rsidR="00E85629">
              <w:rPr>
                <w:webHidden/>
              </w:rPr>
              <w:tab/>
            </w:r>
            <w:r w:rsidR="00E85629">
              <w:rPr>
                <w:webHidden/>
              </w:rPr>
              <w:fldChar w:fldCharType="begin"/>
            </w:r>
            <w:r w:rsidR="00E85629">
              <w:rPr>
                <w:webHidden/>
              </w:rPr>
              <w:instrText xml:space="preserve"> PAGEREF _Toc108624568 \h </w:instrText>
            </w:r>
            <w:r w:rsidR="00E85629">
              <w:rPr>
                <w:webHidden/>
              </w:rPr>
            </w:r>
            <w:r w:rsidR="00E85629">
              <w:rPr>
                <w:webHidden/>
              </w:rPr>
              <w:fldChar w:fldCharType="separate"/>
            </w:r>
            <w:r w:rsidR="00E85629">
              <w:rPr>
                <w:webHidden/>
              </w:rPr>
              <w:t>11</w:t>
            </w:r>
            <w:r w:rsidR="00E85629">
              <w:rPr>
                <w:webHidden/>
              </w:rPr>
              <w:fldChar w:fldCharType="end"/>
            </w:r>
          </w:hyperlink>
        </w:p>
        <w:p w14:paraId="041B71CE" w14:textId="2EA6E489" w:rsidR="00E85629" w:rsidRDefault="00E35DE8">
          <w:pPr>
            <w:pStyle w:val="TOC3"/>
            <w:rPr>
              <w:rFonts w:asciiTheme="minorHAnsi" w:eastAsiaTheme="minorEastAsia" w:hAnsiTheme="minorHAnsi" w:cstheme="minorBidi"/>
              <w:i w:val="0"/>
              <w:iCs w:val="0"/>
              <w:sz w:val="22"/>
              <w:szCs w:val="22"/>
              <w:lang w:eastAsia="en-AU"/>
            </w:rPr>
          </w:pPr>
          <w:hyperlink w:anchor="_Toc108624569" w:history="1">
            <w:r w:rsidR="00E85629" w:rsidRPr="00C977F5">
              <w:rPr>
                <w:rStyle w:val="Hyperlink"/>
              </w:rPr>
              <w:t>Ongoing pre-deployment of Rapid Antigen Test (RAT) kits from NMS</w:t>
            </w:r>
            <w:r w:rsidR="00E85629">
              <w:rPr>
                <w:webHidden/>
              </w:rPr>
              <w:tab/>
            </w:r>
            <w:r w:rsidR="00E85629">
              <w:rPr>
                <w:webHidden/>
              </w:rPr>
              <w:fldChar w:fldCharType="begin"/>
            </w:r>
            <w:r w:rsidR="00E85629">
              <w:rPr>
                <w:webHidden/>
              </w:rPr>
              <w:instrText xml:space="preserve"> PAGEREF _Toc108624569 \h </w:instrText>
            </w:r>
            <w:r w:rsidR="00E85629">
              <w:rPr>
                <w:webHidden/>
              </w:rPr>
            </w:r>
            <w:r w:rsidR="00E85629">
              <w:rPr>
                <w:webHidden/>
              </w:rPr>
              <w:fldChar w:fldCharType="separate"/>
            </w:r>
            <w:r w:rsidR="00E85629">
              <w:rPr>
                <w:webHidden/>
              </w:rPr>
              <w:t>11</w:t>
            </w:r>
            <w:r w:rsidR="00E85629">
              <w:rPr>
                <w:webHidden/>
              </w:rPr>
              <w:fldChar w:fldCharType="end"/>
            </w:r>
          </w:hyperlink>
        </w:p>
        <w:p w14:paraId="2BE9A9A7" w14:textId="0FC71AA1" w:rsidR="00E85629" w:rsidRDefault="00E35DE8">
          <w:pPr>
            <w:pStyle w:val="TOC3"/>
            <w:rPr>
              <w:rFonts w:asciiTheme="minorHAnsi" w:eastAsiaTheme="minorEastAsia" w:hAnsiTheme="minorHAnsi" w:cstheme="minorBidi"/>
              <w:i w:val="0"/>
              <w:iCs w:val="0"/>
              <w:sz w:val="22"/>
              <w:szCs w:val="22"/>
              <w:lang w:eastAsia="en-AU"/>
            </w:rPr>
          </w:pPr>
          <w:hyperlink w:anchor="_Toc108624570" w:history="1">
            <w:r w:rsidR="00E85629" w:rsidRPr="00C977F5">
              <w:rPr>
                <w:rStyle w:val="Hyperlink"/>
              </w:rPr>
              <w:t>Pre-deployment of oral antivirals (COVID-19 and influenza)</w:t>
            </w:r>
            <w:r w:rsidR="00E85629">
              <w:rPr>
                <w:webHidden/>
              </w:rPr>
              <w:tab/>
            </w:r>
            <w:r w:rsidR="00E85629">
              <w:rPr>
                <w:webHidden/>
              </w:rPr>
              <w:fldChar w:fldCharType="begin"/>
            </w:r>
            <w:r w:rsidR="00E85629">
              <w:rPr>
                <w:webHidden/>
              </w:rPr>
              <w:instrText xml:space="preserve"> PAGEREF _Toc108624570 \h </w:instrText>
            </w:r>
            <w:r w:rsidR="00E85629">
              <w:rPr>
                <w:webHidden/>
              </w:rPr>
            </w:r>
            <w:r w:rsidR="00E85629">
              <w:rPr>
                <w:webHidden/>
              </w:rPr>
              <w:fldChar w:fldCharType="separate"/>
            </w:r>
            <w:r w:rsidR="00E85629">
              <w:rPr>
                <w:webHidden/>
              </w:rPr>
              <w:t>11</w:t>
            </w:r>
            <w:r w:rsidR="00E85629">
              <w:rPr>
                <w:webHidden/>
              </w:rPr>
              <w:fldChar w:fldCharType="end"/>
            </w:r>
          </w:hyperlink>
        </w:p>
        <w:p w14:paraId="3E1E3FE3" w14:textId="4429A9B5" w:rsidR="00E85629" w:rsidRDefault="00E35DE8">
          <w:pPr>
            <w:pStyle w:val="TOC2"/>
            <w:rPr>
              <w:rFonts w:asciiTheme="minorHAnsi" w:eastAsiaTheme="minorEastAsia" w:hAnsiTheme="minorHAnsi" w:cstheme="minorBidi"/>
              <w:sz w:val="22"/>
              <w:szCs w:val="22"/>
              <w:lang w:eastAsia="en-AU"/>
            </w:rPr>
          </w:pPr>
          <w:hyperlink w:anchor="_Toc108624571" w:history="1">
            <w:r w:rsidR="00E85629" w:rsidRPr="00C977F5">
              <w:rPr>
                <w:rStyle w:val="Hyperlink"/>
                <w:rFonts w:ascii="Arial Nova" w:hAnsi="Arial Nova"/>
                <w:b/>
              </w:rPr>
              <w:t>Workforce</w:t>
            </w:r>
            <w:r w:rsidR="00E85629">
              <w:rPr>
                <w:webHidden/>
              </w:rPr>
              <w:tab/>
            </w:r>
            <w:r w:rsidR="00E85629">
              <w:rPr>
                <w:webHidden/>
              </w:rPr>
              <w:fldChar w:fldCharType="begin"/>
            </w:r>
            <w:r w:rsidR="00E85629">
              <w:rPr>
                <w:webHidden/>
              </w:rPr>
              <w:instrText xml:space="preserve"> PAGEREF _Toc108624571 \h </w:instrText>
            </w:r>
            <w:r w:rsidR="00E85629">
              <w:rPr>
                <w:webHidden/>
              </w:rPr>
            </w:r>
            <w:r w:rsidR="00E85629">
              <w:rPr>
                <w:webHidden/>
              </w:rPr>
              <w:fldChar w:fldCharType="separate"/>
            </w:r>
            <w:r w:rsidR="00E85629">
              <w:rPr>
                <w:webHidden/>
              </w:rPr>
              <w:t>12</w:t>
            </w:r>
            <w:r w:rsidR="00E85629">
              <w:rPr>
                <w:webHidden/>
              </w:rPr>
              <w:fldChar w:fldCharType="end"/>
            </w:r>
          </w:hyperlink>
        </w:p>
        <w:p w14:paraId="2985C799" w14:textId="48559D18" w:rsidR="00E85629" w:rsidRDefault="00E35DE8">
          <w:pPr>
            <w:pStyle w:val="TOC2"/>
            <w:rPr>
              <w:rFonts w:asciiTheme="minorHAnsi" w:eastAsiaTheme="minorEastAsia" w:hAnsiTheme="minorHAnsi" w:cstheme="minorBidi"/>
              <w:sz w:val="22"/>
              <w:szCs w:val="22"/>
              <w:lang w:eastAsia="en-AU"/>
            </w:rPr>
          </w:pPr>
          <w:hyperlink w:anchor="_Toc108624572" w:history="1">
            <w:r w:rsidR="00E85629" w:rsidRPr="00C977F5">
              <w:rPr>
                <w:rStyle w:val="Hyperlink"/>
                <w:rFonts w:ascii="Arial Nova" w:hAnsi="Arial Nova"/>
                <w:b/>
              </w:rPr>
              <w:t>Communications, guidance and advice</w:t>
            </w:r>
            <w:r w:rsidR="00E85629">
              <w:rPr>
                <w:webHidden/>
              </w:rPr>
              <w:tab/>
            </w:r>
            <w:r w:rsidR="00E85629">
              <w:rPr>
                <w:webHidden/>
              </w:rPr>
              <w:fldChar w:fldCharType="begin"/>
            </w:r>
            <w:r w:rsidR="00E85629">
              <w:rPr>
                <w:webHidden/>
              </w:rPr>
              <w:instrText xml:space="preserve"> PAGEREF _Toc108624572 \h </w:instrText>
            </w:r>
            <w:r w:rsidR="00E85629">
              <w:rPr>
                <w:webHidden/>
              </w:rPr>
            </w:r>
            <w:r w:rsidR="00E85629">
              <w:rPr>
                <w:webHidden/>
              </w:rPr>
              <w:fldChar w:fldCharType="separate"/>
            </w:r>
            <w:r w:rsidR="00E85629">
              <w:rPr>
                <w:webHidden/>
              </w:rPr>
              <w:t>12</w:t>
            </w:r>
            <w:r w:rsidR="00E85629">
              <w:rPr>
                <w:webHidden/>
              </w:rPr>
              <w:fldChar w:fldCharType="end"/>
            </w:r>
          </w:hyperlink>
        </w:p>
        <w:p w14:paraId="0C471426" w14:textId="6A870F03" w:rsidR="00E85629" w:rsidRDefault="00E35DE8">
          <w:pPr>
            <w:pStyle w:val="TOC2"/>
            <w:rPr>
              <w:rFonts w:asciiTheme="minorHAnsi" w:eastAsiaTheme="minorEastAsia" w:hAnsiTheme="minorHAnsi" w:cstheme="minorBidi"/>
              <w:sz w:val="22"/>
              <w:szCs w:val="22"/>
              <w:lang w:eastAsia="en-AU"/>
            </w:rPr>
          </w:pPr>
          <w:hyperlink w:anchor="_Toc108624573" w:history="1">
            <w:r w:rsidR="00E85629" w:rsidRPr="00C977F5">
              <w:rPr>
                <w:rStyle w:val="Hyperlink"/>
                <w:rFonts w:ascii="Arial Nova" w:hAnsi="Arial Nova"/>
                <w:b/>
              </w:rPr>
              <w:t>Visitation</w:t>
            </w:r>
            <w:r w:rsidR="00E85629">
              <w:rPr>
                <w:webHidden/>
              </w:rPr>
              <w:tab/>
            </w:r>
            <w:r w:rsidR="00E85629">
              <w:rPr>
                <w:webHidden/>
              </w:rPr>
              <w:fldChar w:fldCharType="begin"/>
            </w:r>
            <w:r w:rsidR="00E85629">
              <w:rPr>
                <w:webHidden/>
              </w:rPr>
              <w:instrText xml:space="preserve"> PAGEREF _Toc108624573 \h </w:instrText>
            </w:r>
            <w:r w:rsidR="00E85629">
              <w:rPr>
                <w:webHidden/>
              </w:rPr>
            </w:r>
            <w:r w:rsidR="00E85629">
              <w:rPr>
                <w:webHidden/>
              </w:rPr>
              <w:fldChar w:fldCharType="separate"/>
            </w:r>
            <w:r w:rsidR="00E85629">
              <w:rPr>
                <w:webHidden/>
              </w:rPr>
              <w:t>12</w:t>
            </w:r>
            <w:r w:rsidR="00E85629">
              <w:rPr>
                <w:webHidden/>
              </w:rPr>
              <w:fldChar w:fldCharType="end"/>
            </w:r>
          </w:hyperlink>
        </w:p>
        <w:p w14:paraId="1DDCA7EF" w14:textId="3C3DAA58" w:rsidR="00E85629" w:rsidRDefault="00E35DE8">
          <w:pPr>
            <w:pStyle w:val="TOC1"/>
            <w:rPr>
              <w:rFonts w:asciiTheme="minorHAnsi" w:eastAsiaTheme="minorEastAsia" w:hAnsiTheme="minorHAnsi" w:cstheme="minorBidi"/>
              <w:b w:val="0"/>
              <w:color w:val="auto"/>
              <w:sz w:val="22"/>
              <w:szCs w:val="22"/>
              <w:lang w:eastAsia="en-AU"/>
            </w:rPr>
          </w:pPr>
          <w:hyperlink w:anchor="_Toc108624574" w:history="1">
            <w:r w:rsidR="00E85629" w:rsidRPr="00C977F5">
              <w:rPr>
                <w:rStyle w:val="Hyperlink"/>
                <w:rFonts w:ascii="Arial Nova" w:hAnsi="Arial Nova"/>
              </w:rPr>
              <w:t>Response</w:t>
            </w:r>
            <w:r w:rsidR="00E85629">
              <w:rPr>
                <w:webHidden/>
              </w:rPr>
              <w:tab/>
            </w:r>
            <w:r w:rsidR="00E85629">
              <w:rPr>
                <w:webHidden/>
              </w:rPr>
              <w:fldChar w:fldCharType="begin"/>
            </w:r>
            <w:r w:rsidR="00E85629">
              <w:rPr>
                <w:webHidden/>
              </w:rPr>
              <w:instrText xml:space="preserve"> PAGEREF _Toc108624574 \h </w:instrText>
            </w:r>
            <w:r w:rsidR="00E85629">
              <w:rPr>
                <w:webHidden/>
              </w:rPr>
            </w:r>
            <w:r w:rsidR="00E85629">
              <w:rPr>
                <w:webHidden/>
              </w:rPr>
              <w:fldChar w:fldCharType="separate"/>
            </w:r>
            <w:r w:rsidR="00E85629">
              <w:rPr>
                <w:webHidden/>
              </w:rPr>
              <w:t>13</w:t>
            </w:r>
            <w:r w:rsidR="00E85629">
              <w:rPr>
                <w:webHidden/>
              </w:rPr>
              <w:fldChar w:fldCharType="end"/>
            </w:r>
          </w:hyperlink>
        </w:p>
        <w:p w14:paraId="35234328" w14:textId="634C45BF" w:rsidR="00E85629" w:rsidRDefault="00E35DE8">
          <w:pPr>
            <w:pStyle w:val="TOC2"/>
            <w:rPr>
              <w:rFonts w:asciiTheme="minorHAnsi" w:eastAsiaTheme="minorEastAsia" w:hAnsiTheme="minorHAnsi" w:cstheme="minorBidi"/>
              <w:sz w:val="22"/>
              <w:szCs w:val="22"/>
              <w:lang w:eastAsia="en-AU"/>
            </w:rPr>
          </w:pPr>
          <w:hyperlink w:anchor="_Toc108624575" w:history="1">
            <w:r w:rsidR="00E85629" w:rsidRPr="00C977F5">
              <w:rPr>
                <w:rStyle w:val="Hyperlink"/>
                <w:rFonts w:ascii="Arial Nova" w:hAnsi="Arial Nova"/>
                <w:b/>
              </w:rPr>
              <w:t>Identifying an outbreak/exposure – Testing</w:t>
            </w:r>
            <w:r w:rsidR="00E85629">
              <w:rPr>
                <w:webHidden/>
              </w:rPr>
              <w:tab/>
            </w:r>
            <w:r w:rsidR="00E85629">
              <w:rPr>
                <w:webHidden/>
              </w:rPr>
              <w:fldChar w:fldCharType="begin"/>
            </w:r>
            <w:r w:rsidR="00E85629">
              <w:rPr>
                <w:webHidden/>
              </w:rPr>
              <w:instrText xml:space="preserve"> PAGEREF _Toc108624575 \h </w:instrText>
            </w:r>
            <w:r w:rsidR="00E85629">
              <w:rPr>
                <w:webHidden/>
              </w:rPr>
            </w:r>
            <w:r w:rsidR="00E85629">
              <w:rPr>
                <w:webHidden/>
              </w:rPr>
              <w:fldChar w:fldCharType="separate"/>
            </w:r>
            <w:r w:rsidR="00E85629">
              <w:rPr>
                <w:webHidden/>
              </w:rPr>
              <w:t>14</w:t>
            </w:r>
            <w:r w:rsidR="00E85629">
              <w:rPr>
                <w:webHidden/>
              </w:rPr>
              <w:fldChar w:fldCharType="end"/>
            </w:r>
          </w:hyperlink>
        </w:p>
        <w:p w14:paraId="24D42C60" w14:textId="757708BA" w:rsidR="00E85629" w:rsidRDefault="00E35DE8">
          <w:pPr>
            <w:pStyle w:val="TOC2"/>
            <w:rPr>
              <w:rFonts w:asciiTheme="minorHAnsi" w:eastAsiaTheme="minorEastAsia" w:hAnsiTheme="minorHAnsi" w:cstheme="minorBidi"/>
              <w:sz w:val="22"/>
              <w:szCs w:val="22"/>
              <w:lang w:eastAsia="en-AU"/>
            </w:rPr>
          </w:pPr>
          <w:hyperlink w:anchor="_Toc108624576" w:history="1">
            <w:r w:rsidR="00E85629" w:rsidRPr="00C977F5">
              <w:rPr>
                <w:rStyle w:val="Hyperlink"/>
                <w:rFonts w:ascii="Arial Nova" w:hAnsi="Arial Nova"/>
                <w:b/>
              </w:rPr>
              <w:t>Managing an outbreak</w:t>
            </w:r>
            <w:r w:rsidR="00E85629">
              <w:rPr>
                <w:webHidden/>
              </w:rPr>
              <w:tab/>
            </w:r>
            <w:r w:rsidR="00E85629">
              <w:rPr>
                <w:webHidden/>
              </w:rPr>
              <w:fldChar w:fldCharType="begin"/>
            </w:r>
            <w:r w:rsidR="00E85629">
              <w:rPr>
                <w:webHidden/>
              </w:rPr>
              <w:instrText xml:space="preserve"> PAGEREF _Toc108624576 \h </w:instrText>
            </w:r>
            <w:r w:rsidR="00E85629">
              <w:rPr>
                <w:webHidden/>
              </w:rPr>
            </w:r>
            <w:r w:rsidR="00E85629">
              <w:rPr>
                <w:webHidden/>
              </w:rPr>
              <w:fldChar w:fldCharType="separate"/>
            </w:r>
            <w:r w:rsidR="00E85629">
              <w:rPr>
                <w:webHidden/>
              </w:rPr>
              <w:t>14</w:t>
            </w:r>
            <w:r w:rsidR="00E85629">
              <w:rPr>
                <w:webHidden/>
              </w:rPr>
              <w:fldChar w:fldCharType="end"/>
            </w:r>
          </w:hyperlink>
        </w:p>
        <w:p w14:paraId="7AB7265A" w14:textId="38D00804" w:rsidR="00E85629" w:rsidRDefault="00E35DE8">
          <w:pPr>
            <w:pStyle w:val="TOC3"/>
            <w:rPr>
              <w:rFonts w:asciiTheme="minorHAnsi" w:eastAsiaTheme="minorEastAsia" w:hAnsiTheme="minorHAnsi" w:cstheme="minorBidi"/>
              <w:i w:val="0"/>
              <w:iCs w:val="0"/>
              <w:sz w:val="22"/>
              <w:szCs w:val="22"/>
              <w:lang w:eastAsia="en-AU"/>
            </w:rPr>
          </w:pPr>
          <w:hyperlink w:anchor="_Toc108624577" w:history="1">
            <w:r w:rsidR="00E85629" w:rsidRPr="00C977F5">
              <w:rPr>
                <w:rStyle w:val="Hyperlink"/>
              </w:rPr>
              <w:t>Managing outbreaks – COVID-19 and influenza</w:t>
            </w:r>
            <w:r w:rsidR="00E85629">
              <w:rPr>
                <w:webHidden/>
              </w:rPr>
              <w:tab/>
            </w:r>
            <w:r w:rsidR="00E85629">
              <w:rPr>
                <w:webHidden/>
              </w:rPr>
              <w:fldChar w:fldCharType="begin"/>
            </w:r>
            <w:r w:rsidR="00E85629">
              <w:rPr>
                <w:webHidden/>
              </w:rPr>
              <w:instrText xml:space="preserve"> PAGEREF _Toc108624577 \h </w:instrText>
            </w:r>
            <w:r w:rsidR="00E85629">
              <w:rPr>
                <w:webHidden/>
              </w:rPr>
            </w:r>
            <w:r w:rsidR="00E85629">
              <w:rPr>
                <w:webHidden/>
              </w:rPr>
              <w:fldChar w:fldCharType="separate"/>
            </w:r>
            <w:r w:rsidR="00E85629">
              <w:rPr>
                <w:webHidden/>
              </w:rPr>
              <w:t>14</w:t>
            </w:r>
            <w:r w:rsidR="00E85629">
              <w:rPr>
                <w:webHidden/>
              </w:rPr>
              <w:fldChar w:fldCharType="end"/>
            </w:r>
          </w:hyperlink>
        </w:p>
        <w:p w14:paraId="5F4755D6" w14:textId="11F94477" w:rsidR="00E85629" w:rsidRDefault="00E35DE8">
          <w:pPr>
            <w:pStyle w:val="TOC3"/>
            <w:rPr>
              <w:rFonts w:asciiTheme="minorHAnsi" w:eastAsiaTheme="minorEastAsia" w:hAnsiTheme="minorHAnsi" w:cstheme="minorBidi"/>
              <w:i w:val="0"/>
              <w:iCs w:val="0"/>
              <w:sz w:val="22"/>
              <w:szCs w:val="22"/>
              <w:lang w:eastAsia="en-AU"/>
            </w:rPr>
          </w:pPr>
          <w:hyperlink w:anchor="_Toc108624578" w:history="1">
            <w:r w:rsidR="00E85629" w:rsidRPr="00C977F5">
              <w:rPr>
                <w:rStyle w:val="Hyperlink"/>
              </w:rPr>
              <w:t>Threshold for accessing supports</w:t>
            </w:r>
            <w:r w:rsidR="00E85629">
              <w:rPr>
                <w:webHidden/>
              </w:rPr>
              <w:tab/>
            </w:r>
            <w:r w:rsidR="00E85629">
              <w:rPr>
                <w:webHidden/>
              </w:rPr>
              <w:fldChar w:fldCharType="begin"/>
            </w:r>
            <w:r w:rsidR="00E85629">
              <w:rPr>
                <w:webHidden/>
              </w:rPr>
              <w:instrText xml:space="preserve"> PAGEREF _Toc108624578 \h </w:instrText>
            </w:r>
            <w:r w:rsidR="00E85629">
              <w:rPr>
                <w:webHidden/>
              </w:rPr>
            </w:r>
            <w:r w:rsidR="00E85629">
              <w:rPr>
                <w:webHidden/>
              </w:rPr>
              <w:fldChar w:fldCharType="separate"/>
            </w:r>
            <w:r w:rsidR="00E85629">
              <w:rPr>
                <w:webHidden/>
              </w:rPr>
              <w:t>15</w:t>
            </w:r>
            <w:r w:rsidR="00E85629">
              <w:rPr>
                <w:webHidden/>
              </w:rPr>
              <w:fldChar w:fldCharType="end"/>
            </w:r>
          </w:hyperlink>
        </w:p>
        <w:p w14:paraId="4EB4D86B" w14:textId="180F0737" w:rsidR="00E85629" w:rsidRDefault="00E35DE8">
          <w:pPr>
            <w:pStyle w:val="TOC3"/>
            <w:rPr>
              <w:rFonts w:asciiTheme="minorHAnsi" w:eastAsiaTheme="minorEastAsia" w:hAnsiTheme="minorHAnsi" w:cstheme="minorBidi"/>
              <w:i w:val="0"/>
              <w:iCs w:val="0"/>
              <w:sz w:val="22"/>
              <w:szCs w:val="22"/>
              <w:lang w:eastAsia="en-AU"/>
            </w:rPr>
          </w:pPr>
          <w:hyperlink w:anchor="_Toc108624579" w:history="1">
            <w:r w:rsidR="00E85629" w:rsidRPr="00C977F5">
              <w:rPr>
                <w:rStyle w:val="Hyperlink"/>
              </w:rPr>
              <w:t>Access to care and treatments</w:t>
            </w:r>
            <w:r w:rsidR="00E85629">
              <w:rPr>
                <w:webHidden/>
              </w:rPr>
              <w:tab/>
            </w:r>
            <w:r w:rsidR="00E85629">
              <w:rPr>
                <w:webHidden/>
              </w:rPr>
              <w:fldChar w:fldCharType="begin"/>
            </w:r>
            <w:r w:rsidR="00E85629">
              <w:rPr>
                <w:webHidden/>
              </w:rPr>
              <w:instrText xml:space="preserve"> PAGEREF _Toc108624579 \h </w:instrText>
            </w:r>
            <w:r w:rsidR="00E85629">
              <w:rPr>
                <w:webHidden/>
              </w:rPr>
            </w:r>
            <w:r w:rsidR="00E85629">
              <w:rPr>
                <w:webHidden/>
              </w:rPr>
              <w:fldChar w:fldCharType="separate"/>
            </w:r>
            <w:r w:rsidR="00E85629">
              <w:rPr>
                <w:webHidden/>
              </w:rPr>
              <w:t>15</w:t>
            </w:r>
            <w:r w:rsidR="00E85629">
              <w:rPr>
                <w:webHidden/>
              </w:rPr>
              <w:fldChar w:fldCharType="end"/>
            </w:r>
          </w:hyperlink>
        </w:p>
        <w:p w14:paraId="0ADF6D5F" w14:textId="51A94EF9" w:rsidR="00E85629" w:rsidRDefault="00E35DE8">
          <w:pPr>
            <w:pStyle w:val="TOC2"/>
            <w:rPr>
              <w:rFonts w:asciiTheme="minorHAnsi" w:eastAsiaTheme="minorEastAsia" w:hAnsiTheme="minorHAnsi" w:cstheme="minorBidi"/>
              <w:sz w:val="22"/>
              <w:szCs w:val="22"/>
              <w:lang w:eastAsia="en-AU"/>
            </w:rPr>
          </w:pPr>
          <w:hyperlink w:anchor="_Toc108624580" w:history="1">
            <w:r w:rsidR="00E85629" w:rsidRPr="00C977F5">
              <w:rPr>
                <w:rStyle w:val="Hyperlink"/>
                <w:rFonts w:ascii="Arial Nova" w:hAnsi="Arial Nova"/>
                <w:b/>
              </w:rPr>
              <w:t>Strong Infection Prevention and Control (IPC)</w:t>
            </w:r>
            <w:r w:rsidR="00E85629">
              <w:rPr>
                <w:webHidden/>
              </w:rPr>
              <w:tab/>
            </w:r>
            <w:r w:rsidR="00E85629">
              <w:rPr>
                <w:webHidden/>
              </w:rPr>
              <w:fldChar w:fldCharType="begin"/>
            </w:r>
            <w:r w:rsidR="00E85629">
              <w:rPr>
                <w:webHidden/>
              </w:rPr>
              <w:instrText xml:space="preserve"> PAGEREF _Toc108624580 \h </w:instrText>
            </w:r>
            <w:r w:rsidR="00E85629">
              <w:rPr>
                <w:webHidden/>
              </w:rPr>
            </w:r>
            <w:r w:rsidR="00E85629">
              <w:rPr>
                <w:webHidden/>
              </w:rPr>
              <w:fldChar w:fldCharType="separate"/>
            </w:r>
            <w:r w:rsidR="00E85629">
              <w:rPr>
                <w:webHidden/>
              </w:rPr>
              <w:t>16</w:t>
            </w:r>
            <w:r w:rsidR="00E85629">
              <w:rPr>
                <w:webHidden/>
              </w:rPr>
              <w:fldChar w:fldCharType="end"/>
            </w:r>
          </w:hyperlink>
        </w:p>
        <w:p w14:paraId="38738996" w14:textId="03C29CC2" w:rsidR="00E85629" w:rsidRDefault="00E35DE8">
          <w:pPr>
            <w:pStyle w:val="TOC3"/>
            <w:rPr>
              <w:rFonts w:asciiTheme="minorHAnsi" w:eastAsiaTheme="minorEastAsia" w:hAnsiTheme="minorHAnsi" w:cstheme="minorBidi"/>
              <w:i w:val="0"/>
              <w:iCs w:val="0"/>
              <w:sz w:val="22"/>
              <w:szCs w:val="22"/>
              <w:lang w:eastAsia="en-AU"/>
            </w:rPr>
          </w:pPr>
          <w:hyperlink w:anchor="_Toc108624581" w:history="1">
            <w:r w:rsidR="00E85629" w:rsidRPr="00C977F5">
              <w:rPr>
                <w:rStyle w:val="Hyperlink"/>
              </w:rPr>
              <w:t>Drawing on expert IPC Capability</w:t>
            </w:r>
            <w:r w:rsidR="00E85629">
              <w:rPr>
                <w:webHidden/>
              </w:rPr>
              <w:tab/>
            </w:r>
            <w:r w:rsidR="00E85629">
              <w:rPr>
                <w:webHidden/>
              </w:rPr>
              <w:fldChar w:fldCharType="begin"/>
            </w:r>
            <w:r w:rsidR="00E85629">
              <w:rPr>
                <w:webHidden/>
              </w:rPr>
              <w:instrText xml:space="preserve"> PAGEREF _Toc108624581 \h </w:instrText>
            </w:r>
            <w:r w:rsidR="00E85629">
              <w:rPr>
                <w:webHidden/>
              </w:rPr>
            </w:r>
            <w:r w:rsidR="00E85629">
              <w:rPr>
                <w:webHidden/>
              </w:rPr>
              <w:fldChar w:fldCharType="separate"/>
            </w:r>
            <w:r w:rsidR="00E85629">
              <w:rPr>
                <w:webHidden/>
              </w:rPr>
              <w:t>16</w:t>
            </w:r>
            <w:r w:rsidR="00E85629">
              <w:rPr>
                <w:webHidden/>
              </w:rPr>
              <w:fldChar w:fldCharType="end"/>
            </w:r>
          </w:hyperlink>
        </w:p>
        <w:p w14:paraId="4372228C" w14:textId="61C946D1" w:rsidR="00E85629" w:rsidRDefault="00E35DE8">
          <w:pPr>
            <w:pStyle w:val="TOC2"/>
            <w:rPr>
              <w:rFonts w:asciiTheme="minorHAnsi" w:eastAsiaTheme="minorEastAsia" w:hAnsiTheme="minorHAnsi" w:cstheme="minorBidi"/>
              <w:sz w:val="22"/>
              <w:szCs w:val="22"/>
              <w:lang w:eastAsia="en-AU"/>
            </w:rPr>
          </w:pPr>
          <w:hyperlink w:anchor="_Toc108624582" w:history="1">
            <w:r w:rsidR="00E85629" w:rsidRPr="00C977F5">
              <w:rPr>
                <w:rStyle w:val="Hyperlink"/>
                <w:rFonts w:ascii="Arial Nova" w:hAnsi="Arial Nova"/>
                <w:b/>
              </w:rPr>
              <w:t>Workforce</w:t>
            </w:r>
            <w:r w:rsidR="00E85629">
              <w:rPr>
                <w:webHidden/>
              </w:rPr>
              <w:tab/>
            </w:r>
            <w:r w:rsidR="00E85629">
              <w:rPr>
                <w:webHidden/>
              </w:rPr>
              <w:fldChar w:fldCharType="begin"/>
            </w:r>
            <w:r w:rsidR="00E85629">
              <w:rPr>
                <w:webHidden/>
              </w:rPr>
              <w:instrText xml:space="preserve"> PAGEREF _Toc108624582 \h </w:instrText>
            </w:r>
            <w:r w:rsidR="00E85629">
              <w:rPr>
                <w:webHidden/>
              </w:rPr>
            </w:r>
            <w:r w:rsidR="00E85629">
              <w:rPr>
                <w:webHidden/>
              </w:rPr>
              <w:fldChar w:fldCharType="separate"/>
            </w:r>
            <w:r w:rsidR="00E85629">
              <w:rPr>
                <w:webHidden/>
              </w:rPr>
              <w:t>17</w:t>
            </w:r>
            <w:r w:rsidR="00E85629">
              <w:rPr>
                <w:webHidden/>
              </w:rPr>
              <w:fldChar w:fldCharType="end"/>
            </w:r>
          </w:hyperlink>
        </w:p>
        <w:p w14:paraId="0CA433A6" w14:textId="0C7CA2A8" w:rsidR="00E85629" w:rsidRDefault="00E35DE8">
          <w:pPr>
            <w:pStyle w:val="TOC3"/>
            <w:rPr>
              <w:rFonts w:asciiTheme="minorHAnsi" w:eastAsiaTheme="minorEastAsia" w:hAnsiTheme="minorHAnsi" w:cstheme="minorBidi"/>
              <w:i w:val="0"/>
              <w:iCs w:val="0"/>
              <w:sz w:val="22"/>
              <w:szCs w:val="22"/>
              <w:lang w:eastAsia="en-AU"/>
            </w:rPr>
          </w:pPr>
          <w:hyperlink w:anchor="_Toc108624583" w:history="1">
            <w:r w:rsidR="00E85629" w:rsidRPr="00C977F5">
              <w:rPr>
                <w:rStyle w:val="Hyperlink"/>
              </w:rPr>
              <w:t>Provision of surge workforce</w:t>
            </w:r>
            <w:r w:rsidR="00E85629">
              <w:rPr>
                <w:webHidden/>
              </w:rPr>
              <w:tab/>
            </w:r>
            <w:r w:rsidR="00E85629">
              <w:rPr>
                <w:webHidden/>
              </w:rPr>
              <w:fldChar w:fldCharType="begin"/>
            </w:r>
            <w:r w:rsidR="00E85629">
              <w:rPr>
                <w:webHidden/>
              </w:rPr>
              <w:instrText xml:space="preserve"> PAGEREF _Toc108624583 \h </w:instrText>
            </w:r>
            <w:r w:rsidR="00E85629">
              <w:rPr>
                <w:webHidden/>
              </w:rPr>
            </w:r>
            <w:r w:rsidR="00E85629">
              <w:rPr>
                <w:webHidden/>
              </w:rPr>
              <w:fldChar w:fldCharType="separate"/>
            </w:r>
            <w:r w:rsidR="00E85629">
              <w:rPr>
                <w:webHidden/>
              </w:rPr>
              <w:t>17</w:t>
            </w:r>
            <w:r w:rsidR="00E85629">
              <w:rPr>
                <w:webHidden/>
              </w:rPr>
              <w:fldChar w:fldCharType="end"/>
            </w:r>
          </w:hyperlink>
        </w:p>
        <w:p w14:paraId="125E122B" w14:textId="0EFCF642" w:rsidR="00E85629" w:rsidRDefault="00E35DE8">
          <w:pPr>
            <w:pStyle w:val="TOC2"/>
            <w:rPr>
              <w:rFonts w:asciiTheme="minorHAnsi" w:eastAsiaTheme="minorEastAsia" w:hAnsiTheme="minorHAnsi" w:cstheme="minorBidi"/>
              <w:sz w:val="22"/>
              <w:szCs w:val="22"/>
              <w:lang w:eastAsia="en-AU"/>
            </w:rPr>
          </w:pPr>
          <w:hyperlink w:anchor="_Toc108624584" w:history="1">
            <w:r w:rsidR="00E85629" w:rsidRPr="00C977F5">
              <w:rPr>
                <w:rStyle w:val="Hyperlink"/>
                <w:rFonts w:ascii="Arial Nova" w:hAnsi="Arial Nova"/>
                <w:b/>
              </w:rPr>
              <w:t>Communication processes</w:t>
            </w:r>
            <w:r w:rsidR="00E85629">
              <w:rPr>
                <w:webHidden/>
              </w:rPr>
              <w:tab/>
            </w:r>
            <w:r w:rsidR="00E85629">
              <w:rPr>
                <w:webHidden/>
              </w:rPr>
              <w:fldChar w:fldCharType="begin"/>
            </w:r>
            <w:r w:rsidR="00E85629">
              <w:rPr>
                <w:webHidden/>
              </w:rPr>
              <w:instrText xml:space="preserve"> PAGEREF _Toc108624584 \h </w:instrText>
            </w:r>
            <w:r w:rsidR="00E85629">
              <w:rPr>
                <w:webHidden/>
              </w:rPr>
            </w:r>
            <w:r w:rsidR="00E85629">
              <w:rPr>
                <w:webHidden/>
              </w:rPr>
              <w:fldChar w:fldCharType="separate"/>
            </w:r>
            <w:r w:rsidR="00E85629">
              <w:rPr>
                <w:webHidden/>
              </w:rPr>
              <w:t>17</w:t>
            </w:r>
            <w:r w:rsidR="00E85629">
              <w:rPr>
                <w:webHidden/>
              </w:rPr>
              <w:fldChar w:fldCharType="end"/>
            </w:r>
          </w:hyperlink>
        </w:p>
        <w:p w14:paraId="3DEBAB33" w14:textId="26DFA0B2" w:rsidR="00E85629" w:rsidRDefault="00E35DE8">
          <w:pPr>
            <w:pStyle w:val="TOC2"/>
            <w:rPr>
              <w:rFonts w:asciiTheme="minorHAnsi" w:eastAsiaTheme="minorEastAsia" w:hAnsiTheme="minorHAnsi" w:cstheme="minorBidi"/>
              <w:sz w:val="22"/>
              <w:szCs w:val="22"/>
              <w:lang w:eastAsia="en-AU"/>
            </w:rPr>
          </w:pPr>
          <w:hyperlink w:anchor="_Toc108624585" w:history="1">
            <w:r w:rsidR="00E85629" w:rsidRPr="00C977F5">
              <w:rPr>
                <w:rStyle w:val="Hyperlink"/>
                <w:rFonts w:ascii="Arial Nova" w:hAnsi="Arial Nova"/>
                <w:b/>
              </w:rPr>
              <w:t>Maintaining physical, social, mental and emotional health and wellbeing</w:t>
            </w:r>
            <w:r w:rsidR="00E85629">
              <w:rPr>
                <w:webHidden/>
              </w:rPr>
              <w:tab/>
            </w:r>
            <w:r w:rsidR="00E85629">
              <w:rPr>
                <w:webHidden/>
              </w:rPr>
              <w:fldChar w:fldCharType="begin"/>
            </w:r>
            <w:r w:rsidR="00E85629">
              <w:rPr>
                <w:webHidden/>
              </w:rPr>
              <w:instrText xml:space="preserve"> PAGEREF _Toc108624585 \h </w:instrText>
            </w:r>
            <w:r w:rsidR="00E85629">
              <w:rPr>
                <w:webHidden/>
              </w:rPr>
            </w:r>
            <w:r w:rsidR="00E85629">
              <w:rPr>
                <w:webHidden/>
              </w:rPr>
              <w:fldChar w:fldCharType="separate"/>
            </w:r>
            <w:r w:rsidR="00E85629">
              <w:rPr>
                <w:webHidden/>
              </w:rPr>
              <w:t>18</w:t>
            </w:r>
            <w:r w:rsidR="00E85629">
              <w:rPr>
                <w:webHidden/>
              </w:rPr>
              <w:fldChar w:fldCharType="end"/>
            </w:r>
          </w:hyperlink>
        </w:p>
        <w:p w14:paraId="1513AA7B" w14:textId="2A7EDB31" w:rsidR="00E85629" w:rsidRDefault="00E35DE8">
          <w:pPr>
            <w:pStyle w:val="TOC3"/>
            <w:rPr>
              <w:rFonts w:asciiTheme="minorHAnsi" w:eastAsiaTheme="minorEastAsia" w:hAnsiTheme="minorHAnsi" w:cstheme="minorBidi"/>
              <w:i w:val="0"/>
              <w:iCs w:val="0"/>
              <w:sz w:val="22"/>
              <w:szCs w:val="22"/>
              <w:lang w:eastAsia="en-AU"/>
            </w:rPr>
          </w:pPr>
          <w:hyperlink w:anchor="_Toc108624586" w:history="1">
            <w:r w:rsidR="00E85629" w:rsidRPr="00C977F5">
              <w:rPr>
                <w:rStyle w:val="Hyperlink"/>
              </w:rPr>
              <w:t>Maintaining delivery of care</w:t>
            </w:r>
            <w:r w:rsidR="00E85629">
              <w:rPr>
                <w:webHidden/>
              </w:rPr>
              <w:tab/>
            </w:r>
            <w:r w:rsidR="00E85629">
              <w:rPr>
                <w:webHidden/>
              </w:rPr>
              <w:fldChar w:fldCharType="begin"/>
            </w:r>
            <w:r w:rsidR="00E85629">
              <w:rPr>
                <w:webHidden/>
              </w:rPr>
              <w:instrText xml:space="preserve"> PAGEREF _Toc108624586 \h </w:instrText>
            </w:r>
            <w:r w:rsidR="00E85629">
              <w:rPr>
                <w:webHidden/>
              </w:rPr>
            </w:r>
            <w:r w:rsidR="00E85629">
              <w:rPr>
                <w:webHidden/>
              </w:rPr>
              <w:fldChar w:fldCharType="separate"/>
            </w:r>
            <w:r w:rsidR="00E85629">
              <w:rPr>
                <w:webHidden/>
              </w:rPr>
              <w:t>18</w:t>
            </w:r>
            <w:r w:rsidR="00E85629">
              <w:rPr>
                <w:webHidden/>
              </w:rPr>
              <w:fldChar w:fldCharType="end"/>
            </w:r>
          </w:hyperlink>
        </w:p>
        <w:p w14:paraId="2E7FFA31" w14:textId="607632DD" w:rsidR="00E85629" w:rsidRDefault="00E35DE8">
          <w:pPr>
            <w:pStyle w:val="TOC3"/>
            <w:rPr>
              <w:rFonts w:asciiTheme="minorHAnsi" w:eastAsiaTheme="minorEastAsia" w:hAnsiTheme="minorHAnsi" w:cstheme="minorBidi"/>
              <w:i w:val="0"/>
              <w:iCs w:val="0"/>
              <w:sz w:val="22"/>
              <w:szCs w:val="22"/>
              <w:lang w:eastAsia="en-AU"/>
            </w:rPr>
          </w:pPr>
          <w:hyperlink w:anchor="_Toc108624587" w:history="1">
            <w:r w:rsidR="00E85629" w:rsidRPr="00C977F5">
              <w:rPr>
                <w:rStyle w:val="Hyperlink"/>
              </w:rPr>
              <w:t>Visitation</w:t>
            </w:r>
            <w:r w:rsidR="00E85629">
              <w:rPr>
                <w:webHidden/>
              </w:rPr>
              <w:tab/>
            </w:r>
            <w:r w:rsidR="00E85629">
              <w:rPr>
                <w:webHidden/>
              </w:rPr>
              <w:fldChar w:fldCharType="begin"/>
            </w:r>
            <w:r w:rsidR="00E85629">
              <w:rPr>
                <w:webHidden/>
              </w:rPr>
              <w:instrText xml:space="preserve"> PAGEREF _Toc108624587 \h </w:instrText>
            </w:r>
            <w:r w:rsidR="00E85629">
              <w:rPr>
                <w:webHidden/>
              </w:rPr>
            </w:r>
            <w:r w:rsidR="00E85629">
              <w:rPr>
                <w:webHidden/>
              </w:rPr>
              <w:fldChar w:fldCharType="separate"/>
            </w:r>
            <w:r w:rsidR="00E85629">
              <w:rPr>
                <w:webHidden/>
              </w:rPr>
              <w:t>18</w:t>
            </w:r>
            <w:r w:rsidR="00E85629">
              <w:rPr>
                <w:webHidden/>
              </w:rPr>
              <w:fldChar w:fldCharType="end"/>
            </w:r>
          </w:hyperlink>
        </w:p>
        <w:p w14:paraId="7EADE48B" w14:textId="42E240E7" w:rsidR="00E85629" w:rsidRDefault="00E35DE8">
          <w:pPr>
            <w:pStyle w:val="TOC3"/>
            <w:rPr>
              <w:rFonts w:asciiTheme="minorHAnsi" w:eastAsiaTheme="minorEastAsia" w:hAnsiTheme="minorHAnsi" w:cstheme="minorBidi"/>
              <w:i w:val="0"/>
              <w:iCs w:val="0"/>
              <w:sz w:val="22"/>
              <w:szCs w:val="22"/>
              <w:lang w:eastAsia="en-AU"/>
            </w:rPr>
          </w:pPr>
          <w:hyperlink w:anchor="_Toc108624588" w:history="1">
            <w:r w:rsidR="00E85629" w:rsidRPr="00C977F5">
              <w:rPr>
                <w:rStyle w:val="Hyperlink"/>
              </w:rPr>
              <w:t>Social and emotional support</w:t>
            </w:r>
            <w:r w:rsidR="00E85629">
              <w:rPr>
                <w:webHidden/>
              </w:rPr>
              <w:tab/>
            </w:r>
            <w:r w:rsidR="00E85629">
              <w:rPr>
                <w:webHidden/>
              </w:rPr>
              <w:fldChar w:fldCharType="begin"/>
            </w:r>
            <w:r w:rsidR="00E85629">
              <w:rPr>
                <w:webHidden/>
              </w:rPr>
              <w:instrText xml:space="preserve"> PAGEREF _Toc108624588 \h </w:instrText>
            </w:r>
            <w:r w:rsidR="00E85629">
              <w:rPr>
                <w:webHidden/>
              </w:rPr>
            </w:r>
            <w:r w:rsidR="00E85629">
              <w:rPr>
                <w:webHidden/>
              </w:rPr>
              <w:fldChar w:fldCharType="separate"/>
            </w:r>
            <w:r w:rsidR="00E85629">
              <w:rPr>
                <w:webHidden/>
              </w:rPr>
              <w:t>19</w:t>
            </w:r>
            <w:r w:rsidR="00E85629">
              <w:rPr>
                <w:webHidden/>
              </w:rPr>
              <w:fldChar w:fldCharType="end"/>
            </w:r>
          </w:hyperlink>
        </w:p>
        <w:p w14:paraId="702591EB" w14:textId="482141BB" w:rsidR="00E85629" w:rsidRDefault="00E35DE8">
          <w:pPr>
            <w:pStyle w:val="TOC3"/>
            <w:rPr>
              <w:rFonts w:asciiTheme="minorHAnsi" w:eastAsiaTheme="minorEastAsia" w:hAnsiTheme="minorHAnsi" w:cstheme="minorBidi"/>
              <w:i w:val="0"/>
              <w:iCs w:val="0"/>
              <w:sz w:val="22"/>
              <w:szCs w:val="22"/>
              <w:lang w:eastAsia="en-AU"/>
            </w:rPr>
          </w:pPr>
          <w:hyperlink w:anchor="_Toc108624589" w:history="1">
            <w:r w:rsidR="00E85629" w:rsidRPr="00C977F5">
              <w:rPr>
                <w:rStyle w:val="Hyperlink"/>
              </w:rPr>
              <w:t>Re-engaging volunteers into residential aged care facilities program</w:t>
            </w:r>
            <w:r w:rsidR="00E85629">
              <w:rPr>
                <w:webHidden/>
              </w:rPr>
              <w:tab/>
            </w:r>
            <w:r w:rsidR="00E85629">
              <w:rPr>
                <w:webHidden/>
              </w:rPr>
              <w:fldChar w:fldCharType="begin"/>
            </w:r>
            <w:r w:rsidR="00E85629">
              <w:rPr>
                <w:webHidden/>
              </w:rPr>
              <w:instrText xml:space="preserve"> PAGEREF _Toc108624589 \h </w:instrText>
            </w:r>
            <w:r w:rsidR="00E85629">
              <w:rPr>
                <w:webHidden/>
              </w:rPr>
            </w:r>
            <w:r w:rsidR="00E85629">
              <w:rPr>
                <w:webHidden/>
              </w:rPr>
              <w:fldChar w:fldCharType="separate"/>
            </w:r>
            <w:r w:rsidR="00E85629">
              <w:rPr>
                <w:webHidden/>
              </w:rPr>
              <w:t>19</w:t>
            </w:r>
            <w:r w:rsidR="00E85629">
              <w:rPr>
                <w:webHidden/>
              </w:rPr>
              <w:fldChar w:fldCharType="end"/>
            </w:r>
          </w:hyperlink>
        </w:p>
        <w:p w14:paraId="6C5BD416" w14:textId="55AD4503" w:rsidR="00E85629" w:rsidRDefault="00E35DE8">
          <w:pPr>
            <w:pStyle w:val="TOC1"/>
            <w:rPr>
              <w:rFonts w:asciiTheme="minorHAnsi" w:eastAsiaTheme="minorEastAsia" w:hAnsiTheme="minorHAnsi" w:cstheme="minorBidi"/>
              <w:b w:val="0"/>
              <w:color w:val="auto"/>
              <w:sz w:val="22"/>
              <w:szCs w:val="22"/>
              <w:lang w:eastAsia="en-AU"/>
            </w:rPr>
          </w:pPr>
          <w:hyperlink w:anchor="_Toc108624590" w:history="1">
            <w:r w:rsidR="00E85629" w:rsidRPr="00C977F5">
              <w:rPr>
                <w:rStyle w:val="Hyperlink"/>
                <w:rFonts w:ascii="Arial Nova" w:hAnsi="Arial Nova"/>
                <w:bCs/>
              </w:rPr>
              <w:t>Recovery and Resilience</w:t>
            </w:r>
            <w:r w:rsidR="00E85629">
              <w:rPr>
                <w:webHidden/>
              </w:rPr>
              <w:tab/>
            </w:r>
            <w:r w:rsidR="00E85629">
              <w:rPr>
                <w:webHidden/>
              </w:rPr>
              <w:fldChar w:fldCharType="begin"/>
            </w:r>
            <w:r w:rsidR="00E85629">
              <w:rPr>
                <w:webHidden/>
              </w:rPr>
              <w:instrText xml:space="preserve"> PAGEREF _Toc108624590 \h </w:instrText>
            </w:r>
            <w:r w:rsidR="00E85629">
              <w:rPr>
                <w:webHidden/>
              </w:rPr>
            </w:r>
            <w:r w:rsidR="00E85629">
              <w:rPr>
                <w:webHidden/>
              </w:rPr>
              <w:fldChar w:fldCharType="separate"/>
            </w:r>
            <w:r w:rsidR="00E85629">
              <w:rPr>
                <w:webHidden/>
              </w:rPr>
              <w:t>21</w:t>
            </w:r>
            <w:r w:rsidR="00E85629">
              <w:rPr>
                <w:webHidden/>
              </w:rPr>
              <w:fldChar w:fldCharType="end"/>
            </w:r>
          </w:hyperlink>
        </w:p>
        <w:p w14:paraId="19E4499A" w14:textId="05ECE8E2" w:rsidR="00E85629" w:rsidRDefault="00E35DE8">
          <w:pPr>
            <w:pStyle w:val="TOC2"/>
            <w:rPr>
              <w:rFonts w:asciiTheme="minorHAnsi" w:eastAsiaTheme="minorEastAsia" w:hAnsiTheme="minorHAnsi" w:cstheme="minorBidi"/>
              <w:sz w:val="22"/>
              <w:szCs w:val="22"/>
              <w:lang w:eastAsia="en-AU"/>
            </w:rPr>
          </w:pPr>
          <w:hyperlink w:anchor="_Toc108624591" w:history="1">
            <w:r w:rsidR="00E85629" w:rsidRPr="00C977F5">
              <w:rPr>
                <w:rStyle w:val="Hyperlink"/>
                <w:rFonts w:ascii="Arial Nova" w:hAnsi="Arial Nova"/>
                <w:b/>
                <w:bCs/>
              </w:rPr>
              <w:t>Supporting resident recovery</w:t>
            </w:r>
            <w:r w:rsidR="00E85629">
              <w:rPr>
                <w:webHidden/>
              </w:rPr>
              <w:tab/>
            </w:r>
            <w:r w:rsidR="00E85629">
              <w:rPr>
                <w:webHidden/>
              </w:rPr>
              <w:fldChar w:fldCharType="begin"/>
            </w:r>
            <w:r w:rsidR="00E85629">
              <w:rPr>
                <w:webHidden/>
              </w:rPr>
              <w:instrText xml:space="preserve"> PAGEREF _Toc108624591 \h </w:instrText>
            </w:r>
            <w:r w:rsidR="00E85629">
              <w:rPr>
                <w:webHidden/>
              </w:rPr>
            </w:r>
            <w:r w:rsidR="00E85629">
              <w:rPr>
                <w:webHidden/>
              </w:rPr>
              <w:fldChar w:fldCharType="separate"/>
            </w:r>
            <w:r w:rsidR="00E85629">
              <w:rPr>
                <w:webHidden/>
              </w:rPr>
              <w:t>21</w:t>
            </w:r>
            <w:r w:rsidR="00E85629">
              <w:rPr>
                <w:webHidden/>
              </w:rPr>
              <w:fldChar w:fldCharType="end"/>
            </w:r>
          </w:hyperlink>
        </w:p>
        <w:p w14:paraId="65E86B4A" w14:textId="7A167140" w:rsidR="00E85629" w:rsidRDefault="00E35DE8">
          <w:pPr>
            <w:pStyle w:val="TOC3"/>
            <w:rPr>
              <w:rFonts w:asciiTheme="minorHAnsi" w:eastAsiaTheme="minorEastAsia" w:hAnsiTheme="minorHAnsi" w:cstheme="minorBidi"/>
              <w:i w:val="0"/>
              <w:iCs w:val="0"/>
              <w:sz w:val="22"/>
              <w:szCs w:val="22"/>
              <w:lang w:eastAsia="en-AU"/>
            </w:rPr>
          </w:pPr>
          <w:hyperlink w:anchor="_Toc108624592" w:history="1">
            <w:r w:rsidR="00E85629" w:rsidRPr="00C977F5">
              <w:rPr>
                <w:rStyle w:val="Hyperlink"/>
              </w:rPr>
              <w:t>Reablement of residents</w:t>
            </w:r>
            <w:r w:rsidR="00E85629">
              <w:rPr>
                <w:webHidden/>
              </w:rPr>
              <w:tab/>
            </w:r>
            <w:r w:rsidR="00E85629">
              <w:rPr>
                <w:webHidden/>
              </w:rPr>
              <w:fldChar w:fldCharType="begin"/>
            </w:r>
            <w:r w:rsidR="00E85629">
              <w:rPr>
                <w:webHidden/>
              </w:rPr>
              <w:instrText xml:space="preserve"> PAGEREF _Toc108624592 \h </w:instrText>
            </w:r>
            <w:r w:rsidR="00E85629">
              <w:rPr>
                <w:webHidden/>
              </w:rPr>
            </w:r>
            <w:r w:rsidR="00E85629">
              <w:rPr>
                <w:webHidden/>
              </w:rPr>
              <w:fldChar w:fldCharType="separate"/>
            </w:r>
            <w:r w:rsidR="00E85629">
              <w:rPr>
                <w:webHidden/>
              </w:rPr>
              <w:t>21</w:t>
            </w:r>
            <w:r w:rsidR="00E85629">
              <w:rPr>
                <w:webHidden/>
              </w:rPr>
              <w:fldChar w:fldCharType="end"/>
            </w:r>
          </w:hyperlink>
        </w:p>
        <w:p w14:paraId="2068E7A0" w14:textId="4EBA985A" w:rsidR="00E85629" w:rsidRDefault="00E35DE8">
          <w:pPr>
            <w:pStyle w:val="TOC3"/>
            <w:rPr>
              <w:rFonts w:asciiTheme="minorHAnsi" w:eastAsiaTheme="minorEastAsia" w:hAnsiTheme="minorHAnsi" w:cstheme="minorBidi"/>
              <w:i w:val="0"/>
              <w:iCs w:val="0"/>
              <w:sz w:val="22"/>
              <w:szCs w:val="22"/>
              <w:lang w:eastAsia="en-AU"/>
            </w:rPr>
          </w:pPr>
          <w:hyperlink w:anchor="_Toc108624593" w:history="1">
            <w:r w:rsidR="00E85629" w:rsidRPr="00C977F5">
              <w:rPr>
                <w:rStyle w:val="Hyperlink"/>
              </w:rPr>
              <w:t>Allied heath support</w:t>
            </w:r>
            <w:r w:rsidR="00E85629">
              <w:rPr>
                <w:webHidden/>
              </w:rPr>
              <w:tab/>
            </w:r>
            <w:r w:rsidR="00E85629">
              <w:rPr>
                <w:webHidden/>
              </w:rPr>
              <w:fldChar w:fldCharType="begin"/>
            </w:r>
            <w:r w:rsidR="00E85629">
              <w:rPr>
                <w:webHidden/>
              </w:rPr>
              <w:instrText xml:space="preserve"> PAGEREF _Toc108624593 \h </w:instrText>
            </w:r>
            <w:r w:rsidR="00E85629">
              <w:rPr>
                <w:webHidden/>
              </w:rPr>
            </w:r>
            <w:r w:rsidR="00E85629">
              <w:rPr>
                <w:webHidden/>
              </w:rPr>
              <w:fldChar w:fldCharType="separate"/>
            </w:r>
            <w:r w:rsidR="00E85629">
              <w:rPr>
                <w:webHidden/>
              </w:rPr>
              <w:t>21</w:t>
            </w:r>
            <w:r w:rsidR="00E85629">
              <w:rPr>
                <w:webHidden/>
              </w:rPr>
              <w:fldChar w:fldCharType="end"/>
            </w:r>
          </w:hyperlink>
        </w:p>
        <w:p w14:paraId="738AB49F" w14:textId="0BA8091D" w:rsidR="00E85629" w:rsidRDefault="00E35DE8">
          <w:pPr>
            <w:pStyle w:val="TOC2"/>
            <w:rPr>
              <w:rFonts w:asciiTheme="minorHAnsi" w:eastAsiaTheme="minorEastAsia" w:hAnsiTheme="minorHAnsi" w:cstheme="minorBidi"/>
              <w:sz w:val="22"/>
              <w:szCs w:val="22"/>
              <w:lang w:eastAsia="en-AU"/>
            </w:rPr>
          </w:pPr>
          <w:hyperlink w:anchor="_Toc108624594" w:history="1">
            <w:r w:rsidR="00E85629" w:rsidRPr="00C977F5">
              <w:rPr>
                <w:rStyle w:val="Hyperlink"/>
                <w:rFonts w:ascii="Arial Nova" w:hAnsi="Arial Nova"/>
                <w:b/>
                <w:bCs/>
              </w:rPr>
              <w:t>Grief and trauma support</w:t>
            </w:r>
            <w:r w:rsidR="00E85629">
              <w:rPr>
                <w:webHidden/>
              </w:rPr>
              <w:tab/>
            </w:r>
            <w:r w:rsidR="00E85629">
              <w:rPr>
                <w:webHidden/>
              </w:rPr>
              <w:fldChar w:fldCharType="begin"/>
            </w:r>
            <w:r w:rsidR="00E85629">
              <w:rPr>
                <w:webHidden/>
              </w:rPr>
              <w:instrText xml:space="preserve"> PAGEREF _Toc108624594 \h </w:instrText>
            </w:r>
            <w:r w:rsidR="00E85629">
              <w:rPr>
                <w:webHidden/>
              </w:rPr>
            </w:r>
            <w:r w:rsidR="00E85629">
              <w:rPr>
                <w:webHidden/>
              </w:rPr>
              <w:fldChar w:fldCharType="separate"/>
            </w:r>
            <w:r w:rsidR="00E85629">
              <w:rPr>
                <w:webHidden/>
              </w:rPr>
              <w:t>22</w:t>
            </w:r>
            <w:r w:rsidR="00E85629">
              <w:rPr>
                <w:webHidden/>
              </w:rPr>
              <w:fldChar w:fldCharType="end"/>
            </w:r>
          </w:hyperlink>
        </w:p>
        <w:p w14:paraId="2B402D40" w14:textId="2FBFDFD0" w:rsidR="00E85629" w:rsidRDefault="00E35DE8">
          <w:pPr>
            <w:pStyle w:val="TOC2"/>
            <w:rPr>
              <w:rFonts w:asciiTheme="minorHAnsi" w:eastAsiaTheme="minorEastAsia" w:hAnsiTheme="minorHAnsi" w:cstheme="minorBidi"/>
              <w:sz w:val="22"/>
              <w:szCs w:val="22"/>
              <w:lang w:eastAsia="en-AU"/>
            </w:rPr>
          </w:pPr>
          <w:hyperlink w:anchor="_Toc108624595" w:history="1">
            <w:r w:rsidR="00E85629" w:rsidRPr="00C977F5">
              <w:rPr>
                <w:rStyle w:val="Hyperlink"/>
                <w:rFonts w:ascii="Arial Nova" w:hAnsi="Arial Nova"/>
                <w:b/>
                <w:bCs/>
              </w:rPr>
              <w:t>Mental health support</w:t>
            </w:r>
            <w:r w:rsidR="00E85629">
              <w:rPr>
                <w:webHidden/>
              </w:rPr>
              <w:tab/>
            </w:r>
            <w:r w:rsidR="00E85629">
              <w:rPr>
                <w:webHidden/>
              </w:rPr>
              <w:fldChar w:fldCharType="begin"/>
            </w:r>
            <w:r w:rsidR="00E85629">
              <w:rPr>
                <w:webHidden/>
              </w:rPr>
              <w:instrText xml:space="preserve"> PAGEREF _Toc108624595 \h </w:instrText>
            </w:r>
            <w:r w:rsidR="00E85629">
              <w:rPr>
                <w:webHidden/>
              </w:rPr>
            </w:r>
            <w:r w:rsidR="00E85629">
              <w:rPr>
                <w:webHidden/>
              </w:rPr>
              <w:fldChar w:fldCharType="separate"/>
            </w:r>
            <w:r w:rsidR="00E85629">
              <w:rPr>
                <w:webHidden/>
              </w:rPr>
              <w:t>22</w:t>
            </w:r>
            <w:r w:rsidR="00E85629">
              <w:rPr>
                <w:webHidden/>
              </w:rPr>
              <w:fldChar w:fldCharType="end"/>
            </w:r>
          </w:hyperlink>
        </w:p>
        <w:p w14:paraId="5814C2E5" w14:textId="38E218BE" w:rsidR="00E85629" w:rsidRDefault="00E35DE8">
          <w:pPr>
            <w:pStyle w:val="TOC2"/>
            <w:rPr>
              <w:rFonts w:asciiTheme="minorHAnsi" w:eastAsiaTheme="minorEastAsia" w:hAnsiTheme="minorHAnsi" w:cstheme="minorBidi"/>
              <w:sz w:val="22"/>
              <w:szCs w:val="22"/>
              <w:lang w:eastAsia="en-AU"/>
            </w:rPr>
          </w:pPr>
          <w:hyperlink w:anchor="_Toc108624596" w:history="1">
            <w:r w:rsidR="00E85629" w:rsidRPr="00C977F5">
              <w:rPr>
                <w:rStyle w:val="Hyperlink"/>
                <w:rFonts w:ascii="Arial Nova" w:hAnsi="Arial Nova"/>
                <w:b/>
                <w:bCs/>
              </w:rPr>
              <w:t>Supporting staff recovery – post outbreak</w:t>
            </w:r>
            <w:r w:rsidR="00E85629">
              <w:rPr>
                <w:webHidden/>
              </w:rPr>
              <w:tab/>
            </w:r>
            <w:r w:rsidR="00E85629">
              <w:rPr>
                <w:webHidden/>
              </w:rPr>
              <w:fldChar w:fldCharType="begin"/>
            </w:r>
            <w:r w:rsidR="00E85629">
              <w:rPr>
                <w:webHidden/>
              </w:rPr>
              <w:instrText xml:space="preserve"> PAGEREF _Toc108624596 \h </w:instrText>
            </w:r>
            <w:r w:rsidR="00E85629">
              <w:rPr>
                <w:webHidden/>
              </w:rPr>
            </w:r>
            <w:r w:rsidR="00E85629">
              <w:rPr>
                <w:webHidden/>
              </w:rPr>
              <w:fldChar w:fldCharType="separate"/>
            </w:r>
            <w:r w:rsidR="00E85629">
              <w:rPr>
                <w:webHidden/>
              </w:rPr>
              <w:t>23</w:t>
            </w:r>
            <w:r w:rsidR="00E85629">
              <w:rPr>
                <w:webHidden/>
              </w:rPr>
              <w:fldChar w:fldCharType="end"/>
            </w:r>
          </w:hyperlink>
        </w:p>
        <w:p w14:paraId="2F85B272" w14:textId="3E2EFEF5" w:rsidR="00E85629" w:rsidRDefault="00E35DE8">
          <w:pPr>
            <w:pStyle w:val="TOC2"/>
            <w:rPr>
              <w:rFonts w:asciiTheme="minorHAnsi" w:eastAsiaTheme="minorEastAsia" w:hAnsiTheme="minorHAnsi" w:cstheme="minorBidi"/>
              <w:sz w:val="22"/>
              <w:szCs w:val="22"/>
              <w:lang w:eastAsia="en-AU"/>
            </w:rPr>
          </w:pPr>
          <w:hyperlink w:anchor="_Toc108624597" w:history="1">
            <w:r w:rsidR="00E85629" w:rsidRPr="00C977F5">
              <w:rPr>
                <w:rStyle w:val="Hyperlink"/>
                <w:rFonts w:ascii="Arial Nova" w:hAnsi="Arial Nova"/>
                <w:b/>
                <w:bCs/>
              </w:rPr>
              <w:t>Supporting aged care provider recovery</w:t>
            </w:r>
            <w:r w:rsidR="00E85629">
              <w:rPr>
                <w:webHidden/>
              </w:rPr>
              <w:tab/>
            </w:r>
            <w:r w:rsidR="00E85629">
              <w:rPr>
                <w:webHidden/>
              </w:rPr>
              <w:fldChar w:fldCharType="begin"/>
            </w:r>
            <w:r w:rsidR="00E85629">
              <w:rPr>
                <w:webHidden/>
              </w:rPr>
              <w:instrText xml:space="preserve"> PAGEREF _Toc108624597 \h </w:instrText>
            </w:r>
            <w:r w:rsidR="00E85629">
              <w:rPr>
                <w:webHidden/>
              </w:rPr>
            </w:r>
            <w:r w:rsidR="00E85629">
              <w:rPr>
                <w:webHidden/>
              </w:rPr>
              <w:fldChar w:fldCharType="separate"/>
            </w:r>
            <w:r w:rsidR="00E85629">
              <w:rPr>
                <w:webHidden/>
              </w:rPr>
              <w:t>23</w:t>
            </w:r>
            <w:r w:rsidR="00E85629">
              <w:rPr>
                <w:webHidden/>
              </w:rPr>
              <w:fldChar w:fldCharType="end"/>
            </w:r>
          </w:hyperlink>
        </w:p>
        <w:p w14:paraId="371B7E6E" w14:textId="6EAE4F07" w:rsidR="00E85629" w:rsidRDefault="00E35DE8">
          <w:pPr>
            <w:pStyle w:val="TOC3"/>
            <w:rPr>
              <w:rFonts w:asciiTheme="minorHAnsi" w:eastAsiaTheme="minorEastAsia" w:hAnsiTheme="minorHAnsi" w:cstheme="minorBidi"/>
              <w:i w:val="0"/>
              <w:iCs w:val="0"/>
              <w:sz w:val="22"/>
              <w:szCs w:val="22"/>
              <w:lang w:eastAsia="en-AU"/>
            </w:rPr>
          </w:pPr>
          <w:hyperlink w:anchor="_Toc108624598" w:history="1">
            <w:r w:rsidR="00E85629" w:rsidRPr="00C977F5">
              <w:rPr>
                <w:rStyle w:val="Hyperlink"/>
              </w:rPr>
              <w:t>Reimbursement of costs – post outbreak</w:t>
            </w:r>
            <w:r w:rsidR="00E85629">
              <w:rPr>
                <w:webHidden/>
              </w:rPr>
              <w:tab/>
            </w:r>
            <w:r w:rsidR="00E85629">
              <w:rPr>
                <w:webHidden/>
              </w:rPr>
              <w:fldChar w:fldCharType="begin"/>
            </w:r>
            <w:r w:rsidR="00E85629">
              <w:rPr>
                <w:webHidden/>
              </w:rPr>
              <w:instrText xml:space="preserve"> PAGEREF _Toc108624598 \h </w:instrText>
            </w:r>
            <w:r w:rsidR="00E85629">
              <w:rPr>
                <w:webHidden/>
              </w:rPr>
            </w:r>
            <w:r w:rsidR="00E85629">
              <w:rPr>
                <w:webHidden/>
              </w:rPr>
              <w:fldChar w:fldCharType="separate"/>
            </w:r>
            <w:r w:rsidR="00E85629">
              <w:rPr>
                <w:webHidden/>
              </w:rPr>
              <w:t>23</w:t>
            </w:r>
            <w:r w:rsidR="00E85629">
              <w:rPr>
                <w:webHidden/>
              </w:rPr>
              <w:fldChar w:fldCharType="end"/>
            </w:r>
          </w:hyperlink>
        </w:p>
        <w:p w14:paraId="34CE1296" w14:textId="681BF235" w:rsidR="00E85629" w:rsidRDefault="00E35DE8">
          <w:pPr>
            <w:pStyle w:val="TOC3"/>
            <w:rPr>
              <w:rFonts w:asciiTheme="minorHAnsi" w:eastAsiaTheme="minorEastAsia" w:hAnsiTheme="minorHAnsi" w:cstheme="minorBidi"/>
              <w:i w:val="0"/>
              <w:iCs w:val="0"/>
              <w:sz w:val="22"/>
              <w:szCs w:val="22"/>
              <w:lang w:eastAsia="en-AU"/>
            </w:rPr>
          </w:pPr>
          <w:hyperlink w:anchor="_Toc108624599" w:history="1">
            <w:r w:rsidR="00E85629" w:rsidRPr="00C977F5">
              <w:rPr>
                <w:rStyle w:val="Hyperlink"/>
              </w:rPr>
              <w:t>Financial support for providers</w:t>
            </w:r>
            <w:r w:rsidR="00E85629">
              <w:rPr>
                <w:webHidden/>
              </w:rPr>
              <w:tab/>
            </w:r>
            <w:r w:rsidR="00E85629">
              <w:rPr>
                <w:webHidden/>
              </w:rPr>
              <w:fldChar w:fldCharType="begin"/>
            </w:r>
            <w:r w:rsidR="00E85629">
              <w:rPr>
                <w:webHidden/>
              </w:rPr>
              <w:instrText xml:space="preserve"> PAGEREF _Toc108624599 \h </w:instrText>
            </w:r>
            <w:r w:rsidR="00E85629">
              <w:rPr>
                <w:webHidden/>
              </w:rPr>
            </w:r>
            <w:r w:rsidR="00E85629">
              <w:rPr>
                <w:webHidden/>
              </w:rPr>
              <w:fldChar w:fldCharType="separate"/>
            </w:r>
            <w:r w:rsidR="00E85629">
              <w:rPr>
                <w:webHidden/>
              </w:rPr>
              <w:t>23</w:t>
            </w:r>
            <w:r w:rsidR="00E85629">
              <w:rPr>
                <w:webHidden/>
              </w:rPr>
              <w:fldChar w:fldCharType="end"/>
            </w:r>
          </w:hyperlink>
        </w:p>
        <w:p w14:paraId="60ABC90D" w14:textId="38651A55" w:rsidR="00E85629" w:rsidRDefault="00E35DE8">
          <w:pPr>
            <w:pStyle w:val="TOC2"/>
            <w:rPr>
              <w:rFonts w:asciiTheme="minorHAnsi" w:eastAsiaTheme="minorEastAsia" w:hAnsiTheme="minorHAnsi" w:cstheme="minorBidi"/>
              <w:sz w:val="22"/>
              <w:szCs w:val="22"/>
              <w:lang w:eastAsia="en-AU"/>
            </w:rPr>
          </w:pPr>
          <w:hyperlink w:anchor="_Toc108624600" w:history="1">
            <w:r w:rsidR="00E85629" w:rsidRPr="00C977F5">
              <w:rPr>
                <w:rStyle w:val="Hyperlink"/>
                <w:rFonts w:ascii="Arial Nova" w:hAnsi="Arial Nova"/>
                <w:b/>
                <w:bCs/>
              </w:rPr>
              <w:t>Infection Prevention and Control – refreshing capability</w:t>
            </w:r>
            <w:r w:rsidR="00E85629">
              <w:rPr>
                <w:webHidden/>
              </w:rPr>
              <w:tab/>
            </w:r>
            <w:r w:rsidR="00E85629">
              <w:rPr>
                <w:webHidden/>
              </w:rPr>
              <w:fldChar w:fldCharType="begin"/>
            </w:r>
            <w:r w:rsidR="00E85629">
              <w:rPr>
                <w:webHidden/>
              </w:rPr>
              <w:instrText xml:space="preserve"> PAGEREF _Toc108624600 \h </w:instrText>
            </w:r>
            <w:r w:rsidR="00E85629">
              <w:rPr>
                <w:webHidden/>
              </w:rPr>
            </w:r>
            <w:r w:rsidR="00E85629">
              <w:rPr>
                <w:webHidden/>
              </w:rPr>
              <w:fldChar w:fldCharType="separate"/>
            </w:r>
            <w:r w:rsidR="00E85629">
              <w:rPr>
                <w:webHidden/>
              </w:rPr>
              <w:t>23</w:t>
            </w:r>
            <w:r w:rsidR="00E85629">
              <w:rPr>
                <w:webHidden/>
              </w:rPr>
              <w:fldChar w:fldCharType="end"/>
            </w:r>
          </w:hyperlink>
        </w:p>
        <w:p w14:paraId="394CD948" w14:textId="6246AA02" w:rsidR="00E85629" w:rsidRDefault="00E35DE8">
          <w:pPr>
            <w:pStyle w:val="TOC2"/>
            <w:rPr>
              <w:rFonts w:asciiTheme="minorHAnsi" w:eastAsiaTheme="minorEastAsia" w:hAnsiTheme="minorHAnsi" w:cstheme="minorBidi"/>
              <w:sz w:val="22"/>
              <w:szCs w:val="22"/>
              <w:lang w:eastAsia="en-AU"/>
            </w:rPr>
          </w:pPr>
          <w:hyperlink w:anchor="_Toc108624601" w:history="1">
            <w:r w:rsidR="00E85629" w:rsidRPr="00C977F5">
              <w:rPr>
                <w:rStyle w:val="Hyperlink"/>
                <w:rFonts w:ascii="Arial Nova" w:hAnsi="Arial Nova"/>
                <w:b/>
                <w:bCs/>
              </w:rPr>
              <w:t>Integrating experience into planning</w:t>
            </w:r>
            <w:r w:rsidR="00E85629">
              <w:rPr>
                <w:webHidden/>
              </w:rPr>
              <w:tab/>
            </w:r>
            <w:r w:rsidR="00E85629">
              <w:rPr>
                <w:webHidden/>
              </w:rPr>
              <w:fldChar w:fldCharType="begin"/>
            </w:r>
            <w:r w:rsidR="00E85629">
              <w:rPr>
                <w:webHidden/>
              </w:rPr>
              <w:instrText xml:space="preserve"> PAGEREF _Toc108624601 \h </w:instrText>
            </w:r>
            <w:r w:rsidR="00E85629">
              <w:rPr>
                <w:webHidden/>
              </w:rPr>
            </w:r>
            <w:r w:rsidR="00E85629">
              <w:rPr>
                <w:webHidden/>
              </w:rPr>
              <w:fldChar w:fldCharType="separate"/>
            </w:r>
            <w:r w:rsidR="00E85629">
              <w:rPr>
                <w:webHidden/>
              </w:rPr>
              <w:t>23</w:t>
            </w:r>
            <w:r w:rsidR="00E85629">
              <w:rPr>
                <w:webHidden/>
              </w:rPr>
              <w:fldChar w:fldCharType="end"/>
            </w:r>
          </w:hyperlink>
        </w:p>
        <w:p w14:paraId="543865AA" w14:textId="268A26D9" w:rsidR="00E85629" w:rsidRDefault="00E35DE8">
          <w:pPr>
            <w:pStyle w:val="TOC2"/>
            <w:rPr>
              <w:rFonts w:asciiTheme="minorHAnsi" w:eastAsiaTheme="minorEastAsia" w:hAnsiTheme="minorHAnsi" w:cstheme="minorBidi"/>
              <w:sz w:val="22"/>
              <w:szCs w:val="22"/>
              <w:lang w:eastAsia="en-AU"/>
            </w:rPr>
          </w:pPr>
          <w:hyperlink w:anchor="_Toc108624602" w:history="1">
            <w:r w:rsidR="00E85629" w:rsidRPr="00C977F5">
              <w:rPr>
                <w:rStyle w:val="Hyperlink"/>
                <w:rFonts w:ascii="Arial Nova" w:hAnsi="Arial Nova"/>
                <w:b/>
                <w:bCs/>
              </w:rPr>
              <w:t>Appendix A – Aged Care Home</w:t>
            </w:r>
            <w:r w:rsidR="00E85629" w:rsidRPr="00C977F5">
              <w:rPr>
                <w:rStyle w:val="Hyperlink"/>
                <w:rFonts w:cstheme="minorHAnsi"/>
              </w:rPr>
              <w:t xml:space="preserve"> </w:t>
            </w:r>
            <w:r w:rsidR="00E85629" w:rsidRPr="00C977F5">
              <w:rPr>
                <w:rStyle w:val="Hyperlink"/>
                <w:rFonts w:ascii="Arial Nova" w:hAnsi="Arial Nova"/>
                <w:b/>
                <w:bCs/>
              </w:rPr>
              <w:t>Winter Preparedness Checklist</w:t>
            </w:r>
            <w:r w:rsidR="00E85629">
              <w:rPr>
                <w:webHidden/>
              </w:rPr>
              <w:tab/>
            </w:r>
            <w:r w:rsidR="00E85629">
              <w:rPr>
                <w:webHidden/>
              </w:rPr>
              <w:fldChar w:fldCharType="begin"/>
            </w:r>
            <w:r w:rsidR="00E85629">
              <w:rPr>
                <w:webHidden/>
              </w:rPr>
              <w:instrText xml:space="preserve"> PAGEREF _Toc108624602 \h </w:instrText>
            </w:r>
            <w:r w:rsidR="00E85629">
              <w:rPr>
                <w:webHidden/>
              </w:rPr>
            </w:r>
            <w:r w:rsidR="00E85629">
              <w:rPr>
                <w:webHidden/>
              </w:rPr>
              <w:fldChar w:fldCharType="separate"/>
            </w:r>
            <w:r w:rsidR="00E85629">
              <w:rPr>
                <w:webHidden/>
              </w:rPr>
              <w:t>24</w:t>
            </w:r>
            <w:r w:rsidR="00E85629">
              <w:rPr>
                <w:webHidden/>
              </w:rPr>
              <w:fldChar w:fldCharType="end"/>
            </w:r>
          </w:hyperlink>
        </w:p>
        <w:p w14:paraId="12A101AD" w14:textId="266D1BAD" w:rsidR="00E85629" w:rsidRDefault="00E35DE8">
          <w:pPr>
            <w:pStyle w:val="TOC2"/>
            <w:rPr>
              <w:rFonts w:asciiTheme="minorHAnsi" w:eastAsiaTheme="minorEastAsia" w:hAnsiTheme="minorHAnsi" w:cstheme="minorBidi"/>
              <w:sz w:val="22"/>
              <w:szCs w:val="22"/>
              <w:lang w:eastAsia="en-AU"/>
            </w:rPr>
          </w:pPr>
          <w:hyperlink w:anchor="_Toc108624603" w:history="1">
            <w:r w:rsidR="00E85629" w:rsidRPr="00C977F5">
              <w:rPr>
                <w:rStyle w:val="Hyperlink"/>
                <w:rFonts w:ascii="Arial Nova" w:hAnsi="Arial Nova"/>
                <w:b/>
                <w:bCs/>
              </w:rPr>
              <w:t>Appendix B – Guidance and Resources for RACFs</w:t>
            </w:r>
            <w:r w:rsidR="00E85629">
              <w:rPr>
                <w:webHidden/>
              </w:rPr>
              <w:tab/>
            </w:r>
            <w:r w:rsidR="00E85629">
              <w:rPr>
                <w:webHidden/>
              </w:rPr>
              <w:fldChar w:fldCharType="begin"/>
            </w:r>
            <w:r w:rsidR="00E85629">
              <w:rPr>
                <w:webHidden/>
              </w:rPr>
              <w:instrText xml:space="preserve"> PAGEREF _Toc108624603 \h </w:instrText>
            </w:r>
            <w:r w:rsidR="00E85629">
              <w:rPr>
                <w:webHidden/>
              </w:rPr>
            </w:r>
            <w:r w:rsidR="00E85629">
              <w:rPr>
                <w:webHidden/>
              </w:rPr>
              <w:fldChar w:fldCharType="separate"/>
            </w:r>
            <w:r w:rsidR="00E85629">
              <w:rPr>
                <w:webHidden/>
              </w:rPr>
              <w:t>26</w:t>
            </w:r>
            <w:r w:rsidR="00E85629">
              <w:rPr>
                <w:webHidden/>
              </w:rPr>
              <w:fldChar w:fldCharType="end"/>
            </w:r>
          </w:hyperlink>
        </w:p>
        <w:p w14:paraId="45CA184C" w14:textId="2F15061D" w:rsidR="00E85629" w:rsidRDefault="00E35DE8">
          <w:pPr>
            <w:pStyle w:val="TOC3"/>
            <w:rPr>
              <w:rFonts w:asciiTheme="minorHAnsi" w:eastAsiaTheme="minorEastAsia" w:hAnsiTheme="minorHAnsi" w:cstheme="minorBidi"/>
              <w:i w:val="0"/>
              <w:iCs w:val="0"/>
              <w:sz w:val="22"/>
              <w:szCs w:val="22"/>
              <w:lang w:eastAsia="en-AU"/>
            </w:rPr>
          </w:pPr>
          <w:hyperlink w:anchor="_Toc108624604" w:history="1">
            <w:r w:rsidR="00E85629" w:rsidRPr="00C977F5">
              <w:rPr>
                <w:rStyle w:val="Hyperlink"/>
                <w:rFonts w:cs="Times New Roman"/>
              </w:rPr>
              <w:t>Department of Health case management contacts in each jurisdiction</w:t>
            </w:r>
            <w:r w:rsidR="00E85629">
              <w:rPr>
                <w:webHidden/>
              </w:rPr>
              <w:tab/>
            </w:r>
            <w:r w:rsidR="00E85629">
              <w:rPr>
                <w:webHidden/>
              </w:rPr>
              <w:fldChar w:fldCharType="begin"/>
            </w:r>
            <w:r w:rsidR="00E85629">
              <w:rPr>
                <w:webHidden/>
              </w:rPr>
              <w:instrText xml:space="preserve"> PAGEREF _Toc108624604 \h </w:instrText>
            </w:r>
            <w:r w:rsidR="00E85629">
              <w:rPr>
                <w:webHidden/>
              </w:rPr>
            </w:r>
            <w:r w:rsidR="00E85629">
              <w:rPr>
                <w:webHidden/>
              </w:rPr>
              <w:fldChar w:fldCharType="separate"/>
            </w:r>
            <w:r w:rsidR="00E85629">
              <w:rPr>
                <w:webHidden/>
              </w:rPr>
              <w:t>26</w:t>
            </w:r>
            <w:r w:rsidR="00E85629">
              <w:rPr>
                <w:webHidden/>
              </w:rPr>
              <w:fldChar w:fldCharType="end"/>
            </w:r>
          </w:hyperlink>
        </w:p>
        <w:p w14:paraId="7512FC44" w14:textId="2D613767" w:rsidR="00E85629" w:rsidRDefault="00E35DE8">
          <w:pPr>
            <w:pStyle w:val="TOC2"/>
            <w:rPr>
              <w:rFonts w:asciiTheme="minorHAnsi" w:eastAsiaTheme="minorEastAsia" w:hAnsiTheme="minorHAnsi" w:cstheme="minorBidi"/>
              <w:sz w:val="22"/>
              <w:szCs w:val="22"/>
              <w:lang w:eastAsia="en-AU"/>
            </w:rPr>
          </w:pPr>
          <w:hyperlink w:anchor="_Toc108624605" w:history="1">
            <w:r w:rsidR="00E85629" w:rsidRPr="00C977F5">
              <w:rPr>
                <w:rStyle w:val="Hyperlink"/>
                <w:rFonts w:ascii="Arial Nova" w:hAnsi="Arial Nova"/>
                <w:b/>
                <w:bCs/>
              </w:rPr>
              <w:t>Appendix C – In-home Aged Care Winter Preparedness Checklist</w:t>
            </w:r>
            <w:r w:rsidR="00E85629">
              <w:rPr>
                <w:webHidden/>
              </w:rPr>
              <w:tab/>
            </w:r>
            <w:r w:rsidR="00E85629">
              <w:rPr>
                <w:webHidden/>
              </w:rPr>
              <w:fldChar w:fldCharType="begin"/>
            </w:r>
            <w:r w:rsidR="00E85629">
              <w:rPr>
                <w:webHidden/>
              </w:rPr>
              <w:instrText xml:space="preserve"> PAGEREF _Toc108624605 \h </w:instrText>
            </w:r>
            <w:r w:rsidR="00E85629">
              <w:rPr>
                <w:webHidden/>
              </w:rPr>
            </w:r>
            <w:r w:rsidR="00E85629">
              <w:rPr>
                <w:webHidden/>
              </w:rPr>
              <w:fldChar w:fldCharType="separate"/>
            </w:r>
            <w:r w:rsidR="00E85629">
              <w:rPr>
                <w:webHidden/>
              </w:rPr>
              <w:t>27</w:t>
            </w:r>
            <w:r w:rsidR="00E85629">
              <w:rPr>
                <w:webHidden/>
              </w:rPr>
              <w:fldChar w:fldCharType="end"/>
            </w:r>
          </w:hyperlink>
        </w:p>
        <w:p w14:paraId="392A87BD" w14:textId="7464A2AD" w:rsidR="00980478" w:rsidRDefault="000B4EB4" w:rsidP="008121FA">
          <w:pPr>
            <w:ind w:right="118"/>
            <w:jc w:val="both"/>
            <w:rPr>
              <w:bCs/>
              <w:noProof/>
            </w:rPr>
          </w:pPr>
          <w:r>
            <w:rPr>
              <w:b/>
              <w:bCs/>
              <w:noProof/>
            </w:rPr>
            <w:fldChar w:fldCharType="end"/>
          </w:r>
        </w:p>
      </w:sdtContent>
    </w:sdt>
    <w:p w14:paraId="53C0179D" w14:textId="32D4AE5B" w:rsidR="00C97C44" w:rsidRPr="00F33EE4" w:rsidRDefault="00C97C44" w:rsidP="008121FA">
      <w:pPr>
        <w:ind w:right="118"/>
        <w:jc w:val="both"/>
      </w:pPr>
      <w:r>
        <w:br w:type="page"/>
      </w:r>
    </w:p>
    <w:p w14:paraId="0B56C219" w14:textId="2222A6BC" w:rsidR="0064477E" w:rsidRPr="00DE3603" w:rsidRDefault="00F33EE4" w:rsidP="00BD6454">
      <w:pPr>
        <w:pStyle w:val="Heading1"/>
        <w:tabs>
          <w:tab w:val="left" w:pos="7260"/>
        </w:tabs>
        <w:spacing w:before="120" w:after="120"/>
        <w:ind w:right="119"/>
        <w:rPr>
          <w:rFonts w:ascii="Arial Nova" w:hAnsi="Arial Nova"/>
          <w:sz w:val="48"/>
          <w:szCs w:val="48"/>
        </w:rPr>
      </w:pPr>
      <w:bookmarkStart w:id="0" w:name="_Toc108624561"/>
      <w:r w:rsidRPr="00DE3603">
        <w:rPr>
          <w:rFonts w:ascii="Arial Nova" w:hAnsi="Arial Nova"/>
          <w:sz w:val="48"/>
          <w:szCs w:val="48"/>
        </w:rPr>
        <w:lastRenderedPageBreak/>
        <w:t>Context</w:t>
      </w:r>
      <w:bookmarkEnd w:id="0"/>
    </w:p>
    <w:p w14:paraId="00A2B93E" w14:textId="38A24D38" w:rsidR="00F33EE4" w:rsidRPr="002C6972" w:rsidRDefault="00F33EE4" w:rsidP="00EE0473">
      <w:pPr>
        <w:pStyle w:val="VACRCbody-landscape"/>
        <w:rPr>
          <w:rFonts w:asciiTheme="minorHAnsi" w:hAnsiTheme="minorHAnsi" w:cstheme="minorHAnsi"/>
          <w:szCs w:val="22"/>
        </w:rPr>
      </w:pPr>
      <w:bookmarkStart w:id="1" w:name="_Hlk99616445"/>
      <w:r w:rsidRPr="002C6972">
        <w:rPr>
          <w:rFonts w:asciiTheme="minorHAnsi" w:hAnsiTheme="minorHAnsi" w:cstheme="minorHAnsi"/>
          <w:szCs w:val="22"/>
        </w:rPr>
        <w:t xml:space="preserve">Residents of aged care </w:t>
      </w:r>
      <w:r w:rsidR="002D0529">
        <w:rPr>
          <w:rFonts w:asciiTheme="minorHAnsi" w:hAnsiTheme="minorHAnsi" w:cstheme="minorHAnsi"/>
          <w:szCs w:val="22"/>
        </w:rPr>
        <w:t>homes</w:t>
      </w:r>
      <w:r w:rsidR="002D0529" w:rsidRPr="002C6972">
        <w:rPr>
          <w:rFonts w:asciiTheme="minorHAnsi" w:hAnsiTheme="minorHAnsi" w:cstheme="minorHAnsi"/>
          <w:szCs w:val="22"/>
        </w:rPr>
        <w:t xml:space="preserve"> </w:t>
      </w:r>
      <w:r w:rsidRPr="002C6972">
        <w:rPr>
          <w:rFonts w:asciiTheme="minorHAnsi" w:hAnsiTheme="minorHAnsi" w:cstheme="minorHAnsi"/>
          <w:szCs w:val="22"/>
        </w:rPr>
        <w:t xml:space="preserve">are amongst the most vulnerable to severe outcomes of coronavirus disease (COVID-19) and influenza. Residential aged care settings are high-risk transmission settings for respiratory viruses. </w:t>
      </w:r>
      <w:r w:rsidR="00303475">
        <w:rPr>
          <w:rFonts w:asciiTheme="minorHAnsi" w:hAnsiTheme="minorHAnsi" w:cstheme="minorHAnsi"/>
          <w:szCs w:val="22"/>
        </w:rPr>
        <w:t>During</w:t>
      </w:r>
      <w:r w:rsidRPr="002C6972">
        <w:rPr>
          <w:rFonts w:asciiTheme="minorHAnsi" w:hAnsiTheme="minorHAnsi" w:cstheme="minorHAnsi"/>
          <w:szCs w:val="22"/>
        </w:rPr>
        <w:t xml:space="preserve"> winter, aged care providers should be mindful of the likely increase in influenza activity as well as the emergence of other respiratory illnesses that may circulate at higher rates than in 2020 and 2021.</w:t>
      </w:r>
    </w:p>
    <w:p w14:paraId="7CCC7B88" w14:textId="77777777" w:rsidR="002D0529" w:rsidRDefault="00F33EE4" w:rsidP="00EE0473">
      <w:pPr>
        <w:pStyle w:val="VACRCbody-landscape"/>
        <w:rPr>
          <w:rFonts w:asciiTheme="minorHAnsi" w:hAnsiTheme="minorHAnsi" w:cstheme="minorHAnsi"/>
          <w:szCs w:val="22"/>
        </w:rPr>
      </w:pPr>
      <w:r w:rsidRPr="002C6972">
        <w:rPr>
          <w:rFonts w:asciiTheme="minorHAnsi" w:hAnsiTheme="minorHAnsi" w:cstheme="minorHAnsi"/>
          <w:szCs w:val="22"/>
        </w:rPr>
        <w:t xml:space="preserve">This </w:t>
      </w:r>
      <w:r w:rsidRPr="002C6972">
        <w:rPr>
          <w:rFonts w:asciiTheme="minorHAnsi" w:hAnsiTheme="minorHAnsi" w:cstheme="minorHAnsi"/>
          <w:i/>
          <w:iCs/>
          <w:szCs w:val="22"/>
        </w:rPr>
        <w:t>Winter</w:t>
      </w:r>
      <w:r w:rsidR="00A85195">
        <w:rPr>
          <w:rFonts w:asciiTheme="minorHAnsi" w:hAnsiTheme="minorHAnsi" w:cstheme="minorHAnsi"/>
          <w:i/>
          <w:iCs/>
          <w:szCs w:val="22"/>
        </w:rPr>
        <w:t xml:space="preserve"> Plan</w:t>
      </w:r>
      <w:r w:rsidRPr="002C6972">
        <w:rPr>
          <w:rFonts w:asciiTheme="minorHAnsi" w:hAnsiTheme="minorHAnsi" w:cstheme="minorHAnsi"/>
          <w:i/>
          <w:iCs/>
          <w:szCs w:val="22"/>
        </w:rPr>
        <w:t xml:space="preserve"> – a Guide for Residential Aged Care Providers</w:t>
      </w:r>
      <w:r w:rsidRPr="002C6972">
        <w:rPr>
          <w:rFonts w:asciiTheme="minorHAnsi" w:hAnsiTheme="minorHAnsi" w:cstheme="minorHAnsi"/>
          <w:szCs w:val="22"/>
        </w:rPr>
        <w:t xml:space="preserve"> (</w:t>
      </w:r>
      <w:r w:rsidR="00303475">
        <w:rPr>
          <w:rFonts w:asciiTheme="minorHAnsi" w:hAnsiTheme="minorHAnsi" w:cstheme="minorHAnsi"/>
          <w:szCs w:val="22"/>
        </w:rPr>
        <w:t>Guide</w:t>
      </w:r>
      <w:r w:rsidRPr="002C6972">
        <w:rPr>
          <w:rFonts w:asciiTheme="minorHAnsi" w:hAnsiTheme="minorHAnsi" w:cstheme="minorHAnsi"/>
          <w:szCs w:val="22"/>
        </w:rPr>
        <w:t xml:space="preserve">) provides overarching guidance and resources (Appendices A &amp; B) for aged care providers to support their readiness, response and recovery from cases and outbreaks of COVID-19 and/or influenza during winter 2022. </w:t>
      </w:r>
      <w:bookmarkEnd w:id="1"/>
    </w:p>
    <w:p w14:paraId="5D786B4B" w14:textId="092AAFF7" w:rsidR="00F33EE4" w:rsidRPr="002C6972" w:rsidRDefault="00F33EE4" w:rsidP="00EE0473">
      <w:pPr>
        <w:pStyle w:val="VACRCbody-landscape"/>
        <w:rPr>
          <w:rFonts w:asciiTheme="minorHAnsi" w:hAnsiTheme="minorHAnsi" w:cstheme="minorHAnsi"/>
          <w:szCs w:val="22"/>
        </w:rPr>
      </w:pPr>
      <w:r w:rsidRPr="002C6972">
        <w:rPr>
          <w:rFonts w:asciiTheme="minorHAnsi" w:hAnsiTheme="minorHAnsi" w:cstheme="minorHAnsi"/>
          <w:szCs w:val="22"/>
        </w:rPr>
        <w:t xml:space="preserve">The experience of COVID-19 has illustrated the importance of maintaining infection </w:t>
      </w:r>
      <w:r w:rsidR="00303475">
        <w:rPr>
          <w:rFonts w:asciiTheme="minorHAnsi" w:hAnsiTheme="minorHAnsi" w:cstheme="minorHAnsi"/>
          <w:szCs w:val="22"/>
        </w:rPr>
        <w:t xml:space="preserve">prevention and </w:t>
      </w:r>
      <w:r w:rsidRPr="002C6972">
        <w:rPr>
          <w:rFonts w:asciiTheme="minorHAnsi" w:hAnsiTheme="minorHAnsi" w:cstheme="minorHAnsi"/>
          <w:szCs w:val="22"/>
        </w:rPr>
        <w:t xml:space="preserve">control </w:t>
      </w:r>
      <w:r w:rsidR="00303475">
        <w:rPr>
          <w:rFonts w:asciiTheme="minorHAnsi" w:hAnsiTheme="minorHAnsi" w:cstheme="minorHAnsi"/>
          <w:szCs w:val="22"/>
        </w:rPr>
        <w:t xml:space="preserve">(IPC) </w:t>
      </w:r>
      <w:r w:rsidRPr="002C6972">
        <w:rPr>
          <w:rFonts w:asciiTheme="minorHAnsi" w:hAnsiTheme="minorHAnsi" w:cstheme="minorHAnsi"/>
          <w:szCs w:val="22"/>
        </w:rPr>
        <w:t xml:space="preserve">and readiness skills in each aged care service. </w:t>
      </w:r>
      <w:r w:rsidR="002D0529">
        <w:rPr>
          <w:rFonts w:asciiTheme="minorHAnsi" w:hAnsiTheme="minorHAnsi" w:cstheme="minorHAnsi"/>
          <w:szCs w:val="22"/>
        </w:rPr>
        <w:t>While t</w:t>
      </w:r>
      <w:r w:rsidRPr="002C6972">
        <w:rPr>
          <w:rFonts w:asciiTheme="minorHAnsi" w:hAnsiTheme="minorHAnsi" w:cstheme="minorHAnsi"/>
          <w:szCs w:val="22"/>
        </w:rPr>
        <w:t>his Plan is predominantly focussed on the residential setting (acknowledging the increased transmission risk posed in a co-located living environment), an in-home care checklist is included at Appendix</w:t>
      </w:r>
      <w:r w:rsidR="00303475">
        <w:rPr>
          <w:rFonts w:asciiTheme="minorHAnsi" w:hAnsiTheme="minorHAnsi" w:cstheme="minorHAnsi"/>
          <w:szCs w:val="22"/>
        </w:rPr>
        <w:t> </w:t>
      </w:r>
      <w:r w:rsidRPr="002C6972">
        <w:rPr>
          <w:rFonts w:asciiTheme="minorHAnsi" w:hAnsiTheme="minorHAnsi" w:cstheme="minorHAnsi"/>
          <w:szCs w:val="22"/>
        </w:rPr>
        <w:t xml:space="preserve">C. Further information for home care providers is available via the </w:t>
      </w:r>
      <w:hyperlink r:id="rId14" w:history="1">
        <w:r w:rsidRPr="002C6972">
          <w:rPr>
            <w:rFonts w:asciiTheme="minorHAnsi" w:hAnsiTheme="minorHAnsi" w:cstheme="minorHAnsi"/>
            <w:color w:val="007DC3" w:themeColor="hyperlink"/>
            <w:szCs w:val="22"/>
            <w:u w:val="single"/>
          </w:rPr>
          <w:t>Managing home care through COVID-19 webpage</w:t>
        </w:r>
      </w:hyperlink>
      <w:r w:rsidRPr="002C6972">
        <w:rPr>
          <w:rFonts w:asciiTheme="minorHAnsi" w:hAnsiTheme="minorHAnsi" w:cstheme="minorHAnsi"/>
          <w:szCs w:val="22"/>
        </w:rPr>
        <w:t>.</w:t>
      </w:r>
    </w:p>
    <w:p w14:paraId="2AC30CBC" w14:textId="45AD50A6" w:rsidR="00F33EE4" w:rsidRPr="002C6972" w:rsidRDefault="00F33EE4" w:rsidP="00EE0473">
      <w:pPr>
        <w:pStyle w:val="VACRCbody-landscape"/>
        <w:rPr>
          <w:rFonts w:asciiTheme="minorHAnsi" w:hAnsiTheme="minorHAnsi" w:cstheme="minorHAnsi"/>
          <w:szCs w:val="22"/>
        </w:rPr>
      </w:pPr>
      <w:r w:rsidRPr="002C6972">
        <w:rPr>
          <w:rFonts w:asciiTheme="minorHAnsi" w:hAnsiTheme="minorHAnsi" w:cstheme="minorHAnsi"/>
          <w:szCs w:val="22"/>
        </w:rPr>
        <w:t xml:space="preserve">This </w:t>
      </w:r>
      <w:r w:rsidR="00303475">
        <w:rPr>
          <w:rFonts w:asciiTheme="minorHAnsi" w:hAnsiTheme="minorHAnsi" w:cstheme="minorHAnsi"/>
          <w:szCs w:val="22"/>
        </w:rPr>
        <w:t>Guide</w:t>
      </w:r>
      <w:r w:rsidR="00303475" w:rsidRPr="002C6972">
        <w:rPr>
          <w:rFonts w:asciiTheme="minorHAnsi" w:hAnsiTheme="minorHAnsi" w:cstheme="minorHAnsi"/>
          <w:szCs w:val="22"/>
        </w:rPr>
        <w:t xml:space="preserve"> </w:t>
      </w:r>
      <w:r w:rsidRPr="002C6972">
        <w:rPr>
          <w:rFonts w:asciiTheme="minorHAnsi" w:hAnsiTheme="minorHAnsi" w:cstheme="minorHAnsi"/>
          <w:szCs w:val="22"/>
        </w:rPr>
        <w:t xml:space="preserve">provides a framework for the sector during 2022 to adapt its current outbreak preparedness and response, </w:t>
      </w:r>
      <w:r w:rsidR="002D0529">
        <w:rPr>
          <w:rFonts w:asciiTheme="minorHAnsi" w:hAnsiTheme="minorHAnsi" w:cstheme="minorHAnsi"/>
          <w:szCs w:val="22"/>
        </w:rPr>
        <w:t>and</w:t>
      </w:r>
      <w:r w:rsidR="002D0529" w:rsidRPr="002C6972">
        <w:rPr>
          <w:rFonts w:asciiTheme="minorHAnsi" w:hAnsiTheme="minorHAnsi" w:cstheme="minorHAnsi"/>
          <w:szCs w:val="22"/>
        </w:rPr>
        <w:t xml:space="preserve"> </w:t>
      </w:r>
      <w:r w:rsidRPr="002C6972">
        <w:rPr>
          <w:rFonts w:asciiTheme="minorHAnsi" w:hAnsiTheme="minorHAnsi" w:cstheme="minorHAnsi"/>
          <w:szCs w:val="22"/>
        </w:rPr>
        <w:t>the supports provided by the Australian Government Department of Health</w:t>
      </w:r>
      <w:r w:rsidR="002D0529">
        <w:rPr>
          <w:rFonts w:asciiTheme="minorHAnsi" w:hAnsiTheme="minorHAnsi" w:cstheme="minorHAnsi"/>
          <w:szCs w:val="22"/>
        </w:rPr>
        <w:t xml:space="preserve"> and Aged Care</w:t>
      </w:r>
      <w:r w:rsidRPr="002C6972">
        <w:rPr>
          <w:rFonts w:asciiTheme="minorHAnsi" w:hAnsiTheme="minorHAnsi" w:cstheme="minorHAnsi"/>
          <w:szCs w:val="22"/>
        </w:rPr>
        <w:t xml:space="preserve"> (</w:t>
      </w:r>
      <w:r w:rsidR="00303475">
        <w:rPr>
          <w:rFonts w:asciiTheme="minorHAnsi" w:hAnsiTheme="minorHAnsi" w:cstheme="minorHAnsi"/>
          <w:szCs w:val="22"/>
        </w:rPr>
        <w:t>D</w:t>
      </w:r>
      <w:r w:rsidR="00012413" w:rsidRPr="002C6972">
        <w:rPr>
          <w:rFonts w:asciiTheme="minorHAnsi" w:hAnsiTheme="minorHAnsi" w:cstheme="minorHAnsi"/>
          <w:szCs w:val="22"/>
        </w:rPr>
        <w:t>epartment</w:t>
      </w:r>
      <w:r w:rsidRPr="002C6972">
        <w:rPr>
          <w:rFonts w:asciiTheme="minorHAnsi" w:hAnsiTheme="minorHAnsi" w:cstheme="minorHAnsi"/>
          <w:szCs w:val="22"/>
        </w:rPr>
        <w:t xml:space="preserve">). As states and territories retain predominant responsibility for the public health management of infectious disease outbreaks, this </w:t>
      </w:r>
      <w:r w:rsidR="00303475">
        <w:rPr>
          <w:rFonts w:asciiTheme="minorHAnsi" w:hAnsiTheme="minorHAnsi" w:cstheme="minorHAnsi"/>
          <w:szCs w:val="22"/>
        </w:rPr>
        <w:t>Guide</w:t>
      </w:r>
      <w:r w:rsidR="00303475" w:rsidRPr="002C6972">
        <w:rPr>
          <w:rFonts w:asciiTheme="minorHAnsi" w:hAnsiTheme="minorHAnsi" w:cstheme="minorHAnsi"/>
          <w:szCs w:val="22"/>
        </w:rPr>
        <w:t xml:space="preserve"> </w:t>
      </w:r>
      <w:r w:rsidRPr="002C6972">
        <w:rPr>
          <w:rFonts w:asciiTheme="minorHAnsi" w:hAnsiTheme="minorHAnsi" w:cstheme="minorHAnsi"/>
          <w:szCs w:val="22"/>
        </w:rPr>
        <w:t>will be supplemented by additional advice from all governments, released as required in response to emerging or changing risks. This ensures responses can remain proportionate, in line with local response settings and are informed by best</w:t>
      </w:r>
      <w:r w:rsidRPr="002C6972">
        <w:rPr>
          <w:rFonts w:asciiTheme="minorHAnsi" w:hAnsiTheme="minorHAnsi" w:cstheme="minorHAnsi"/>
          <w:szCs w:val="22"/>
        </w:rPr>
        <w:noBreakHyphen/>
        <w:t xml:space="preserve">practice clinical advice. The </w:t>
      </w:r>
      <w:r w:rsidR="00303475">
        <w:rPr>
          <w:rFonts w:asciiTheme="minorHAnsi" w:hAnsiTheme="minorHAnsi" w:cstheme="minorHAnsi"/>
          <w:szCs w:val="22"/>
        </w:rPr>
        <w:t>Guide</w:t>
      </w:r>
      <w:r w:rsidR="00303475" w:rsidRPr="002C6972">
        <w:rPr>
          <w:rFonts w:asciiTheme="minorHAnsi" w:hAnsiTheme="minorHAnsi" w:cstheme="minorHAnsi"/>
          <w:szCs w:val="22"/>
        </w:rPr>
        <w:t xml:space="preserve"> </w:t>
      </w:r>
      <w:r w:rsidRPr="002C6972">
        <w:rPr>
          <w:rFonts w:asciiTheme="minorHAnsi" w:hAnsiTheme="minorHAnsi" w:cstheme="minorHAnsi"/>
          <w:szCs w:val="22"/>
        </w:rPr>
        <w:t xml:space="preserve">is not intended to provide exhaustive operational guidance; </w:t>
      </w:r>
      <w:r w:rsidR="00E724BA" w:rsidRPr="002C6972">
        <w:rPr>
          <w:rFonts w:asciiTheme="minorHAnsi" w:hAnsiTheme="minorHAnsi" w:cstheme="minorHAnsi"/>
          <w:szCs w:val="22"/>
        </w:rPr>
        <w:t>however,</w:t>
      </w:r>
      <w:r w:rsidRPr="002C6972">
        <w:rPr>
          <w:rFonts w:asciiTheme="minorHAnsi" w:hAnsiTheme="minorHAnsi" w:cstheme="minorHAnsi"/>
          <w:szCs w:val="22"/>
        </w:rPr>
        <w:t xml:space="preserve"> it </w:t>
      </w:r>
      <w:r w:rsidR="00303475">
        <w:rPr>
          <w:rFonts w:asciiTheme="minorHAnsi" w:hAnsiTheme="minorHAnsi" w:cstheme="minorHAnsi"/>
          <w:szCs w:val="22"/>
        </w:rPr>
        <w:t xml:space="preserve">does </w:t>
      </w:r>
      <w:r w:rsidRPr="002C6972">
        <w:rPr>
          <w:rFonts w:asciiTheme="minorHAnsi" w:hAnsiTheme="minorHAnsi" w:cstheme="minorHAnsi"/>
          <w:szCs w:val="22"/>
        </w:rPr>
        <w:t>include examples of practical on</w:t>
      </w:r>
      <w:r w:rsidRPr="002C6972">
        <w:rPr>
          <w:rFonts w:asciiTheme="minorHAnsi" w:hAnsiTheme="minorHAnsi" w:cstheme="minorHAnsi"/>
          <w:szCs w:val="22"/>
        </w:rPr>
        <w:noBreakHyphen/>
        <w:t xml:space="preserve">the-ground actions which providers should be considering, </w:t>
      </w:r>
      <w:r w:rsidR="00303475">
        <w:rPr>
          <w:rFonts w:asciiTheme="minorHAnsi" w:hAnsiTheme="minorHAnsi" w:cstheme="minorHAnsi"/>
          <w:szCs w:val="22"/>
        </w:rPr>
        <w:t xml:space="preserve">as </w:t>
      </w:r>
      <w:r w:rsidRPr="002C6972">
        <w:rPr>
          <w:rFonts w:asciiTheme="minorHAnsi" w:hAnsiTheme="minorHAnsi" w:cstheme="minorHAnsi"/>
          <w:szCs w:val="22"/>
        </w:rPr>
        <w:t>outlined in the Checklists at the end of this document.</w:t>
      </w:r>
    </w:p>
    <w:p w14:paraId="1A08149E" w14:textId="4338D837" w:rsidR="00F45BE5" w:rsidRPr="00216DFA" w:rsidRDefault="00F33EE4" w:rsidP="00D972B3">
      <w:pPr>
        <w:pStyle w:val="Heading2"/>
        <w:numPr>
          <w:ilvl w:val="0"/>
          <w:numId w:val="0"/>
        </w:numPr>
        <w:spacing w:before="120"/>
        <w:ind w:right="119"/>
        <w:contextualSpacing/>
        <w:rPr>
          <w:rFonts w:ascii="Arial Nova" w:hAnsi="Arial Nova"/>
          <w:b/>
          <w:bCs w:val="0"/>
          <w:sz w:val="32"/>
          <w:szCs w:val="32"/>
        </w:rPr>
      </w:pPr>
      <w:bookmarkStart w:id="2" w:name="_Toc108624562"/>
      <w:r w:rsidRPr="00216DFA">
        <w:rPr>
          <w:rFonts w:ascii="Arial Nova" w:hAnsi="Arial Nova"/>
          <w:b/>
          <w:bCs w:val="0"/>
          <w:sz w:val="32"/>
          <w:szCs w:val="32"/>
        </w:rPr>
        <w:t>Existing Provider Role and Responsibilities</w:t>
      </w:r>
      <w:bookmarkEnd w:id="2"/>
    </w:p>
    <w:p w14:paraId="1F632E04" w14:textId="4FA7670A" w:rsidR="00891325" w:rsidRPr="002C6972" w:rsidRDefault="00891325" w:rsidP="001D0BDC">
      <w:pPr>
        <w:pStyle w:val="VACRCbody-landscape"/>
        <w:rPr>
          <w:rFonts w:asciiTheme="minorHAnsi" w:hAnsiTheme="minorHAnsi" w:cstheme="minorHAnsi"/>
        </w:rPr>
      </w:pPr>
      <w:r w:rsidRPr="002C6972">
        <w:rPr>
          <w:rFonts w:asciiTheme="minorHAnsi" w:hAnsiTheme="minorHAnsi" w:cstheme="minorHAnsi"/>
        </w:rPr>
        <w:t>Australian Government legislation and regulations, and state and territory public health and emergency response laws, provide a legislative framework to underpin actions that may be required when responding to emergency situations.</w:t>
      </w:r>
    </w:p>
    <w:p w14:paraId="4E04F7A5" w14:textId="54679F6D" w:rsidR="00891325" w:rsidRPr="002C6972" w:rsidRDefault="00891325" w:rsidP="001D0BDC">
      <w:pPr>
        <w:pStyle w:val="VACRCbody-landscape"/>
        <w:rPr>
          <w:rFonts w:asciiTheme="minorHAnsi" w:hAnsiTheme="minorHAnsi" w:cstheme="minorHAnsi"/>
        </w:rPr>
      </w:pPr>
      <w:r w:rsidRPr="002C6972">
        <w:rPr>
          <w:rFonts w:asciiTheme="minorHAnsi" w:hAnsiTheme="minorHAnsi" w:cstheme="minorHAnsi"/>
        </w:rPr>
        <w:t xml:space="preserve">The </w:t>
      </w:r>
      <w:r w:rsidRPr="002C6972">
        <w:rPr>
          <w:rFonts w:asciiTheme="minorHAnsi" w:hAnsiTheme="minorHAnsi" w:cstheme="minorHAnsi"/>
          <w:i/>
        </w:rPr>
        <w:t>Aged Care Act 1997</w:t>
      </w:r>
      <w:r w:rsidRPr="002C6972">
        <w:rPr>
          <w:rFonts w:asciiTheme="minorHAnsi" w:hAnsiTheme="minorHAnsi" w:cstheme="minorHAnsi"/>
        </w:rPr>
        <w:t xml:space="preserve"> and associated Aged Care Principles, and the </w:t>
      </w:r>
      <w:r w:rsidRPr="002C6972">
        <w:rPr>
          <w:rFonts w:asciiTheme="minorHAnsi" w:hAnsiTheme="minorHAnsi" w:cstheme="minorHAnsi"/>
          <w:i/>
        </w:rPr>
        <w:t>Aged Care Quality and Safety Commission Act 2018</w:t>
      </w:r>
      <w:r w:rsidRPr="002C6972">
        <w:rPr>
          <w:rFonts w:asciiTheme="minorHAnsi" w:hAnsiTheme="minorHAnsi" w:cstheme="minorHAnsi"/>
        </w:rPr>
        <w:t>, set out the legislative framework for the funding and regulation of aged care. Care</w:t>
      </w:r>
      <w:r w:rsidR="00303475">
        <w:rPr>
          <w:rFonts w:asciiTheme="minorHAnsi" w:hAnsiTheme="minorHAnsi" w:cstheme="minorHAnsi"/>
        </w:rPr>
        <w:t> </w:t>
      </w:r>
      <w:r w:rsidRPr="002C6972">
        <w:rPr>
          <w:rFonts w:asciiTheme="minorHAnsi" w:hAnsiTheme="minorHAnsi" w:cstheme="minorHAnsi"/>
        </w:rPr>
        <w:t xml:space="preserve">and service requirements must be delivered in accordance with the </w:t>
      </w:r>
      <w:r w:rsidRPr="002C6972">
        <w:rPr>
          <w:rFonts w:asciiTheme="minorHAnsi" w:hAnsiTheme="minorHAnsi" w:cstheme="minorHAnsi"/>
          <w:b/>
        </w:rPr>
        <w:t xml:space="preserve">Aged Care Quality Standards </w:t>
      </w:r>
      <w:r w:rsidRPr="002C6972">
        <w:rPr>
          <w:rFonts w:asciiTheme="minorHAnsi" w:hAnsiTheme="minorHAnsi" w:cstheme="minorHAnsi"/>
        </w:rPr>
        <w:t>(Quality Standards).</w:t>
      </w:r>
    </w:p>
    <w:p w14:paraId="16A81E31" w14:textId="6428C957" w:rsidR="00A87C54" w:rsidRPr="002C6972" w:rsidRDefault="00891325" w:rsidP="001D0BDC">
      <w:pPr>
        <w:pStyle w:val="VACRCbody-landscape"/>
        <w:rPr>
          <w:rFonts w:asciiTheme="minorHAnsi" w:hAnsiTheme="minorHAnsi" w:cstheme="minorHAnsi"/>
        </w:rPr>
      </w:pPr>
      <w:r w:rsidRPr="002C6972">
        <w:rPr>
          <w:rFonts w:asciiTheme="minorHAnsi" w:hAnsiTheme="minorHAnsi" w:cstheme="minorHAnsi"/>
        </w:rPr>
        <w:t xml:space="preserve">The </w:t>
      </w:r>
      <w:r w:rsidRPr="002C6972">
        <w:rPr>
          <w:rFonts w:asciiTheme="minorHAnsi" w:hAnsiTheme="minorHAnsi" w:cstheme="minorHAnsi"/>
          <w:b/>
        </w:rPr>
        <w:t>Aged Care Quality and Safety Commission</w:t>
      </w:r>
      <w:r w:rsidRPr="002C6972">
        <w:rPr>
          <w:rFonts w:asciiTheme="minorHAnsi" w:hAnsiTheme="minorHAnsi" w:cstheme="minorHAnsi"/>
        </w:rPr>
        <w:t xml:space="preserve"> (Commission) assesses aged care providers against the Quality Standards, including emergency preparedness. Under the Quality Standards, aged care providers are required to:</w:t>
      </w:r>
    </w:p>
    <w:p w14:paraId="3F71E8DB" w14:textId="0694731E" w:rsidR="00A87C54" w:rsidRPr="002C6972" w:rsidRDefault="00891325" w:rsidP="001707B8">
      <w:pPr>
        <w:pStyle w:val="VACRCbody-landscape"/>
        <w:numPr>
          <w:ilvl w:val="0"/>
          <w:numId w:val="19"/>
        </w:numPr>
        <w:rPr>
          <w:rFonts w:asciiTheme="minorHAnsi" w:hAnsiTheme="minorHAnsi" w:cstheme="minorHAnsi"/>
        </w:rPr>
      </w:pPr>
      <w:r w:rsidRPr="002C6972">
        <w:rPr>
          <w:rFonts w:asciiTheme="minorHAnsi" w:hAnsiTheme="minorHAnsi" w:cstheme="minorHAnsi"/>
        </w:rPr>
        <w:t>Have effective risk management systems and practices – including, but not limited to, managing high-impact risks associated with the care of consumers (Standard 8 (3)(d)(</w:t>
      </w:r>
      <w:proofErr w:type="spellStart"/>
      <w:r w:rsidRPr="002C6972">
        <w:rPr>
          <w:rFonts w:asciiTheme="minorHAnsi" w:hAnsiTheme="minorHAnsi" w:cstheme="minorHAnsi"/>
        </w:rPr>
        <w:t>i</w:t>
      </w:r>
      <w:proofErr w:type="spellEnd"/>
      <w:r w:rsidRPr="002C6972">
        <w:rPr>
          <w:rFonts w:asciiTheme="minorHAnsi" w:hAnsiTheme="minorHAnsi" w:cstheme="minorHAnsi"/>
        </w:rPr>
        <w:t>) – Organisational Governance).</w:t>
      </w:r>
    </w:p>
    <w:p w14:paraId="3FD2A400" w14:textId="7E8BAF7E" w:rsidR="00A87C54" w:rsidRPr="002C6972" w:rsidRDefault="00891325" w:rsidP="001707B8">
      <w:pPr>
        <w:pStyle w:val="VACRCbody-landscape"/>
        <w:numPr>
          <w:ilvl w:val="0"/>
          <w:numId w:val="19"/>
        </w:numPr>
        <w:rPr>
          <w:rFonts w:asciiTheme="minorHAnsi" w:hAnsiTheme="minorHAnsi" w:cstheme="minorHAnsi"/>
        </w:rPr>
      </w:pPr>
      <w:r w:rsidRPr="002C6972">
        <w:rPr>
          <w:rFonts w:asciiTheme="minorHAnsi" w:hAnsiTheme="minorHAnsi" w:cstheme="minorHAnsi"/>
        </w:rPr>
        <w:t>Have a workforce recruited, trained, equipped and supported to deliver the outcomes required by the Quality Standards (Standard 7(3)(d) – Human Resources).</w:t>
      </w:r>
    </w:p>
    <w:p w14:paraId="6C12FC9A" w14:textId="32FCBBDE" w:rsidR="00891325" w:rsidRPr="002C6972" w:rsidRDefault="00891325" w:rsidP="001707B8">
      <w:pPr>
        <w:pStyle w:val="VACRCbody-landscape"/>
        <w:numPr>
          <w:ilvl w:val="0"/>
          <w:numId w:val="19"/>
        </w:numPr>
        <w:rPr>
          <w:rFonts w:asciiTheme="minorHAnsi" w:hAnsiTheme="minorHAnsi" w:cstheme="minorHAnsi"/>
        </w:rPr>
      </w:pPr>
      <w:r w:rsidRPr="002C6972">
        <w:rPr>
          <w:rFonts w:asciiTheme="minorHAnsi" w:hAnsiTheme="minorHAnsi" w:cstheme="minorHAnsi"/>
        </w:rPr>
        <w:t>Minimise infection related risks through implementing standard and transmission-based precautions to prevent and control infection (Standard 3(g)(</w:t>
      </w:r>
      <w:proofErr w:type="spellStart"/>
      <w:r w:rsidRPr="002C6972">
        <w:rPr>
          <w:rFonts w:asciiTheme="minorHAnsi" w:hAnsiTheme="minorHAnsi" w:cstheme="minorHAnsi"/>
        </w:rPr>
        <w:t>i</w:t>
      </w:r>
      <w:proofErr w:type="spellEnd"/>
      <w:r w:rsidRPr="002C6972">
        <w:rPr>
          <w:rFonts w:asciiTheme="minorHAnsi" w:hAnsiTheme="minorHAnsi" w:cstheme="minorHAnsi"/>
        </w:rPr>
        <w:t>) – Personal Care and Clinical Care).</w:t>
      </w:r>
    </w:p>
    <w:p w14:paraId="5C9F9C73" w14:textId="6551D2C3" w:rsidR="009518B4" w:rsidRPr="009518B4" w:rsidRDefault="000B4EB4" w:rsidP="00D972B3">
      <w:pPr>
        <w:pStyle w:val="VACRCbody"/>
        <w:spacing w:before="120"/>
        <w:ind w:left="0" w:right="119"/>
        <w:rPr>
          <w:rFonts w:ascii="Arial Nova" w:hAnsi="Arial Nova"/>
          <w:b/>
          <w:bCs/>
          <w:color w:val="007940"/>
          <w:sz w:val="48"/>
          <w:szCs w:val="48"/>
        </w:rPr>
      </w:pPr>
      <w:r>
        <w:br w:type="page"/>
      </w:r>
      <w:bookmarkStart w:id="3" w:name="_Hlk81216111"/>
      <w:r w:rsidR="00AA474F" w:rsidRPr="009518B4">
        <w:rPr>
          <w:rFonts w:ascii="Arial Nova" w:hAnsi="Arial Nova"/>
          <w:b/>
          <w:bCs/>
          <w:color w:val="007940"/>
          <w:sz w:val="48"/>
          <w:szCs w:val="48"/>
        </w:rPr>
        <w:lastRenderedPageBreak/>
        <w:t>Phases</w:t>
      </w:r>
    </w:p>
    <w:p w14:paraId="4361F463" w14:textId="7E576425" w:rsidR="00AA474F" w:rsidRPr="00EE0473" w:rsidRDefault="00AA474F" w:rsidP="00BD6454">
      <w:pPr>
        <w:spacing w:before="120" w:after="120" w:line="240" w:lineRule="atLeast"/>
        <w:ind w:right="119"/>
        <w:rPr>
          <w:rFonts w:ascii="Arial Nova" w:eastAsia="Calibri" w:hAnsi="Arial Nova" w:cs="Arial"/>
          <w:b/>
          <w:color w:val="007940"/>
          <w:sz w:val="32"/>
          <w:szCs w:val="32"/>
        </w:rPr>
      </w:pPr>
      <w:r w:rsidRPr="00EE0473">
        <w:rPr>
          <w:rFonts w:ascii="Arial Nova" w:eastAsia="Calibri" w:hAnsi="Arial Nova" w:cs="Arial"/>
          <w:b/>
          <w:color w:val="007940"/>
          <w:sz w:val="32"/>
          <w:szCs w:val="32"/>
        </w:rPr>
        <w:t>Readiness</w:t>
      </w:r>
    </w:p>
    <w:bookmarkEnd w:id="3"/>
    <w:p w14:paraId="5A1E7490" w14:textId="0773C9CA" w:rsidR="005C57D5" w:rsidRPr="002C6972" w:rsidRDefault="00AA474F" w:rsidP="001D0BDC">
      <w:pPr>
        <w:pStyle w:val="VACRCbody-landscape"/>
        <w:rPr>
          <w:rFonts w:asciiTheme="minorHAnsi" w:hAnsiTheme="minorHAnsi" w:cstheme="minorHAnsi"/>
        </w:rPr>
      </w:pPr>
      <w:r w:rsidRPr="002C6972">
        <w:rPr>
          <w:rFonts w:asciiTheme="minorHAnsi" w:hAnsiTheme="minorHAnsi" w:cstheme="minorHAnsi"/>
        </w:rPr>
        <w:t xml:space="preserve">Prevention and preparedness are the main goals. Each aged care service is responsible for preparing for outbreaks of infectious diseases, such as COVID-19 and influenza, and how they will continue the delivery of safe and quality care throughout. As part of this, aged care services and providers should consider national lessons learned (for example, as identified in the </w:t>
      </w:r>
      <w:hyperlink r:id="rId15" w:history="1">
        <w:r w:rsidRPr="002C6972">
          <w:rPr>
            <w:rFonts w:asciiTheme="minorHAnsi" w:hAnsiTheme="minorHAnsi" w:cstheme="minorHAnsi"/>
            <w:color w:val="0563C1"/>
            <w:u w:val="single"/>
          </w:rPr>
          <w:t>Independent review of COVID-19 outbreaks in Australian Residential Aged Care Facilities</w:t>
        </w:r>
      </w:hyperlink>
      <w:r w:rsidRPr="002C6972">
        <w:rPr>
          <w:rFonts w:asciiTheme="minorHAnsi" w:hAnsiTheme="minorHAnsi" w:cstheme="minorHAnsi"/>
        </w:rPr>
        <w:t>), and where applicable, their own recent COVID</w:t>
      </w:r>
      <w:r w:rsidRPr="002C6972">
        <w:rPr>
          <w:rFonts w:asciiTheme="minorHAnsi" w:hAnsiTheme="minorHAnsi" w:cstheme="minorHAnsi"/>
        </w:rPr>
        <w:noBreakHyphen/>
        <w:t>19 experience.</w:t>
      </w:r>
    </w:p>
    <w:p w14:paraId="6FA7D2F8" w14:textId="265BEB18" w:rsidR="00AA474F" w:rsidRPr="002C6972" w:rsidRDefault="00AA474F" w:rsidP="001D0BDC">
      <w:pPr>
        <w:pStyle w:val="VACRCbody-landscape"/>
        <w:rPr>
          <w:rFonts w:asciiTheme="minorHAnsi" w:hAnsiTheme="minorHAnsi" w:cstheme="minorHAnsi"/>
        </w:rPr>
      </w:pPr>
      <w:r w:rsidRPr="002C6972">
        <w:rPr>
          <w:rFonts w:asciiTheme="minorHAnsi" w:hAnsiTheme="minorHAnsi" w:cstheme="minorHAnsi"/>
        </w:rPr>
        <w:t>These</w:t>
      </w:r>
      <w:r w:rsidR="001D0BDC" w:rsidRPr="002C6972">
        <w:rPr>
          <w:rFonts w:asciiTheme="minorHAnsi" w:hAnsiTheme="minorHAnsi" w:cstheme="minorHAnsi"/>
        </w:rPr>
        <w:t xml:space="preserve"> </w:t>
      </w:r>
      <w:r w:rsidRPr="002C6972">
        <w:rPr>
          <w:rFonts w:asciiTheme="minorHAnsi" w:hAnsiTheme="minorHAnsi" w:cstheme="minorHAnsi"/>
        </w:rPr>
        <w:t>considerations should be incorporated into managing future outbreaks in a least-restrictive manner, focussing on maintaining resident wellbeing throughout. This</w:t>
      </w:r>
      <w:r w:rsidR="001D0BDC" w:rsidRPr="002C6972">
        <w:rPr>
          <w:rFonts w:asciiTheme="minorHAnsi" w:hAnsiTheme="minorHAnsi" w:cstheme="minorHAnsi"/>
        </w:rPr>
        <w:t xml:space="preserve"> </w:t>
      </w:r>
      <w:r w:rsidRPr="002C6972">
        <w:rPr>
          <w:rFonts w:asciiTheme="minorHAnsi" w:hAnsiTheme="minorHAnsi" w:cstheme="minorHAnsi"/>
        </w:rPr>
        <w:t xml:space="preserve">includes understanding of risk and key risk factors (and contextualising how this applies to their service), systems and response plans, the importance of stringent </w:t>
      </w:r>
      <w:r w:rsidR="00303475">
        <w:rPr>
          <w:rFonts w:asciiTheme="minorHAnsi" w:hAnsiTheme="minorHAnsi" w:cstheme="minorHAnsi"/>
        </w:rPr>
        <w:t>IPC</w:t>
      </w:r>
      <w:r w:rsidRPr="002C6972">
        <w:rPr>
          <w:rFonts w:asciiTheme="minorHAnsi" w:hAnsiTheme="minorHAnsi" w:cstheme="minorHAnsi"/>
        </w:rPr>
        <w:t>, and access to essential equipment and resources to allow for swift action.</w:t>
      </w:r>
    </w:p>
    <w:p w14:paraId="1455798B" w14:textId="35140D44" w:rsidR="00AA474F" w:rsidRPr="00AA474F" w:rsidRDefault="00AA474F" w:rsidP="00BD6454">
      <w:pPr>
        <w:spacing w:before="120" w:after="120" w:line="240" w:lineRule="atLeast"/>
        <w:ind w:right="119"/>
        <w:rPr>
          <w:rFonts w:ascii="Arial Nova" w:eastAsia="Calibri" w:hAnsi="Arial Nova" w:cs="Arial"/>
          <w:b/>
          <w:color w:val="007940"/>
          <w:sz w:val="32"/>
          <w:szCs w:val="32"/>
        </w:rPr>
      </w:pPr>
      <w:r w:rsidRPr="00AA474F">
        <w:rPr>
          <w:rFonts w:ascii="Arial Nova" w:eastAsia="Calibri" w:hAnsi="Arial Nova" w:cs="Arial"/>
          <w:b/>
          <w:color w:val="007940"/>
          <w:sz w:val="32"/>
          <w:szCs w:val="32"/>
        </w:rPr>
        <w:t>Response</w:t>
      </w:r>
    </w:p>
    <w:p w14:paraId="2E24904E" w14:textId="4E1D37E3" w:rsidR="00AA474F" w:rsidRPr="002C6972" w:rsidRDefault="00AA474F" w:rsidP="001D0BDC">
      <w:pPr>
        <w:pStyle w:val="VACRCbody-landscape"/>
        <w:rPr>
          <w:rFonts w:asciiTheme="minorHAnsi" w:hAnsiTheme="minorHAnsi" w:cstheme="minorHAnsi"/>
        </w:rPr>
      </w:pPr>
      <w:r w:rsidRPr="002C6972">
        <w:rPr>
          <w:rFonts w:asciiTheme="minorHAnsi" w:hAnsiTheme="minorHAnsi" w:cstheme="minorHAnsi"/>
        </w:rPr>
        <w:t>Aged care services and providers lead the response to any outbreak or exposure, assisted by state and Commonwealth government supports as required. Sector leadership is key and is supported through clear advice on roles and responsibilities, clear guidance on IPC and access to additional resources (including workforce)</w:t>
      </w:r>
      <w:r w:rsidR="00303475">
        <w:rPr>
          <w:rFonts w:asciiTheme="minorHAnsi" w:hAnsiTheme="minorHAnsi" w:cstheme="minorHAnsi"/>
        </w:rPr>
        <w:t>, as required and available</w:t>
      </w:r>
      <w:r w:rsidRPr="002C6972">
        <w:rPr>
          <w:rFonts w:asciiTheme="minorHAnsi" w:hAnsiTheme="minorHAnsi" w:cstheme="minorHAnsi"/>
        </w:rPr>
        <w:t>.</w:t>
      </w:r>
    </w:p>
    <w:p w14:paraId="4BC0CCC3" w14:textId="77777777" w:rsidR="00AA474F" w:rsidRPr="00AA474F" w:rsidRDefault="00AA474F" w:rsidP="00BD6454">
      <w:pPr>
        <w:spacing w:before="120" w:after="120" w:line="240" w:lineRule="atLeast"/>
        <w:ind w:right="119"/>
        <w:rPr>
          <w:rFonts w:ascii="Arial Nova" w:eastAsia="Calibri" w:hAnsi="Arial Nova" w:cs="Arial"/>
          <w:b/>
          <w:color w:val="007940"/>
          <w:sz w:val="32"/>
          <w:szCs w:val="32"/>
        </w:rPr>
      </w:pPr>
      <w:r w:rsidRPr="00AA474F">
        <w:rPr>
          <w:rFonts w:ascii="Arial Nova" w:eastAsia="Calibri" w:hAnsi="Arial Nova" w:cs="Arial"/>
          <w:b/>
          <w:color w:val="007940"/>
          <w:sz w:val="32"/>
          <w:szCs w:val="32"/>
        </w:rPr>
        <w:t>Recovery and Resilience</w:t>
      </w:r>
    </w:p>
    <w:p w14:paraId="3E7C392B" w14:textId="4BC93C6A" w:rsidR="00AA474F" w:rsidRPr="002C6972" w:rsidRDefault="00AA474F" w:rsidP="001D0BDC">
      <w:pPr>
        <w:pStyle w:val="VACRCbody-landscape"/>
        <w:rPr>
          <w:rFonts w:asciiTheme="minorHAnsi" w:hAnsiTheme="minorHAnsi" w:cstheme="minorHAnsi"/>
        </w:rPr>
      </w:pPr>
      <w:r w:rsidRPr="002C6972">
        <w:rPr>
          <w:rFonts w:asciiTheme="minorHAnsi" w:hAnsiTheme="minorHAnsi" w:cstheme="minorHAnsi"/>
        </w:rPr>
        <w:t>Each service and provider should incorporate continuous improvement processes to reflect on their service’s Readiness and Response. This should encompass all events across the COVID-19 pandemic experience as well as events during winter 2022. Recovery and Resilience should also include replenishing essential supplies and supporting workforce recovery by enabling leave and facilitating support services for staff.</w:t>
      </w:r>
    </w:p>
    <w:p w14:paraId="36DB1404" w14:textId="12638466" w:rsidR="002A7E46" w:rsidRPr="002C6972" w:rsidRDefault="002A7E46" w:rsidP="001D0BDC">
      <w:pPr>
        <w:pStyle w:val="VACRCbody-landscape"/>
        <w:shd w:val="clear" w:color="auto" w:fill="D9D9D9" w:themeFill="background1" w:themeFillShade="D9"/>
        <w:rPr>
          <w:rFonts w:asciiTheme="minorHAnsi" w:hAnsiTheme="minorHAnsi" w:cstheme="minorHAnsi"/>
          <w:b/>
          <w:bCs/>
        </w:rPr>
      </w:pPr>
      <w:r w:rsidRPr="002C6972">
        <w:rPr>
          <w:rFonts w:asciiTheme="minorHAnsi" w:hAnsiTheme="minorHAnsi" w:cstheme="minorHAnsi"/>
          <w:b/>
          <w:bCs/>
        </w:rPr>
        <w:t>It is important to note that these three Phases are not always linear. They can occur concurrently and the transition (each way) between the Phases can occur in a short time. Actions should be tailored to the individual circumstances of each provider as they move back and forth between phases.</w:t>
      </w:r>
    </w:p>
    <w:p w14:paraId="55D1C404" w14:textId="0D9BA1DE" w:rsidR="00EE1756" w:rsidRPr="002C6972" w:rsidRDefault="002A7E46" w:rsidP="001D0BDC">
      <w:pPr>
        <w:pStyle w:val="VACRCbody-landscape"/>
        <w:shd w:val="clear" w:color="auto" w:fill="D9D9D9" w:themeFill="background1" w:themeFillShade="D9"/>
        <w:rPr>
          <w:rFonts w:asciiTheme="minorHAnsi" w:eastAsia="Calibri" w:hAnsiTheme="minorHAnsi" w:cstheme="minorHAnsi"/>
          <w:b/>
          <w:bCs/>
        </w:rPr>
      </w:pPr>
      <w:r w:rsidRPr="002C6972">
        <w:rPr>
          <w:rFonts w:asciiTheme="minorHAnsi" w:hAnsiTheme="minorHAnsi" w:cstheme="minorHAnsi"/>
          <w:b/>
          <w:bCs/>
        </w:rPr>
        <w:t>The feedback loop between lessons learned and continual enhancement of readiness activities ensures any responses can remain contemporary, responding to changes in circumstances as they arise.</w:t>
      </w:r>
    </w:p>
    <w:p w14:paraId="4EA6B4FA" w14:textId="77777777" w:rsidR="00AC4D20" w:rsidRPr="00D565B4" w:rsidRDefault="00C064BD" w:rsidP="008121FA">
      <w:pPr>
        <w:ind w:right="118"/>
        <w:jc w:val="both"/>
        <w:rPr>
          <w:rFonts w:eastAsia="MS Gothic"/>
        </w:rPr>
      </w:pPr>
      <w:r w:rsidRPr="00D565B4">
        <w:br w:type="page"/>
      </w:r>
    </w:p>
    <w:p w14:paraId="21403EB1" w14:textId="77777777" w:rsidR="003D6EE1" w:rsidRDefault="003D6EE1" w:rsidP="008121FA">
      <w:pPr>
        <w:spacing w:line="259" w:lineRule="auto"/>
        <w:ind w:right="118"/>
        <w:rPr>
          <w:rFonts w:ascii="Arial" w:eastAsia="Calibri" w:hAnsi="Arial" w:cs="Arial"/>
          <w:b/>
          <w:color w:val="007940"/>
          <w:sz w:val="32"/>
          <w:szCs w:val="32"/>
        </w:rPr>
        <w:sectPr w:rsidR="003D6EE1" w:rsidSect="00BD6454">
          <w:headerReference w:type="default" r:id="rId16"/>
          <w:footerReference w:type="default" r:id="rId17"/>
          <w:pgSz w:w="11906" w:h="16838" w:code="9"/>
          <w:pgMar w:top="1276" w:right="720" w:bottom="720" w:left="720" w:header="682" w:footer="567" w:gutter="0"/>
          <w:cols w:space="720"/>
          <w:docGrid w:linePitch="360"/>
        </w:sectPr>
      </w:pPr>
    </w:p>
    <w:p w14:paraId="0F6B8FB0" w14:textId="2F56D109" w:rsidR="003D6EE1" w:rsidRDefault="003D6EE1" w:rsidP="00BD6454">
      <w:pPr>
        <w:spacing w:before="120" w:after="120" w:line="259" w:lineRule="auto"/>
        <w:ind w:right="119"/>
        <w:rPr>
          <w:rFonts w:ascii="Arial" w:eastAsia="Calibri" w:hAnsi="Arial" w:cs="Arial"/>
          <w:b/>
          <w:color w:val="007940"/>
          <w:sz w:val="32"/>
          <w:szCs w:val="32"/>
        </w:rPr>
      </w:pPr>
      <w:r>
        <w:rPr>
          <w:rFonts w:ascii="Arial" w:eastAsia="Calibri" w:hAnsi="Arial" w:cs="Arial"/>
          <w:b/>
          <w:color w:val="007940"/>
          <w:sz w:val="32"/>
          <w:szCs w:val="32"/>
        </w:rPr>
        <w:lastRenderedPageBreak/>
        <w:t xml:space="preserve">Components of the </w:t>
      </w:r>
      <w:r w:rsidR="00EE0473">
        <w:rPr>
          <w:rFonts w:ascii="Arial" w:eastAsia="Calibri" w:hAnsi="Arial" w:cs="Arial"/>
          <w:b/>
          <w:color w:val="007940"/>
          <w:sz w:val="32"/>
          <w:szCs w:val="32"/>
        </w:rPr>
        <w:t>Guide</w:t>
      </w:r>
    </w:p>
    <w:p w14:paraId="17B4F458" w14:textId="37EEE67F" w:rsidR="003D6EE1" w:rsidRDefault="000F5603" w:rsidP="008121FA">
      <w:pPr>
        <w:spacing w:line="259" w:lineRule="auto"/>
        <w:ind w:right="118"/>
        <w:rPr>
          <w:rFonts w:ascii="Arial" w:eastAsia="Calibri" w:hAnsi="Arial" w:cs="Arial"/>
          <w:b/>
          <w:color w:val="007940"/>
          <w:sz w:val="32"/>
          <w:szCs w:val="32"/>
        </w:rPr>
        <w:sectPr w:rsidR="003D6EE1" w:rsidSect="003D6EE1">
          <w:pgSz w:w="16838" w:h="11906" w:orient="landscape" w:code="9"/>
          <w:pgMar w:top="720" w:right="720" w:bottom="720" w:left="720" w:header="1106" w:footer="567" w:gutter="0"/>
          <w:cols w:space="720"/>
          <w:docGrid w:linePitch="360"/>
        </w:sectPr>
      </w:pPr>
      <w:bookmarkStart w:id="4" w:name="_Toc104458380"/>
      <w:bookmarkStart w:id="5" w:name="_Toc104459137"/>
      <w:r>
        <w:rPr>
          <w:rFonts w:ascii="Arial Nova" w:hAnsi="Arial Nova"/>
          <w:noProof/>
        </w:rPr>
        <mc:AlternateContent>
          <mc:Choice Requires="wpg">
            <w:drawing>
              <wp:inline distT="0" distB="0" distL="0" distR="0" wp14:anchorId="630D67CF" wp14:editId="17E87230">
                <wp:extent cx="9703395" cy="5360906"/>
                <wp:effectExtent l="0" t="0" r="12700" b="11430"/>
                <wp:docPr id="60" name="Group 60" descr="Diagrammatic representation of the sub-headings contained within each phase later in the document, set out across the three stages of 'Readiness', 'Response' and 'Preparedness'. "/>
                <wp:cNvGraphicFramePr/>
                <a:graphic xmlns:a="http://schemas.openxmlformats.org/drawingml/2006/main">
                  <a:graphicData uri="http://schemas.microsoft.com/office/word/2010/wordprocessingGroup">
                    <wpg:wgp>
                      <wpg:cNvGrpSpPr/>
                      <wpg:grpSpPr>
                        <a:xfrm>
                          <a:off x="0" y="0"/>
                          <a:ext cx="9703395" cy="5360906"/>
                          <a:chOff x="0" y="0"/>
                          <a:chExt cx="9796330" cy="6031128"/>
                        </a:xfrm>
                      </wpg:grpSpPr>
                      <wps:wsp>
                        <wps:cNvPr id="61" name="Rectangle: Rounded Corners 3">
                          <a:hlinkClick r:id="rId18"/>
                        </wps:cNvPr>
                        <wps:cNvSpPr/>
                        <wps:spPr>
                          <a:xfrm>
                            <a:off x="0" y="24714"/>
                            <a:ext cx="3009879" cy="489645"/>
                          </a:xfrm>
                          <a:prstGeom prst="roundRect">
                            <a:avLst/>
                          </a:prstGeom>
                          <a:solidFill>
                            <a:srgbClr val="70AD47"/>
                          </a:solidFill>
                          <a:ln w="19050" cap="flat" cmpd="sng" algn="ctr">
                            <a:solidFill>
                              <a:sysClr val="window" lastClr="FFFFFF"/>
                            </a:solidFill>
                            <a:prstDash val="solid"/>
                            <a:miter lim="800000"/>
                          </a:ln>
                          <a:effectLst/>
                        </wps:spPr>
                        <wps:txbx>
                          <w:txbxContent>
                            <w:p w14:paraId="33BD76AE" w14:textId="77777777" w:rsidR="008111E9" w:rsidRPr="00D7417E" w:rsidRDefault="008111E9" w:rsidP="000F5603">
                              <w:pPr>
                                <w:jc w:val="center"/>
                                <w:rPr>
                                  <w:rFonts w:ascii="Arial" w:hAnsi="Arial" w:cs="Arial"/>
                                  <w:b/>
                                  <w:bCs/>
                                  <w:color w:val="FFFFFF" w:themeColor="background1"/>
                                  <w:kern w:val="24"/>
                                  <w:sz w:val="22"/>
                                  <w:szCs w:val="22"/>
                                </w:rPr>
                              </w:pPr>
                              <w:r w:rsidRPr="00D7417E">
                                <w:rPr>
                                  <w:rFonts w:ascii="Arial" w:hAnsi="Arial" w:cs="Arial"/>
                                  <w:b/>
                                  <w:bCs/>
                                  <w:kern w:val="24"/>
                                  <w:sz w:val="22"/>
                                  <w:szCs w:val="22"/>
                                </w:rPr>
                                <w:t>Readiness</w:t>
                              </w:r>
                            </w:p>
                          </w:txbxContent>
                        </wps:txbx>
                        <wps:bodyPr rtlCol="0" anchor="ctr">
                          <a:noAutofit/>
                        </wps:bodyPr>
                      </wps:wsp>
                      <wps:wsp>
                        <wps:cNvPr id="62" name="Rectangle: Rounded Corners 4"/>
                        <wps:cNvSpPr/>
                        <wps:spPr>
                          <a:xfrm>
                            <a:off x="3410036" y="0"/>
                            <a:ext cx="3003988" cy="514359"/>
                          </a:xfrm>
                          <a:prstGeom prst="roundRect">
                            <a:avLst/>
                          </a:prstGeom>
                          <a:solidFill>
                            <a:srgbClr val="ED7D31"/>
                          </a:solidFill>
                          <a:ln w="19050" cap="flat" cmpd="sng" algn="ctr">
                            <a:solidFill>
                              <a:sysClr val="window" lastClr="FFFFFF"/>
                            </a:solidFill>
                            <a:prstDash val="solid"/>
                            <a:miter lim="800000"/>
                          </a:ln>
                          <a:effectLst/>
                        </wps:spPr>
                        <wps:txbx>
                          <w:txbxContent>
                            <w:p w14:paraId="067EB5C6" w14:textId="77777777" w:rsidR="008111E9" w:rsidRPr="00D7417E" w:rsidRDefault="008111E9" w:rsidP="000F5603">
                              <w:pPr>
                                <w:jc w:val="center"/>
                                <w:rPr>
                                  <w:rFonts w:ascii="Arial" w:hAnsi="Arial" w:cs="Arial"/>
                                  <w:b/>
                                  <w:bCs/>
                                  <w:color w:val="FFFFFF" w:themeColor="background1"/>
                                  <w:kern w:val="24"/>
                                  <w:sz w:val="22"/>
                                  <w:szCs w:val="22"/>
                                </w:rPr>
                              </w:pPr>
                              <w:r w:rsidRPr="00D7417E">
                                <w:rPr>
                                  <w:rFonts w:ascii="Arial" w:hAnsi="Arial" w:cs="Arial"/>
                                  <w:b/>
                                  <w:bCs/>
                                  <w:kern w:val="24"/>
                                  <w:sz w:val="22"/>
                                  <w:szCs w:val="22"/>
                                </w:rPr>
                                <w:t>Response</w:t>
                              </w:r>
                            </w:p>
                          </w:txbxContent>
                        </wps:txbx>
                        <wps:bodyPr rtlCol="0" anchor="ctr">
                          <a:noAutofit/>
                        </wps:bodyPr>
                      </wps:wsp>
                      <wps:wsp>
                        <wps:cNvPr id="63" name="Rectangle: Rounded Corners 5"/>
                        <wps:cNvSpPr/>
                        <wps:spPr>
                          <a:xfrm>
                            <a:off x="6808128" y="0"/>
                            <a:ext cx="2988199" cy="492928"/>
                          </a:xfrm>
                          <a:prstGeom prst="roundRect">
                            <a:avLst/>
                          </a:prstGeom>
                          <a:solidFill>
                            <a:srgbClr val="4472C4"/>
                          </a:solidFill>
                          <a:ln w="12700" cap="flat" cmpd="sng" algn="ctr">
                            <a:noFill/>
                            <a:prstDash val="solid"/>
                            <a:miter lim="800000"/>
                          </a:ln>
                          <a:effectLst/>
                        </wps:spPr>
                        <wps:txbx>
                          <w:txbxContent>
                            <w:p w14:paraId="4610281F" w14:textId="77777777" w:rsidR="008111E9" w:rsidRPr="00D7417E" w:rsidRDefault="008111E9" w:rsidP="000F5603">
                              <w:pPr>
                                <w:jc w:val="center"/>
                                <w:rPr>
                                  <w:rFonts w:ascii="Arial" w:hAnsi="Arial" w:cs="Arial"/>
                                  <w:b/>
                                  <w:bCs/>
                                  <w:color w:val="FFFFFF" w:themeColor="background1"/>
                                  <w:kern w:val="24"/>
                                  <w:sz w:val="22"/>
                                  <w:szCs w:val="22"/>
                                </w:rPr>
                              </w:pPr>
                              <w:r w:rsidRPr="00D7417E">
                                <w:rPr>
                                  <w:rFonts w:ascii="Arial" w:hAnsi="Arial" w:cs="Arial"/>
                                  <w:b/>
                                  <w:bCs/>
                                  <w:kern w:val="24"/>
                                  <w:sz w:val="22"/>
                                  <w:szCs w:val="22"/>
                                </w:rPr>
                                <w:t>Recovery and Resilience</w:t>
                              </w:r>
                            </w:p>
                          </w:txbxContent>
                        </wps:txbx>
                        <wps:bodyPr rtlCol="0" anchor="ctr">
                          <a:noAutofit/>
                        </wps:bodyPr>
                      </wps:wsp>
                      <wps:wsp>
                        <wps:cNvPr id="64" name="Rectangle 6"/>
                        <wps:cNvSpPr/>
                        <wps:spPr>
                          <a:xfrm>
                            <a:off x="0" y="593124"/>
                            <a:ext cx="2981325" cy="495303"/>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74E01A21" w14:textId="4C026DD9"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Monitoring </w:t>
                              </w:r>
                              <w:r>
                                <w:rPr>
                                  <w:rFonts w:ascii="Arial" w:hAnsi="Arial" w:cs="Arial"/>
                                  <w:b/>
                                  <w:bCs/>
                                  <w:kern w:val="24"/>
                                  <w:sz w:val="22"/>
                                  <w:szCs w:val="22"/>
                                </w:rPr>
                                <w:t>and</w:t>
                              </w:r>
                              <w:r w:rsidRPr="00D7417E">
                                <w:rPr>
                                  <w:rFonts w:ascii="Arial" w:hAnsi="Arial" w:cs="Arial"/>
                                  <w:b/>
                                  <w:bCs/>
                                  <w:kern w:val="24"/>
                                  <w:sz w:val="22"/>
                                  <w:szCs w:val="22"/>
                                </w:rPr>
                                <w:t xml:space="preserve"> understanding risk</w:t>
                              </w:r>
                            </w:p>
                          </w:txbxContent>
                        </wps:txbx>
                        <wps:bodyPr rtlCol="0" anchor="ctr"/>
                      </wps:wsp>
                      <wps:wsp>
                        <wps:cNvPr id="65" name="Rectangle 7"/>
                        <wps:cNvSpPr/>
                        <wps:spPr>
                          <a:xfrm>
                            <a:off x="0" y="1260389"/>
                            <a:ext cx="2981324" cy="457201"/>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54576144"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Planning</w:t>
                              </w:r>
                            </w:p>
                          </w:txbxContent>
                        </wps:txbx>
                        <wps:bodyPr rtlCol="0" anchor="ctr"/>
                      </wps:wsp>
                      <wps:wsp>
                        <wps:cNvPr id="66" name="Rectangle 8"/>
                        <wps:cNvSpPr/>
                        <wps:spPr>
                          <a:xfrm>
                            <a:off x="0" y="1902941"/>
                            <a:ext cx="926275" cy="828675"/>
                          </a:xfrm>
                          <a:prstGeom prst="rect">
                            <a:avLst/>
                          </a:prstGeom>
                          <a:solidFill>
                            <a:sysClr val="window" lastClr="FFFFFF"/>
                          </a:solidFill>
                          <a:ln w="12700" cap="flat" cmpd="sng" algn="ctr">
                            <a:solidFill>
                              <a:srgbClr val="70AD47"/>
                            </a:solidFill>
                            <a:prstDash val="solid"/>
                            <a:miter lim="800000"/>
                          </a:ln>
                          <a:effectLst/>
                        </wps:spPr>
                        <wps:txbx>
                          <w:txbxContent>
                            <w:p w14:paraId="373B6284"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Outbreak management plan</w:t>
                              </w:r>
                            </w:p>
                          </w:txbxContent>
                        </wps:txbx>
                        <wps:bodyPr wrap="square" rtlCol="0" anchor="ctr"/>
                      </wps:wsp>
                      <wps:wsp>
                        <wps:cNvPr id="67" name="Rectangle 9"/>
                        <wps:cNvSpPr/>
                        <wps:spPr>
                          <a:xfrm>
                            <a:off x="988540" y="1902941"/>
                            <a:ext cx="914400" cy="828675"/>
                          </a:xfrm>
                          <a:prstGeom prst="rect">
                            <a:avLst/>
                          </a:prstGeom>
                          <a:solidFill>
                            <a:sysClr val="window" lastClr="FFFFFF"/>
                          </a:solidFill>
                          <a:ln w="12700" cap="flat" cmpd="sng" algn="ctr">
                            <a:solidFill>
                              <a:srgbClr val="70AD47"/>
                            </a:solidFill>
                            <a:prstDash val="solid"/>
                            <a:miter lim="800000"/>
                          </a:ln>
                          <a:effectLst/>
                        </wps:spPr>
                        <wps:txbx>
                          <w:txbxContent>
                            <w:p w14:paraId="7C3F429B"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Workforce management plan</w:t>
                              </w:r>
                            </w:p>
                          </w:txbxContent>
                        </wps:txbx>
                        <wps:bodyPr wrap="square" rtlCol="0" anchor="ctr"/>
                      </wps:wsp>
                      <wps:wsp>
                        <wps:cNvPr id="68" name="Rectangle 10"/>
                        <wps:cNvSpPr/>
                        <wps:spPr>
                          <a:xfrm>
                            <a:off x="1952368" y="1902941"/>
                            <a:ext cx="1020256" cy="828675"/>
                          </a:xfrm>
                          <a:prstGeom prst="rect">
                            <a:avLst/>
                          </a:prstGeom>
                          <a:solidFill>
                            <a:sysClr val="window" lastClr="FFFFFF"/>
                          </a:solidFill>
                          <a:ln w="12700" cap="flat" cmpd="sng" algn="ctr">
                            <a:solidFill>
                              <a:srgbClr val="70AD47"/>
                            </a:solidFill>
                            <a:prstDash val="solid"/>
                            <a:miter lim="800000"/>
                          </a:ln>
                          <a:effectLst/>
                        </wps:spPr>
                        <wps:txbx>
                          <w:txbxContent>
                            <w:p w14:paraId="21EB40A7"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Communication plan</w:t>
                              </w:r>
                            </w:p>
                          </w:txbxContent>
                        </wps:txbx>
                        <wps:bodyPr wrap="square" rtlCol="0" anchor="ctr"/>
                      </wps:wsp>
                      <wps:wsp>
                        <wps:cNvPr id="69" name="Rectangle 11"/>
                        <wps:cNvSpPr/>
                        <wps:spPr>
                          <a:xfrm>
                            <a:off x="0" y="2916195"/>
                            <a:ext cx="2981324" cy="457201"/>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591C0262" w14:textId="1010B759"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Strong Infection Prevention </w:t>
                              </w:r>
                              <w:r>
                                <w:rPr>
                                  <w:rFonts w:ascii="Arial" w:hAnsi="Arial" w:cs="Arial"/>
                                  <w:b/>
                                  <w:bCs/>
                                  <w:kern w:val="24"/>
                                  <w:sz w:val="22"/>
                                  <w:szCs w:val="22"/>
                                </w:rPr>
                                <w:t>and</w:t>
                              </w:r>
                              <w:r w:rsidRPr="00D7417E">
                                <w:rPr>
                                  <w:rFonts w:ascii="Arial" w:hAnsi="Arial" w:cs="Arial"/>
                                  <w:b/>
                                  <w:bCs/>
                                  <w:kern w:val="24"/>
                                  <w:sz w:val="22"/>
                                  <w:szCs w:val="22"/>
                                </w:rPr>
                                <w:t xml:space="preserve"> Control (IPC)</w:t>
                              </w:r>
                            </w:p>
                          </w:txbxContent>
                        </wps:txbx>
                        <wps:bodyPr rtlCol="0" anchor="ctr"/>
                      </wps:wsp>
                      <wps:wsp>
                        <wps:cNvPr id="70" name="Rectangle 12"/>
                        <wps:cNvSpPr/>
                        <wps:spPr>
                          <a:xfrm>
                            <a:off x="0" y="3558746"/>
                            <a:ext cx="2981324" cy="457201"/>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229460E4"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Maintaining essential resources</w:t>
                              </w:r>
                            </w:p>
                          </w:txbxContent>
                        </wps:txbx>
                        <wps:bodyPr rtlCol="0" anchor="ctr"/>
                      </wps:wsp>
                      <wps:wsp>
                        <wps:cNvPr id="71" name="Rectangle 13"/>
                        <wps:cNvSpPr/>
                        <wps:spPr>
                          <a:xfrm>
                            <a:off x="0" y="4213654"/>
                            <a:ext cx="2981324" cy="457201"/>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3155C4E6"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Vaccination</w:t>
                              </w:r>
                            </w:p>
                          </w:txbxContent>
                        </wps:txbx>
                        <wps:bodyPr rtlCol="0" anchor="ctr"/>
                      </wps:wsp>
                      <wps:wsp>
                        <wps:cNvPr id="72" name="Rectangle 14"/>
                        <wps:cNvSpPr/>
                        <wps:spPr>
                          <a:xfrm>
                            <a:off x="0" y="4843849"/>
                            <a:ext cx="2981324" cy="457201"/>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26F7CA1" w14:textId="61CE4E0B"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Communications, guidance </w:t>
                              </w:r>
                              <w:r>
                                <w:rPr>
                                  <w:rFonts w:ascii="Arial" w:hAnsi="Arial" w:cs="Arial"/>
                                  <w:b/>
                                  <w:bCs/>
                                  <w:kern w:val="24"/>
                                  <w:sz w:val="22"/>
                                  <w:szCs w:val="22"/>
                                </w:rPr>
                                <w:t>and</w:t>
                              </w:r>
                              <w:r w:rsidRPr="00D7417E">
                                <w:rPr>
                                  <w:rFonts w:ascii="Arial" w:hAnsi="Arial" w:cs="Arial"/>
                                  <w:b/>
                                  <w:bCs/>
                                  <w:kern w:val="24"/>
                                  <w:sz w:val="22"/>
                                  <w:szCs w:val="22"/>
                                </w:rPr>
                                <w:t xml:space="preserve"> support</w:t>
                              </w:r>
                            </w:p>
                          </w:txbxContent>
                        </wps:txbx>
                        <wps:bodyPr rtlCol="0" anchor="ctr"/>
                      </wps:wsp>
                      <wps:wsp>
                        <wps:cNvPr id="73" name="Rectangle 15"/>
                        <wps:cNvSpPr/>
                        <wps:spPr>
                          <a:xfrm>
                            <a:off x="0" y="5474043"/>
                            <a:ext cx="2981324" cy="457201"/>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A0CF47E"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Integrating experience into planning</w:t>
                              </w:r>
                            </w:p>
                          </w:txbxContent>
                        </wps:txbx>
                        <wps:bodyPr rtlCol="0" anchor="ctr"/>
                      </wps:wsp>
                      <wps:wsp>
                        <wps:cNvPr id="74" name="Rectangle 16"/>
                        <wps:cNvSpPr/>
                        <wps:spPr>
                          <a:xfrm>
                            <a:off x="3410465" y="593124"/>
                            <a:ext cx="2981325" cy="4953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E0C74F7" w14:textId="143D0935"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Identifying an outbreak, testing </w:t>
                              </w:r>
                              <w:r>
                                <w:rPr>
                                  <w:rFonts w:ascii="Arial" w:hAnsi="Arial" w:cs="Arial"/>
                                  <w:b/>
                                  <w:bCs/>
                                  <w:kern w:val="24"/>
                                  <w:sz w:val="22"/>
                                  <w:szCs w:val="22"/>
                                </w:rPr>
                                <w:t>and</w:t>
                              </w:r>
                              <w:r w:rsidRPr="00D7417E">
                                <w:rPr>
                                  <w:rFonts w:ascii="Arial" w:hAnsi="Arial" w:cs="Arial"/>
                                  <w:b/>
                                  <w:bCs/>
                                  <w:kern w:val="24"/>
                                  <w:sz w:val="22"/>
                                  <w:szCs w:val="22"/>
                                </w:rPr>
                                <w:t xml:space="preserve"> treatment</w:t>
                              </w:r>
                            </w:p>
                          </w:txbxContent>
                        </wps:txbx>
                        <wps:bodyPr rtlCol="0" anchor="ctr"/>
                      </wps:wsp>
                      <wps:wsp>
                        <wps:cNvPr id="75" name="Rectangle 17"/>
                        <wps:cNvSpPr/>
                        <wps:spPr>
                          <a:xfrm>
                            <a:off x="3410465" y="1260389"/>
                            <a:ext cx="2981325" cy="4953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6EF016D9"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Leading and implementing stringent IPC practices</w:t>
                              </w:r>
                            </w:p>
                          </w:txbxContent>
                        </wps:txbx>
                        <wps:bodyPr rtlCol="0" anchor="ctr"/>
                      </wps:wsp>
                      <wps:wsp>
                        <wps:cNvPr id="76" name="Rectangle 18"/>
                        <wps:cNvSpPr/>
                        <wps:spPr>
                          <a:xfrm>
                            <a:off x="3410465" y="1940011"/>
                            <a:ext cx="2981325" cy="4953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0BA96B10"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Enacting communication processes</w:t>
                              </w:r>
                            </w:p>
                          </w:txbxContent>
                        </wps:txbx>
                        <wps:bodyPr rtlCol="0" anchor="ctr"/>
                      </wps:wsp>
                      <wps:wsp>
                        <wps:cNvPr id="77" name="Rectangle 19"/>
                        <wps:cNvSpPr/>
                        <wps:spPr>
                          <a:xfrm>
                            <a:off x="3410465" y="2594919"/>
                            <a:ext cx="2981325" cy="4953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D7CEB66"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Enacting/adapting workforce plans</w:t>
                              </w:r>
                            </w:p>
                          </w:txbxContent>
                        </wps:txbx>
                        <wps:bodyPr rtlCol="0" anchor="ctr"/>
                      </wps:wsp>
                      <wps:wsp>
                        <wps:cNvPr id="78" name="Rectangle 20"/>
                        <wps:cNvSpPr/>
                        <wps:spPr>
                          <a:xfrm>
                            <a:off x="3410465" y="3311611"/>
                            <a:ext cx="1409700" cy="539750"/>
                          </a:xfrm>
                          <a:prstGeom prst="rect">
                            <a:avLst/>
                          </a:prstGeom>
                          <a:solidFill>
                            <a:sysClr val="window" lastClr="FFFFFF"/>
                          </a:solidFill>
                          <a:ln w="12700" cap="flat" cmpd="sng" algn="ctr">
                            <a:solidFill>
                              <a:srgbClr val="ED7D31"/>
                            </a:solidFill>
                            <a:prstDash val="solid"/>
                            <a:miter lim="800000"/>
                          </a:ln>
                          <a:effectLst/>
                        </wps:spPr>
                        <wps:txbx>
                          <w:txbxContent>
                            <w:p w14:paraId="3C5F96CD" w14:textId="7AF345EB"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 xml:space="preserve">Cohort </w:t>
                              </w:r>
                              <w:r>
                                <w:rPr>
                                  <w:rFonts w:ascii="Arial" w:hAnsi="Arial" w:cs="Arial"/>
                                  <w:kern w:val="24"/>
                                  <w:sz w:val="18"/>
                                  <w:szCs w:val="18"/>
                                </w:rPr>
                                <w:t>and</w:t>
                              </w:r>
                              <w:r w:rsidRPr="00D7417E">
                                <w:rPr>
                                  <w:rFonts w:ascii="Arial" w:hAnsi="Arial" w:cs="Arial"/>
                                  <w:kern w:val="24"/>
                                  <w:sz w:val="18"/>
                                  <w:szCs w:val="18"/>
                                </w:rPr>
                                <w:t xml:space="preserve"> zone</w:t>
                              </w:r>
                            </w:p>
                          </w:txbxContent>
                        </wps:txbx>
                        <wps:bodyPr rtlCol="0" anchor="ctr">
                          <a:noAutofit/>
                        </wps:bodyPr>
                      </wps:wsp>
                      <wps:wsp>
                        <wps:cNvPr id="79" name="Rectangle 21"/>
                        <wps:cNvSpPr/>
                        <wps:spPr>
                          <a:xfrm>
                            <a:off x="4992130" y="3311611"/>
                            <a:ext cx="1399540" cy="539750"/>
                          </a:xfrm>
                          <a:prstGeom prst="rect">
                            <a:avLst/>
                          </a:prstGeom>
                          <a:solidFill>
                            <a:sysClr val="window" lastClr="FFFFFF"/>
                          </a:solidFill>
                          <a:ln w="12700" cap="flat" cmpd="sng" algn="ctr">
                            <a:solidFill>
                              <a:srgbClr val="ED7D31"/>
                            </a:solidFill>
                            <a:prstDash val="solid"/>
                            <a:miter lim="800000"/>
                          </a:ln>
                          <a:effectLst/>
                        </wps:spPr>
                        <wps:txbx>
                          <w:txbxContent>
                            <w:p w14:paraId="3A28FBEF"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Source additional workforce if required</w:t>
                              </w:r>
                            </w:p>
                          </w:txbxContent>
                        </wps:txbx>
                        <wps:bodyPr rtlCol="0" anchor="ctr">
                          <a:noAutofit/>
                        </wps:bodyPr>
                      </wps:wsp>
                      <wps:wsp>
                        <wps:cNvPr id="80" name="Rectangle 23"/>
                        <wps:cNvSpPr/>
                        <wps:spPr>
                          <a:xfrm>
                            <a:off x="3410465" y="4090087"/>
                            <a:ext cx="2981325" cy="4953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155C1E9" w14:textId="4294E56C"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Maintaining general physical, social, mental </w:t>
                              </w:r>
                              <w:r>
                                <w:rPr>
                                  <w:rFonts w:ascii="Arial" w:hAnsi="Arial" w:cs="Arial"/>
                                  <w:b/>
                                  <w:bCs/>
                                  <w:kern w:val="24"/>
                                  <w:sz w:val="22"/>
                                  <w:szCs w:val="22"/>
                                </w:rPr>
                                <w:t>and</w:t>
                              </w:r>
                              <w:r w:rsidRPr="00D7417E">
                                <w:rPr>
                                  <w:rFonts w:ascii="Arial" w:hAnsi="Arial" w:cs="Arial"/>
                                  <w:b/>
                                  <w:bCs/>
                                  <w:kern w:val="24"/>
                                  <w:sz w:val="22"/>
                                  <w:szCs w:val="22"/>
                                </w:rPr>
                                <w:t xml:space="preserve"> emotional wellbeing</w:t>
                              </w:r>
                            </w:p>
                          </w:txbxContent>
                        </wps:txbx>
                        <wps:bodyPr rtlCol="0" anchor="ctr"/>
                      </wps:wsp>
                      <wps:wsp>
                        <wps:cNvPr id="81" name="Rectangle 25"/>
                        <wps:cNvSpPr/>
                        <wps:spPr>
                          <a:xfrm>
                            <a:off x="3410465" y="4757352"/>
                            <a:ext cx="933450" cy="670560"/>
                          </a:xfrm>
                          <a:prstGeom prst="rect">
                            <a:avLst/>
                          </a:prstGeom>
                          <a:solidFill>
                            <a:sysClr val="window" lastClr="FFFFFF"/>
                          </a:solidFill>
                          <a:ln w="12700" cap="flat" cmpd="sng" algn="ctr">
                            <a:solidFill>
                              <a:srgbClr val="ED7D31"/>
                            </a:solidFill>
                            <a:prstDash val="solid"/>
                            <a:miter lim="800000"/>
                          </a:ln>
                          <a:effectLst/>
                        </wps:spPr>
                        <wps:txbx>
                          <w:txbxContent>
                            <w:p w14:paraId="61FCE96D"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Maintaining delivery of care</w:t>
                              </w:r>
                            </w:p>
                          </w:txbxContent>
                        </wps:txbx>
                        <wps:bodyPr rtlCol="0" anchor="ctr"/>
                      </wps:wsp>
                      <wps:wsp>
                        <wps:cNvPr id="82" name="Rectangle 29"/>
                        <wps:cNvSpPr/>
                        <wps:spPr>
                          <a:xfrm>
                            <a:off x="4436076" y="4757352"/>
                            <a:ext cx="933450" cy="670560"/>
                          </a:xfrm>
                          <a:prstGeom prst="rect">
                            <a:avLst/>
                          </a:prstGeom>
                          <a:solidFill>
                            <a:sysClr val="window" lastClr="FFFFFF"/>
                          </a:solidFill>
                          <a:ln w="12700" cap="flat" cmpd="sng" algn="ctr">
                            <a:solidFill>
                              <a:srgbClr val="ED7D31"/>
                            </a:solidFill>
                            <a:prstDash val="solid"/>
                            <a:miter lim="800000"/>
                          </a:ln>
                          <a:effectLst/>
                        </wps:spPr>
                        <wps:txbx>
                          <w:txbxContent>
                            <w:p w14:paraId="3E93D603" w14:textId="65322983"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 xml:space="preserve">Social </w:t>
                              </w:r>
                              <w:r>
                                <w:rPr>
                                  <w:rFonts w:ascii="Arial" w:hAnsi="Arial" w:cs="Arial"/>
                                  <w:kern w:val="24"/>
                                  <w:sz w:val="18"/>
                                  <w:szCs w:val="18"/>
                                </w:rPr>
                                <w:t>and</w:t>
                              </w:r>
                              <w:r w:rsidRPr="00D7417E">
                                <w:rPr>
                                  <w:rFonts w:ascii="Arial" w:hAnsi="Arial" w:cs="Arial"/>
                                  <w:kern w:val="24"/>
                                  <w:sz w:val="18"/>
                                  <w:szCs w:val="18"/>
                                </w:rPr>
                                <w:t xml:space="preserve"> emotional support</w:t>
                              </w:r>
                            </w:p>
                          </w:txbxContent>
                        </wps:txbx>
                        <wps:bodyPr rtlCol="0" anchor="ctr"/>
                      </wps:wsp>
                      <wps:wsp>
                        <wps:cNvPr id="83" name="Rectangle 31"/>
                        <wps:cNvSpPr/>
                        <wps:spPr>
                          <a:xfrm>
                            <a:off x="5461686" y="4757352"/>
                            <a:ext cx="933450" cy="670560"/>
                          </a:xfrm>
                          <a:prstGeom prst="rect">
                            <a:avLst/>
                          </a:prstGeom>
                          <a:solidFill>
                            <a:sysClr val="window" lastClr="FFFFFF"/>
                          </a:solidFill>
                          <a:ln w="12700" cap="flat" cmpd="sng" algn="ctr">
                            <a:solidFill>
                              <a:srgbClr val="ED7D31"/>
                            </a:solidFill>
                            <a:prstDash val="solid"/>
                            <a:miter lim="800000"/>
                          </a:ln>
                          <a:effectLst/>
                        </wps:spPr>
                        <wps:txbx>
                          <w:txbxContent>
                            <w:p w14:paraId="4885FBA5"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Visitation</w:t>
                              </w:r>
                            </w:p>
                          </w:txbxContent>
                        </wps:txbx>
                        <wps:bodyPr rtlCol="0" anchor="ctr"/>
                      </wps:wsp>
                      <wps:wsp>
                        <wps:cNvPr id="84" name="Rectangle 32"/>
                        <wps:cNvSpPr/>
                        <wps:spPr>
                          <a:xfrm>
                            <a:off x="3410465" y="5535827"/>
                            <a:ext cx="2981325" cy="495300"/>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713B884"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Accessing additional supports</w:t>
                              </w:r>
                            </w:p>
                          </w:txbxContent>
                        </wps:txbx>
                        <wps:bodyPr rtlCol="0" anchor="ctr"/>
                      </wps:wsp>
                      <wps:wsp>
                        <wps:cNvPr id="85" name="Rectangle 33"/>
                        <wps:cNvSpPr/>
                        <wps:spPr>
                          <a:xfrm>
                            <a:off x="6808573" y="3047225"/>
                            <a:ext cx="2980800" cy="489098"/>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2A9A760C"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Supporting staff recovery – post outbreak/exposure</w:t>
                              </w:r>
                            </w:p>
                          </w:txbxContent>
                        </wps:txbx>
                        <wps:bodyPr wrap="square" rtlCol="0" anchor="ctr">
                          <a:noAutofit/>
                        </wps:bodyPr>
                      </wps:wsp>
                      <wps:wsp>
                        <wps:cNvPr id="86" name="Rectangle 35"/>
                        <wps:cNvSpPr/>
                        <wps:spPr>
                          <a:xfrm>
                            <a:off x="6808573" y="580768"/>
                            <a:ext cx="2981325" cy="4953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02AF78E3"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Supporting resident recovery</w:t>
                              </w:r>
                            </w:p>
                          </w:txbxContent>
                        </wps:txbx>
                        <wps:bodyPr rtlCol="0" anchor="ctr"/>
                      </wps:wsp>
                      <wps:wsp>
                        <wps:cNvPr id="87" name="Rectangle 36"/>
                        <wps:cNvSpPr/>
                        <wps:spPr>
                          <a:xfrm>
                            <a:off x="6808573" y="1248033"/>
                            <a:ext cx="1435395" cy="393065"/>
                          </a:xfrm>
                          <a:prstGeom prst="rect">
                            <a:avLst/>
                          </a:prstGeom>
                          <a:solidFill>
                            <a:sysClr val="window" lastClr="FFFFFF"/>
                          </a:solidFill>
                          <a:ln w="12700" cap="flat" cmpd="sng" algn="ctr">
                            <a:solidFill>
                              <a:srgbClr val="4472C4"/>
                            </a:solidFill>
                            <a:prstDash val="solid"/>
                            <a:miter lim="800000"/>
                          </a:ln>
                          <a:effectLst/>
                        </wps:spPr>
                        <wps:txbx>
                          <w:txbxContent>
                            <w:p w14:paraId="20BD5DBB"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Reablement</w:t>
                              </w:r>
                            </w:p>
                          </w:txbxContent>
                        </wps:txbx>
                        <wps:bodyPr wrap="square" rtlCol="0" anchor="ctr">
                          <a:noAutofit/>
                        </wps:bodyPr>
                      </wps:wsp>
                      <wps:wsp>
                        <wps:cNvPr id="88" name="Rectangle 37"/>
                        <wps:cNvSpPr/>
                        <wps:spPr>
                          <a:xfrm>
                            <a:off x="8439665" y="1248033"/>
                            <a:ext cx="1356664" cy="393065"/>
                          </a:xfrm>
                          <a:prstGeom prst="rect">
                            <a:avLst/>
                          </a:prstGeom>
                          <a:solidFill>
                            <a:sysClr val="window" lastClr="FFFFFF"/>
                          </a:solidFill>
                          <a:ln w="12700" cap="flat" cmpd="sng" algn="ctr">
                            <a:solidFill>
                              <a:srgbClr val="4472C4"/>
                            </a:solidFill>
                            <a:prstDash val="solid"/>
                            <a:miter lim="800000"/>
                          </a:ln>
                          <a:effectLst/>
                        </wps:spPr>
                        <wps:txbx>
                          <w:txbxContent>
                            <w:p w14:paraId="1BC18A6E"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Allied health</w:t>
                              </w:r>
                            </w:p>
                          </w:txbxContent>
                        </wps:txbx>
                        <wps:bodyPr wrap="square" rtlCol="0" anchor="ctr">
                          <a:noAutofit/>
                        </wps:bodyPr>
                      </wps:wsp>
                      <wps:wsp>
                        <wps:cNvPr id="89" name="Rectangle 38"/>
                        <wps:cNvSpPr/>
                        <wps:spPr>
                          <a:xfrm>
                            <a:off x="6808573" y="3726846"/>
                            <a:ext cx="2980800" cy="4953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AE870FB"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Supporting aged care provider recovery</w:t>
                              </w:r>
                            </w:p>
                          </w:txbxContent>
                        </wps:txbx>
                        <wps:bodyPr wrap="square" rtlCol="0" anchor="ctr"/>
                      </wps:wsp>
                      <wps:wsp>
                        <wps:cNvPr id="90" name="Rectangle 39"/>
                        <wps:cNvSpPr/>
                        <wps:spPr>
                          <a:xfrm>
                            <a:off x="6808573" y="4369398"/>
                            <a:ext cx="1338681" cy="520700"/>
                          </a:xfrm>
                          <a:prstGeom prst="rect">
                            <a:avLst/>
                          </a:prstGeom>
                          <a:solidFill>
                            <a:sysClr val="window" lastClr="FFFFFF"/>
                          </a:solidFill>
                          <a:ln w="12700" cap="flat" cmpd="sng" algn="ctr">
                            <a:solidFill>
                              <a:srgbClr val="4472C4"/>
                            </a:solidFill>
                            <a:prstDash val="solid"/>
                            <a:miter lim="800000"/>
                          </a:ln>
                          <a:effectLst/>
                        </wps:spPr>
                        <wps:txbx>
                          <w:txbxContent>
                            <w:p w14:paraId="724330E9"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Reimbursement of costs</w:t>
                              </w:r>
                            </w:p>
                          </w:txbxContent>
                        </wps:txbx>
                        <wps:bodyPr wrap="square" rtlCol="0" anchor="ctr">
                          <a:noAutofit/>
                        </wps:bodyPr>
                      </wps:wsp>
                      <wps:wsp>
                        <wps:cNvPr id="91" name="Rectangle 41"/>
                        <wps:cNvSpPr/>
                        <wps:spPr>
                          <a:xfrm>
                            <a:off x="8303740" y="4357042"/>
                            <a:ext cx="1492590" cy="531333"/>
                          </a:xfrm>
                          <a:prstGeom prst="rect">
                            <a:avLst/>
                          </a:prstGeom>
                          <a:solidFill>
                            <a:sysClr val="window" lastClr="FFFFFF"/>
                          </a:solidFill>
                          <a:ln w="12700" cap="flat" cmpd="sng" algn="ctr">
                            <a:solidFill>
                              <a:srgbClr val="4472C4"/>
                            </a:solidFill>
                            <a:prstDash val="solid"/>
                            <a:miter lim="800000"/>
                          </a:ln>
                          <a:effectLst/>
                        </wps:spPr>
                        <wps:txbx>
                          <w:txbxContent>
                            <w:p w14:paraId="16B851DC"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Financial support for providers</w:t>
                              </w:r>
                            </w:p>
                          </w:txbxContent>
                        </wps:txbx>
                        <wps:bodyPr wrap="square" rtlCol="0" anchor="ctr">
                          <a:noAutofit/>
                        </wps:bodyPr>
                      </wps:wsp>
                      <wps:wsp>
                        <wps:cNvPr id="92" name="Rectangle 33"/>
                        <wps:cNvSpPr/>
                        <wps:spPr>
                          <a:xfrm>
                            <a:off x="6808573" y="1791730"/>
                            <a:ext cx="2981325" cy="49973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8291819" w14:textId="0496F4E6"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Grief </w:t>
                              </w:r>
                              <w:r>
                                <w:rPr>
                                  <w:rFonts w:ascii="Arial" w:hAnsi="Arial" w:cs="Arial"/>
                                  <w:b/>
                                  <w:bCs/>
                                  <w:kern w:val="24"/>
                                  <w:sz w:val="22"/>
                                  <w:szCs w:val="22"/>
                                </w:rPr>
                                <w:t>and</w:t>
                              </w:r>
                              <w:r w:rsidRPr="00D7417E">
                                <w:rPr>
                                  <w:rFonts w:ascii="Arial" w:hAnsi="Arial" w:cs="Arial"/>
                                  <w:b/>
                                  <w:bCs/>
                                  <w:kern w:val="24"/>
                                  <w:sz w:val="22"/>
                                  <w:szCs w:val="22"/>
                                </w:rPr>
                                <w:t xml:space="preserve"> trauma support</w:t>
                              </w:r>
                            </w:p>
                          </w:txbxContent>
                        </wps:txbx>
                        <wps:bodyPr rtlCol="0" anchor="ctr">
                          <a:noAutofit/>
                        </wps:bodyPr>
                      </wps:wsp>
                      <wps:wsp>
                        <wps:cNvPr id="93" name="Rectangle 33"/>
                        <wps:cNvSpPr/>
                        <wps:spPr>
                          <a:xfrm>
                            <a:off x="6808573" y="2446638"/>
                            <a:ext cx="2981325" cy="47846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1B8E533F"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Mental health support</w:t>
                              </w:r>
                            </w:p>
                          </w:txbxContent>
                        </wps:txbx>
                        <wps:bodyPr rtlCol="0" anchor="ctr">
                          <a:noAutofit/>
                        </wps:bodyPr>
                      </wps:wsp>
                      <wps:wsp>
                        <wps:cNvPr id="94" name="Rectangle 38"/>
                        <wps:cNvSpPr/>
                        <wps:spPr>
                          <a:xfrm>
                            <a:off x="6808573" y="5011946"/>
                            <a:ext cx="2980800" cy="495300"/>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3E1C5B66" w14:textId="0019DB00" w:rsidR="008111E9" w:rsidRPr="00D7417E" w:rsidRDefault="008111E9" w:rsidP="000F5603">
                              <w:pPr>
                                <w:jc w:val="center"/>
                                <w:rPr>
                                  <w:rFonts w:ascii="Arial" w:hAnsi="Arial" w:cs="Arial"/>
                                  <w:b/>
                                  <w:bCs/>
                                  <w:color w:val="000000" w:themeColor="dark1"/>
                                  <w:kern w:val="24"/>
                                  <w:sz w:val="22"/>
                                  <w:szCs w:val="22"/>
                                </w:rPr>
                              </w:pPr>
                              <w:r>
                                <w:rPr>
                                  <w:rFonts w:ascii="Arial" w:hAnsi="Arial" w:cs="Arial"/>
                                  <w:b/>
                                  <w:bCs/>
                                  <w:kern w:val="24"/>
                                  <w:sz w:val="22"/>
                                  <w:szCs w:val="22"/>
                                </w:rPr>
                                <w:t xml:space="preserve">IPC </w:t>
                              </w:r>
                              <w:r w:rsidRPr="00D7417E">
                                <w:rPr>
                                  <w:rFonts w:ascii="Arial" w:hAnsi="Arial" w:cs="Arial"/>
                                  <w:b/>
                                  <w:bCs/>
                                  <w:kern w:val="24"/>
                                  <w:sz w:val="22"/>
                                  <w:szCs w:val="22"/>
                                </w:rPr>
                                <w:t>– refreshing capability</w:t>
                              </w:r>
                            </w:p>
                          </w:txbxContent>
                        </wps:txbx>
                        <wps:bodyPr wrap="square" rtlCol="0" anchor="ctr"/>
                      </wps:wsp>
                      <wps:wsp>
                        <wps:cNvPr id="95" name="Rectangle 38"/>
                        <wps:cNvSpPr/>
                        <wps:spPr>
                          <a:xfrm>
                            <a:off x="6807737" y="5592713"/>
                            <a:ext cx="2980800" cy="438415"/>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wps:spPr>
                        <wps:txbx>
                          <w:txbxContent>
                            <w:p w14:paraId="60EB24C8" w14:textId="3B23EA6C"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Integrating </w:t>
                              </w:r>
                              <w:r>
                                <w:rPr>
                                  <w:rFonts w:ascii="Arial" w:hAnsi="Arial" w:cs="Arial"/>
                                  <w:b/>
                                  <w:bCs/>
                                  <w:kern w:val="24"/>
                                  <w:sz w:val="22"/>
                                  <w:szCs w:val="22"/>
                                </w:rPr>
                                <w:t>e</w:t>
                              </w:r>
                              <w:r w:rsidRPr="00D7417E">
                                <w:rPr>
                                  <w:rFonts w:ascii="Arial" w:hAnsi="Arial" w:cs="Arial"/>
                                  <w:b/>
                                  <w:bCs/>
                                  <w:kern w:val="24"/>
                                  <w:sz w:val="22"/>
                                  <w:szCs w:val="22"/>
                                </w:rPr>
                                <w:t xml:space="preserve">xperience into </w:t>
                              </w:r>
                              <w:r>
                                <w:rPr>
                                  <w:rFonts w:ascii="Arial" w:hAnsi="Arial" w:cs="Arial"/>
                                  <w:b/>
                                  <w:bCs/>
                                  <w:kern w:val="24"/>
                                  <w:sz w:val="22"/>
                                  <w:szCs w:val="22"/>
                                </w:rPr>
                                <w:t>e</w:t>
                              </w:r>
                              <w:r w:rsidRPr="00D7417E">
                                <w:rPr>
                                  <w:rFonts w:ascii="Arial" w:hAnsi="Arial" w:cs="Arial"/>
                                  <w:b/>
                                  <w:bCs/>
                                  <w:kern w:val="24"/>
                                  <w:sz w:val="22"/>
                                  <w:szCs w:val="22"/>
                                </w:rPr>
                                <w:t xml:space="preserve">mergency </w:t>
                              </w:r>
                              <w:r>
                                <w:rPr>
                                  <w:rFonts w:ascii="Arial" w:hAnsi="Arial" w:cs="Arial"/>
                                  <w:b/>
                                  <w:bCs/>
                                  <w:kern w:val="24"/>
                                  <w:sz w:val="22"/>
                                  <w:szCs w:val="22"/>
                                </w:rPr>
                                <w:t>m</w:t>
                              </w:r>
                              <w:r w:rsidRPr="00D7417E">
                                <w:rPr>
                                  <w:rFonts w:ascii="Arial" w:hAnsi="Arial" w:cs="Arial"/>
                                  <w:b/>
                                  <w:bCs/>
                                  <w:kern w:val="24"/>
                                  <w:sz w:val="22"/>
                                  <w:szCs w:val="22"/>
                                </w:rPr>
                                <w:t xml:space="preserve">anagement </w:t>
                              </w:r>
                              <w:r>
                                <w:rPr>
                                  <w:rFonts w:ascii="Arial" w:hAnsi="Arial" w:cs="Arial"/>
                                  <w:b/>
                                  <w:bCs/>
                                  <w:kern w:val="24"/>
                                  <w:sz w:val="22"/>
                                  <w:szCs w:val="22"/>
                                </w:rPr>
                                <w:t>p</w:t>
                              </w:r>
                              <w:r w:rsidRPr="00D7417E">
                                <w:rPr>
                                  <w:rFonts w:ascii="Arial" w:hAnsi="Arial" w:cs="Arial"/>
                                  <w:b/>
                                  <w:bCs/>
                                  <w:kern w:val="24"/>
                                  <w:sz w:val="22"/>
                                  <w:szCs w:val="22"/>
                                </w:rPr>
                                <w:t>lanning</w:t>
                              </w:r>
                              <w:r w:rsidRPr="00D7417E">
                                <w:rPr>
                                  <w:rFonts w:ascii="Arial" w:hAnsi="Arial" w:cs="Arial"/>
                                  <w:b/>
                                  <w:bCs/>
                                  <w:color w:val="000000" w:themeColor="dark1"/>
                                  <w:kern w:val="24"/>
                                  <w:sz w:val="22"/>
                                  <w:szCs w:val="22"/>
                                </w:rPr>
                                <w:t xml:space="preserve"> </w:t>
                              </w:r>
                            </w:p>
                          </w:txbxContent>
                        </wps:txbx>
                        <wps:bodyPr wrap="square" rtlCol="0" anchor="ctr"/>
                      </wps:wsp>
                    </wpg:wgp>
                  </a:graphicData>
                </a:graphic>
              </wp:inline>
            </w:drawing>
          </mc:Choice>
          <mc:Fallback>
            <w:pict>
              <v:group w14:anchorId="630D67CF" id="Group 60" o:spid="_x0000_s1026" alt="Diagrammatic representation of the sub-headings contained within each phase later in the document, set out across the three stages of 'Readiness', 'Response' and 'Preparedness'. " style="width:764.05pt;height:422.1pt;mso-position-horizontal-relative:char;mso-position-vertical-relative:line" coordsize="97963,60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">
                <v:roundrect id="Rectangle: Rounded Corners 3" o:spid="_x0000_s1027" href="#_READINESS_1" style="position:absolute;top:247;width:30098;height:48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" o:button="t" fillcolor="#70ad47" strokecolor="window" strokeweight="1.5pt">
                  <v:fill o:detectmouseclick="t"/>
                  <v:stroke joinstyle="miter"/>
                  <v:textbox>
                    <w:txbxContent>
                      <w:p w14:paraId="33BD76AE" w14:textId="77777777" w:rsidR="008111E9" w:rsidRPr="00D7417E" w:rsidRDefault="008111E9" w:rsidP="000F5603">
                        <w:pPr>
                          <w:jc w:val="center"/>
                          <w:rPr>
                            <w:rFonts w:ascii="Arial" w:hAnsi="Arial" w:cs="Arial"/>
                            <w:b/>
                            <w:bCs/>
                            <w:color w:val="FFFFFF" w:themeColor="background1"/>
                            <w:kern w:val="24"/>
                            <w:sz w:val="22"/>
                            <w:szCs w:val="22"/>
                          </w:rPr>
                        </w:pPr>
                        <w:r w:rsidRPr="00D7417E">
                          <w:rPr>
                            <w:rFonts w:ascii="Arial" w:hAnsi="Arial" w:cs="Arial"/>
                            <w:b/>
                            <w:bCs/>
                            <w:kern w:val="24"/>
                            <w:sz w:val="22"/>
                            <w:szCs w:val="22"/>
                          </w:rPr>
                          <w:t>Readiness</w:t>
                        </w:r>
                      </w:p>
                    </w:txbxContent>
                  </v:textbox>
                </v:roundrect>
                <v:roundrect id="Rectangle: Rounded Corners 4" o:spid="_x0000_s1028" style="position:absolute;left:34100;width:30040;height:51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" fillcolor="#ed7d31" strokecolor="window" strokeweight="1.5pt">
                  <v:stroke joinstyle="miter"/>
                  <v:textbox>
                    <w:txbxContent>
                      <w:p w14:paraId="067EB5C6" w14:textId="77777777" w:rsidR="008111E9" w:rsidRPr="00D7417E" w:rsidRDefault="008111E9" w:rsidP="000F5603">
                        <w:pPr>
                          <w:jc w:val="center"/>
                          <w:rPr>
                            <w:rFonts w:ascii="Arial" w:hAnsi="Arial" w:cs="Arial"/>
                            <w:b/>
                            <w:bCs/>
                            <w:color w:val="FFFFFF" w:themeColor="background1"/>
                            <w:kern w:val="24"/>
                            <w:sz w:val="22"/>
                            <w:szCs w:val="22"/>
                          </w:rPr>
                        </w:pPr>
                        <w:r w:rsidRPr="00D7417E">
                          <w:rPr>
                            <w:rFonts w:ascii="Arial" w:hAnsi="Arial" w:cs="Arial"/>
                            <w:b/>
                            <w:bCs/>
                            <w:kern w:val="24"/>
                            <w:sz w:val="22"/>
                            <w:szCs w:val="22"/>
                          </w:rPr>
                          <w:t>Response</w:t>
                        </w:r>
                      </w:p>
                    </w:txbxContent>
                  </v:textbox>
                </v:roundrect>
                <v:roundrect id="Rectangle: Rounded Corners 5" o:spid="_x0000_s1029" style="position:absolute;left:68081;width:29882;height:4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" fillcolor="#4472c4" stroked="f" strokeweight="1pt">
                  <v:stroke joinstyle="miter"/>
                  <v:textbox>
                    <w:txbxContent>
                      <w:p w14:paraId="4610281F" w14:textId="77777777" w:rsidR="008111E9" w:rsidRPr="00D7417E" w:rsidRDefault="008111E9" w:rsidP="000F5603">
                        <w:pPr>
                          <w:jc w:val="center"/>
                          <w:rPr>
                            <w:rFonts w:ascii="Arial" w:hAnsi="Arial" w:cs="Arial"/>
                            <w:b/>
                            <w:bCs/>
                            <w:color w:val="FFFFFF" w:themeColor="background1"/>
                            <w:kern w:val="24"/>
                            <w:sz w:val="22"/>
                            <w:szCs w:val="22"/>
                          </w:rPr>
                        </w:pPr>
                        <w:r w:rsidRPr="00D7417E">
                          <w:rPr>
                            <w:rFonts w:ascii="Arial" w:hAnsi="Arial" w:cs="Arial"/>
                            <w:b/>
                            <w:bCs/>
                            <w:kern w:val="24"/>
                            <w:sz w:val="22"/>
                            <w:szCs w:val="22"/>
                          </w:rPr>
                          <w:t>Recovery and Resilience</w:t>
                        </w:r>
                      </w:p>
                    </w:txbxContent>
                  </v:textbox>
                </v:roundrect>
                <v:rect id="Rectangle 6" o:spid="_x0000_s1030" style="position:absolute;top:5931;width:2981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" fillcolor="#b5d5a7" strokecolor="#70ad47" strokeweight=".5pt">
                  <v:fill color2="#9cca86" rotate="t" colors="0 #b5d5a7;.5 #aace99;1 #9cca86" focus="100%" type="gradient">
                    <o:fill v:ext="view" type="gradientUnscaled"/>
                  </v:fill>
                  <v:textbox>
                    <w:txbxContent>
                      <w:p w14:paraId="74E01A21" w14:textId="4C026DD9"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Monitoring </w:t>
                        </w:r>
                        <w:r>
                          <w:rPr>
                            <w:rFonts w:ascii="Arial" w:hAnsi="Arial" w:cs="Arial"/>
                            <w:b/>
                            <w:bCs/>
                            <w:kern w:val="24"/>
                            <w:sz w:val="22"/>
                            <w:szCs w:val="22"/>
                          </w:rPr>
                          <w:t>and</w:t>
                        </w:r>
                        <w:r w:rsidRPr="00D7417E">
                          <w:rPr>
                            <w:rFonts w:ascii="Arial" w:hAnsi="Arial" w:cs="Arial"/>
                            <w:b/>
                            <w:bCs/>
                            <w:kern w:val="24"/>
                            <w:sz w:val="22"/>
                            <w:szCs w:val="22"/>
                          </w:rPr>
                          <w:t xml:space="preserve"> understanding risk</w:t>
                        </w:r>
                      </w:p>
                    </w:txbxContent>
                  </v:textbox>
                </v:rect>
                <v:rect id="Rectangle 7" o:spid="_x0000_s1031" style="position:absolute;top:12603;width:2981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" fillcolor="#b5d5a7" strokecolor="#70ad47" strokeweight=".5pt">
                  <v:fill color2="#9cca86" rotate="t" colors="0 #b5d5a7;.5 #aace99;1 #9cca86" focus="100%" type="gradient">
                    <o:fill v:ext="view" type="gradientUnscaled"/>
                  </v:fill>
                  <v:textbox>
                    <w:txbxContent>
                      <w:p w14:paraId="54576144"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Planning</w:t>
                        </w:r>
                      </w:p>
                    </w:txbxContent>
                  </v:textbox>
                </v:rect>
                <v:rect id="Rectangle 8" o:spid="_x0000_s1032" style="position:absolute;top:19029;width:9262;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" fillcolor="window" strokecolor="#70ad47" strokeweight="1pt">
                  <v:textbox>
                    <w:txbxContent>
                      <w:p w14:paraId="373B6284"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Outbreak management plan</w:t>
                        </w:r>
                      </w:p>
                    </w:txbxContent>
                  </v:textbox>
                </v:rect>
                <v:rect id="Rectangle 9" o:spid="_x0000_s1033" style="position:absolute;left:9885;top:19029;width:9144;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" fillcolor="window" strokecolor="#70ad47" strokeweight="1pt">
                  <v:textbox>
                    <w:txbxContent>
                      <w:p w14:paraId="7C3F429B"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Workforce management plan</w:t>
                        </w:r>
                      </w:p>
                    </w:txbxContent>
                  </v:textbox>
                </v:rect>
                <v:rect id="Rectangle 10" o:spid="_x0000_s1034" style="position:absolute;left:19523;top:19029;width:10203;height:8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" fillcolor="window" strokecolor="#70ad47" strokeweight="1pt">
                  <v:textbox>
                    <w:txbxContent>
                      <w:p w14:paraId="21EB40A7"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Communication plan</w:t>
                        </w:r>
                      </w:p>
                    </w:txbxContent>
                  </v:textbox>
                </v:rect>
                <v:rect id="Rectangle 11" o:spid="_x0000_s1035" style="position:absolute;top:29161;width:2981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" fillcolor="#b5d5a7" strokecolor="#70ad47" strokeweight=".5pt">
                  <v:fill color2="#9cca86" rotate="t" colors="0 #b5d5a7;.5 #aace99;1 #9cca86" focus="100%" type="gradient">
                    <o:fill v:ext="view" type="gradientUnscaled"/>
                  </v:fill>
                  <v:textbox>
                    <w:txbxContent>
                      <w:p w14:paraId="591C0262" w14:textId="1010B759"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Strong Infection Prevention </w:t>
                        </w:r>
                        <w:r>
                          <w:rPr>
                            <w:rFonts w:ascii="Arial" w:hAnsi="Arial" w:cs="Arial"/>
                            <w:b/>
                            <w:bCs/>
                            <w:kern w:val="24"/>
                            <w:sz w:val="22"/>
                            <w:szCs w:val="22"/>
                          </w:rPr>
                          <w:t>and</w:t>
                        </w:r>
                        <w:r w:rsidRPr="00D7417E">
                          <w:rPr>
                            <w:rFonts w:ascii="Arial" w:hAnsi="Arial" w:cs="Arial"/>
                            <w:b/>
                            <w:bCs/>
                            <w:kern w:val="24"/>
                            <w:sz w:val="22"/>
                            <w:szCs w:val="22"/>
                          </w:rPr>
                          <w:t xml:space="preserve"> Control (IPC)</w:t>
                        </w:r>
                      </w:p>
                    </w:txbxContent>
                  </v:textbox>
                </v:rect>
                <v:rect id="Rectangle 12" o:spid="_x0000_s1036" style="position:absolute;top:35587;width:2981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" fillcolor="#b5d5a7" strokecolor="#70ad47" strokeweight=".5pt">
                  <v:fill color2="#9cca86" rotate="t" colors="0 #b5d5a7;.5 #aace99;1 #9cca86" focus="100%" type="gradient">
                    <o:fill v:ext="view" type="gradientUnscaled"/>
                  </v:fill>
                  <v:textbox>
                    <w:txbxContent>
                      <w:p w14:paraId="229460E4"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Maintaining essential resources</w:t>
                        </w:r>
                      </w:p>
                    </w:txbxContent>
                  </v:textbox>
                </v:rect>
                <v:rect id="Rectangle 13" o:spid="_x0000_s1037" style="position:absolute;top:42136;width:2981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" fillcolor="#b5d5a7" strokecolor="#70ad47" strokeweight=".5pt">
                  <v:fill color2="#9cca86" rotate="t" colors="0 #b5d5a7;.5 #aace99;1 #9cca86" focus="100%" type="gradient">
                    <o:fill v:ext="view" type="gradientUnscaled"/>
                  </v:fill>
                  <v:textbox>
                    <w:txbxContent>
                      <w:p w14:paraId="3155C4E6"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Vaccination</w:t>
                        </w:r>
                      </w:p>
                    </w:txbxContent>
                  </v:textbox>
                </v:rect>
                <v:rect id="Rectangle 14" o:spid="_x0000_s1038" style="position:absolute;top:48438;width:2981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" fillcolor="#b5d5a7" strokecolor="#70ad47" strokeweight=".5pt">
                  <v:fill color2="#9cca86" rotate="t" colors="0 #b5d5a7;.5 #aace99;1 #9cca86" focus="100%" type="gradient">
                    <o:fill v:ext="view" type="gradientUnscaled"/>
                  </v:fill>
                  <v:textbox>
                    <w:txbxContent>
                      <w:p w14:paraId="426F7CA1" w14:textId="61CE4E0B"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Communications, guidance </w:t>
                        </w:r>
                        <w:r>
                          <w:rPr>
                            <w:rFonts w:ascii="Arial" w:hAnsi="Arial" w:cs="Arial"/>
                            <w:b/>
                            <w:bCs/>
                            <w:kern w:val="24"/>
                            <w:sz w:val="22"/>
                            <w:szCs w:val="22"/>
                          </w:rPr>
                          <w:t>and</w:t>
                        </w:r>
                        <w:r w:rsidRPr="00D7417E">
                          <w:rPr>
                            <w:rFonts w:ascii="Arial" w:hAnsi="Arial" w:cs="Arial"/>
                            <w:b/>
                            <w:bCs/>
                            <w:kern w:val="24"/>
                            <w:sz w:val="22"/>
                            <w:szCs w:val="22"/>
                          </w:rPr>
                          <w:t xml:space="preserve"> support</w:t>
                        </w:r>
                      </w:p>
                    </w:txbxContent>
                  </v:textbox>
                </v:rect>
                <v:rect id="Rectangle 15" o:spid="_x0000_s1039" style="position:absolute;top:54740;width:29813;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" fillcolor="#b5d5a7" strokecolor="#70ad47" strokeweight=".5pt">
                  <v:fill color2="#9cca86" rotate="t" colors="0 #b5d5a7;.5 #aace99;1 #9cca86" focus="100%" type="gradient">
                    <o:fill v:ext="view" type="gradientUnscaled"/>
                  </v:fill>
                  <v:textbox>
                    <w:txbxContent>
                      <w:p w14:paraId="4A0CF47E"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Integrating experience into planning</w:t>
                        </w:r>
                      </w:p>
                    </w:txbxContent>
                  </v:textbox>
                </v:rect>
                <v:rect id="Rectangle 16" o:spid="_x0000_s1040" style="position:absolute;left:34104;top:5931;width:2981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" fillcolor="#f7bda4" strokecolor="#ed7d31" strokeweight=".5pt">
                  <v:fill color2="#f8a581" rotate="t" colors="0 #f7bda4;.5 #f5b195;1 #f8a581" focus="100%" type="gradient">
                    <o:fill v:ext="view" type="gradientUnscaled"/>
                  </v:fill>
                  <v:textbox>
                    <w:txbxContent>
                      <w:p w14:paraId="6E0C74F7" w14:textId="143D0935"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Identifying an outbreak, testing </w:t>
                        </w:r>
                        <w:r>
                          <w:rPr>
                            <w:rFonts w:ascii="Arial" w:hAnsi="Arial" w:cs="Arial"/>
                            <w:b/>
                            <w:bCs/>
                            <w:kern w:val="24"/>
                            <w:sz w:val="22"/>
                            <w:szCs w:val="22"/>
                          </w:rPr>
                          <w:t>and</w:t>
                        </w:r>
                        <w:r w:rsidRPr="00D7417E">
                          <w:rPr>
                            <w:rFonts w:ascii="Arial" w:hAnsi="Arial" w:cs="Arial"/>
                            <w:b/>
                            <w:bCs/>
                            <w:kern w:val="24"/>
                            <w:sz w:val="22"/>
                            <w:szCs w:val="22"/>
                          </w:rPr>
                          <w:t xml:space="preserve"> treatment</w:t>
                        </w:r>
                      </w:p>
                    </w:txbxContent>
                  </v:textbox>
                </v:rect>
                <v:rect id="Rectangle 17" o:spid="_x0000_s1041" style="position:absolute;left:34104;top:12603;width:2981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" fillcolor="#f7bda4" strokecolor="#ed7d31" strokeweight=".5pt">
                  <v:fill color2="#f8a581" rotate="t" colors="0 #f7bda4;.5 #f5b195;1 #f8a581" focus="100%" type="gradient">
                    <o:fill v:ext="view" type="gradientUnscaled"/>
                  </v:fill>
                  <v:textbox>
                    <w:txbxContent>
                      <w:p w14:paraId="6EF016D9"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Leading and implementing stringent IPC practices</w:t>
                        </w:r>
                      </w:p>
                    </w:txbxContent>
                  </v:textbox>
                </v:rect>
                <v:rect id="Rectangle 18" o:spid="_x0000_s1042" style="position:absolute;left:34104;top:19400;width:2981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" fillcolor="#f7bda4" strokecolor="#ed7d31" strokeweight=".5pt">
                  <v:fill color2="#f8a581" rotate="t" colors="0 #f7bda4;.5 #f5b195;1 #f8a581" focus="100%" type="gradient">
                    <o:fill v:ext="view" type="gradientUnscaled"/>
                  </v:fill>
                  <v:textbox>
                    <w:txbxContent>
                      <w:p w14:paraId="0BA96B10"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Enacting communication processes</w:t>
                        </w:r>
                      </w:p>
                    </w:txbxContent>
                  </v:textbox>
                </v:rect>
                <v:rect id="Rectangle 19" o:spid="_x0000_s1043" style="position:absolute;left:34104;top:25949;width:2981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" fillcolor="#f7bda4" strokecolor="#ed7d31" strokeweight=".5pt">
                  <v:fill color2="#f8a581" rotate="t" colors="0 #f7bda4;.5 #f5b195;1 #f8a581" focus="100%" type="gradient">
                    <o:fill v:ext="view" type="gradientUnscaled"/>
                  </v:fill>
                  <v:textbox>
                    <w:txbxContent>
                      <w:p w14:paraId="7D7CEB66"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Enacting/adapting workforce plans</w:t>
                        </w:r>
                      </w:p>
                    </w:txbxContent>
                  </v:textbox>
                </v:rect>
                <v:rect id="Rectangle 20" o:spid="_x0000_s1044" style="position:absolute;left:34104;top:33116;width:14097;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" fillcolor="window" strokecolor="#ed7d31" strokeweight="1pt">
                  <v:textbox>
                    <w:txbxContent>
                      <w:p w14:paraId="3C5F96CD" w14:textId="7AF345EB"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 xml:space="preserve">Cohort </w:t>
                        </w:r>
                        <w:r>
                          <w:rPr>
                            <w:rFonts w:ascii="Arial" w:hAnsi="Arial" w:cs="Arial"/>
                            <w:kern w:val="24"/>
                            <w:sz w:val="18"/>
                            <w:szCs w:val="18"/>
                          </w:rPr>
                          <w:t>and</w:t>
                        </w:r>
                        <w:r w:rsidRPr="00D7417E">
                          <w:rPr>
                            <w:rFonts w:ascii="Arial" w:hAnsi="Arial" w:cs="Arial"/>
                            <w:kern w:val="24"/>
                            <w:sz w:val="18"/>
                            <w:szCs w:val="18"/>
                          </w:rPr>
                          <w:t xml:space="preserve"> zone</w:t>
                        </w:r>
                      </w:p>
                    </w:txbxContent>
                  </v:textbox>
                </v:rect>
                <v:rect id="Rectangle 21" o:spid="_x0000_s1045" style="position:absolute;left:49921;top:33116;width:13995;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" fillcolor="window" strokecolor="#ed7d31" strokeweight="1pt">
                  <v:textbox>
                    <w:txbxContent>
                      <w:p w14:paraId="3A28FBEF"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Source additional workforce if required</w:t>
                        </w:r>
                      </w:p>
                    </w:txbxContent>
                  </v:textbox>
                </v:rect>
                <v:rect id="Rectangle 23" o:spid="_x0000_s1046" style="position:absolute;left:34104;top:40900;width:2981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" fillcolor="#f7bda4" strokecolor="#ed7d31" strokeweight=".5pt">
                  <v:fill color2="#f8a581" rotate="t" colors="0 #f7bda4;.5 #f5b195;1 #f8a581" focus="100%" type="gradient">
                    <o:fill v:ext="view" type="gradientUnscaled"/>
                  </v:fill>
                  <v:textbox>
                    <w:txbxContent>
                      <w:p w14:paraId="5155C1E9" w14:textId="4294E56C"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Maintaining general physical, social, mental </w:t>
                        </w:r>
                        <w:r>
                          <w:rPr>
                            <w:rFonts w:ascii="Arial" w:hAnsi="Arial" w:cs="Arial"/>
                            <w:b/>
                            <w:bCs/>
                            <w:kern w:val="24"/>
                            <w:sz w:val="22"/>
                            <w:szCs w:val="22"/>
                          </w:rPr>
                          <w:t>and</w:t>
                        </w:r>
                        <w:r w:rsidRPr="00D7417E">
                          <w:rPr>
                            <w:rFonts w:ascii="Arial" w:hAnsi="Arial" w:cs="Arial"/>
                            <w:b/>
                            <w:bCs/>
                            <w:kern w:val="24"/>
                            <w:sz w:val="22"/>
                            <w:szCs w:val="22"/>
                          </w:rPr>
                          <w:t xml:space="preserve"> emotional wellbeing</w:t>
                        </w:r>
                      </w:p>
                    </w:txbxContent>
                  </v:textbox>
                </v:rect>
                <v:rect id="Rectangle 25" o:spid="_x0000_s1047" style="position:absolute;left:34104;top:47573;width:9335;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" fillcolor="window" strokecolor="#ed7d31" strokeweight="1pt">
                  <v:textbox>
                    <w:txbxContent>
                      <w:p w14:paraId="61FCE96D"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Maintaining delivery of care</w:t>
                        </w:r>
                      </w:p>
                    </w:txbxContent>
                  </v:textbox>
                </v:rect>
                <v:rect id="Rectangle 29" o:spid="_x0000_s1048" style="position:absolute;left:44360;top:47573;width:9335;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" fillcolor="window" strokecolor="#ed7d31" strokeweight="1pt">
                  <v:textbox>
                    <w:txbxContent>
                      <w:p w14:paraId="3E93D603" w14:textId="65322983"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 xml:space="preserve">Social </w:t>
                        </w:r>
                        <w:r>
                          <w:rPr>
                            <w:rFonts w:ascii="Arial" w:hAnsi="Arial" w:cs="Arial"/>
                            <w:kern w:val="24"/>
                            <w:sz w:val="18"/>
                            <w:szCs w:val="18"/>
                          </w:rPr>
                          <w:t>and</w:t>
                        </w:r>
                        <w:r w:rsidRPr="00D7417E">
                          <w:rPr>
                            <w:rFonts w:ascii="Arial" w:hAnsi="Arial" w:cs="Arial"/>
                            <w:kern w:val="24"/>
                            <w:sz w:val="18"/>
                            <w:szCs w:val="18"/>
                          </w:rPr>
                          <w:t xml:space="preserve"> emotional support</w:t>
                        </w:r>
                      </w:p>
                    </w:txbxContent>
                  </v:textbox>
                </v:rect>
                <v:rect id="Rectangle 31" o:spid="_x0000_s1049" style="position:absolute;left:54616;top:47573;width:9335;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" fillcolor="window" strokecolor="#ed7d31" strokeweight="1pt">
                  <v:textbox>
                    <w:txbxContent>
                      <w:p w14:paraId="4885FBA5"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Visitation</w:t>
                        </w:r>
                      </w:p>
                    </w:txbxContent>
                  </v:textbox>
                </v:rect>
                <v:rect id="Rectangle 32" o:spid="_x0000_s1050" style="position:absolute;left:34104;top:55358;width:2981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" fillcolor="#f7bda4" strokecolor="#ed7d31" strokeweight=".5pt">
                  <v:fill color2="#f8a581" rotate="t" colors="0 #f7bda4;.5 #f5b195;1 #f8a581" focus="100%" type="gradient">
                    <o:fill v:ext="view" type="gradientUnscaled"/>
                  </v:fill>
                  <v:textbox>
                    <w:txbxContent>
                      <w:p w14:paraId="5713B884"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Accessing additional supports</w:t>
                        </w:r>
                      </w:p>
                    </w:txbxContent>
                  </v:textbox>
                </v:rect>
                <v:rect id="Rectangle 33" o:spid="_x0000_s1051" style="position:absolute;left:68085;top:30472;width:29808;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" fillcolor="#b1cbe9" strokecolor="#5b9bd5" strokeweight=".5pt">
                  <v:fill color2="#92b9e4" rotate="t" colors="0 #b1cbe9;.5 #a3c1e5;1 #92b9e4" focus="100%" type="gradient">
                    <o:fill v:ext="view" type="gradientUnscaled"/>
                  </v:fill>
                  <v:textbox>
                    <w:txbxContent>
                      <w:p w14:paraId="2A9A760C"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Supporting staff recovery – post outbreak/exposure</w:t>
                        </w:r>
                      </w:p>
                    </w:txbxContent>
                  </v:textbox>
                </v:rect>
                <v:rect id="Rectangle 35" o:spid="_x0000_s1052" style="position:absolute;left:68085;top:5807;width:29813;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" fillcolor="#b1cbe9" strokecolor="#5b9bd5" strokeweight=".5pt">
                  <v:fill color2="#92b9e4" rotate="t" colors="0 #b1cbe9;.5 #a3c1e5;1 #92b9e4" focus="100%" type="gradient">
                    <o:fill v:ext="view" type="gradientUnscaled"/>
                  </v:fill>
                  <v:textbox>
                    <w:txbxContent>
                      <w:p w14:paraId="02AF78E3"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Supporting resident recovery</w:t>
                        </w:r>
                      </w:p>
                    </w:txbxContent>
                  </v:textbox>
                </v:rect>
                <v:rect id="Rectangle 36" o:spid="_x0000_s1053" style="position:absolute;left:68085;top:12480;width:14354;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" fillcolor="window" strokecolor="#4472c4" strokeweight="1pt">
                  <v:textbox>
                    <w:txbxContent>
                      <w:p w14:paraId="20BD5DBB"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Reablement</w:t>
                        </w:r>
                      </w:p>
                    </w:txbxContent>
                  </v:textbox>
                </v:rect>
                <v:rect id="Rectangle 37" o:spid="_x0000_s1054" style="position:absolute;left:84396;top:12480;width:13567;height:3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" fillcolor="window" strokecolor="#4472c4" strokeweight="1pt">
                  <v:textbox>
                    <w:txbxContent>
                      <w:p w14:paraId="1BC18A6E"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Allied health</w:t>
                        </w:r>
                      </w:p>
                    </w:txbxContent>
                  </v:textbox>
                </v:rect>
                <v:rect id="Rectangle 38" o:spid="_x0000_s1055" style="position:absolute;left:68085;top:37268;width:2980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" fillcolor="#b1cbe9" strokecolor="#5b9bd5" strokeweight=".5pt">
                  <v:fill color2="#92b9e4" rotate="t" colors="0 #b1cbe9;.5 #a3c1e5;1 #92b9e4" focus="100%" type="gradient">
                    <o:fill v:ext="view" type="gradientUnscaled"/>
                  </v:fill>
                  <v:textbox>
                    <w:txbxContent>
                      <w:p w14:paraId="6AE870FB"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Supporting aged care provider recovery</w:t>
                        </w:r>
                      </w:p>
                    </w:txbxContent>
                  </v:textbox>
                </v:rect>
                <v:rect id="Rectangle 39" o:spid="_x0000_s1056" style="position:absolute;left:68085;top:43693;width:13387;height:52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" fillcolor="window" strokecolor="#4472c4" strokeweight="1pt">
                  <v:textbox>
                    <w:txbxContent>
                      <w:p w14:paraId="724330E9"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Reimbursement of costs</w:t>
                        </w:r>
                      </w:p>
                    </w:txbxContent>
                  </v:textbox>
                </v:rect>
                <v:rect id="Rectangle 41" o:spid="_x0000_s1057" style="position:absolute;left:83037;top:43570;width:14926;height:5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" fillcolor="window" strokecolor="#4472c4" strokeweight="1pt">
                  <v:textbox>
                    <w:txbxContent>
                      <w:p w14:paraId="16B851DC" w14:textId="77777777" w:rsidR="008111E9" w:rsidRPr="00D7417E" w:rsidRDefault="008111E9" w:rsidP="000F5603">
                        <w:pPr>
                          <w:jc w:val="center"/>
                          <w:rPr>
                            <w:rFonts w:ascii="Arial" w:hAnsi="Arial" w:cs="Arial"/>
                            <w:color w:val="000000" w:themeColor="dark1"/>
                            <w:kern w:val="24"/>
                            <w:sz w:val="18"/>
                            <w:szCs w:val="18"/>
                          </w:rPr>
                        </w:pPr>
                        <w:r w:rsidRPr="00D7417E">
                          <w:rPr>
                            <w:rFonts w:ascii="Arial" w:hAnsi="Arial" w:cs="Arial"/>
                            <w:kern w:val="24"/>
                            <w:sz w:val="18"/>
                            <w:szCs w:val="18"/>
                          </w:rPr>
                          <w:t>Financial support for providers</w:t>
                        </w:r>
                      </w:p>
                    </w:txbxContent>
                  </v:textbox>
                </v:rect>
                <v:rect id="Rectangle 33" o:spid="_x0000_s1058" style="position:absolute;left:68085;top:17917;width:29813;height:4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" fillcolor="#b1cbe9" strokecolor="#5b9bd5" strokeweight=".5pt">
                  <v:fill color2="#92b9e4" rotate="t" colors="0 #b1cbe9;.5 #a3c1e5;1 #92b9e4" focus="100%" type="gradient">
                    <o:fill v:ext="view" type="gradientUnscaled"/>
                  </v:fill>
                  <v:textbox>
                    <w:txbxContent>
                      <w:p w14:paraId="38291819" w14:textId="0496F4E6"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Grief </w:t>
                        </w:r>
                        <w:r>
                          <w:rPr>
                            <w:rFonts w:ascii="Arial" w:hAnsi="Arial" w:cs="Arial"/>
                            <w:b/>
                            <w:bCs/>
                            <w:kern w:val="24"/>
                            <w:sz w:val="22"/>
                            <w:szCs w:val="22"/>
                          </w:rPr>
                          <w:t>and</w:t>
                        </w:r>
                        <w:r w:rsidRPr="00D7417E">
                          <w:rPr>
                            <w:rFonts w:ascii="Arial" w:hAnsi="Arial" w:cs="Arial"/>
                            <w:b/>
                            <w:bCs/>
                            <w:kern w:val="24"/>
                            <w:sz w:val="22"/>
                            <w:szCs w:val="22"/>
                          </w:rPr>
                          <w:t xml:space="preserve"> trauma support</w:t>
                        </w:r>
                      </w:p>
                    </w:txbxContent>
                  </v:textbox>
                </v:rect>
                <v:rect id="Rectangle 33" o:spid="_x0000_s1059" style="position:absolute;left:68085;top:24466;width:29813;height:4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" fillcolor="#b1cbe9" strokecolor="#5b9bd5" strokeweight=".5pt">
                  <v:fill color2="#92b9e4" rotate="t" colors="0 #b1cbe9;.5 #a3c1e5;1 #92b9e4" focus="100%" type="gradient">
                    <o:fill v:ext="view" type="gradientUnscaled"/>
                  </v:fill>
                  <v:textbox>
                    <w:txbxContent>
                      <w:p w14:paraId="1B8E533F" w14:textId="77777777"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Mental health support</w:t>
                        </w:r>
                      </w:p>
                    </w:txbxContent>
                  </v:textbox>
                </v:rect>
                <v:rect id="Rectangle 38" o:spid="_x0000_s1060" style="position:absolute;left:68085;top:50119;width:29808;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" fillcolor="#b1cbe9" strokecolor="#5b9bd5" strokeweight=".5pt">
                  <v:fill color2="#92b9e4" rotate="t" colors="0 #b1cbe9;.5 #a3c1e5;1 #92b9e4" focus="100%" type="gradient">
                    <o:fill v:ext="view" type="gradientUnscaled"/>
                  </v:fill>
                  <v:textbox>
                    <w:txbxContent>
                      <w:p w14:paraId="3E1C5B66" w14:textId="0019DB00" w:rsidR="008111E9" w:rsidRPr="00D7417E" w:rsidRDefault="008111E9" w:rsidP="000F5603">
                        <w:pPr>
                          <w:jc w:val="center"/>
                          <w:rPr>
                            <w:rFonts w:ascii="Arial" w:hAnsi="Arial" w:cs="Arial"/>
                            <w:b/>
                            <w:bCs/>
                            <w:color w:val="000000" w:themeColor="dark1"/>
                            <w:kern w:val="24"/>
                            <w:sz w:val="22"/>
                            <w:szCs w:val="22"/>
                          </w:rPr>
                        </w:pPr>
                        <w:r>
                          <w:rPr>
                            <w:rFonts w:ascii="Arial" w:hAnsi="Arial" w:cs="Arial"/>
                            <w:b/>
                            <w:bCs/>
                            <w:kern w:val="24"/>
                            <w:sz w:val="22"/>
                            <w:szCs w:val="22"/>
                          </w:rPr>
                          <w:t xml:space="preserve">IPC </w:t>
                        </w:r>
                        <w:r w:rsidRPr="00D7417E">
                          <w:rPr>
                            <w:rFonts w:ascii="Arial" w:hAnsi="Arial" w:cs="Arial"/>
                            <w:b/>
                            <w:bCs/>
                            <w:kern w:val="24"/>
                            <w:sz w:val="22"/>
                            <w:szCs w:val="22"/>
                          </w:rPr>
                          <w:t>– refreshing capability</w:t>
                        </w:r>
                      </w:p>
                    </w:txbxContent>
                  </v:textbox>
                </v:rect>
                <v:rect id="Rectangle 38" o:spid="_x0000_s1061" style="position:absolute;left:68077;top:55927;width:29808;height:4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" fillcolor="#b1cbe9" strokecolor="#5b9bd5" strokeweight=".5pt">
                  <v:fill color2="#92b9e4" rotate="t" colors="0 #b1cbe9;.5 #a3c1e5;1 #92b9e4" focus="100%" type="gradient">
                    <o:fill v:ext="view" type="gradientUnscaled"/>
                  </v:fill>
                  <v:textbox>
                    <w:txbxContent>
                      <w:p w14:paraId="60EB24C8" w14:textId="3B23EA6C" w:rsidR="008111E9" w:rsidRPr="00D7417E" w:rsidRDefault="008111E9" w:rsidP="000F5603">
                        <w:pPr>
                          <w:jc w:val="center"/>
                          <w:rPr>
                            <w:rFonts w:ascii="Arial" w:hAnsi="Arial" w:cs="Arial"/>
                            <w:b/>
                            <w:bCs/>
                            <w:color w:val="000000" w:themeColor="dark1"/>
                            <w:kern w:val="24"/>
                            <w:sz w:val="22"/>
                            <w:szCs w:val="22"/>
                          </w:rPr>
                        </w:pPr>
                        <w:r w:rsidRPr="00D7417E">
                          <w:rPr>
                            <w:rFonts w:ascii="Arial" w:hAnsi="Arial" w:cs="Arial"/>
                            <w:b/>
                            <w:bCs/>
                            <w:kern w:val="24"/>
                            <w:sz w:val="22"/>
                            <w:szCs w:val="22"/>
                          </w:rPr>
                          <w:t xml:space="preserve">Integrating </w:t>
                        </w:r>
                        <w:r>
                          <w:rPr>
                            <w:rFonts w:ascii="Arial" w:hAnsi="Arial" w:cs="Arial"/>
                            <w:b/>
                            <w:bCs/>
                            <w:kern w:val="24"/>
                            <w:sz w:val="22"/>
                            <w:szCs w:val="22"/>
                          </w:rPr>
                          <w:t>e</w:t>
                        </w:r>
                        <w:r w:rsidRPr="00D7417E">
                          <w:rPr>
                            <w:rFonts w:ascii="Arial" w:hAnsi="Arial" w:cs="Arial"/>
                            <w:b/>
                            <w:bCs/>
                            <w:kern w:val="24"/>
                            <w:sz w:val="22"/>
                            <w:szCs w:val="22"/>
                          </w:rPr>
                          <w:t xml:space="preserve">xperience into </w:t>
                        </w:r>
                        <w:r>
                          <w:rPr>
                            <w:rFonts w:ascii="Arial" w:hAnsi="Arial" w:cs="Arial"/>
                            <w:b/>
                            <w:bCs/>
                            <w:kern w:val="24"/>
                            <w:sz w:val="22"/>
                            <w:szCs w:val="22"/>
                          </w:rPr>
                          <w:t>e</w:t>
                        </w:r>
                        <w:r w:rsidRPr="00D7417E">
                          <w:rPr>
                            <w:rFonts w:ascii="Arial" w:hAnsi="Arial" w:cs="Arial"/>
                            <w:b/>
                            <w:bCs/>
                            <w:kern w:val="24"/>
                            <w:sz w:val="22"/>
                            <w:szCs w:val="22"/>
                          </w:rPr>
                          <w:t xml:space="preserve">mergency </w:t>
                        </w:r>
                        <w:r>
                          <w:rPr>
                            <w:rFonts w:ascii="Arial" w:hAnsi="Arial" w:cs="Arial"/>
                            <w:b/>
                            <w:bCs/>
                            <w:kern w:val="24"/>
                            <w:sz w:val="22"/>
                            <w:szCs w:val="22"/>
                          </w:rPr>
                          <w:t>m</w:t>
                        </w:r>
                        <w:r w:rsidRPr="00D7417E">
                          <w:rPr>
                            <w:rFonts w:ascii="Arial" w:hAnsi="Arial" w:cs="Arial"/>
                            <w:b/>
                            <w:bCs/>
                            <w:kern w:val="24"/>
                            <w:sz w:val="22"/>
                            <w:szCs w:val="22"/>
                          </w:rPr>
                          <w:t xml:space="preserve">anagement </w:t>
                        </w:r>
                        <w:r>
                          <w:rPr>
                            <w:rFonts w:ascii="Arial" w:hAnsi="Arial" w:cs="Arial"/>
                            <w:b/>
                            <w:bCs/>
                            <w:kern w:val="24"/>
                            <w:sz w:val="22"/>
                            <w:szCs w:val="22"/>
                          </w:rPr>
                          <w:t>p</w:t>
                        </w:r>
                        <w:r w:rsidRPr="00D7417E">
                          <w:rPr>
                            <w:rFonts w:ascii="Arial" w:hAnsi="Arial" w:cs="Arial"/>
                            <w:b/>
                            <w:bCs/>
                            <w:kern w:val="24"/>
                            <w:sz w:val="22"/>
                            <w:szCs w:val="22"/>
                          </w:rPr>
                          <w:t>lanning</w:t>
                        </w:r>
                        <w:r w:rsidRPr="00D7417E">
                          <w:rPr>
                            <w:rFonts w:ascii="Arial" w:hAnsi="Arial" w:cs="Arial"/>
                            <w:b/>
                            <w:bCs/>
                            <w:color w:val="000000" w:themeColor="dark1"/>
                            <w:kern w:val="24"/>
                            <w:sz w:val="22"/>
                            <w:szCs w:val="22"/>
                          </w:rPr>
                          <w:t xml:space="preserve"> </w:t>
                        </w:r>
                      </w:p>
                    </w:txbxContent>
                  </v:textbox>
                </v:rect>
                <w10:anchorlock/>
              </v:group>
            </w:pict>
          </mc:Fallback>
        </mc:AlternateContent>
      </w:r>
      <w:bookmarkEnd w:id="4"/>
      <w:bookmarkEnd w:id="5"/>
    </w:p>
    <w:p w14:paraId="328C4818" w14:textId="6BE501B4" w:rsidR="007428BC" w:rsidRPr="009B4D01" w:rsidRDefault="00836D08" w:rsidP="00BD6454">
      <w:pPr>
        <w:pStyle w:val="Heading1"/>
        <w:tabs>
          <w:tab w:val="left" w:pos="7260"/>
        </w:tabs>
        <w:spacing w:before="120" w:after="120" w:line="250" w:lineRule="atLeast"/>
        <w:ind w:right="119"/>
        <w:rPr>
          <w:rFonts w:ascii="Arial Nova" w:hAnsi="Arial Nova"/>
          <w:sz w:val="48"/>
          <w:szCs w:val="48"/>
        </w:rPr>
      </w:pPr>
      <w:bookmarkStart w:id="6" w:name="_Toc108624563"/>
      <w:r>
        <w:rPr>
          <w:rFonts w:ascii="Arial Nova" w:hAnsi="Arial Nova"/>
          <w:sz w:val="48"/>
          <w:szCs w:val="48"/>
        </w:rPr>
        <w:lastRenderedPageBreak/>
        <w:t>Readiness</w:t>
      </w:r>
      <w:bookmarkEnd w:id="6"/>
    </w:p>
    <w:p w14:paraId="69420804" w14:textId="4AB6017F" w:rsidR="009B6B65" w:rsidRPr="002C6972" w:rsidRDefault="009B6B65" w:rsidP="001D0BDC">
      <w:pPr>
        <w:pStyle w:val="VACRCbody-landscape"/>
        <w:rPr>
          <w:rFonts w:asciiTheme="minorHAnsi" w:hAnsiTheme="minorHAnsi" w:cstheme="minorHAnsi"/>
        </w:rPr>
      </w:pPr>
      <w:r w:rsidRPr="002C6972">
        <w:rPr>
          <w:rFonts w:asciiTheme="minorHAnsi" w:hAnsiTheme="minorHAnsi" w:cstheme="minorHAnsi"/>
        </w:rPr>
        <w:t xml:space="preserve">The </w:t>
      </w:r>
      <w:r w:rsidR="00836D08" w:rsidRPr="002C6972">
        <w:rPr>
          <w:rFonts w:asciiTheme="minorHAnsi" w:hAnsiTheme="minorHAnsi" w:cstheme="minorHAnsi"/>
        </w:rPr>
        <w:t xml:space="preserve">checklists </w:t>
      </w:r>
      <w:r w:rsidRPr="002C6972">
        <w:rPr>
          <w:rFonts w:asciiTheme="minorHAnsi" w:hAnsiTheme="minorHAnsi" w:cstheme="minorHAnsi"/>
        </w:rPr>
        <w:t>provided at the end of this document contain examples of practical and operational actions, which providers should consider during the ‘Readiness’ phase to ensure they are appropriately prepared for outbreaks.</w:t>
      </w:r>
    </w:p>
    <w:p w14:paraId="253A6329" w14:textId="00DDB0AC" w:rsidR="009B6B65" w:rsidRPr="002C6972" w:rsidRDefault="009B6B65" w:rsidP="001D0BDC">
      <w:pPr>
        <w:pStyle w:val="VACRCbody-landscape"/>
        <w:rPr>
          <w:rFonts w:asciiTheme="minorHAnsi" w:hAnsiTheme="minorHAnsi" w:cstheme="minorHAnsi"/>
        </w:rPr>
      </w:pPr>
      <w:r w:rsidRPr="002C6972">
        <w:rPr>
          <w:rFonts w:asciiTheme="minorHAnsi" w:hAnsiTheme="minorHAnsi" w:cstheme="minorHAnsi"/>
        </w:rPr>
        <w:t xml:space="preserve">At the forefront of this </w:t>
      </w:r>
      <w:r w:rsidR="00303475">
        <w:rPr>
          <w:rFonts w:asciiTheme="minorHAnsi" w:hAnsiTheme="minorHAnsi" w:cstheme="minorHAnsi"/>
        </w:rPr>
        <w:t>Guide</w:t>
      </w:r>
      <w:r w:rsidR="00303475" w:rsidRPr="002C6972">
        <w:rPr>
          <w:rFonts w:asciiTheme="minorHAnsi" w:hAnsiTheme="minorHAnsi" w:cstheme="minorHAnsi"/>
        </w:rPr>
        <w:t xml:space="preserve"> </w:t>
      </w:r>
      <w:r w:rsidRPr="002C6972">
        <w:rPr>
          <w:rFonts w:asciiTheme="minorHAnsi" w:hAnsiTheme="minorHAnsi" w:cstheme="minorHAnsi"/>
        </w:rPr>
        <w:t>is ‘Readiness’ activity which positions services and providers to respond quickly in the event of an outbreak of COVID-19 or influenza. Readiness relies on an understanding of risk and key risk factors and a plan for how to respond, taking local requirements and advice into account.</w:t>
      </w:r>
    </w:p>
    <w:p w14:paraId="770F3CAA" w14:textId="57D30C05" w:rsidR="00326B0C" w:rsidRPr="002C6972" w:rsidRDefault="009B6B65" w:rsidP="00BD6454">
      <w:pPr>
        <w:pStyle w:val="VACRCbody-landscape"/>
        <w:spacing w:after="160"/>
        <w:rPr>
          <w:rFonts w:asciiTheme="minorHAnsi" w:hAnsiTheme="minorHAnsi" w:cstheme="minorHAnsi"/>
        </w:rPr>
      </w:pPr>
      <w:r w:rsidRPr="002C6972">
        <w:rPr>
          <w:rFonts w:asciiTheme="minorHAnsi" w:hAnsiTheme="minorHAnsi" w:cstheme="minorHAnsi"/>
        </w:rPr>
        <w:t xml:space="preserve">The </w:t>
      </w:r>
      <w:r w:rsidR="00303475">
        <w:rPr>
          <w:rFonts w:asciiTheme="minorHAnsi" w:hAnsiTheme="minorHAnsi" w:cstheme="minorHAnsi"/>
        </w:rPr>
        <w:t>D</w:t>
      </w:r>
      <w:r w:rsidR="00626E0D" w:rsidRPr="002C6972">
        <w:rPr>
          <w:rFonts w:asciiTheme="minorHAnsi" w:hAnsiTheme="minorHAnsi" w:cstheme="minorHAnsi"/>
        </w:rPr>
        <w:t>epartment</w:t>
      </w:r>
      <w:r w:rsidRPr="002C6972">
        <w:rPr>
          <w:rFonts w:asciiTheme="minorHAnsi" w:hAnsiTheme="minorHAnsi" w:cstheme="minorHAnsi"/>
        </w:rPr>
        <w:t xml:space="preserve"> is supporting providers to prepare for and maintain their Readiness through pre</w:t>
      </w:r>
      <w:r w:rsidR="00303475">
        <w:rPr>
          <w:rFonts w:asciiTheme="minorHAnsi" w:hAnsiTheme="minorHAnsi" w:cstheme="minorHAnsi"/>
        </w:rPr>
        <w:noBreakHyphen/>
      </w:r>
      <w:r w:rsidRPr="002C6972">
        <w:rPr>
          <w:rFonts w:asciiTheme="minorHAnsi" w:hAnsiTheme="minorHAnsi" w:cstheme="minorHAnsi"/>
        </w:rPr>
        <w:t>positioning of essential equipment and resources to facilitate swift response action and the ongoing provision of advice and guidance.</w:t>
      </w:r>
    </w:p>
    <w:p w14:paraId="4F602626" w14:textId="189194FD" w:rsidR="00F06C98" w:rsidRPr="002C6972" w:rsidRDefault="00F06C98" w:rsidP="00EE0473">
      <w:pPr>
        <w:pStyle w:val="VACRCbody-landscape"/>
        <w:shd w:val="clear" w:color="auto" w:fill="D9EAD3"/>
        <w:spacing w:before="120"/>
        <w:rPr>
          <w:rFonts w:asciiTheme="minorHAnsi" w:hAnsiTheme="minorHAnsi" w:cstheme="minorHAnsi"/>
          <w:b/>
          <w:bCs/>
        </w:rPr>
      </w:pPr>
      <w:r w:rsidRPr="002C6972">
        <w:rPr>
          <w:rFonts w:asciiTheme="minorHAnsi" w:hAnsiTheme="minorHAnsi" w:cstheme="minorHAnsi"/>
          <w:b/>
          <w:bCs/>
        </w:rPr>
        <w:t>Provider responsibilities</w:t>
      </w:r>
    </w:p>
    <w:p w14:paraId="6F132DB7" w14:textId="77777777" w:rsidR="00836D08" w:rsidRPr="002C6972" w:rsidRDefault="00836D08" w:rsidP="001D0BDC">
      <w:pPr>
        <w:pStyle w:val="VACRCbody-landscape"/>
        <w:shd w:val="clear" w:color="auto" w:fill="D9EAD3"/>
        <w:rPr>
          <w:rFonts w:asciiTheme="minorHAnsi" w:hAnsiTheme="minorHAnsi" w:cstheme="minorHAnsi"/>
        </w:rPr>
      </w:pPr>
      <w:r w:rsidRPr="002C6972">
        <w:rPr>
          <w:rFonts w:asciiTheme="minorHAnsi" w:hAnsiTheme="minorHAnsi" w:cstheme="minorHAnsi"/>
        </w:rPr>
        <w:t>Aged care providers should continuously monitor, and actively manage, the risk of COVID</w:t>
      </w:r>
      <w:r w:rsidRPr="002C6972">
        <w:rPr>
          <w:rFonts w:asciiTheme="minorHAnsi" w:hAnsiTheme="minorHAnsi" w:cstheme="minorHAnsi"/>
        </w:rPr>
        <w:noBreakHyphen/>
        <w:t>19, influenza and other infectious diseases.</w:t>
      </w:r>
    </w:p>
    <w:p w14:paraId="4DCDABD5" w14:textId="77777777" w:rsidR="00836D08" w:rsidRPr="002C6972" w:rsidRDefault="00836D08" w:rsidP="001D0BDC">
      <w:pPr>
        <w:pStyle w:val="VACRCbody-landscape"/>
        <w:shd w:val="clear" w:color="auto" w:fill="D9EAD3"/>
        <w:rPr>
          <w:rFonts w:asciiTheme="minorHAnsi" w:hAnsiTheme="minorHAnsi" w:cstheme="minorHAnsi"/>
        </w:rPr>
      </w:pPr>
      <w:r w:rsidRPr="002C6972">
        <w:rPr>
          <w:rFonts w:asciiTheme="minorHAnsi" w:hAnsiTheme="minorHAnsi" w:cstheme="minorHAnsi"/>
        </w:rPr>
        <w:t xml:space="preserve">Providers should do everything they can </w:t>
      </w:r>
      <w:r w:rsidRPr="002C6972">
        <w:rPr>
          <w:rFonts w:asciiTheme="minorHAnsi" w:hAnsiTheme="minorHAnsi" w:cstheme="minorHAnsi"/>
          <w:b/>
          <w:bCs/>
        </w:rPr>
        <w:t>now</w:t>
      </w:r>
      <w:r w:rsidRPr="002C6972">
        <w:rPr>
          <w:rFonts w:asciiTheme="minorHAnsi" w:hAnsiTheme="minorHAnsi" w:cstheme="minorHAnsi"/>
        </w:rPr>
        <w:t xml:space="preserve"> to prepare their service, mitigate risks of outbreaks and minimise the impacts should an outbreak occur.</w:t>
      </w:r>
    </w:p>
    <w:p w14:paraId="6645E903" w14:textId="77777777" w:rsidR="00836D08" w:rsidRPr="002C6972" w:rsidRDefault="00836D08" w:rsidP="001D0BDC">
      <w:pPr>
        <w:pStyle w:val="VACRCbody-landscape"/>
        <w:shd w:val="clear" w:color="auto" w:fill="D9EAD3"/>
        <w:rPr>
          <w:rFonts w:asciiTheme="minorHAnsi" w:hAnsiTheme="minorHAnsi" w:cstheme="minorHAnsi"/>
        </w:rPr>
      </w:pPr>
      <w:r w:rsidRPr="002C6972">
        <w:rPr>
          <w:rFonts w:asciiTheme="minorHAnsi" w:hAnsiTheme="minorHAnsi" w:cstheme="minorHAnsi"/>
        </w:rPr>
        <w:t>This includes having an up-to-date outbreak management plan (reviewed and updated as necessary), clearly identifying who is responsible for different elements of a response and ensuring staff have been appropriately trained in relation to IPC.</w:t>
      </w:r>
    </w:p>
    <w:p w14:paraId="230901BE" w14:textId="295ED7D2" w:rsidR="00836D08" w:rsidRPr="002C6972" w:rsidRDefault="00836D08" w:rsidP="001D0BDC">
      <w:pPr>
        <w:pStyle w:val="VACRCbody-landscape"/>
        <w:shd w:val="clear" w:color="auto" w:fill="D9EAD3"/>
        <w:rPr>
          <w:rFonts w:asciiTheme="minorHAnsi" w:hAnsiTheme="minorHAnsi" w:cstheme="minorHAnsi"/>
        </w:rPr>
      </w:pPr>
      <w:r w:rsidRPr="002C6972">
        <w:rPr>
          <w:rFonts w:asciiTheme="minorHAnsi" w:hAnsiTheme="minorHAnsi" w:cstheme="minorHAnsi"/>
        </w:rPr>
        <w:t>It is strongly recommended that RACFs:</w:t>
      </w:r>
    </w:p>
    <w:p w14:paraId="2B948DD9" w14:textId="11014A75" w:rsidR="00836D08" w:rsidRPr="002C6972" w:rsidRDefault="00836D08" w:rsidP="001707B8">
      <w:pPr>
        <w:pStyle w:val="VACRCbody-landscape"/>
        <w:numPr>
          <w:ilvl w:val="0"/>
          <w:numId w:val="20"/>
        </w:numPr>
        <w:shd w:val="clear" w:color="auto" w:fill="D9EAD3"/>
        <w:rPr>
          <w:rFonts w:asciiTheme="minorHAnsi" w:hAnsiTheme="minorHAnsi" w:cstheme="minorHAnsi"/>
        </w:rPr>
      </w:pPr>
      <w:r w:rsidRPr="002C6972">
        <w:rPr>
          <w:rFonts w:asciiTheme="minorHAnsi" w:hAnsiTheme="minorHAnsi" w:cstheme="minorHAnsi"/>
        </w:rPr>
        <w:t xml:space="preserve">Refer to the guidance set out by the </w:t>
      </w:r>
      <w:bookmarkStart w:id="7" w:name="_Hlk107566895"/>
      <w:r w:rsidRPr="002C6972">
        <w:rPr>
          <w:rFonts w:asciiTheme="minorHAnsi" w:hAnsiTheme="minorHAnsi" w:cstheme="minorHAnsi"/>
        </w:rPr>
        <w:t>Communicable Diseases Network Australia’s (CDNA)</w:t>
      </w:r>
      <w:r w:rsidR="00B64C5F">
        <w:rPr>
          <w:rFonts w:asciiTheme="minorHAnsi" w:hAnsiTheme="minorHAnsi" w:cstheme="minorHAnsi"/>
        </w:rPr>
        <w:t xml:space="preserve"> </w:t>
      </w:r>
      <w:r w:rsidR="00B64C5F">
        <w:rPr>
          <w:rFonts w:asciiTheme="minorHAnsi" w:hAnsiTheme="minorHAnsi" w:cstheme="minorHAnsi"/>
        </w:rPr>
        <w:br/>
      </w:r>
      <w:hyperlink r:id="rId19" w:history="1">
        <w:r w:rsidR="00B64C5F" w:rsidRPr="00B64C5F">
          <w:rPr>
            <w:rStyle w:val="Hyperlink"/>
            <w:rFonts w:asciiTheme="minorHAnsi" w:hAnsiTheme="minorHAnsi" w:cstheme="minorHAnsi"/>
          </w:rPr>
          <w:t>national guidelines for the prevention, control and public health management of COVID-19 outbreaks in residential care facilities in Australia</w:t>
        </w:r>
      </w:hyperlink>
      <w:bookmarkEnd w:id="7"/>
      <w:r w:rsidRPr="002C6972">
        <w:rPr>
          <w:rFonts w:asciiTheme="minorHAnsi" w:hAnsiTheme="minorHAnsi" w:cstheme="minorHAnsi"/>
        </w:rPr>
        <w:t xml:space="preserve"> when planning for outbreaks.</w:t>
      </w:r>
    </w:p>
    <w:p w14:paraId="7D127DAB" w14:textId="07BAB195" w:rsidR="00836D08" w:rsidRPr="002C6972" w:rsidRDefault="00836D08" w:rsidP="001707B8">
      <w:pPr>
        <w:pStyle w:val="VACRCbody-landscape"/>
        <w:numPr>
          <w:ilvl w:val="0"/>
          <w:numId w:val="20"/>
        </w:numPr>
        <w:shd w:val="clear" w:color="auto" w:fill="D9EAD3"/>
        <w:rPr>
          <w:rFonts w:asciiTheme="minorHAnsi" w:hAnsiTheme="minorHAnsi" w:cstheme="minorHAnsi"/>
          <w:b/>
          <w:bCs/>
        </w:rPr>
      </w:pPr>
      <w:r w:rsidRPr="002C6972">
        <w:rPr>
          <w:rFonts w:asciiTheme="minorHAnsi" w:hAnsiTheme="minorHAnsi" w:cstheme="minorHAnsi"/>
        </w:rPr>
        <w:t>Stress-test plans through a series of scenario-based activities, mapped against local public health guidance – this provides vital feedback on the strengths and opportunities to improve existing arrangements, as well as how response theory translates into practice. The topics covered in this Plan will</w:t>
      </w:r>
      <w:r w:rsidRPr="002C6972">
        <w:rPr>
          <w:rFonts w:asciiTheme="minorHAnsi" w:hAnsiTheme="minorHAnsi" w:cstheme="minorHAnsi"/>
          <w:b/>
          <w:bCs/>
        </w:rPr>
        <w:t xml:space="preserve"> </w:t>
      </w:r>
      <w:r w:rsidRPr="002C6972">
        <w:rPr>
          <w:rFonts w:asciiTheme="minorHAnsi" w:hAnsiTheme="minorHAnsi" w:cstheme="minorHAnsi"/>
        </w:rPr>
        <w:t>assist providers to identify and prioritise aspects of their readiness and response to stress-test, noting the need to tailor to their own circumstances.</w:t>
      </w:r>
    </w:p>
    <w:p w14:paraId="2210A3F0" w14:textId="77777777" w:rsidR="00303475" w:rsidRDefault="00836D08" w:rsidP="001D0BDC">
      <w:pPr>
        <w:pStyle w:val="VACRCbody-landscape"/>
        <w:shd w:val="clear" w:color="auto" w:fill="D9EAD3"/>
        <w:rPr>
          <w:rFonts w:asciiTheme="minorHAnsi" w:hAnsiTheme="minorHAnsi" w:cstheme="minorHAnsi"/>
        </w:rPr>
      </w:pPr>
      <w:r w:rsidRPr="002C6972">
        <w:rPr>
          <w:rFonts w:asciiTheme="minorHAnsi" w:hAnsiTheme="minorHAnsi" w:cstheme="minorHAnsi"/>
        </w:rPr>
        <w:t xml:space="preserve">Providers should: </w:t>
      </w:r>
    </w:p>
    <w:p w14:paraId="0F09AE48" w14:textId="77777777" w:rsidR="00303475" w:rsidRDefault="00836D08" w:rsidP="00303475">
      <w:pPr>
        <w:pStyle w:val="VACRCbody-landscape"/>
        <w:numPr>
          <w:ilvl w:val="0"/>
          <w:numId w:val="20"/>
        </w:numPr>
        <w:shd w:val="clear" w:color="auto" w:fill="D9EAD3"/>
        <w:rPr>
          <w:rFonts w:asciiTheme="minorHAnsi" w:hAnsiTheme="minorHAnsi" w:cstheme="minorHAnsi"/>
        </w:rPr>
      </w:pPr>
      <w:r w:rsidRPr="002C6972">
        <w:rPr>
          <w:rFonts w:asciiTheme="minorHAnsi" w:hAnsiTheme="minorHAnsi" w:cstheme="minorHAnsi"/>
        </w:rPr>
        <w:t xml:space="preserve">have adequate </w:t>
      </w:r>
      <w:r w:rsidR="00E34615" w:rsidRPr="002C6972">
        <w:rPr>
          <w:rFonts w:asciiTheme="minorHAnsi" w:hAnsiTheme="minorHAnsi" w:cstheme="minorHAnsi"/>
        </w:rPr>
        <w:t>personal protective equipment (</w:t>
      </w:r>
      <w:r w:rsidRPr="002C6972">
        <w:rPr>
          <w:rFonts w:asciiTheme="minorHAnsi" w:hAnsiTheme="minorHAnsi" w:cstheme="minorHAnsi"/>
        </w:rPr>
        <w:t>PPE</w:t>
      </w:r>
      <w:r w:rsidR="00E34615" w:rsidRPr="002C6972">
        <w:rPr>
          <w:rFonts w:asciiTheme="minorHAnsi" w:hAnsiTheme="minorHAnsi" w:cstheme="minorHAnsi"/>
        </w:rPr>
        <w:t>)</w:t>
      </w:r>
      <w:r w:rsidRPr="002C6972">
        <w:rPr>
          <w:rFonts w:asciiTheme="minorHAnsi" w:hAnsiTheme="minorHAnsi" w:cstheme="minorHAnsi"/>
        </w:rPr>
        <w:t xml:space="preserve"> and other essential supplies to sustain them through an outbreak (and plan for replenishment during and post-outbreak through usual supply channels); </w:t>
      </w:r>
    </w:p>
    <w:p w14:paraId="36425467" w14:textId="77777777" w:rsidR="00303475" w:rsidRDefault="00836D08" w:rsidP="00303475">
      <w:pPr>
        <w:pStyle w:val="VACRCbody-landscape"/>
        <w:numPr>
          <w:ilvl w:val="0"/>
          <w:numId w:val="20"/>
        </w:numPr>
        <w:shd w:val="clear" w:color="auto" w:fill="D9EAD3"/>
        <w:rPr>
          <w:rFonts w:asciiTheme="minorHAnsi" w:hAnsiTheme="minorHAnsi" w:cstheme="minorHAnsi"/>
        </w:rPr>
      </w:pPr>
      <w:r w:rsidRPr="002C6972">
        <w:rPr>
          <w:rFonts w:asciiTheme="minorHAnsi" w:hAnsiTheme="minorHAnsi" w:cstheme="minorHAnsi"/>
        </w:rPr>
        <w:t xml:space="preserve">ensure appropriate workforce management planning has been undertaken (for business continuity and continuity of care), and which can be rapidly enacted; </w:t>
      </w:r>
      <w:r w:rsidR="00C4159C" w:rsidRPr="002C6972">
        <w:rPr>
          <w:rFonts w:asciiTheme="minorHAnsi" w:hAnsiTheme="minorHAnsi" w:cstheme="minorHAnsi"/>
        </w:rPr>
        <w:t>and</w:t>
      </w:r>
      <w:r w:rsidRPr="002C6972">
        <w:rPr>
          <w:rFonts w:asciiTheme="minorHAnsi" w:hAnsiTheme="minorHAnsi" w:cstheme="minorHAnsi"/>
        </w:rPr>
        <w:t xml:space="preserve"> </w:t>
      </w:r>
    </w:p>
    <w:p w14:paraId="240D5D6B" w14:textId="016FBA14" w:rsidR="00836D08" w:rsidRPr="00303475" w:rsidRDefault="00836D08" w:rsidP="00303475">
      <w:pPr>
        <w:pStyle w:val="VACRCbody-landscape"/>
        <w:numPr>
          <w:ilvl w:val="0"/>
          <w:numId w:val="20"/>
        </w:numPr>
        <w:shd w:val="clear" w:color="auto" w:fill="D9EAD3"/>
        <w:rPr>
          <w:rFonts w:asciiTheme="minorHAnsi" w:hAnsiTheme="minorHAnsi" w:cstheme="minorHAnsi"/>
        </w:rPr>
      </w:pPr>
      <w:r w:rsidRPr="002C6972">
        <w:rPr>
          <w:rFonts w:asciiTheme="minorHAnsi" w:hAnsiTheme="minorHAnsi" w:cstheme="minorHAnsi"/>
        </w:rPr>
        <w:t>identify immediate actions that must been undertaken in the event of an outbreak.</w:t>
      </w:r>
    </w:p>
    <w:p w14:paraId="0928FB31" w14:textId="206E4FF6" w:rsidR="00DE3603" w:rsidRPr="00216DFA" w:rsidRDefault="00D54BDD" w:rsidP="00BD6454">
      <w:pPr>
        <w:spacing w:before="120" w:after="120"/>
        <w:ind w:right="119"/>
        <w:rPr>
          <w:rFonts w:ascii="Arial Nova" w:hAnsi="Arial Nova"/>
          <w:b/>
          <w:color w:val="538135"/>
          <w:sz w:val="32"/>
          <w:szCs w:val="32"/>
        </w:rPr>
      </w:pPr>
      <w:r>
        <w:br w:type="page"/>
      </w:r>
      <w:bookmarkStart w:id="8" w:name="_Toc101419742"/>
      <w:bookmarkStart w:id="9" w:name="_Toc101539818"/>
      <w:bookmarkStart w:id="10" w:name="_Toc102482434"/>
      <w:bookmarkStart w:id="11" w:name="_Toc104459140"/>
      <w:r w:rsidR="00DE3603" w:rsidRPr="00216DFA">
        <w:rPr>
          <w:rFonts w:ascii="Arial Nova" w:hAnsi="Arial Nova"/>
          <w:b/>
          <w:color w:val="538135"/>
          <w:sz w:val="32"/>
          <w:szCs w:val="32"/>
        </w:rPr>
        <w:lastRenderedPageBreak/>
        <w:t>Understanding risk</w:t>
      </w:r>
      <w:bookmarkEnd w:id="8"/>
      <w:bookmarkEnd w:id="9"/>
      <w:bookmarkEnd w:id="10"/>
      <w:bookmarkEnd w:id="11"/>
    </w:p>
    <w:p w14:paraId="66C28629" w14:textId="77777777" w:rsidR="00DE3603" w:rsidRPr="002C6972" w:rsidRDefault="00DE3603" w:rsidP="00C4159C">
      <w:pPr>
        <w:pStyle w:val="VACRCbody-landscape"/>
        <w:rPr>
          <w:rFonts w:asciiTheme="minorHAnsi" w:hAnsiTheme="minorHAnsi" w:cstheme="minorHAnsi"/>
        </w:rPr>
      </w:pPr>
      <w:r w:rsidRPr="002C6972">
        <w:rPr>
          <w:rFonts w:asciiTheme="minorHAnsi" w:hAnsiTheme="minorHAnsi" w:cstheme="minorHAnsi"/>
        </w:rPr>
        <w:t>Understanding the risk of outbreak is essential to readiness. Risk assessment will inform how an aged care service prepares, including the volume of support needed and the triggers for seeking assistance.</w:t>
      </w:r>
    </w:p>
    <w:p w14:paraId="4FA1B1C1" w14:textId="67E5C147" w:rsidR="00DE3603" w:rsidRPr="002C6972" w:rsidRDefault="00DE3603" w:rsidP="00C4159C">
      <w:pPr>
        <w:pStyle w:val="VACRCbody-landscape"/>
        <w:rPr>
          <w:rFonts w:asciiTheme="minorHAnsi" w:hAnsiTheme="minorHAnsi" w:cstheme="minorHAnsi"/>
        </w:rPr>
      </w:pPr>
      <w:r w:rsidRPr="002C6972">
        <w:rPr>
          <w:rFonts w:asciiTheme="minorHAnsi" w:hAnsiTheme="minorHAnsi" w:cstheme="minorHAnsi"/>
        </w:rPr>
        <w:t>Key risk factors to look out for include:</w:t>
      </w:r>
    </w:p>
    <w:p w14:paraId="092D1CC6" w14:textId="7434C1AB" w:rsidR="00DE3603" w:rsidRPr="002C6972" w:rsidRDefault="00836D08" w:rsidP="001707B8">
      <w:pPr>
        <w:pStyle w:val="VACRCbody-landscape"/>
        <w:numPr>
          <w:ilvl w:val="0"/>
          <w:numId w:val="21"/>
        </w:numPr>
        <w:rPr>
          <w:rFonts w:asciiTheme="minorHAnsi" w:hAnsiTheme="minorHAnsi" w:cstheme="minorHAnsi"/>
        </w:rPr>
      </w:pPr>
      <w:r w:rsidRPr="002C6972">
        <w:rPr>
          <w:rFonts w:asciiTheme="minorHAnsi" w:hAnsiTheme="minorHAnsi" w:cstheme="minorHAnsi"/>
        </w:rPr>
        <w:t xml:space="preserve">the </w:t>
      </w:r>
      <w:r w:rsidR="00DE3603" w:rsidRPr="002C6972">
        <w:rPr>
          <w:rFonts w:asciiTheme="minorHAnsi" w:hAnsiTheme="minorHAnsi" w:cstheme="minorHAnsi"/>
        </w:rPr>
        <w:t>layout of the facility, including shared spaces, as this impacts a facility’s ability to separate positive cases</w:t>
      </w:r>
    </w:p>
    <w:p w14:paraId="22B57B5F" w14:textId="5F77112E" w:rsidR="00DE3603" w:rsidRPr="002C6972" w:rsidRDefault="00836D08" w:rsidP="001707B8">
      <w:pPr>
        <w:pStyle w:val="VACRCbody-landscape"/>
        <w:numPr>
          <w:ilvl w:val="0"/>
          <w:numId w:val="21"/>
        </w:numPr>
        <w:rPr>
          <w:rFonts w:asciiTheme="minorHAnsi" w:hAnsiTheme="minorHAnsi" w:cstheme="minorHAnsi"/>
        </w:rPr>
      </w:pPr>
      <w:r w:rsidRPr="002C6972">
        <w:rPr>
          <w:rFonts w:asciiTheme="minorHAnsi" w:hAnsiTheme="minorHAnsi" w:cstheme="minorHAnsi"/>
        </w:rPr>
        <w:t xml:space="preserve">vaccination </w:t>
      </w:r>
      <w:r w:rsidR="00DE3603" w:rsidRPr="002C6972">
        <w:rPr>
          <w:rFonts w:asciiTheme="minorHAnsi" w:hAnsiTheme="minorHAnsi" w:cstheme="minorHAnsi"/>
        </w:rPr>
        <w:t>rates, including COVID-19 Winter doses (fourth doses) and flu vaccination</w:t>
      </w:r>
    </w:p>
    <w:p w14:paraId="274AC221" w14:textId="75DAEA46" w:rsidR="00DE3603" w:rsidRPr="002C6972" w:rsidRDefault="00836D08" w:rsidP="00BD6454">
      <w:pPr>
        <w:pStyle w:val="VACRCbody-landscape"/>
        <w:numPr>
          <w:ilvl w:val="0"/>
          <w:numId w:val="21"/>
        </w:numPr>
        <w:spacing w:after="160"/>
        <w:ind w:left="714" w:hanging="357"/>
        <w:rPr>
          <w:rFonts w:asciiTheme="minorHAnsi" w:hAnsiTheme="minorHAnsi" w:cstheme="minorHAnsi"/>
        </w:rPr>
      </w:pPr>
      <w:r w:rsidRPr="002C6972">
        <w:rPr>
          <w:rFonts w:asciiTheme="minorHAnsi" w:hAnsiTheme="minorHAnsi" w:cstheme="minorHAnsi"/>
        </w:rPr>
        <w:t xml:space="preserve">staffing </w:t>
      </w:r>
      <w:r w:rsidR="00DE3603" w:rsidRPr="002C6972">
        <w:rPr>
          <w:rFonts w:asciiTheme="minorHAnsi" w:hAnsiTheme="minorHAnsi" w:cstheme="minorHAnsi"/>
        </w:rPr>
        <w:t>ratio, readiness and capability, as it is important staff are available and know their role ahead of time.</w:t>
      </w:r>
    </w:p>
    <w:p w14:paraId="3A087925" w14:textId="77777777" w:rsidR="00012413" w:rsidRPr="002C6972" w:rsidRDefault="00012413" w:rsidP="00EE0473">
      <w:pPr>
        <w:pStyle w:val="VACRCbody-landscape"/>
        <w:shd w:val="clear" w:color="auto" w:fill="D9EAD3"/>
        <w:spacing w:line="240" w:lineRule="auto"/>
        <w:rPr>
          <w:rFonts w:asciiTheme="minorHAnsi" w:hAnsiTheme="minorHAnsi" w:cstheme="minorHAnsi"/>
          <w:b/>
          <w:bCs/>
        </w:rPr>
      </w:pPr>
      <w:r w:rsidRPr="002C6972">
        <w:rPr>
          <w:rFonts w:asciiTheme="minorHAnsi" w:hAnsiTheme="minorHAnsi" w:cstheme="minorHAnsi"/>
          <w:b/>
          <w:bCs/>
        </w:rPr>
        <w:t>Provider consideration</w:t>
      </w:r>
    </w:p>
    <w:p w14:paraId="721C4406" w14:textId="77777777" w:rsidR="00012413" w:rsidRPr="002C6972" w:rsidRDefault="00012413" w:rsidP="00C4159C">
      <w:pPr>
        <w:pStyle w:val="VACRCbody-landscape"/>
        <w:shd w:val="clear" w:color="auto" w:fill="D9EAD3"/>
        <w:rPr>
          <w:rFonts w:asciiTheme="minorHAnsi" w:hAnsiTheme="minorHAnsi" w:cstheme="minorHAnsi"/>
        </w:rPr>
      </w:pPr>
      <w:r w:rsidRPr="002C6972">
        <w:rPr>
          <w:rFonts w:asciiTheme="minorHAnsi" w:hAnsiTheme="minorHAnsi" w:cstheme="minorHAnsi"/>
        </w:rPr>
        <w:t>Self-assessing risk for RACFs is of critical importance and vital to ensuring appropriate mitigations are in place.</w:t>
      </w:r>
    </w:p>
    <w:p w14:paraId="416A943D" w14:textId="2FF7B631" w:rsidR="00012413" w:rsidRPr="002C6972" w:rsidRDefault="00012413" w:rsidP="00C4159C">
      <w:pPr>
        <w:pStyle w:val="VACRCbody-landscape"/>
        <w:shd w:val="clear" w:color="auto" w:fill="D9EAD3"/>
        <w:rPr>
          <w:rFonts w:asciiTheme="minorHAnsi" w:hAnsiTheme="minorHAnsi" w:cstheme="minorHAnsi"/>
        </w:rPr>
      </w:pPr>
      <w:r w:rsidRPr="002C6972">
        <w:rPr>
          <w:rFonts w:asciiTheme="minorHAnsi" w:hAnsiTheme="minorHAnsi" w:cstheme="minorHAnsi"/>
        </w:rPr>
        <w:t xml:space="preserve">Where applicable, RACFs should consider the lessons learned from previous outbreaks, reported through independent reviews undertaken by the </w:t>
      </w:r>
      <w:hyperlink r:id="rId20" w:history="1">
        <w:r w:rsidR="00303475">
          <w:rPr>
            <w:rFonts w:asciiTheme="minorHAnsi" w:hAnsiTheme="minorHAnsi" w:cstheme="minorHAnsi"/>
            <w:color w:val="007DC3" w:themeColor="hyperlink"/>
          </w:rPr>
          <w:t>D</w:t>
        </w:r>
        <w:r w:rsidRPr="002C6972">
          <w:rPr>
            <w:rFonts w:asciiTheme="minorHAnsi" w:hAnsiTheme="minorHAnsi" w:cstheme="minorHAnsi"/>
            <w:color w:val="007DC3" w:themeColor="hyperlink"/>
          </w:rPr>
          <w:t>epartment</w:t>
        </w:r>
      </w:hyperlink>
      <w:r w:rsidRPr="002C6972">
        <w:rPr>
          <w:rFonts w:asciiTheme="minorHAnsi" w:hAnsiTheme="minorHAnsi" w:cstheme="minorHAnsi"/>
        </w:rPr>
        <w:t xml:space="preserve"> and the </w:t>
      </w:r>
      <w:hyperlink r:id="rId21" w:history="1">
        <w:r w:rsidRPr="002C6972">
          <w:rPr>
            <w:rFonts w:asciiTheme="minorHAnsi" w:hAnsiTheme="minorHAnsi" w:cstheme="minorHAnsi"/>
            <w:color w:val="007DC3" w:themeColor="hyperlink"/>
          </w:rPr>
          <w:t>Commission</w:t>
        </w:r>
      </w:hyperlink>
      <w:r w:rsidRPr="002C6972">
        <w:rPr>
          <w:rFonts w:asciiTheme="minorHAnsi" w:hAnsiTheme="minorHAnsi" w:cstheme="minorHAnsi"/>
        </w:rPr>
        <w:t xml:space="preserve">. These reports provide practical recommendations on how to mitigate future risks of severe outbreaks. </w:t>
      </w:r>
    </w:p>
    <w:p w14:paraId="30C5BDF4" w14:textId="6CDF8415" w:rsidR="00012413" w:rsidRPr="002C6972" w:rsidRDefault="00012413" w:rsidP="00C4159C">
      <w:pPr>
        <w:pStyle w:val="VACRCbody-landscape"/>
        <w:shd w:val="clear" w:color="auto" w:fill="D9EAD3"/>
        <w:rPr>
          <w:rFonts w:asciiTheme="minorHAnsi" w:hAnsiTheme="minorHAnsi" w:cstheme="minorHAnsi"/>
        </w:rPr>
      </w:pPr>
      <w:r w:rsidRPr="002C6972">
        <w:rPr>
          <w:rFonts w:asciiTheme="minorHAnsi" w:hAnsiTheme="minorHAnsi" w:cstheme="minorHAnsi"/>
        </w:rPr>
        <w:t xml:space="preserve">Providers operating multiple </w:t>
      </w:r>
      <w:r w:rsidR="00024C48">
        <w:rPr>
          <w:rFonts w:asciiTheme="minorHAnsi" w:hAnsiTheme="minorHAnsi" w:cstheme="minorHAnsi"/>
        </w:rPr>
        <w:t>sites</w:t>
      </w:r>
      <w:r w:rsidR="00024C48" w:rsidRPr="002C6972">
        <w:rPr>
          <w:rFonts w:asciiTheme="minorHAnsi" w:hAnsiTheme="minorHAnsi" w:cstheme="minorHAnsi"/>
        </w:rPr>
        <w:t xml:space="preserve"> </w:t>
      </w:r>
      <w:r w:rsidRPr="002C6972">
        <w:rPr>
          <w:rFonts w:asciiTheme="minorHAnsi" w:hAnsiTheme="minorHAnsi" w:cstheme="minorHAnsi"/>
        </w:rPr>
        <w:t>are strongly encouraged to consider the impacts of previous outbreaks and whether there are planning, response and recovery implications for other sites that may not have experienced COVID-19 outbreaks. Providers should also consider additional contingencies in the event more than one of their RACFs is impacted.</w:t>
      </w:r>
    </w:p>
    <w:p w14:paraId="613E68E9" w14:textId="134101D0" w:rsidR="001622AB" w:rsidRPr="002C6972" w:rsidRDefault="00012413" w:rsidP="00BD6454">
      <w:pPr>
        <w:pStyle w:val="VACRCbody-landscape"/>
        <w:shd w:val="clear" w:color="auto" w:fill="D9EAD3"/>
        <w:spacing w:after="160" w:line="240" w:lineRule="auto"/>
        <w:rPr>
          <w:rFonts w:asciiTheme="minorHAnsi" w:hAnsiTheme="minorHAnsi" w:cstheme="minorHAnsi"/>
        </w:rPr>
      </w:pPr>
      <w:r w:rsidRPr="002C6972">
        <w:rPr>
          <w:rFonts w:asciiTheme="minorHAnsi" w:hAnsiTheme="minorHAnsi" w:cstheme="minorHAnsi"/>
        </w:rPr>
        <w:t xml:space="preserve">Further information on understanding key risk factors is available on the </w:t>
      </w:r>
      <w:r w:rsidR="00626E0D" w:rsidRPr="002C6972">
        <w:rPr>
          <w:rFonts w:asciiTheme="minorHAnsi" w:hAnsiTheme="minorHAnsi" w:cstheme="minorHAnsi"/>
        </w:rPr>
        <w:t>d</w:t>
      </w:r>
      <w:r w:rsidRPr="002C6972">
        <w:rPr>
          <w:rFonts w:asciiTheme="minorHAnsi" w:hAnsiTheme="minorHAnsi" w:cstheme="minorHAnsi"/>
        </w:rPr>
        <w:t xml:space="preserve">epartment’s </w:t>
      </w:r>
      <w:hyperlink r:id="rId22" w:history="1">
        <w:r w:rsidRPr="002C6972">
          <w:rPr>
            <w:rStyle w:val="Hyperlink"/>
            <w:rFonts w:asciiTheme="minorHAnsi" w:hAnsiTheme="minorHAnsi" w:cstheme="minorHAnsi"/>
          </w:rPr>
          <w:t>website</w:t>
        </w:r>
      </w:hyperlink>
      <w:r w:rsidRPr="002C6972">
        <w:rPr>
          <w:rFonts w:asciiTheme="minorHAnsi" w:hAnsiTheme="minorHAnsi" w:cstheme="minorHAnsi"/>
        </w:rPr>
        <w:t>.</w:t>
      </w:r>
    </w:p>
    <w:p w14:paraId="310B0022" w14:textId="6A5A7417" w:rsidR="00CD6AE7" w:rsidRPr="00EE0473" w:rsidRDefault="00CD6AE7" w:rsidP="00216DFA">
      <w:pPr>
        <w:keepNext/>
        <w:keepLines/>
        <w:spacing w:before="120" w:after="120" w:line="240" w:lineRule="atLeast"/>
        <w:outlineLvl w:val="2"/>
        <w:rPr>
          <w:rFonts w:ascii="Arial Nova" w:hAnsi="Arial Nova"/>
          <w:iCs/>
          <w:color w:val="538135"/>
          <w:sz w:val="28"/>
          <w:szCs w:val="28"/>
        </w:rPr>
      </w:pPr>
      <w:bookmarkStart w:id="12" w:name="_Toc102482435"/>
      <w:bookmarkStart w:id="13" w:name="_Toc104459141"/>
      <w:bookmarkStart w:id="14" w:name="_Toc108624564"/>
      <w:r w:rsidRPr="00EE0473">
        <w:rPr>
          <w:rFonts w:ascii="Arial Nova" w:eastAsia="Calibri" w:hAnsi="Arial Nova" w:cs="Calibri Light"/>
          <w:i/>
          <w:iCs/>
          <w:color w:val="538135"/>
          <w:sz w:val="28"/>
          <w:szCs w:val="28"/>
        </w:rPr>
        <w:t>Understanding Public Health Situation, Advice and Requirements</w:t>
      </w:r>
      <w:bookmarkEnd w:id="12"/>
      <w:bookmarkEnd w:id="13"/>
      <w:bookmarkEnd w:id="14"/>
    </w:p>
    <w:p w14:paraId="4BBB7FBB" w14:textId="34A289C7" w:rsidR="00012413" w:rsidRPr="002C6972" w:rsidRDefault="00CD6AE7" w:rsidP="00BD6454">
      <w:pPr>
        <w:pStyle w:val="VACRCbody-landscape"/>
        <w:spacing w:after="160" w:line="240" w:lineRule="auto"/>
        <w:rPr>
          <w:rFonts w:asciiTheme="minorHAnsi" w:hAnsiTheme="minorHAnsi" w:cstheme="minorHAnsi"/>
        </w:rPr>
      </w:pPr>
      <w:r w:rsidRPr="002C6972">
        <w:rPr>
          <w:rFonts w:asciiTheme="minorHAnsi" w:hAnsiTheme="minorHAnsi" w:cstheme="minorHAnsi"/>
        </w:rPr>
        <w:t>Understanding public health advice and requirements and how this impacts a provider’s ability to meet legislated obligations is critical. Service planning should be informed by current requirements. As requirements change, providers should consider the implications for related aspects of their planning.</w:t>
      </w:r>
    </w:p>
    <w:p w14:paraId="726D0CC3" w14:textId="77777777" w:rsidR="00012413" w:rsidRPr="002C6972" w:rsidRDefault="00012413" w:rsidP="00C4159C">
      <w:pPr>
        <w:pStyle w:val="VACRCbody-landscape"/>
        <w:shd w:val="clear" w:color="auto" w:fill="D9EAD3"/>
        <w:rPr>
          <w:rFonts w:asciiTheme="minorHAnsi" w:hAnsiTheme="minorHAnsi" w:cstheme="minorHAnsi"/>
          <w:b/>
          <w:bCs/>
        </w:rPr>
      </w:pPr>
      <w:r w:rsidRPr="002C6972">
        <w:rPr>
          <w:rFonts w:asciiTheme="minorHAnsi" w:hAnsiTheme="minorHAnsi" w:cstheme="minorHAnsi"/>
          <w:b/>
          <w:bCs/>
        </w:rPr>
        <w:t>Provider considerations</w:t>
      </w:r>
    </w:p>
    <w:p w14:paraId="0BEB1205" w14:textId="595B7155" w:rsidR="00012413" w:rsidRPr="002C6972" w:rsidRDefault="00012413" w:rsidP="00BD6454">
      <w:pPr>
        <w:pStyle w:val="VACRCbody-landscape"/>
        <w:shd w:val="clear" w:color="auto" w:fill="D9EAD3"/>
        <w:rPr>
          <w:rFonts w:asciiTheme="minorHAnsi" w:hAnsiTheme="minorHAnsi" w:cstheme="minorHAnsi"/>
        </w:rPr>
      </w:pPr>
      <w:r w:rsidRPr="002C6972">
        <w:rPr>
          <w:rFonts w:asciiTheme="minorHAnsi" w:hAnsiTheme="minorHAnsi" w:cstheme="minorHAnsi"/>
        </w:rPr>
        <w:t xml:space="preserve">Aged care providers are strongly encouraged to subscribe to all relevant distribution channels (including social media) to stay up to date with public health requirements and make sure the impact of local requirements </w:t>
      </w:r>
      <w:r w:rsidR="00C4159C" w:rsidRPr="002C6972">
        <w:rPr>
          <w:rFonts w:asciiTheme="minorHAnsi" w:hAnsiTheme="minorHAnsi" w:cstheme="minorHAnsi"/>
        </w:rPr>
        <w:t>is</w:t>
      </w:r>
      <w:r w:rsidRPr="002C6972">
        <w:rPr>
          <w:rFonts w:asciiTheme="minorHAnsi" w:hAnsiTheme="minorHAnsi" w:cstheme="minorHAnsi"/>
        </w:rPr>
        <w:t xml:space="preserve"> clearly communicated to their staff. </w:t>
      </w:r>
    </w:p>
    <w:p w14:paraId="502F1215" w14:textId="4D153CAF" w:rsidR="00CD6AE7" w:rsidRPr="00BD6454" w:rsidRDefault="00012413" w:rsidP="00BD6454">
      <w:pPr>
        <w:pStyle w:val="VACRCbody-landscape"/>
        <w:shd w:val="clear" w:color="auto" w:fill="D9EAD3"/>
        <w:rPr>
          <w:rFonts w:asciiTheme="minorHAnsi" w:hAnsiTheme="minorHAnsi" w:cstheme="minorHAnsi"/>
        </w:rPr>
      </w:pPr>
      <w:r w:rsidRPr="002C6972">
        <w:rPr>
          <w:rFonts w:asciiTheme="minorHAnsi" w:hAnsiTheme="minorHAnsi" w:cstheme="minorHAnsi"/>
        </w:rPr>
        <w:t xml:space="preserve">In addition to the </w:t>
      </w:r>
      <w:r w:rsidR="00303475">
        <w:rPr>
          <w:rFonts w:asciiTheme="minorHAnsi" w:hAnsiTheme="minorHAnsi" w:cstheme="minorHAnsi"/>
        </w:rPr>
        <w:t>D</w:t>
      </w:r>
      <w:r w:rsidRPr="002C6972">
        <w:rPr>
          <w:rFonts w:asciiTheme="minorHAnsi" w:hAnsiTheme="minorHAnsi" w:cstheme="minorHAnsi"/>
        </w:rPr>
        <w:t>epartment’s newsletters and alerts, facilities should consider whether there are any jurisdictionally based information sources that could be relevant, including those offered by their local health department.</w:t>
      </w:r>
    </w:p>
    <w:p w14:paraId="6D680AD8" w14:textId="77777777" w:rsidR="001707B8" w:rsidRDefault="001707B8">
      <w:pPr>
        <w:rPr>
          <w:rFonts w:ascii="Arial Nova" w:hAnsi="Arial Nova"/>
          <w:b/>
          <w:color w:val="538135"/>
          <w:sz w:val="32"/>
          <w:szCs w:val="32"/>
        </w:rPr>
      </w:pPr>
      <w:bookmarkStart w:id="15" w:name="_Toc104459142"/>
      <w:r>
        <w:rPr>
          <w:rFonts w:ascii="Arial Nova" w:hAnsi="Arial Nova"/>
          <w:b/>
          <w:color w:val="538135"/>
          <w:sz w:val="32"/>
          <w:szCs w:val="32"/>
        </w:rPr>
        <w:br w:type="page"/>
      </w:r>
    </w:p>
    <w:p w14:paraId="45FA82F7" w14:textId="762465F3" w:rsidR="00B25622" w:rsidRPr="00216DFA" w:rsidRDefault="00B25622" w:rsidP="005800E6">
      <w:pPr>
        <w:spacing w:before="120" w:after="120"/>
        <w:ind w:right="119"/>
        <w:rPr>
          <w:rFonts w:ascii="Arial Nova" w:hAnsi="Arial Nova"/>
          <w:b/>
          <w:color w:val="538135"/>
          <w:sz w:val="32"/>
          <w:szCs w:val="32"/>
        </w:rPr>
      </w:pPr>
      <w:r w:rsidRPr="00216DFA">
        <w:rPr>
          <w:rFonts w:ascii="Arial Nova" w:hAnsi="Arial Nova"/>
          <w:b/>
          <w:color w:val="538135"/>
          <w:sz w:val="32"/>
          <w:szCs w:val="32"/>
        </w:rPr>
        <w:lastRenderedPageBreak/>
        <w:t>Guidance for preparing for and responding to a COVID-19 and/or influenza outbreak</w:t>
      </w:r>
      <w:bookmarkEnd w:id="15"/>
    </w:p>
    <w:p w14:paraId="367F1480" w14:textId="17665DB2" w:rsidR="00B25622" w:rsidRPr="002C6972" w:rsidRDefault="00B25622" w:rsidP="00C4159C">
      <w:pPr>
        <w:pStyle w:val="VACRCbody-landscape"/>
        <w:rPr>
          <w:rFonts w:asciiTheme="minorHAnsi" w:hAnsiTheme="minorHAnsi" w:cstheme="minorHAnsi"/>
        </w:rPr>
      </w:pPr>
      <w:r w:rsidRPr="002C6972">
        <w:rPr>
          <w:rFonts w:asciiTheme="minorHAnsi" w:hAnsiTheme="minorHAnsi" w:cstheme="minorHAnsi"/>
        </w:rPr>
        <w:t>In the event of an outbreak, providers should be guided by the level of risk. Responses must be proportionate to the risk, with no harsher restrictions or measures than necessary, noting that a response to influenza and a response to COVID-19 may have different attributes.</w:t>
      </w:r>
    </w:p>
    <w:p w14:paraId="6CDD112B" w14:textId="7C349467" w:rsidR="00012413" w:rsidRDefault="00B25622" w:rsidP="00BD6454">
      <w:pPr>
        <w:pStyle w:val="VACRCbody-landscape"/>
        <w:spacing w:after="160"/>
        <w:rPr>
          <w:rFonts w:asciiTheme="minorHAnsi" w:hAnsiTheme="minorHAnsi" w:cstheme="minorHAnsi"/>
        </w:rPr>
      </w:pPr>
      <w:r w:rsidRPr="002C6972">
        <w:rPr>
          <w:rFonts w:asciiTheme="minorHAnsi" w:hAnsiTheme="minorHAnsi" w:cstheme="minorHAnsi"/>
        </w:rPr>
        <w:t>Given the anticipated co-circulation of influenza and COVID-19, a winter preparedness checklist is provided (</w:t>
      </w:r>
      <w:hyperlink w:anchor="_Appendix_A_–" w:history="1">
        <w:r w:rsidRPr="002C6972">
          <w:rPr>
            <w:rFonts w:asciiTheme="minorHAnsi" w:hAnsiTheme="minorHAnsi" w:cstheme="minorHAnsi"/>
            <w:color w:val="0563C1"/>
            <w:u w:val="single"/>
          </w:rPr>
          <w:t>Appendix A</w:t>
        </w:r>
      </w:hyperlink>
      <w:r w:rsidRPr="002C6972">
        <w:rPr>
          <w:rFonts w:asciiTheme="minorHAnsi" w:hAnsiTheme="minorHAnsi" w:cstheme="minorHAnsi"/>
        </w:rPr>
        <w:t>) to support planning and preparedness activities.</w:t>
      </w:r>
    </w:p>
    <w:p w14:paraId="6A1EDCC3" w14:textId="77777777" w:rsidR="00012413" w:rsidRPr="002C6972" w:rsidRDefault="00012413" w:rsidP="00BD6454">
      <w:pPr>
        <w:pStyle w:val="VACRCbody-landscape"/>
        <w:shd w:val="clear" w:color="auto" w:fill="D9EAD3"/>
        <w:spacing w:before="120" w:line="240" w:lineRule="auto"/>
        <w:rPr>
          <w:rFonts w:asciiTheme="minorHAnsi" w:hAnsiTheme="minorHAnsi" w:cstheme="minorHAnsi"/>
          <w:b/>
          <w:bCs/>
        </w:rPr>
      </w:pPr>
      <w:r w:rsidRPr="002C6972">
        <w:rPr>
          <w:rFonts w:asciiTheme="minorHAnsi" w:hAnsiTheme="minorHAnsi" w:cstheme="minorHAnsi"/>
          <w:b/>
          <w:bCs/>
        </w:rPr>
        <w:t>Provider considerations</w:t>
      </w:r>
    </w:p>
    <w:p w14:paraId="774944CD" w14:textId="55DB0812" w:rsidR="00012413" w:rsidRPr="002C6972" w:rsidRDefault="00012413" w:rsidP="00C4159C">
      <w:pPr>
        <w:pStyle w:val="VACRCbody-landscape"/>
        <w:shd w:val="clear" w:color="auto" w:fill="D9EAD3"/>
        <w:rPr>
          <w:rFonts w:asciiTheme="minorHAnsi" w:hAnsiTheme="minorHAnsi" w:cstheme="minorHAnsi"/>
        </w:rPr>
      </w:pPr>
      <w:r w:rsidRPr="002C6972">
        <w:rPr>
          <w:rFonts w:asciiTheme="minorHAnsi" w:hAnsiTheme="minorHAnsi" w:cstheme="minorHAnsi"/>
        </w:rPr>
        <w:t xml:space="preserve">Providers are strongly encouraged to consider the core guidance together with any specific guidance published by state or territory health departments or public health units that set out requirements relating to respiratory illness management in </w:t>
      </w:r>
      <w:r w:rsidR="00024C48">
        <w:rPr>
          <w:rFonts w:asciiTheme="minorHAnsi" w:hAnsiTheme="minorHAnsi" w:cstheme="minorHAnsi"/>
        </w:rPr>
        <w:t>aged care homes</w:t>
      </w:r>
      <w:r w:rsidR="00024C48" w:rsidRPr="002C6972">
        <w:rPr>
          <w:rFonts w:asciiTheme="minorHAnsi" w:hAnsiTheme="minorHAnsi" w:cstheme="minorHAnsi"/>
        </w:rPr>
        <w:t xml:space="preserve"> </w:t>
      </w:r>
      <w:r w:rsidRPr="002C6972">
        <w:rPr>
          <w:rFonts w:asciiTheme="minorHAnsi" w:hAnsiTheme="minorHAnsi" w:cstheme="minorHAnsi"/>
        </w:rPr>
        <w:t>and the provision of aged care services in the home and the community.</w:t>
      </w:r>
    </w:p>
    <w:p w14:paraId="13B3583A" w14:textId="42C5D8F8" w:rsidR="00B25622" w:rsidRPr="002C6972" w:rsidRDefault="00012413" w:rsidP="00BD6454">
      <w:pPr>
        <w:pStyle w:val="VACRCbody-landscape"/>
        <w:shd w:val="clear" w:color="auto" w:fill="D9EAD3"/>
        <w:spacing w:after="160"/>
        <w:rPr>
          <w:rFonts w:asciiTheme="minorHAnsi" w:hAnsiTheme="minorHAnsi" w:cstheme="minorHAnsi"/>
        </w:rPr>
      </w:pPr>
      <w:r w:rsidRPr="002C6972">
        <w:rPr>
          <w:rFonts w:asciiTheme="minorHAnsi" w:hAnsiTheme="minorHAnsi" w:cstheme="minorHAnsi"/>
        </w:rPr>
        <w:t>Providers should consider their own plans against this guidance and continue to review their own readiness.</w:t>
      </w:r>
      <w:r w:rsidR="001707B8">
        <w:rPr>
          <w:rFonts w:asciiTheme="minorHAnsi" w:hAnsiTheme="minorHAnsi" w:cstheme="minorHAnsi"/>
        </w:rPr>
        <w:t xml:space="preserve"> </w:t>
      </w:r>
      <w:r w:rsidRPr="002C6972">
        <w:rPr>
          <w:rFonts w:asciiTheme="minorHAnsi" w:hAnsiTheme="minorHAnsi" w:cstheme="minorHAnsi"/>
        </w:rPr>
        <w:t xml:space="preserve">Links to state and territory government websites can be accessed on the </w:t>
      </w:r>
      <w:hyperlink r:id="rId23" w:history="1">
        <w:r w:rsidR="00303475">
          <w:rPr>
            <w:rFonts w:asciiTheme="minorHAnsi" w:hAnsiTheme="minorHAnsi" w:cstheme="minorHAnsi"/>
            <w:color w:val="007DC3" w:themeColor="hyperlink"/>
          </w:rPr>
          <w:t>D</w:t>
        </w:r>
        <w:r w:rsidRPr="002C6972">
          <w:rPr>
            <w:rFonts w:asciiTheme="minorHAnsi" w:hAnsiTheme="minorHAnsi" w:cstheme="minorHAnsi"/>
            <w:color w:val="007DC3" w:themeColor="hyperlink"/>
          </w:rPr>
          <w:t>epartment’s website</w:t>
        </w:r>
      </w:hyperlink>
      <w:r w:rsidRPr="002C6972">
        <w:rPr>
          <w:rFonts w:asciiTheme="minorHAnsi" w:hAnsiTheme="minorHAnsi" w:cstheme="minorHAnsi"/>
        </w:rPr>
        <w:t>.</w:t>
      </w:r>
    </w:p>
    <w:p w14:paraId="4C7446D4" w14:textId="14A6D737" w:rsidR="00466EF4" w:rsidRPr="002C6972" w:rsidRDefault="00466EF4" w:rsidP="00216DFA">
      <w:pPr>
        <w:pStyle w:val="VACRCbody-landscape"/>
        <w:spacing w:line="240" w:lineRule="auto"/>
        <w:rPr>
          <w:rFonts w:asciiTheme="minorHAnsi" w:hAnsiTheme="minorHAnsi" w:cstheme="minorHAnsi"/>
        </w:rPr>
      </w:pPr>
      <w:r w:rsidRPr="002C6972">
        <w:rPr>
          <w:rFonts w:asciiTheme="minorHAnsi" w:hAnsiTheme="minorHAnsi" w:cstheme="minorHAnsi"/>
        </w:rPr>
        <w:t xml:space="preserve">The principles set out in the </w:t>
      </w:r>
      <w:r w:rsidR="00B64C5F" w:rsidRPr="002C6972">
        <w:rPr>
          <w:rFonts w:asciiTheme="minorHAnsi" w:hAnsiTheme="minorHAnsi" w:cstheme="minorHAnsi"/>
        </w:rPr>
        <w:t>Communicable Diseases Network Australia’s (CDNA)</w:t>
      </w:r>
      <w:r w:rsidR="00B64C5F">
        <w:rPr>
          <w:rFonts w:asciiTheme="minorHAnsi" w:hAnsiTheme="minorHAnsi" w:cstheme="minorHAnsi"/>
        </w:rPr>
        <w:t xml:space="preserve"> </w:t>
      </w:r>
      <w:hyperlink r:id="rId24" w:history="1">
        <w:r w:rsidR="00B64C5F" w:rsidRPr="00B64C5F">
          <w:rPr>
            <w:rStyle w:val="Hyperlink"/>
            <w:rFonts w:asciiTheme="minorHAnsi" w:hAnsiTheme="minorHAnsi" w:cstheme="minorHAnsi"/>
          </w:rPr>
          <w:t>national guidelines for the prevention, control and public health management of COVID-19 outbreaks in residential care facilities in Australia</w:t>
        </w:r>
      </w:hyperlink>
      <w:r w:rsidR="00B64C5F">
        <w:rPr>
          <w:rFonts w:asciiTheme="minorHAnsi" w:hAnsiTheme="minorHAnsi" w:cstheme="minorHAnsi"/>
        </w:rPr>
        <w:t xml:space="preserve"> </w:t>
      </w:r>
      <w:r w:rsidRPr="002C6972">
        <w:rPr>
          <w:rFonts w:asciiTheme="minorHAnsi" w:hAnsiTheme="minorHAnsi" w:cstheme="minorHAnsi"/>
        </w:rPr>
        <w:t>remain front and centre of the response to both COVID</w:t>
      </w:r>
      <w:r w:rsidR="00303475">
        <w:rPr>
          <w:rFonts w:asciiTheme="minorHAnsi" w:hAnsiTheme="minorHAnsi" w:cstheme="minorHAnsi"/>
        </w:rPr>
        <w:noBreakHyphen/>
      </w:r>
      <w:r w:rsidRPr="002C6972">
        <w:rPr>
          <w:rFonts w:asciiTheme="minorHAnsi" w:hAnsiTheme="minorHAnsi" w:cstheme="minorHAnsi"/>
        </w:rPr>
        <w:t>19 and influenza outbreaks. This includes adopting a least restrictive approach to isolation and ensuring resident wellbeing (including facilitating appropriate visitation) is considered in the response.</w:t>
      </w:r>
    </w:p>
    <w:p w14:paraId="23CE158C" w14:textId="58AECDC4" w:rsidR="00466EF4" w:rsidRPr="002C6972" w:rsidRDefault="00466EF4" w:rsidP="00C4159C">
      <w:pPr>
        <w:pStyle w:val="VACRCbody-landscape"/>
        <w:rPr>
          <w:rFonts w:asciiTheme="minorHAnsi" w:hAnsiTheme="minorHAnsi" w:cstheme="minorHAnsi"/>
        </w:rPr>
      </w:pPr>
      <w:r w:rsidRPr="002C6972">
        <w:rPr>
          <w:rFonts w:asciiTheme="minorHAnsi" w:hAnsiTheme="minorHAnsi" w:cstheme="minorHAnsi"/>
        </w:rPr>
        <w:t xml:space="preserve">The </w:t>
      </w:r>
      <w:hyperlink r:id="rId25" w:history="1">
        <w:r w:rsidRPr="002C6972">
          <w:rPr>
            <w:rFonts w:asciiTheme="minorHAnsi" w:hAnsiTheme="minorHAnsi" w:cstheme="minorHAnsi"/>
            <w:color w:val="0563C1"/>
            <w:u w:val="single"/>
          </w:rPr>
          <w:t>Interim Guidance on Managing Public Health Restriction on Residential Aged Care Facilities</w:t>
        </w:r>
      </w:hyperlink>
      <w:r w:rsidRPr="002C6972">
        <w:rPr>
          <w:rFonts w:asciiTheme="minorHAnsi" w:hAnsiTheme="minorHAnsi" w:cstheme="minorHAnsi"/>
        </w:rPr>
        <w:t xml:space="preserve"> supports aged care providers to apply these principles during COVID-19 outbreak management. </w:t>
      </w:r>
      <w:r w:rsidR="00024C48">
        <w:rPr>
          <w:rFonts w:asciiTheme="minorHAnsi" w:hAnsiTheme="minorHAnsi" w:cstheme="minorHAnsi"/>
        </w:rPr>
        <w:t>Aged care homes</w:t>
      </w:r>
      <w:r w:rsidR="00024C48" w:rsidRPr="002C6972">
        <w:rPr>
          <w:rFonts w:asciiTheme="minorHAnsi" w:hAnsiTheme="minorHAnsi" w:cstheme="minorHAnsi"/>
        </w:rPr>
        <w:t xml:space="preserve"> </w:t>
      </w:r>
      <w:r w:rsidRPr="002C6972">
        <w:rPr>
          <w:rFonts w:asciiTheme="minorHAnsi" w:hAnsiTheme="minorHAnsi" w:cstheme="minorHAnsi"/>
        </w:rPr>
        <w:t xml:space="preserve">are also strongly encouraged to consider (in the context of local jurisdictional requirements) the </w:t>
      </w:r>
      <w:hyperlink r:id="rId26" w:history="1">
        <w:r w:rsidRPr="002C6972">
          <w:rPr>
            <w:rFonts w:asciiTheme="minorHAnsi" w:hAnsiTheme="minorHAnsi" w:cstheme="minorHAnsi"/>
            <w:color w:val="0563C1"/>
            <w:u w:val="single"/>
          </w:rPr>
          <w:t xml:space="preserve">Interim Guidance </w:t>
        </w:r>
        <w:r w:rsidRPr="002C6972">
          <w:rPr>
            <w:rFonts w:asciiTheme="minorHAnsi" w:hAnsiTheme="minorHAnsi" w:cstheme="minorHAnsi"/>
            <w:i/>
            <w:color w:val="0563C1"/>
            <w:u w:val="single"/>
          </w:rPr>
          <w:t>Commonwealth Permissions and Restrictions for Workers in Aged Care</w:t>
        </w:r>
      </w:hyperlink>
      <w:r w:rsidRPr="002C6972">
        <w:rPr>
          <w:rFonts w:asciiTheme="minorHAnsi" w:hAnsiTheme="minorHAnsi" w:cstheme="minorHAnsi"/>
        </w:rPr>
        <w:t xml:space="preserve"> when contemplating workforce management planning. This guidance sets out the parameters for </w:t>
      </w:r>
      <w:r w:rsidR="00024C48">
        <w:rPr>
          <w:rFonts w:asciiTheme="minorHAnsi" w:hAnsiTheme="minorHAnsi" w:cstheme="minorHAnsi"/>
        </w:rPr>
        <w:t>aged care homes</w:t>
      </w:r>
      <w:r w:rsidR="00024C48" w:rsidRPr="002C6972">
        <w:rPr>
          <w:rFonts w:asciiTheme="minorHAnsi" w:hAnsiTheme="minorHAnsi" w:cstheme="minorHAnsi"/>
        </w:rPr>
        <w:t xml:space="preserve"> </w:t>
      </w:r>
      <w:r w:rsidRPr="002C6972">
        <w:rPr>
          <w:rFonts w:asciiTheme="minorHAnsi" w:hAnsiTheme="minorHAnsi" w:cstheme="minorHAnsi"/>
        </w:rPr>
        <w:t>to contemplate whether staff should isolate or continue working in the event of COVID-19 outbreaks and/or exposures.</w:t>
      </w:r>
    </w:p>
    <w:p w14:paraId="341D703B" w14:textId="092E544F" w:rsidR="00466EF4" w:rsidRPr="002C6972" w:rsidRDefault="00466EF4" w:rsidP="00BD6454">
      <w:pPr>
        <w:pStyle w:val="VACRCbody-landscape"/>
        <w:spacing w:after="160"/>
        <w:rPr>
          <w:rFonts w:asciiTheme="minorHAnsi" w:hAnsiTheme="minorHAnsi" w:cstheme="minorHAnsi"/>
          <w:color w:val="0563C1"/>
          <w:u w:val="single"/>
        </w:rPr>
      </w:pPr>
      <w:r w:rsidRPr="002C6972">
        <w:rPr>
          <w:rFonts w:asciiTheme="minorHAnsi" w:hAnsiTheme="minorHAnsi" w:cstheme="minorHAnsi"/>
        </w:rPr>
        <w:t xml:space="preserve">In-home and community aged care providers can access guidance for preparing for and responding to a COVID-19 outbreak on the </w:t>
      </w:r>
      <w:hyperlink r:id="rId27" w:history="1">
        <w:r w:rsidRPr="002C6972">
          <w:rPr>
            <w:rFonts w:asciiTheme="minorHAnsi" w:hAnsiTheme="minorHAnsi" w:cstheme="minorHAnsi"/>
            <w:color w:val="0563C1"/>
            <w:u w:val="single"/>
          </w:rPr>
          <w:t>Managing home care through COVID-19</w:t>
        </w:r>
      </w:hyperlink>
      <w:r w:rsidRPr="002C6972">
        <w:rPr>
          <w:rFonts w:asciiTheme="minorHAnsi" w:hAnsiTheme="minorHAnsi" w:cstheme="minorHAnsi"/>
          <w:color w:val="0563C1"/>
          <w:u w:val="single"/>
        </w:rPr>
        <w:t xml:space="preserve"> webpage.</w:t>
      </w:r>
    </w:p>
    <w:p w14:paraId="629A9195" w14:textId="77777777" w:rsidR="00466EF4" w:rsidRPr="00216DFA" w:rsidRDefault="00466EF4" w:rsidP="00216DFA">
      <w:pPr>
        <w:keepNext/>
        <w:keepLines/>
        <w:spacing w:before="120" w:after="120" w:line="250" w:lineRule="atLeast"/>
        <w:ind w:right="119"/>
        <w:outlineLvl w:val="1"/>
        <w:rPr>
          <w:rFonts w:ascii="Arial Nova" w:hAnsi="Arial Nova"/>
          <w:b/>
          <w:color w:val="538135"/>
          <w:sz w:val="32"/>
          <w:szCs w:val="32"/>
        </w:rPr>
      </w:pPr>
      <w:bookmarkStart w:id="16" w:name="_Toc101539820"/>
      <w:bookmarkStart w:id="17" w:name="_Toc102482438"/>
      <w:bookmarkStart w:id="18" w:name="_Toc104459143"/>
      <w:bookmarkStart w:id="19" w:name="_Toc108624565"/>
      <w:r w:rsidRPr="00216DFA">
        <w:rPr>
          <w:rFonts w:ascii="Arial Nova" w:hAnsi="Arial Nova"/>
          <w:b/>
          <w:color w:val="538135"/>
          <w:sz w:val="32"/>
          <w:szCs w:val="32"/>
        </w:rPr>
        <w:t>Strong Infection Prevention and Control (IPC)</w:t>
      </w:r>
      <w:bookmarkEnd w:id="16"/>
      <w:bookmarkEnd w:id="17"/>
      <w:bookmarkEnd w:id="18"/>
      <w:bookmarkEnd w:id="19"/>
    </w:p>
    <w:p w14:paraId="5ECFECCD" w14:textId="4518B87C" w:rsidR="00466EF4" w:rsidRPr="002C6972" w:rsidRDefault="00466EF4" w:rsidP="00C4159C">
      <w:pPr>
        <w:pStyle w:val="VACRCbody-landscape"/>
        <w:rPr>
          <w:rFonts w:asciiTheme="minorHAnsi" w:hAnsiTheme="minorHAnsi" w:cstheme="minorHAnsi"/>
        </w:rPr>
      </w:pPr>
      <w:r w:rsidRPr="002C6972">
        <w:rPr>
          <w:rFonts w:asciiTheme="minorHAnsi" w:hAnsiTheme="minorHAnsi" w:cstheme="minorHAnsi"/>
        </w:rPr>
        <w:t xml:space="preserve">Strong IPC capability on site at </w:t>
      </w:r>
      <w:r w:rsidR="00024C48">
        <w:rPr>
          <w:rFonts w:asciiTheme="minorHAnsi" w:hAnsiTheme="minorHAnsi" w:cstheme="minorHAnsi"/>
        </w:rPr>
        <w:t>aged care homes</w:t>
      </w:r>
      <w:r w:rsidR="00024C48" w:rsidRPr="002C6972">
        <w:rPr>
          <w:rFonts w:asciiTheme="minorHAnsi" w:hAnsiTheme="minorHAnsi" w:cstheme="minorHAnsi"/>
        </w:rPr>
        <w:t xml:space="preserve"> </w:t>
      </w:r>
      <w:r w:rsidRPr="002C6972">
        <w:rPr>
          <w:rFonts w:asciiTheme="minorHAnsi" w:hAnsiTheme="minorHAnsi" w:cstheme="minorHAnsi"/>
        </w:rPr>
        <w:t>always has a clear protective benefit; helping facilities to plan, prepare and manage outbreaks in facilities, should they occur.</w:t>
      </w:r>
    </w:p>
    <w:p w14:paraId="69BC4EFC" w14:textId="51651E5C" w:rsidR="00466EF4" w:rsidRPr="002C6972" w:rsidRDefault="00466EF4" w:rsidP="00C4159C">
      <w:pPr>
        <w:pStyle w:val="VACRCbody-landscape"/>
        <w:rPr>
          <w:rFonts w:asciiTheme="minorHAnsi" w:hAnsiTheme="minorHAnsi" w:cstheme="minorHAnsi"/>
        </w:rPr>
      </w:pPr>
      <w:r w:rsidRPr="002C6972">
        <w:rPr>
          <w:rFonts w:asciiTheme="minorHAnsi" w:hAnsiTheme="minorHAnsi" w:cstheme="minorHAnsi"/>
        </w:rPr>
        <w:t>Continued IPC vigilance in non-outbreak scenarios, including training for all staff in general IPC practices, is key to embedding a culture of stringent IPC practices.</w:t>
      </w:r>
    </w:p>
    <w:p w14:paraId="1A547CF7" w14:textId="606A568B" w:rsidR="00780E67" w:rsidRDefault="00466EF4" w:rsidP="00C4159C">
      <w:pPr>
        <w:pStyle w:val="VACRCbody-landscape"/>
      </w:pPr>
      <w:r w:rsidRPr="002C6972">
        <w:rPr>
          <w:rFonts w:asciiTheme="minorHAnsi" w:hAnsiTheme="minorHAnsi" w:cstheme="minorHAnsi"/>
        </w:rPr>
        <w:t xml:space="preserve">All </w:t>
      </w:r>
      <w:r w:rsidR="00024C48">
        <w:rPr>
          <w:rFonts w:asciiTheme="minorHAnsi" w:hAnsiTheme="minorHAnsi" w:cstheme="minorHAnsi"/>
        </w:rPr>
        <w:t>aged care homes</w:t>
      </w:r>
      <w:r w:rsidR="00024C48" w:rsidRPr="002C6972">
        <w:rPr>
          <w:rFonts w:asciiTheme="minorHAnsi" w:hAnsiTheme="minorHAnsi" w:cstheme="minorHAnsi"/>
        </w:rPr>
        <w:t xml:space="preserve"> </w:t>
      </w:r>
      <w:r w:rsidRPr="002C6972">
        <w:rPr>
          <w:rFonts w:asciiTheme="minorHAnsi" w:hAnsiTheme="minorHAnsi" w:cstheme="minorHAnsi"/>
        </w:rPr>
        <w:t xml:space="preserve">are required to have a dedicated </w:t>
      </w:r>
      <w:hyperlink r:id="rId28" w:history="1">
        <w:r w:rsidRPr="002C6972">
          <w:rPr>
            <w:rFonts w:asciiTheme="minorHAnsi" w:hAnsiTheme="minorHAnsi" w:cstheme="minorHAnsi"/>
            <w:color w:val="0563C1"/>
            <w:u w:val="single"/>
          </w:rPr>
          <w:t>IPC Lead</w:t>
        </w:r>
      </w:hyperlink>
      <w:r w:rsidRPr="002C6972">
        <w:rPr>
          <w:rFonts w:asciiTheme="minorHAnsi" w:hAnsiTheme="minorHAnsi" w:cstheme="minorHAnsi"/>
        </w:rPr>
        <w:t xml:space="preserve"> as part of their nursing staff to provide clinical leadership on site. Given their expert capability, IPC Leads should maintain strong connections in the provision of advice to facility/outbreak management leaders, to inform decisions. Further, each IPC Lead should also be encouraged to maintain good working relationships with their local Public Health Unit, as this is also an important part of maintained IPC capability.</w:t>
      </w:r>
    </w:p>
    <w:p w14:paraId="4FE9492A" w14:textId="23AC5BB3" w:rsidR="00466EF4" w:rsidRPr="002C6972" w:rsidRDefault="00024C48" w:rsidP="00F208FB">
      <w:pPr>
        <w:pStyle w:val="VACRCbody-landscape"/>
        <w:rPr>
          <w:rFonts w:asciiTheme="minorHAnsi" w:hAnsiTheme="minorHAnsi" w:cstheme="minorHAnsi"/>
          <w:szCs w:val="22"/>
        </w:rPr>
      </w:pPr>
      <w:r>
        <w:rPr>
          <w:rFonts w:asciiTheme="minorHAnsi" w:hAnsiTheme="minorHAnsi" w:cstheme="minorHAnsi"/>
          <w:szCs w:val="22"/>
        </w:rPr>
        <w:t xml:space="preserve">Aged care homes </w:t>
      </w:r>
      <w:r w:rsidR="00466EF4" w:rsidRPr="002C6972">
        <w:rPr>
          <w:rFonts w:asciiTheme="minorHAnsi" w:hAnsiTheme="minorHAnsi" w:cstheme="minorHAnsi"/>
          <w:szCs w:val="22"/>
        </w:rPr>
        <w:t xml:space="preserve">need to consider back-up mechanisms (such as additional staff more highly trained in IPC and/or remote working capabilities) </w:t>
      </w:r>
      <w:r w:rsidR="00C547CA" w:rsidRPr="002C6972">
        <w:rPr>
          <w:rFonts w:asciiTheme="minorHAnsi" w:hAnsiTheme="minorHAnsi" w:cstheme="minorHAnsi"/>
          <w:szCs w:val="22"/>
        </w:rPr>
        <w:t xml:space="preserve">should </w:t>
      </w:r>
      <w:r w:rsidR="00466EF4" w:rsidRPr="002C6972">
        <w:rPr>
          <w:rFonts w:asciiTheme="minorHAnsi" w:hAnsiTheme="minorHAnsi" w:cstheme="minorHAnsi"/>
          <w:szCs w:val="22"/>
        </w:rPr>
        <w:t xml:space="preserve">the </w:t>
      </w:r>
      <w:r w:rsidR="00C547CA">
        <w:rPr>
          <w:rFonts w:asciiTheme="minorHAnsi" w:hAnsiTheme="minorHAnsi" w:cstheme="minorHAnsi"/>
          <w:szCs w:val="22"/>
        </w:rPr>
        <w:t xml:space="preserve">aged care </w:t>
      </w:r>
      <w:r>
        <w:rPr>
          <w:rFonts w:asciiTheme="minorHAnsi" w:hAnsiTheme="minorHAnsi" w:cstheme="minorHAnsi"/>
          <w:szCs w:val="22"/>
        </w:rPr>
        <w:t>home’</w:t>
      </w:r>
      <w:r w:rsidRPr="002C6972">
        <w:rPr>
          <w:rFonts w:asciiTheme="minorHAnsi" w:hAnsiTheme="minorHAnsi" w:cstheme="minorHAnsi"/>
          <w:szCs w:val="22"/>
        </w:rPr>
        <w:t xml:space="preserve">s </w:t>
      </w:r>
      <w:r w:rsidR="00466EF4" w:rsidRPr="002C6972">
        <w:rPr>
          <w:rFonts w:asciiTheme="minorHAnsi" w:hAnsiTheme="minorHAnsi" w:cstheme="minorHAnsi"/>
          <w:szCs w:val="22"/>
        </w:rPr>
        <w:t xml:space="preserve">IPC Lead need to isolate for any reason during the outbreak. </w:t>
      </w:r>
      <w:r w:rsidR="00C547CA">
        <w:rPr>
          <w:rFonts w:asciiTheme="minorHAnsi" w:hAnsiTheme="minorHAnsi" w:cstheme="minorHAnsi"/>
          <w:szCs w:val="22"/>
        </w:rPr>
        <w:t xml:space="preserve">Aged care homes </w:t>
      </w:r>
      <w:r w:rsidR="00466EF4" w:rsidRPr="002C6972">
        <w:rPr>
          <w:rFonts w:asciiTheme="minorHAnsi" w:hAnsiTheme="minorHAnsi" w:cstheme="minorHAnsi"/>
          <w:szCs w:val="22"/>
        </w:rPr>
        <w:t>should consider training additional IPC leads to provide backup. Funding will be available during 2022-23 to pay for the costs associated with training for additional IPC Leads.</w:t>
      </w:r>
    </w:p>
    <w:p w14:paraId="453A1800" w14:textId="2646B041" w:rsidR="001707B8" w:rsidRDefault="00C547CA" w:rsidP="00216DFA">
      <w:pPr>
        <w:pStyle w:val="VACRCbody-landscape"/>
        <w:spacing w:after="240"/>
        <w:rPr>
          <w:rFonts w:asciiTheme="minorHAnsi" w:hAnsiTheme="minorHAnsi" w:cstheme="minorHAnsi"/>
          <w:szCs w:val="22"/>
        </w:rPr>
      </w:pPr>
      <w:r>
        <w:rPr>
          <w:rFonts w:asciiTheme="minorHAnsi" w:hAnsiTheme="minorHAnsi" w:cstheme="minorHAnsi"/>
          <w:szCs w:val="22"/>
        </w:rPr>
        <w:t xml:space="preserve">Aged care homes </w:t>
      </w:r>
      <w:r w:rsidR="00466EF4" w:rsidRPr="002C6972">
        <w:rPr>
          <w:rFonts w:asciiTheme="minorHAnsi" w:hAnsiTheme="minorHAnsi" w:cstheme="minorHAnsi"/>
          <w:szCs w:val="22"/>
        </w:rPr>
        <w:t xml:space="preserve">should also consider the </w:t>
      </w:r>
      <w:hyperlink r:id="rId29" w:history="1">
        <w:r w:rsidR="00466EF4" w:rsidRPr="002C6972">
          <w:rPr>
            <w:rFonts w:asciiTheme="minorHAnsi" w:hAnsiTheme="minorHAnsi" w:cstheme="minorHAnsi"/>
            <w:color w:val="0563C1"/>
            <w:szCs w:val="22"/>
            <w:u w:val="single"/>
          </w:rPr>
          <w:t>Aged Care Registered Nurses’ Payment</w:t>
        </w:r>
      </w:hyperlink>
      <w:r w:rsidR="00466EF4" w:rsidRPr="002C6972">
        <w:rPr>
          <w:rFonts w:asciiTheme="minorHAnsi" w:hAnsiTheme="minorHAnsi" w:cstheme="minorHAnsi"/>
          <w:szCs w:val="22"/>
        </w:rPr>
        <w:t xml:space="preserve"> on behalf of their IPC Lead; registered nurses who hold a post graduate qualification and/or take on take on additional leadership or training responsibilities in their workplace may be eligible.</w:t>
      </w:r>
    </w:p>
    <w:p w14:paraId="3C59314B" w14:textId="77777777" w:rsidR="001707B8" w:rsidRDefault="001707B8">
      <w:pPr>
        <w:rPr>
          <w:rFonts w:asciiTheme="minorHAnsi" w:eastAsia="Times" w:hAnsiTheme="minorHAnsi" w:cstheme="minorHAnsi"/>
          <w:sz w:val="22"/>
          <w:szCs w:val="22"/>
        </w:rPr>
      </w:pPr>
      <w:r>
        <w:rPr>
          <w:rFonts w:asciiTheme="minorHAnsi" w:hAnsiTheme="minorHAnsi" w:cstheme="minorHAnsi"/>
          <w:szCs w:val="22"/>
        </w:rPr>
        <w:br w:type="page"/>
      </w:r>
    </w:p>
    <w:p w14:paraId="27483213" w14:textId="77777777" w:rsidR="00693556" w:rsidRPr="002C6972" w:rsidRDefault="00693556" w:rsidP="00F208FB">
      <w:pPr>
        <w:pStyle w:val="VACRCbody-landscape"/>
        <w:shd w:val="clear" w:color="auto" w:fill="D9EAD3"/>
        <w:rPr>
          <w:rFonts w:asciiTheme="minorHAnsi" w:hAnsiTheme="minorHAnsi" w:cstheme="minorHAnsi"/>
          <w:b/>
          <w:bCs/>
          <w:szCs w:val="22"/>
        </w:rPr>
      </w:pPr>
      <w:r w:rsidRPr="002C6972">
        <w:rPr>
          <w:rFonts w:asciiTheme="minorHAnsi" w:hAnsiTheme="minorHAnsi" w:cstheme="minorHAnsi"/>
          <w:b/>
          <w:bCs/>
          <w:szCs w:val="22"/>
        </w:rPr>
        <w:lastRenderedPageBreak/>
        <w:t>Provider considerations</w:t>
      </w:r>
    </w:p>
    <w:p w14:paraId="33A09C33" w14:textId="5CF96871" w:rsidR="00693556" w:rsidRPr="002C6972" w:rsidRDefault="00693556" w:rsidP="00F208FB">
      <w:pPr>
        <w:pStyle w:val="VACRCbody-landscape"/>
        <w:shd w:val="clear" w:color="auto" w:fill="D9EAD3"/>
        <w:rPr>
          <w:rFonts w:asciiTheme="minorHAnsi" w:hAnsiTheme="minorHAnsi" w:cstheme="minorHAnsi"/>
          <w:szCs w:val="22"/>
        </w:rPr>
      </w:pPr>
      <w:r w:rsidRPr="002C6972">
        <w:rPr>
          <w:rFonts w:asciiTheme="minorHAnsi" w:hAnsiTheme="minorHAnsi" w:cstheme="minorHAnsi"/>
          <w:szCs w:val="22"/>
        </w:rPr>
        <w:t>Maintaining effective IPC is essential for all aged care services – including those provided in</w:t>
      </w:r>
      <w:r w:rsidRPr="002C6972">
        <w:rPr>
          <w:rFonts w:asciiTheme="minorHAnsi" w:hAnsiTheme="minorHAnsi" w:cstheme="minorHAnsi"/>
          <w:szCs w:val="22"/>
        </w:rPr>
        <w:noBreakHyphen/>
        <w:t xml:space="preserve">home and in the community. Providers should ensure their staff are familiar with current guidelines on IPC including: </w:t>
      </w:r>
    </w:p>
    <w:p w14:paraId="7D562081" w14:textId="00E4795F" w:rsidR="00693556" w:rsidRPr="002C6972" w:rsidRDefault="00E35DE8" w:rsidP="001707B8">
      <w:pPr>
        <w:pStyle w:val="VACRCbody-landscape"/>
        <w:numPr>
          <w:ilvl w:val="0"/>
          <w:numId w:val="22"/>
        </w:numPr>
        <w:shd w:val="clear" w:color="auto" w:fill="D9EAD3"/>
        <w:rPr>
          <w:rFonts w:asciiTheme="minorHAnsi" w:hAnsiTheme="minorHAnsi" w:cstheme="minorHAnsi"/>
          <w:szCs w:val="22"/>
        </w:rPr>
      </w:pPr>
      <w:hyperlink r:id="rId30" w:anchor="icegendorsed-infection-control-guidance" w:history="1">
        <w:r w:rsidR="00693556" w:rsidRPr="002C6972">
          <w:rPr>
            <w:rFonts w:asciiTheme="minorHAnsi" w:hAnsiTheme="minorHAnsi" w:cstheme="minorHAnsi"/>
            <w:color w:val="007DC3" w:themeColor="hyperlink"/>
            <w:szCs w:val="22"/>
          </w:rPr>
          <w:t>ICEG-endorsed infection control guidance</w:t>
        </w:r>
      </w:hyperlink>
      <w:r w:rsidR="00693556" w:rsidRPr="002C6972">
        <w:rPr>
          <w:rFonts w:asciiTheme="minorHAnsi" w:hAnsiTheme="minorHAnsi" w:cstheme="minorHAnsi"/>
          <w:color w:val="007DC3" w:themeColor="hyperlink"/>
          <w:szCs w:val="22"/>
        </w:rPr>
        <w:t xml:space="preserve"> </w:t>
      </w:r>
      <w:r w:rsidR="00693556" w:rsidRPr="002C6972">
        <w:rPr>
          <w:rFonts w:asciiTheme="minorHAnsi" w:hAnsiTheme="minorHAnsi" w:cstheme="minorHAnsi"/>
          <w:szCs w:val="22"/>
        </w:rPr>
        <w:t xml:space="preserve">specifically for </w:t>
      </w:r>
      <w:r w:rsidR="00C547CA">
        <w:rPr>
          <w:rFonts w:asciiTheme="minorHAnsi" w:hAnsiTheme="minorHAnsi" w:cstheme="minorHAnsi"/>
          <w:szCs w:val="22"/>
        </w:rPr>
        <w:t>aged care homes</w:t>
      </w:r>
      <w:r w:rsidR="00693556" w:rsidRPr="002C6972">
        <w:rPr>
          <w:rFonts w:asciiTheme="minorHAnsi" w:hAnsiTheme="minorHAnsi" w:cstheme="minorHAnsi"/>
          <w:szCs w:val="22"/>
        </w:rPr>
        <w:t>, as well as personal protective equipment guidance and advice on environmental cleaning in community settings which in</w:t>
      </w:r>
      <w:r w:rsidR="00693556" w:rsidRPr="002C6972">
        <w:rPr>
          <w:rFonts w:asciiTheme="minorHAnsi" w:hAnsiTheme="minorHAnsi" w:cstheme="minorHAnsi"/>
          <w:szCs w:val="22"/>
        </w:rPr>
        <w:noBreakHyphen/>
        <w:t>home aged care providers may review.</w:t>
      </w:r>
    </w:p>
    <w:p w14:paraId="22210E1D" w14:textId="14368DB7" w:rsidR="00693556" w:rsidRPr="002C6972" w:rsidRDefault="00693556" w:rsidP="001707B8">
      <w:pPr>
        <w:pStyle w:val="VACRCbody-landscape"/>
        <w:numPr>
          <w:ilvl w:val="0"/>
          <w:numId w:val="22"/>
        </w:numPr>
        <w:shd w:val="clear" w:color="auto" w:fill="D9EAD3"/>
        <w:rPr>
          <w:rFonts w:asciiTheme="minorHAnsi" w:hAnsiTheme="minorHAnsi" w:cstheme="minorHAnsi"/>
          <w:szCs w:val="22"/>
        </w:rPr>
      </w:pPr>
      <w:r w:rsidRPr="008111E9">
        <w:rPr>
          <w:rFonts w:asciiTheme="minorHAnsi" w:hAnsiTheme="minorHAnsi" w:cstheme="minorHAnsi"/>
          <w:szCs w:val="22"/>
        </w:rPr>
        <w:t>CDNA</w:t>
      </w:r>
      <w:r w:rsidRPr="002C6972">
        <w:rPr>
          <w:rFonts w:asciiTheme="minorHAnsi" w:hAnsiTheme="minorHAnsi" w:cstheme="minorHAnsi"/>
          <w:szCs w:val="22"/>
        </w:rPr>
        <w:t xml:space="preserve"> </w:t>
      </w:r>
      <w:hyperlink r:id="rId31" w:history="1">
        <w:r w:rsidR="00B64C5F" w:rsidRPr="00B64C5F">
          <w:rPr>
            <w:rStyle w:val="Hyperlink"/>
            <w:rFonts w:asciiTheme="minorHAnsi" w:hAnsiTheme="minorHAnsi" w:cstheme="minorHAnsi"/>
          </w:rPr>
          <w:t>national guidelines for the prevention, control and public health management of COVID-19 outbreaks in residential care facilities in Australia</w:t>
        </w:r>
      </w:hyperlink>
      <w:r w:rsidR="00B64C5F">
        <w:rPr>
          <w:rFonts w:asciiTheme="minorHAnsi" w:hAnsiTheme="minorHAnsi" w:cstheme="minorHAnsi"/>
        </w:rPr>
        <w:t xml:space="preserve">. </w:t>
      </w:r>
      <w:r w:rsidRPr="002C6972">
        <w:rPr>
          <w:rFonts w:asciiTheme="minorHAnsi" w:hAnsiTheme="minorHAnsi" w:cstheme="minorHAnsi"/>
          <w:szCs w:val="22"/>
        </w:rPr>
        <w:t>While there are no national guidelines for home care, these guidelines can be adapted for the in-home and community aged care sector.</w:t>
      </w:r>
    </w:p>
    <w:p w14:paraId="1E81510E" w14:textId="486656C6" w:rsidR="00693556" w:rsidRPr="002C6972" w:rsidRDefault="00693556" w:rsidP="00F208FB">
      <w:pPr>
        <w:pStyle w:val="VACRCbody-landscape"/>
        <w:shd w:val="clear" w:color="auto" w:fill="D9EAD3"/>
        <w:rPr>
          <w:rFonts w:asciiTheme="minorHAnsi" w:hAnsiTheme="minorHAnsi" w:cstheme="minorHAnsi"/>
          <w:szCs w:val="22"/>
        </w:rPr>
      </w:pPr>
      <w:r w:rsidRPr="002C6972">
        <w:rPr>
          <w:rFonts w:asciiTheme="minorHAnsi" w:hAnsiTheme="minorHAnsi" w:cstheme="minorHAnsi"/>
          <w:szCs w:val="22"/>
        </w:rPr>
        <w:t xml:space="preserve">In-home and community aged care providers can also refer to their </w:t>
      </w:r>
      <w:proofErr w:type="gramStart"/>
      <w:r w:rsidR="004300D3" w:rsidRPr="002C6972">
        <w:rPr>
          <w:rFonts w:asciiTheme="minorHAnsi" w:hAnsiTheme="minorHAnsi" w:cstheme="minorHAnsi"/>
          <w:szCs w:val="22"/>
        </w:rPr>
        <w:t>up-to-date</w:t>
      </w:r>
      <w:proofErr w:type="gramEnd"/>
      <w:r w:rsidRPr="002C6972">
        <w:rPr>
          <w:rFonts w:asciiTheme="minorHAnsi" w:hAnsiTheme="minorHAnsi" w:cstheme="minorHAnsi"/>
          <w:szCs w:val="22"/>
        </w:rPr>
        <w:t xml:space="preserve"> COVID Safe Plan, the Activity Continuity Plans for</w:t>
      </w:r>
      <w:r w:rsidR="00D97A74" w:rsidRPr="002C6972">
        <w:rPr>
          <w:rFonts w:asciiTheme="minorHAnsi" w:hAnsiTheme="minorHAnsi" w:cstheme="minorHAnsi"/>
          <w:szCs w:val="22"/>
        </w:rPr>
        <w:t xml:space="preserve"> Commonwealth Home Support Programme</w:t>
      </w:r>
      <w:r w:rsidRPr="002C6972">
        <w:rPr>
          <w:rFonts w:asciiTheme="minorHAnsi" w:hAnsiTheme="minorHAnsi" w:cstheme="minorHAnsi"/>
          <w:szCs w:val="22"/>
        </w:rPr>
        <w:t xml:space="preserve"> </w:t>
      </w:r>
      <w:r w:rsidR="00D97A74" w:rsidRPr="002C6972">
        <w:rPr>
          <w:rFonts w:asciiTheme="minorHAnsi" w:hAnsiTheme="minorHAnsi" w:cstheme="minorHAnsi"/>
          <w:szCs w:val="22"/>
        </w:rPr>
        <w:t>(</w:t>
      </w:r>
      <w:r w:rsidRPr="002C6972">
        <w:rPr>
          <w:rFonts w:asciiTheme="minorHAnsi" w:hAnsiTheme="minorHAnsi" w:cstheme="minorHAnsi"/>
          <w:szCs w:val="22"/>
        </w:rPr>
        <w:t>CHSP</w:t>
      </w:r>
      <w:r w:rsidR="00D97A74" w:rsidRPr="002C6972">
        <w:rPr>
          <w:rFonts w:asciiTheme="minorHAnsi" w:hAnsiTheme="minorHAnsi" w:cstheme="minorHAnsi"/>
          <w:szCs w:val="22"/>
        </w:rPr>
        <w:t>)</w:t>
      </w:r>
      <w:r w:rsidRPr="002C6972">
        <w:rPr>
          <w:rFonts w:asciiTheme="minorHAnsi" w:hAnsiTheme="minorHAnsi" w:cstheme="minorHAnsi"/>
          <w:szCs w:val="22"/>
        </w:rPr>
        <w:t xml:space="preserve"> providers and the emergency care plans for each </w:t>
      </w:r>
      <w:r w:rsidR="00C547CA" w:rsidRPr="002C6972">
        <w:rPr>
          <w:rFonts w:asciiTheme="minorHAnsi" w:hAnsiTheme="minorHAnsi" w:cstheme="minorHAnsi"/>
          <w:szCs w:val="22"/>
        </w:rPr>
        <w:t xml:space="preserve">Home Care Package </w:t>
      </w:r>
      <w:r w:rsidRPr="002C6972">
        <w:rPr>
          <w:rFonts w:asciiTheme="minorHAnsi" w:hAnsiTheme="minorHAnsi" w:cstheme="minorHAnsi"/>
          <w:szCs w:val="22"/>
        </w:rPr>
        <w:t xml:space="preserve">care recipient. </w:t>
      </w:r>
    </w:p>
    <w:p w14:paraId="44130F3E" w14:textId="1F5EE490" w:rsidR="00466EF4" w:rsidRPr="002C6972" w:rsidRDefault="00693556" w:rsidP="005800E6">
      <w:pPr>
        <w:pStyle w:val="VACRCbody-landscape"/>
        <w:shd w:val="clear" w:color="auto" w:fill="D9EAD3"/>
        <w:spacing w:after="160"/>
        <w:rPr>
          <w:rFonts w:asciiTheme="minorHAnsi" w:hAnsiTheme="minorHAnsi" w:cstheme="minorHAnsi"/>
          <w:szCs w:val="22"/>
        </w:rPr>
      </w:pPr>
      <w:r w:rsidRPr="002C6972">
        <w:rPr>
          <w:rFonts w:asciiTheme="minorHAnsi" w:hAnsiTheme="minorHAnsi" w:cstheme="minorHAnsi"/>
          <w:szCs w:val="22"/>
        </w:rPr>
        <w:t>Providers must ensure staff training, including that related to IPC, is up to date and remains contemporary, and support staff to take up additional training as needed. Facility staff should draw upon the expertise of the IPC Lead to assist them to enact suitable IPC procedures and improve their knowledge. Where appropriate, providers should consider additional or refresher IPC training for staff to support potential outbreak management situations.</w:t>
      </w:r>
    </w:p>
    <w:p w14:paraId="18CF8310" w14:textId="77777777" w:rsidR="00AB4BDC" w:rsidRPr="00216DFA" w:rsidRDefault="00AB4BDC" w:rsidP="00216DFA">
      <w:pPr>
        <w:keepNext/>
        <w:keepLines/>
        <w:spacing w:before="120" w:after="120" w:line="250" w:lineRule="atLeast"/>
        <w:ind w:right="119"/>
        <w:outlineLvl w:val="1"/>
        <w:rPr>
          <w:rFonts w:ascii="Arial Nova" w:hAnsi="Arial Nova"/>
          <w:b/>
          <w:color w:val="538135"/>
          <w:sz w:val="32"/>
          <w:szCs w:val="32"/>
        </w:rPr>
      </w:pPr>
      <w:bookmarkStart w:id="20" w:name="_Toc104459144"/>
      <w:bookmarkStart w:id="21" w:name="_Toc108624566"/>
      <w:r w:rsidRPr="00216DFA">
        <w:rPr>
          <w:rFonts w:ascii="Arial Nova" w:hAnsi="Arial Nova"/>
          <w:b/>
          <w:color w:val="538135"/>
          <w:sz w:val="32"/>
          <w:szCs w:val="32"/>
        </w:rPr>
        <w:t>Vaccination</w:t>
      </w:r>
      <w:bookmarkEnd w:id="20"/>
      <w:bookmarkEnd w:id="21"/>
    </w:p>
    <w:p w14:paraId="6BE3C02C" w14:textId="00011F0A" w:rsidR="00AB4BDC" w:rsidRPr="002C6972" w:rsidRDefault="00AB4BDC" w:rsidP="00F208FB">
      <w:pPr>
        <w:pStyle w:val="VACRCbody-landscape"/>
        <w:rPr>
          <w:rFonts w:asciiTheme="minorHAnsi" w:hAnsiTheme="minorHAnsi" w:cstheme="minorHAnsi"/>
        </w:rPr>
      </w:pPr>
      <w:r w:rsidRPr="002C6972">
        <w:rPr>
          <w:rFonts w:asciiTheme="minorHAnsi" w:hAnsiTheme="minorHAnsi" w:cstheme="minorHAnsi"/>
        </w:rPr>
        <w:t>The Commonwealth residential aged care COVID-19 vaccination program is delivering in-reach COVID-19 vaccine services for aged care residents,</w:t>
      </w:r>
      <w:r w:rsidRPr="002C6972" w:rsidDel="00C508D8">
        <w:rPr>
          <w:rFonts w:asciiTheme="minorHAnsi" w:hAnsiTheme="minorHAnsi" w:cstheme="minorHAnsi"/>
        </w:rPr>
        <w:t xml:space="preserve"> </w:t>
      </w:r>
      <w:r w:rsidRPr="002C6972">
        <w:rPr>
          <w:rFonts w:asciiTheme="minorHAnsi" w:hAnsiTheme="minorHAnsi" w:cstheme="minorHAnsi"/>
        </w:rPr>
        <w:t>staff and volunteers across Australia. COVID-19 vaccinations are delivered by Commonwealth vaccine providers, primary care providers or self-vaccination services by aged care providers.</w:t>
      </w:r>
    </w:p>
    <w:p w14:paraId="1B503D24" w14:textId="3B50773C" w:rsidR="00AB4BDC" w:rsidRPr="002C6972" w:rsidRDefault="00AB4BDC" w:rsidP="00F208FB">
      <w:pPr>
        <w:pStyle w:val="VACRCbody-landscape"/>
        <w:rPr>
          <w:rFonts w:asciiTheme="minorHAnsi" w:hAnsiTheme="minorHAnsi" w:cstheme="minorHAnsi"/>
        </w:rPr>
      </w:pPr>
      <w:r w:rsidRPr="002C6972">
        <w:rPr>
          <w:rFonts w:asciiTheme="minorHAnsi" w:hAnsiTheme="minorHAnsi" w:cstheme="minorHAnsi"/>
        </w:rPr>
        <w:t>Access to Influenza vaccinations occur</w:t>
      </w:r>
      <w:r w:rsidR="00303475">
        <w:rPr>
          <w:rFonts w:asciiTheme="minorHAnsi" w:hAnsiTheme="minorHAnsi" w:cstheme="minorHAnsi"/>
        </w:rPr>
        <w:t>s</w:t>
      </w:r>
      <w:r w:rsidRPr="002C6972">
        <w:rPr>
          <w:rFonts w:asciiTheme="minorHAnsi" w:hAnsiTheme="minorHAnsi" w:cstheme="minorHAnsi"/>
        </w:rPr>
        <w:t xml:space="preserve"> through a range of channels. Free influenza vaccines are available for people eligible under the National Immunisation Program, including those aged 65 years and over. Vaccine availability commenced in the week starting Monday 4</w:t>
      </w:r>
      <w:r w:rsidR="00660BCA">
        <w:rPr>
          <w:rFonts w:asciiTheme="minorHAnsi" w:hAnsiTheme="minorHAnsi" w:cstheme="minorHAnsi"/>
        </w:rPr>
        <w:t xml:space="preserve"> </w:t>
      </w:r>
      <w:r w:rsidRPr="002C6972">
        <w:rPr>
          <w:rFonts w:asciiTheme="minorHAnsi" w:hAnsiTheme="minorHAnsi" w:cstheme="minorHAnsi"/>
        </w:rPr>
        <w:t>April 2022, subject to local supply arrangements in each state.</w:t>
      </w:r>
    </w:p>
    <w:p w14:paraId="704649F1" w14:textId="77777777" w:rsidR="00AB4BDC" w:rsidRPr="002C6972" w:rsidRDefault="00AB4BDC" w:rsidP="00F208FB">
      <w:pPr>
        <w:pStyle w:val="VACRCbody-landscape"/>
        <w:rPr>
          <w:rFonts w:asciiTheme="minorHAnsi" w:eastAsia="Calibri" w:hAnsiTheme="minorHAnsi" w:cstheme="minorHAnsi"/>
        </w:rPr>
      </w:pPr>
      <w:r w:rsidRPr="002C6972">
        <w:rPr>
          <w:rFonts w:asciiTheme="minorHAnsi" w:eastAsia="Calibri" w:hAnsiTheme="minorHAnsi" w:cstheme="minorHAnsi"/>
        </w:rPr>
        <w:t>Aged care providers should facilitate vaccination for their residents and staff through their existing vaccination providers such as general practitioner or authorised vaccination services.</w:t>
      </w:r>
    </w:p>
    <w:p w14:paraId="34965739" w14:textId="053EB72A" w:rsidR="00E36B4F" w:rsidRPr="003D1044" w:rsidRDefault="00AB4BDC" w:rsidP="00F208FB">
      <w:pPr>
        <w:pStyle w:val="VACRCbody-landscape"/>
      </w:pPr>
      <w:r w:rsidRPr="002C6972">
        <w:rPr>
          <w:rFonts w:asciiTheme="minorHAnsi" w:hAnsiTheme="minorHAnsi" w:cstheme="minorHAnsi"/>
        </w:rPr>
        <w:t xml:space="preserve">Residential aged care providers are required under section 8 of the </w:t>
      </w:r>
      <w:hyperlink r:id="rId32" w:history="1">
        <w:r w:rsidRPr="002C6972">
          <w:rPr>
            <w:rFonts w:asciiTheme="minorHAnsi" w:eastAsia="Calibri" w:hAnsiTheme="minorHAnsi" w:cstheme="minorHAnsi"/>
            <w:color w:val="0563C1"/>
            <w:u w:val="single"/>
          </w:rPr>
          <w:t>Quality of Care Principles 2014</w:t>
        </w:r>
      </w:hyperlink>
      <w:r w:rsidRPr="002C6972">
        <w:rPr>
          <w:rFonts w:asciiTheme="minorHAnsi" w:eastAsia="Calibri" w:hAnsiTheme="minorHAnsi" w:cstheme="minorHAnsi"/>
          <w:color w:val="0563C1"/>
          <w:u w:val="single"/>
        </w:rPr>
        <w:t xml:space="preserve"> </w:t>
      </w:r>
      <w:r w:rsidRPr="002C6972">
        <w:rPr>
          <w:rFonts w:asciiTheme="minorHAnsi" w:hAnsiTheme="minorHAnsi" w:cstheme="minorHAnsi"/>
        </w:rPr>
        <w:t xml:space="preserve">to provide staff with access to annual influenza vaccinations for free. Providers are also required under section 10A of the </w:t>
      </w:r>
      <w:hyperlink r:id="rId33" w:history="1">
        <w:r w:rsidRPr="002C6972">
          <w:rPr>
            <w:rFonts w:asciiTheme="minorHAnsi" w:eastAsia="Calibri" w:hAnsiTheme="minorHAnsi" w:cstheme="minorHAnsi"/>
            <w:color w:val="0563C1"/>
            <w:u w:val="single"/>
          </w:rPr>
          <w:t>Records Principles 2014</w:t>
        </w:r>
      </w:hyperlink>
      <w:r w:rsidRPr="002C6972">
        <w:rPr>
          <w:rFonts w:asciiTheme="minorHAnsi" w:eastAsia="Calibri" w:hAnsiTheme="minorHAnsi" w:cstheme="minorHAnsi"/>
          <w:color w:val="0563C1"/>
          <w:u w:val="single"/>
        </w:rPr>
        <w:t xml:space="preserve"> </w:t>
      </w:r>
      <w:r w:rsidRPr="002C6972">
        <w:rPr>
          <w:rFonts w:asciiTheme="minorHAnsi" w:hAnsiTheme="minorHAnsi" w:cstheme="minorHAnsi"/>
        </w:rPr>
        <w:t>to keep records of the number of staff who have received the influenza vaccination, and if it was received through their vaccination program.</w:t>
      </w:r>
    </w:p>
    <w:p w14:paraId="38DBD8A4" w14:textId="18FB0082" w:rsidR="00E12E25" w:rsidRPr="002C6972" w:rsidRDefault="00E12E25" w:rsidP="00E12E25">
      <w:pPr>
        <w:spacing w:after="160" w:line="259" w:lineRule="auto"/>
        <w:rPr>
          <w:rFonts w:asciiTheme="minorHAnsi" w:hAnsiTheme="minorHAnsi" w:cstheme="minorHAnsi"/>
          <w:sz w:val="22"/>
          <w:szCs w:val="22"/>
        </w:rPr>
      </w:pPr>
      <w:r w:rsidRPr="002C6972">
        <w:rPr>
          <w:rFonts w:asciiTheme="minorHAnsi" w:eastAsia="Calibri" w:hAnsiTheme="minorHAnsi" w:cstheme="minorHAnsi"/>
          <w:sz w:val="22"/>
          <w:szCs w:val="22"/>
        </w:rPr>
        <w:t xml:space="preserve">All state and territory governments, through public health directions, have required mandatory COVID-19 vaccination for aged care staff. Providers should ensure that their staff are compliant with these requirements </w:t>
      </w:r>
      <w:r w:rsidR="00303475">
        <w:rPr>
          <w:rFonts w:asciiTheme="minorHAnsi" w:eastAsia="Calibri" w:hAnsiTheme="minorHAnsi" w:cstheme="minorHAnsi"/>
          <w:sz w:val="22"/>
          <w:szCs w:val="22"/>
        </w:rPr>
        <w:t>if/whilst</w:t>
      </w:r>
      <w:r w:rsidRPr="002C6972">
        <w:rPr>
          <w:rFonts w:asciiTheme="minorHAnsi" w:eastAsia="Calibri" w:hAnsiTheme="minorHAnsi" w:cstheme="minorHAnsi"/>
          <w:sz w:val="22"/>
          <w:szCs w:val="22"/>
        </w:rPr>
        <w:t xml:space="preserve"> in force.</w:t>
      </w:r>
    </w:p>
    <w:p w14:paraId="6512E052" w14:textId="191BC8DE" w:rsidR="00D972B3" w:rsidRDefault="00E12E25" w:rsidP="00E12E25">
      <w:pPr>
        <w:spacing w:after="160" w:line="259" w:lineRule="auto"/>
        <w:rPr>
          <w:rFonts w:asciiTheme="minorHAnsi" w:hAnsiTheme="minorHAnsi" w:cstheme="minorHAnsi"/>
          <w:sz w:val="22"/>
          <w:szCs w:val="22"/>
        </w:rPr>
      </w:pPr>
      <w:r w:rsidRPr="002C6972">
        <w:rPr>
          <w:rFonts w:asciiTheme="minorHAnsi" w:hAnsiTheme="minorHAnsi" w:cstheme="minorHAnsi"/>
          <w:sz w:val="22"/>
          <w:szCs w:val="22"/>
        </w:rPr>
        <w:t xml:space="preserve">Providers should remain aware of any vaccine mandates for entry and visitor restrictions in </w:t>
      </w:r>
      <w:r w:rsidR="00C547CA">
        <w:rPr>
          <w:rFonts w:asciiTheme="minorHAnsi" w:hAnsiTheme="minorHAnsi" w:cstheme="minorHAnsi"/>
          <w:sz w:val="22"/>
          <w:szCs w:val="22"/>
        </w:rPr>
        <w:t>aged care homes</w:t>
      </w:r>
      <w:r w:rsidR="00C547CA" w:rsidRPr="002C6972">
        <w:rPr>
          <w:rFonts w:asciiTheme="minorHAnsi" w:hAnsiTheme="minorHAnsi" w:cstheme="minorHAnsi"/>
          <w:sz w:val="22"/>
          <w:szCs w:val="22"/>
        </w:rPr>
        <w:t xml:space="preserve"> </w:t>
      </w:r>
      <w:r w:rsidRPr="002C6972">
        <w:rPr>
          <w:rFonts w:asciiTheme="minorHAnsi" w:hAnsiTheme="minorHAnsi" w:cstheme="minorHAnsi"/>
          <w:sz w:val="22"/>
          <w:szCs w:val="22"/>
        </w:rPr>
        <w:t>– these can vary depending on where your facility is located. Jurisdictions previously adopted mandatory requirements using public health orders for influenza vaccinations in 2020 and 2021 for aged care staff and visitors as part of their public health response to the management of COVID-19. Some of these arrangements are still in place or may be reintroduced in some jurisdictions.</w:t>
      </w:r>
    </w:p>
    <w:p w14:paraId="0EFB67FB" w14:textId="77777777" w:rsidR="00D972B3" w:rsidRDefault="00D972B3">
      <w:pPr>
        <w:rPr>
          <w:rFonts w:asciiTheme="minorHAnsi" w:hAnsiTheme="minorHAnsi" w:cstheme="minorHAnsi"/>
          <w:sz w:val="22"/>
          <w:szCs w:val="22"/>
        </w:rPr>
      </w:pPr>
      <w:r>
        <w:rPr>
          <w:rFonts w:asciiTheme="minorHAnsi" w:hAnsiTheme="minorHAnsi" w:cstheme="minorHAnsi"/>
          <w:sz w:val="22"/>
          <w:szCs w:val="22"/>
        </w:rPr>
        <w:br w:type="page"/>
      </w:r>
    </w:p>
    <w:p w14:paraId="20349457" w14:textId="77777777" w:rsidR="00E12E25" w:rsidRPr="00216DFA" w:rsidRDefault="00E12E25" w:rsidP="00216DFA">
      <w:pPr>
        <w:keepNext/>
        <w:keepLines/>
        <w:spacing w:before="120" w:after="120" w:line="250" w:lineRule="atLeast"/>
        <w:ind w:right="119"/>
        <w:outlineLvl w:val="1"/>
        <w:rPr>
          <w:rFonts w:ascii="Arial Nova" w:hAnsi="Arial Nova"/>
          <w:b/>
          <w:color w:val="538135"/>
          <w:sz w:val="32"/>
          <w:szCs w:val="32"/>
        </w:rPr>
      </w:pPr>
      <w:bookmarkStart w:id="22" w:name="_Toc104459145"/>
      <w:bookmarkStart w:id="23" w:name="_Toc108624567"/>
      <w:r w:rsidRPr="00216DFA">
        <w:rPr>
          <w:rFonts w:ascii="Arial Nova" w:hAnsi="Arial Nova"/>
          <w:b/>
          <w:color w:val="538135"/>
          <w:sz w:val="32"/>
          <w:szCs w:val="32"/>
        </w:rPr>
        <w:lastRenderedPageBreak/>
        <w:t>Pre-deployment of essential resources</w:t>
      </w:r>
      <w:bookmarkEnd w:id="22"/>
      <w:bookmarkEnd w:id="23"/>
    </w:p>
    <w:p w14:paraId="1C2B8C53" w14:textId="77777777" w:rsidR="00E12E25" w:rsidRPr="002C6972" w:rsidRDefault="00E12E25" w:rsidP="00216DFA">
      <w:pPr>
        <w:spacing w:after="160" w:line="259" w:lineRule="auto"/>
        <w:rPr>
          <w:rFonts w:asciiTheme="minorHAnsi" w:eastAsia="Calibri" w:hAnsiTheme="minorHAnsi" w:cstheme="minorHAnsi"/>
          <w:sz w:val="22"/>
          <w:szCs w:val="22"/>
        </w:rPr>
      </w:pPr>
      <w:r w:rsidRPr="002C6972">
        <w:rPr>
          <w:rFonts w:asciiTheme="minorHAnsi" w:eastAsia="Calibri" w:hAnsiTheme="minorHAnsi" w:cstheme="minorHAnsi"/>
          <w:sz w:val="22"/>
          <w:szCs w:val="22"/>
        </w:rPr>
        <w:t>Access to a sufficient supply (and correct use of) appropriate equipment and resources is key to successful outbreak preparation and response. Providers should ensure they have adequate supplies of PPE and other essential supplies sourced through existing commercial means, and that these supplies are replenished during and post outbreak to maintain a state of readiness.</w:t>
      </w:r>
    </w:p>
    <w:p w14:paraId="4DB300E7" w14:textId="5BD91FCA" w:rsidR="00E12E25" w:rsidRPr="002C6972" w:rsidRDefault="00E12E25" w:rsidP="00216DFA">
      <w:pPr>
        <w:spacing w:after="160" w:line="259" w:lineRule="auto"/>
        <w:rPr>
          <w:rFonts w:asciiTheme="minorHAnsi" w:eastAsia="Calibri" w:hAnsiTheme="minorHAnsi" w:cstheme="minorHAnsi"/>
          <w:sz w:val="22"/>
          <w:szCs w:val="22"/>
        </w:rPr>
      </w:pPr>
      <w:r w:rsidRPr="002C6972">
        <w:rPr>
          <w:rFonts w:asciiTheme="minorHAnsi" w:eastAsia="Calibri" w:hAnsiTheme="minorHAnsi" w:cstheme="minorHAnsi"/>
          <w:sz w:val="22"/>
          <w:szCs w:val="22"/>
        </w:rPr>
        <w:t xml:space="preserve">Pre-deploying resources provides assurances that providers have adequate supplies on hand in the event they are impacted by outbreaks of COVID-19. The </w:t>
      </w:r>
      <w:r w:rsidR="002F7B35">
        <w:rPr>
          <w:rFonts w:asciiTheme="minorHAnsi" w:eastAsia="Calibri" w:hAnsiTheme="minorHAnsi" w:cstheme="minorHAnsi"/>
          <w:sz w:val="22"/>
          <w:szCs w:val="22"/>
        </w:rPr>
        <w:t>D</w:t>
      </w:r>
      <w:r w:rsidR="00626E0D" w:rsidRPr="002C6972">
        <w:rPr>
          <w:rFonts w:asciiTheme="minorHAnsi" w:eastAsia="Calibri" w:hAnsiTheme="minorHAnsi" w:cstheme="minorHAnsi"/>
          <w:sz w:val="22"/>
          <w:szCs w:val="22"/>
        </w:rPr>
        <w:t xml:space="preserve">epartment </w:t>
      </w:r>
      <w:r w:rsidRPr="002C6972">
        <w:rPr>
          <w:rFonts w:asciiTheme="minorHAnsi" w:eastAsia="Calibri" w:hAnsiTheme="minorHAnsi" w:cstheme="minorHAnsi"/>
          <w:sz w:val="22"/>
          <w:szCs w:val="22"/>
        </w:rPr>
        <w:t>has pre</w:t>
      </w:r>
      <w:r w:rsidRPr="002C6972">
        <w:rPr>
          <w:rFonts w:asciiTheme="minorHAnsi" w:eastAsia="Calibri" w:hAnsiTheme="minorHAnsi" w:cstheme="minorHAnsi"/>
          <w:sz w:val="22"/>
          <w:szCs w:val="22"/>
        </w:rPr>
        <w:noBreakHyphen/>
        <w:t>position</w:t>
      </w:r>
      <w:r w:rsidR="002F7B35">
        <w:rPr>
          <w:rFonts w:asciiTheme="minorHAnsi" w:eastAsia="Calibri" w:hAnsiTheme="minorHAnsi" w:cstheme="minorHAnsi"/>
          <w:sz w:val="22"/>
          <w:szCs w:val="22"/>
        </w:rPr>
        <w:t>ed</w:t>
      </w:r>
      <w:r w:rsidRPr="002C6972">
        <w:rPr>
          <w:rFonts w:asciiTheme="minorHAnsi" w:eastAsia="Calibri" w:hAnsiTheme="minorHAnsi" w:cstheme="minorHAnsi"/>
          <w:sz w:val="22"/>
          <w:szCs w:val="22"/>
        </w:rPr>
        <w:t xml:space="preserve"> these resources so that RACFs can immediately respond once cases are identified. This reduces the risk of delays in receiving additional supplies through their usual commercial channels (or via the National Medical Stockpile (NMS) if these are exhausted).</w:t>
      </w:r>
    </w:p>
    <w:p w14:paraId="673672F6" w14:textId="77777777" w:rsidR="00E12E25" w:rsidRPr="002C6972" w:rsidRDefault="00E12E25" w:rsidP="00216DFA">
      <w:pPr>
        <w:spacing w:after="160" w:line="259" w:lineRule="auto"/>
        <w:rPr>
          <w:rFonts w:asciiTheme="minorHAnsi" w:eastAsia="Calibri" w:hAnsiTheme="minorHAnsi" w:cstheme="minorHAnsi"/>
          <w:sz w:val="22"/>
          <w:szCs w:val="22"/>
        </w:rPr>
      </w:pPr>
      <w:r w:rsidRPr="002C6972">
        <w:rPr>
          <w:rFonts w:asciiTheme="minorHAnsi" w:eastAsia="Calibri" w:hAnsiTheme="minorHAnsi" w:cstheme="minorHAnsi"/>
          <w:sz w:val="22"/>
          <w:szCs w:val="22"/>
        </w:rPr>
        <w:t>The pre-deployment of resources is not intended to replace standard supply chains utilised by providers or providers securing their own resources, rather it reduces the impacts of supply shortages within the private market and the delays in shipping that may result from increased demand during the winter period.</w:t>
      </w:r>
    </w:p>
    <w:p w14:paraId="2EE5276D" w14:textId="46409220" w:rsidR="00E12E25" w:rsidRPr="00216DFA" w:rsidRDefault="00E12E25" w:rsidP="00216DFA">
      <w:pPr>
        <w:keepNext/>
        <w:spacing w:before="120" w:after="120" w:line="259" w:lineRule="auto"/>
        <w:ind w:right="-187"/>
        <w:outlineLvl w:val="2"/>
        <w:rPr>
          <w:rFonts w:ascii="Arial Nova" w:hAnsi="Arial Nova"/>
          <w:i/>
          <w:iCs/>
          <w:color w:val="538135"/>
          <w:sz w:val="28"/>
          <w:szCs w:val="28"/>
        </w:rPr>
      </w:pPr>
      <w:bookmarkStart w:id="24" w:name="_Toc102482440"/>
      <w:bookmarkStart w:id="25" w:name="_Toc104459146"/>
      <w:bookmarkStart w:id="26" w:name="Pre_deployment_PPE"/>
      <w:bookmarkStart w:id="27" w:name="_Toc101419751"/>
      <w:bookmarkStart w:id="28" w:name="_Toc101539827"/>
      <w:bookmarkStart w:id="29" w:name="_Toc108624568"/>
      <w:r w:rsidRPr="00216DFA">
        <w:rPr>
          <w:rFonts w:ascii="Arial Nova" w:hAnsi="Arial Nova"/>
          <w:i/>
          <w:iCs/>
          <w:color w:val="538135"/>
          <w:sz w:val="28"/>
          <w:szCs w:val="28"/>
        </w:rPr>
        <w:t>Pre-deployment of Standard PPE Packs from NMS</w:t>
      </w:r>
      <w:bookmarkEnd w:id="24"/>
      <w:bookmarkEnd w:id="25"/>
      <w:bookmarkEnd w:id="26"/>
      <w:bookmarkEnd w:id="27"/>
      <w:bookmarkEnd w:id="28"/>
      <w:bookmarkEnd w:id="29"/>
    </w:p>
    <w:p w14:paraId="28265532" w14:textId="33A56359" w:rsidR="00E12E25" w:rsidRPr="002C6972" w:rsidRDefault="00E12E25" w:rsidP="00F208FB">
      <w:pPr>
        <w:pStyle w:val="VACRCbody-landscape"/>
        <w:rPr>
          <w:rFonts w:asciiTheme="minorHAnsi" w:hAnsiTheme="minorHAnsi" w:cstheme="minorHAnsi"/>
        </w:rPr>
      </w:pPr>
      <w:r w:rsidRPr="002C6972">
        <w:rPr>
          <w:rFonts w:asciiTheme="minorHAnsi" w:hAnsiTheme="minorHAnsi" w:cstheme="minorHAnsi"/>
        </w:rPr>
        <w:t xml:space="preserve">The </w:t>
      </w:r>
      <w:r w:rsidR="002F7B35">
        <w:rPr>
          <w:rFonts w:asciiTheme="minorHAnsi" w:hAnsiTheme="minorHAnsi" w:cstheme="minorHAnsi"/>
        </w:rPr>
        <w:t>D</w:t>
      </w:r>
      <w:r w:rsidR="00B6254B" w:rsidRPr="002C6972">
        <w:rPr>
          <w:rFonts w:asciiTheme="minorHAnsi" w:hAnsiTheme="minorHAnsi" w:cstheme="minorHAnsi"/>
        </w:rPr>
        <w:t xml:space="preserve">epartment </w:t>
      </w:r>
      <w:r w:rsidRPr="002C6972">
        <w:rPr>
          <w:rFonts w:asciiTheme="minorHAnsi" w:hAnsiTheme="minorHAnsi" w:cstheme="minorHAnsi"/>
        </w:rPr>
        <w:t xml:space="preserve">commenced distributing </w:t>
      </w:r>
      <w:hyperlink r:id="rId34" w:history="1">
        <w:r w:rsidRPr="002C6972">
          <w:rPr>
            <w:rFonts w:asciiTheme="minorHAnsi" w:hAnsiTheme="minorHAnsi" w:cstheme="minorHAnsi"/>
            <w:color w:val="0563C1"/>
            <w:u w:val="single"/>
          </w:rPr>
          <w:t>Winter Preparedness PPE packs</w:t>
        </w:r>
      </w:hyperlink>
      <w:r w:rsidRPr="002C6972">
        <w:rPr>
          <w:rFonts w:asciiTheme="minorHAnsi" w:hAnsiTheme="minorHAnsi" w:cstheme="minorHAnsi"/>
        </w:rPr>
        <w:t xml:space="preserve"> in April 2022. All facilities received a standard pack by mid-</w:t>
      </w:r>
      <w:r w:rsidR="00F208FB" w:rsidRPr="002C6972">
        <w:rPr>
          <w:rFonts w:asciiTheme="minorHAnsi" w:hAnsiTheme="minorHAnsi" w:cstheme="minorHAnsi"/>
        </w:rPr>
        <w:t>May unless</w:t>
      </w:r>
      <w:r w:rsidRPr="002C6972">
        <w:rPr>
          <w:rFonts w:asciiTheme="minorHAnsi" w:hAnsiTheme="minorHAnsi" w:cstheme="minorHAnsi"/>
        </w:rPr>
        <w:t xml:space="preserve"> they chose to opt-out. Packs have been allocated based on the number of residents as reported through providers’ My</w:t>
      </w:r>
      <w:r w:rsidR="00F208FB" w:rsidRPr="002C6972">
        <w:rPr>
          <w:rFonts w:asciiTheme="minorHAnsi" w:hAnsiTheme="minorHAnsi" w:cstheme="minorHAnsi"/>
        </w:rPr>
        <w:t xml:space="preserve"> </w:t>
      </w:r>
      <w:r w:rsidRPr="002C6972">
        <w:rPr>
          <w:rFonts w:asciiTheme="minorHAnsi" w:hAnsiTheme="minorHAnsi" w:cstheme="minorHAnsi"/>
        </w:rPr>
        <w:t>Aged Care data.</w:t>
      </w:r>
    </w:p>
    <w:p w14:paraId="619F1569" w14:textId="59F5A571" w:rsidR="00E12E25" w:rsidRPr="002C6972" w:rsidRDefault="00E12E25" w:rsidP="00216DFA">
      <w:pPr>
        <w:spacing w:after="160" w:line="259" w:lineRule="auto"/>
        <w:rPr>
          <w:rFonts w:asciiTheme="minorHAnsi" w:eastAsia="Calibri" w:hAnsiTheme="minorHAnsi" w:cstheme="minorHAnsi"/>
          <w:sz w:val="22"/>
          <w:szCs w:val="22"/>
        </w:rPr>
      </w:pPr>
      <w:r w:rsidRPr="002C6972">
        <w:rPr>
          <w:rFonts w:asciiTheme="minorHAnsi" w:eastAsia="Calibri" w:hAnsiTheme="minorHAnsi" w:cstheme="minorHAnsi"/>
          <w:sz w:val="22"/>
          <w:szCs w:val="22"/>
        </w:rPr>
        <w:t xml:space="preserve">Combined with existing stock from providers, this pack will ensure a provider can respond to an outbreak immediately and not need to rely on additional procurement for at least one week. This will support effective IPC during the critical first stages of an outbreak and assist the </w:t>
      </w:r>
      <w:r w:rsidR="00C547CA">
        <w:rPr>
          <w:rFonts w:asciiTheme="minorHAnsi" w:eastAsia="Calibri" w:hAnsiTheme="minorHAnsi" w:cstheme="minorHAnsi"/>
          <w:sz w:val="22"/>
          <w:szCs w:val="22"/>
        </w:rPr>
        <w:t>aged care home</w:t>
      </w:r>
      <w:r w:rsidR="00C547CA" w:rsidRPr="002C6972">
        <w:rPr>
          <w:rFonts w:asciiTheme="minorHAnsi" w:eastAsia="Calibri" w:hAnsiTheme="minorHAnsi" w:cstheme="minorHAnsi"/>
          <w:sz w:val="22"/>
          <w:szCs w:val="22"/>
        </w:rPr>
        <w:t xml:space="preserve"> </w:t>
      </w:r>
      <w:r w:rsidRPr="002C6972">
        <w:rPr>
          <w:rFonts w:asciiTheme="minorHAnsi" w:eastAsia="Calibri" w:hAnsiTheme="minorHAnsi" w:cstheme="minorHAnsi"/>
          <w:sz w:val="22"/>
          <w:szCs w:val="22"/>
        </w:rPr>
        <w:t>to get on top of transmission and minimise potential spread.</w:t>
      </w:r>
      <w:bookmarkStart w:id="30" w:name="_Hlk99626605"/>
    </w:p>
    <w:p w14:paraId="2F054A77" w14:textId="233D0307" w:rsidR="00E12E25" w:rsidRPr="00216DFA" w:rsidRDefault="00E12E25" w:rsidP="00216DFA">
      <w:pPr>
        <w:keepNext/>
        <w:spacing w:before="120" w:after="120" w:line="259" w:lineRule="auto"/>
        <w:ind w:right="-187"/>
        <w:outlineLvl w:val="2"/>
        <w:rPr>
          <w:rFonts w:ascii="Arial Nova" w:hAnsi="Arial Nova"/>
          <w:i/>
          <w:iCs/>
          <w:color w:val="538135"/>
          <w:sz w:val="28"/>
          <w:szCs w:val="28"/>
        </w:rPr>
      </w:pPr>
      <w:bookmarkStart w:id="31" w:name="_Toc102482441"/>
      <w:bookmarkStart w:id="32" w:name="_Toc104459147"/>
      <w:bookmarkStart w:id="33" w:name="_Toc101419752"/>
      <w:bookmarkStart w:id="34" w:name="_Toc101539828"/>
      <w:bookmarkStart w:id="35" w:name="_Toc108624569"/>
      <w:bookmarkEnd w:id="30"/>
      <w:r w:rsidRPr="00216DFA">
        <w:rPr>
          <w:rFonts w:ascii="Arial Nova" w:hAnsi="Arial Nova"/>
          <w:i/>
          <w:iCs/>
          <w:color w:val="538135"/>
          <w:sz w:val="28"/>
          <w:szCs w:val="28"/>
        </w:rPr>
        <w:t>Ongoing pre-deployment of Rapid Antigen Test (RAT) kits from NMS</w:t>
      </w:r>
      <w:bookmarkEnd w:id="31"/>
      <w:bookmarkEnd w:id="32"/>
      <w:bookmarkEnd w:id="33"/>
      <w:bookmarkEnd w:id="34"/>
      <w:bookmarkEnd w:id="35"/>
    </w:p>
    <w:p w14:paraId="79069197" w14:textId="28FA727A" w:rsidR="00E12E25" w:rsidRPr="002C6972" w:rsidRDefault="00E12E25" w:rsidP="00216DFA">
      <w:pPr>
        <w:spacing w:after="160" w:line="259" w:lineRule="auto"/>
        <w:rPr>
          <w:rFonts w:asciiTheme="minorHAnsi" w:eastAsia="Calibri" w:hAnsiTheme="minorHAnsi" w:cstheme="minorHAnsi"/>
          <w:sz w:val="22"/>
          <w:szCs w:val="22"/>
        </w:rPr>
      </w:pPr>
      <w:r w:rsidRPr="002C6972">
        <w:rPr>
          <w:rFonts w:asciiTheme="minorHAnsi" w:eastAsia="Calibri" w:hAnsiTheme="minorHAnsi" w:cstheme="minorHAnsi"/>
          <w:sz w:val="22"/>
          <w:szCs w:val="22"/>
        </w:rPr>
        <w:t xml:space="preserve">The </w:t>
      </w:r>
      <w:r w:rsidR="002F7B35">
        <w:rPr>
          <w:rFonts w:asciiTheme="minorHAnsi" w:eastAsia="Calibri" w:hAnsiTheme="minorHAnsi" w:cstheme="minorHAnsi"/>
          <w:sz w:val="22"/>
          <w:szCs w:val="22"/>
        </w:rPr>
        <w:t>D</w:t>
      </w:r>
      <w:r w:rsidR="00B6254B" w:rsidRPr="002C6972">
        <w:rPr>
          <w:rFonts w:asciiTheme="minorHAnsi" w:eastAsia="Calibri" w:hAnsiTheme="minorHAnsi" w:cstheme="minorHAnsi"/>
          <w:sz w:val="22"/>
          <w:szCs w:val="22"/>
        </w:rPr>
        <w:t xml:space="preserve">epartment </w:t>
      </w:r>
      <w:r w:rsidRPr="002C6972">
        <w:rPr>
          <w:rFonts w:asciiTheme="minorHAnsi" w:eastAsia="Calibri" w:hAnsiTheme="minorHAnsi" w:cstheme="minorHAnsi"/>
          <w:sz w:val="22"/>
          <w:szCs w:val="22"/>
        </w:rPr>
        <w:t>continue</w:t>
      </w:r>
      <w:r w:rsidR="002F7B35">
        <w:rPr>
          <w:rFonts w:asciiTheme="minorHAnsi" w:eastAsia="Calibri" w:hAnsiTheme="minorHAnsi" w:cstheme="minorHAnsi"/>
          <w:sz w:val="22"/>
          <w:szCs w:val="22"/>
        </w:rPr>
        <w:t>s a</w:t>
      </w:r>
      <w:r w:rsidRPr="002C6972">
        <w:rPr>
          <w:rFonts w:asciiTheme="minorHAnsi" w:eastAsia="Calibri" w:hAnsiTheme="minorHAnsi" w:cstheme="minorHAnsi"/>
          <w:sz w:val="22"/>
          <w:szCs w:val="22"/>
        </w:rPr>
        <w:t xml:space="preserve"> regular forward deployment of RAT kits to every </w:t>
      </w:r>
      <w:r w:rsidR="00C547CA">
        <w:rPr>
          <w:rFonts w:asciiTheme="minorHAnsi" w:eastAsia="Calibri" w:hAnsiTheme="minorHAnsi" w:cstheme="minorHAnsi"/>
          <w:sz w:val="22"/>
          <w:szCs w:val="22"/>
        </w:rPr>
        <w:t>aged care home</w:t>
      </w:r>
      <w:r w:rsidR="00C547CA" w:rsidRPr="002C6972">
        <w:rPr>
          <w:rFonts w:asciiTheme="minorHAnsi" w:eastAsia="Calibri" w:hAnsiTheme="minorHAnsi" w:cstheme="minorHAnsi"/>
          <w:sz w:val="22"/>
          <w:szCs w:val="22"/>
        </w:rPr>
        <w:t xml:space="preserve"> </w:t>
      </w:r>
      <w:r w:rsidRPr="002C6972">
        <w:rPr>
          <w:rFonts w:asciiTheme="minorHAnsi" w:eastAsia="Calibri" w:hAnsiTheme="minorHAnsi" w:cstheme="minorHAnsi"/>
          <w:sz w:val="22"/>
          <w:szCs w:val="22"/>
        </w:rPr>
        <w:t>around Australia to support screening of staff and visitors in non-outbreak scenarios. Screening provides a key first line of defence against COVID-19.</w:t>
      </w:r>
      <w:bookmarkStart w:id="36" w:name="_Hlk100035156"/>
    </w:p>
    <w:p w14:paraId="0DF8B129" w14:textId="619C9A9F" w:rsidR="00E12E25" w:rsidRPr="002C6972" w:rsidRDefault="00E12E25" w:rsidP="00216DFA">
      <w:pPr>
        <w:spacing w:after="160" w:line="259" w:lineRule="auto"/>
        <w:rPr>
          <w:rFonts w:asciiTheme="minorHAnsi" w:eastAsia="Calibri" w:hAnsiTheme="minorHAnsi" w:cstheme="minorHAnsi"/>
          <w:sz w:val="22"/>
          <w:szCs w:val="22"/>
        </w:rPr>
      </w:pPr>
      <w:r w:rsidRPr="002C6972">
        <w:rPr>
          <w:rFonts w:asciiTheme="minorHAnsi" w:eastAsia="Calibri" w:hAnsiTheme="minorHAnsi" w:cstheme="minorHAnsi"/>
          <w:sz w:val="22"/>
          <w:szCs w:val="22"/>
        </w:rPr>
        <w:t xml:space="preserve">An opt-out process is available for </w:t>
      </w:r>
      <w:r w:rsidR="00C547CA">
        <w:rPr>
          <w:rFonts w:asciiTheme="minorHAnsi" w:eastAsia="Calibri" w:hAnsiTheme="minorHAnsi" w:cstheme="minorHAnsi"/>
          <w:sz w:val="22"/>
          <w:szCs w:val="22"/>
        </w:rPr>
        <w:t>facilities</w:t>
      </w:r>
      <w:r w:rsidR="00C547CA" w:rsidRPr="002C6972">
        <w:rPr>
          <w:rFonts w:asciiTheme="minorHAnsi" w:eastAsia="Calibri" w:hAnsiTheme="minorHAnsi" w:cstheme="minorHAnsi"/>
          <w:sz w:val="22"/>
          <w:szCs w:val="22"/>
        </w:rPr>
        <w:t xml:space="preserve"> </w:t>
      </w:r>
      <w:r w:rsidR="00C547CA">
        <w:rPr>
          <w:rFonts w:asciiTheme="minorHAnsi" w:eastAsia="Calibri" w:hAnsiTheme="minorHAnsi" w:cstheme="minorHAnsi"/>
          <w:sz w:val="22"/>
          <w:szCs w:val="22"/>
        </w:rPr>
        <w:t>that</w:t>
      </w:r>
      <w:r w:rsidR="00C547CA" w:rsidRPr="002C6972">
        <w:rPr>
          <w:rFonts w:asciiTheme="minorHAnsi" w:eastAsia="Calibri" w:hAnsiTheme="minorHAnsi" w:cstheme="minorHAnsi"/>
          <w:sz w:val="22"/>
          <w:szCs w:val="22"/>
        </w:rPr>
        <w:t xml:space="preserve"> </w:t>
      </w:r>
      <w:r w:rsidRPr="002C6972">
        <w:rPr>
          <w:rFonts w:asciiTheme="minorHAnsi" w:eastAsia="Calibri" w:hAnsiTheme="minorHAnsi" w:cstheme="minorHAnsi"/>
          <w:sz w:val="22"/>
          <w:szCs w:val="22"/>
        </w:rPr>
        <w:t xml:space="preserve">do not wish to receive RATs through this mechanism. </w:t>
      </w:r>
    </w:p>
    <w:p w14:paraId="7F2C5005" w14:textId="151CB140" w:rsidR="00E23C3D" w:rsidRPr="00216DFA" w:rsidRDefault="00E12E25" w:rsidP="00216DFA">
      <w:pPr>
        <w:keepNext/>
        <w:spacing w:before="120" w:after="120" w:line="259" w:lineRule="auto"/>
        <w:ind w:right="-187"/>
        <w:outlineLvl w:val="2"/>
        <w:rPr>
          <w:rFonts w:ascii="Arial Nova" w:hAnsi="Arial Nova"/>
          <w:i/>
          <w:iCs/>
          <w:color w:val="538135"/>
          <w:sz w:val="28"/>
          <w:szCs w:val="28"/>
        </w:rPr>
      </w:pPr>
      <w:bookmarkStart w:id="37" w:name="_Toc102482442"/>
      <w:bookmarkStart w:id="38" w:name="_Toc104459148"/>
      <w:bookmarkStart w:id="39" w:name="_Toc101419753"/>
      <w:bookmarkStart w:id="40" w:name="_Toc101539829"/>
      <w:bookmarkStart w:id="41" w:name="_Toc108624570"/>
      <w:bookmarkEnd w:id="36"/>
      <w:r w:rsidRPr="00216DFA">
        <w:rPr>
          <w:rFonts w:ascii="Arial Nova" w:hAnsi="Arial Nova"/>
          <w:i/>
          <w:iCs/>
          <w:color w:val="538135"/>
          <w:sz w:val="28"/>
          <w:szCs w:val="28"/>
        </w:rPr>
        <w:t>Pre-deployment of oral antivirals (COVID-19 and influenza)</w:t>
      </w:r>
      <w:bookmarkEnd w:id="37"/>
      <w:bookmarkEnd w:id="38"/>
      <w:bookmarkEnd w:id="39"/>
      <w:bookmarkEnd w:id="40"/>
      <w:bookmarkEnd w:id="41"/>
    </w:p>
    <w:p w14:paraId="7B8F3C13" w14:textId="2B066DAA" w:rsidR="00E12E25" w:rsidRPr="002C6972" w:rsidRDefault="00E12E25" w:rsidP="00F208FB">
      <w:pPr>
        <w:pStyle w:val="VACRCbody-landscape"/>
        <w:rPr>
          <w:rFonts w:asciiTheme="minorHAnsi" w:hAnsiTheme="minorHAnsi" w:cstheme="minorHAnsi"/>
          <w:sz w:val="23"/>
          <w:szCs w:val="23"/>
        </w:rPr>
      </w:pPr>
      <w:r w:rsidRPr="002C6972">
        <w:rPr>
          <w:rFonts w:asciiTheme="minorHAnsi" w:hAnsiTheme="minorHAnsi" w:cstheme="minorHAnsi"/>
        </w:rPr>
        <w:t xml:space="preserve">The </w:t>
      </w:r>
      <w:r w:rsidR="002F7B35">
        <w:rPr>
          <w:rFonts w:asciiTheme="minorHAnsi" w:hAnsiTheme="minorHAnsi" w:cstheme="minorHAnsi"/>
        </w:rPr>
        <w:t>D</w:t>
      </w:r>
      <w:r w:rsidR="00B6254B" w:rsidRPr="002C6972">
        <w:rPr>
          <w:rFonts w:asciiTheme="minorHAnsi" w:hAnsiTheme="minorHAnsi" w:cstheme="minorHAnsi"/>
        </w:rPr>
        <w:t xml:space="preserve">epartment </w:t>
      </w:r>
      <w:r w:rsidRPr="002C6972">
        <w:rPr>
          <w:rFonts w:asciiTheme="minorHAnsi" w:hAnsiTheme="minorHAnsi" w:cstheme="minorHAnsi"/>
        </w:rPr>
        <w:t xml:space="preserve">distributed the oral COVID-19 antiviral </w:t>
      </w:r>
      <w:hyperlink r:id="rId35" w:history="1">
        <w:proofErr w:type="spellStart"/>
        <w:r w:rsidRPr="002C6972">
          <w:rPr>
            <w:rFonts w:asciiTheme="minorHAnsi" w:hAnsiTheme="minorHAnsi" w:cstheme="minorHAnsi"/>
            <w:color w:val="0563C1"/>
            <w:u w:val="single"/>
          </w:rPr>
          <w:t>molnupiravir</w:t>
        </w:r>
        <w:proofErr w:type="spellEnd"/>
        <w:r w:rsidRPr="002C6972">
          <w:rPr>
            <w:rFonts w:asciiTheme="minorHAnsi" w:hAnsiTheme="minorHAnsi" w:cstheme="minorHAnsi"/>
            <w:color w:val="0563C1"/>
            <w:u w:val="single"/>
          </w:rPr>
          <w:t xml:space="preserve"> (</w:t>
        </w:r>
        <w:proofErr w:type="spellStart"/>
        <w:r w:rsidRPr="002C6972">
          <w:rPr>
            <w:rFonts w:asciiTheme="minorHAnsi" w:hAnsiTheme="minorHAnsi" w:cstheme="minorHAnsi"/>
            <w:color w:val="0563C1"/>
            <w:u w:val="single"/>
          </w:rPr>
          <w:t>Lagevrio</w:t>
        </w:r>
        <w:proofErr w:type="spellEnd"/>
        <w:r w:rsidRPr="002C6972">
          <w:rPr>
            <w:rFonts w:asciiTheme="minorHAnsi" w:hAnsiTheme="minorHAnsi" w:cstheme="minorHAnsi"/>
            <w:color w:val="0563C1"/>
            <w:u w:val="single"/>
          </w:rPr>
          <w:t>)</w:t>
        </w:r>
      </w:hyperlink>
      <w:r w:rsidRPr="002C6972">
        <w:rPr>
          <w:rFonts w:asciiTheme="minorHAnsi" w:hAnsiTheme="minorHAnsi" w:cstheme="minorHAnsi"/>
        </w:rPr>
        <w:t xml:space="preserve"> to all </w:t>
      </w:r>
      <w:r w:rsidR="00C547CA">
        <w:rPr>
          <w:rFonts w:asciiTheme="minorHAnsi" w:hAnsiTheme="minorHAnsi" w:cstheme="minorHAnsi"/>
        </w:rPr>
        <w:t>aged care homes</w:t>
      </w:r>
      <w:r w:rsidR="00C547CA" w:rsidRPr="002C6972">
        <w:rPr>
          <w:rFonts w:asciiTheme="minorHAnsi" w:hAnsiTheme="minorHAnsi" w:cstheme="minorHAnsi"/>
        </w:rPr>
        <w:t xml:space="preserve"> </w:t>
      </w:r>
      <w:r w:rsidRPr="002C6972">
        <w:rPr>
          <w:rFonts w:asciiTheme="minorHAnsi" w:hAnsiTheme="minorHAnsi" w:cstheme="minorHAnsi"/>
        </w:rPr>
        <w:t xml:space="preserve">in </w:t>
      </w:r>
      <w:r w:rsidR="00F208FB" w:rsidRPr="002C6972">
        <w:rPr>
          <w:rFonts w:asciiTheme="minorHAnsi" w:hAnsiTheme="minorHAnsi" w:cstheme="minorHAnsi"/>
        </w:rPr>
        <w:br/>
      </w:r>
      <w:r w:rsidRPr="002C6972">
        <w:rPr>
          <w:rFonts w:asciiTheme="minorHAnsi" w:hAnsiTheme="minorHAnsi" w:cstheme="minorHAnsi"/>
        </w:rPr>
        <w:t>February 2022 for the treatment of COVID-19 positive residents.</w:t>
      </w:r>
    </w:p>
    <w:p w14:paraId="4100AFD2" w14:textId="24C7D78D" w:rsidR="00E12E25" w:rsidRPr="002C6972" w:rsidRDefault="00E12E25" w:rsidP="00F208FB">
      <w:pPr>
        <w:pStyle w:val="VACRCbody-landscape"/>
        <w:rPr>
          <w:rFonts w:asciiTheme="minorHAnsi" w:hAnsiTheme="minorHAnsi" w:cstheme="minorHAnsi"/>
        </w:rPr>
      </w:pPr>
      <w:r w:rsidRPr="002C6972">
        <w:rPr>
          <w:rFonts w:asciiTheme="minorHAnsi" w:hAnsiTheme="minorHAnsi" w:cstheme="minorHAnsi"/>
        </w:rPr>
        <w:t>The</w:t>
      </w:r>
      <w:r w:rsidR="00F208FB" w:rsidRPr="002C6972">
        <w:rPr>
          <w:rFonts w:asciiTheme="minorHAnsi" w:hAnsiTheme="minorHAnsi" w:cstheme="minorHAnsi"/>
        </w:rPr>
        <w:t xml:space="preserve"> </w:t>
      </w:r>
      <w:r w:rsidR="002F7B35">
        <w:rPr>
          <w:rFonts w:asciiTheme="minorHAnsi" w:hAnsiTheme="minorHAnsi" w:cstheme="minorHAnsi"/>
        </w:rPr>
        <w:t>D</w:t>
      </w:r>
      <w:r w:rsidR="00B6254B" w:rsidRPr="002C6972">
        <w:rPr>
          <w:rFonts w:asciiTheme="minorHAnsi" w:hAnsiTheme="minorHAnsi" w:cstheme="minorHAnsi"/>
        </w:rPr>
        <w:t xml:space="preserve">epartment </w:t>
      </w:r>
      <w:r w:rsidRPr="002C6972">
        <w:rPr>
          <w:rFonts w:asciiTheme="minorHAnsi" w:hAnsiTheme="minorHAnsi" w:cstheme="minorHAnsi"/>
        </w:rPr>
        <w:t xml:space="preserve">further deployed </w:t>
      </w:r>
      <w:hyperlink r:id="rId36" w:history="1">
        <w:r w:rsidRPr="002C6972">
          <w:rPr>
            <w:rFonts w:asciiTheme="minorHAnsi" w:hAnsiTheme="minorHAnsi" w:cstheme="minorHAnsi"/>
            <w:color w:val="0563C1"/>
            <w:u w:val="single"/>
          </w:rPr>
          <w:t>Tamiflu</w:t>
        </w:r>
      </w:hyperlink>
      <w:r w:rsidRPr="002C6972">
        <w:rPr>
          <w:rFonts w:asciiTheme="minorHAnsi" w:hAnsiTheme="minorHAnsi" w:cstheme="minorHAnsi"/>
          <w:color w:val="0563C1"/>
          <w:u w:val="single"/>
        </w:rPr>
        <w:t xml:space="preserve"> to RACFs </w:t>
      </w:r>
      <w:r w:rsidRPr="002C6972">
        <w:rPr>
          <w:rFonts w:asciiTheme="minorHAnsi" w:hAnsiTheme="minorHAnsi" w:cstheme="minorHAnsi"/>
        </w:rPr>
        <w:t>(where permitted, in line with State legislation) for the treatment of influenza. Tamiflu can also be used as prophylaxis where clinically advised.</w:t>
      </w:r>
    </w:p>
    <w:p w14:paraId="5265DC23" w14:textId="093E056C" w:rsidR="00E12E25" w:rsidRDefault="00E12E25" w:rsidP="00F208FB">
      <w:pPr>
        <w:pStyle w:val="VACRCbody-landscape"/>
        <w:rPr>
          <w:rFonts w:asciiTheme="minorHAnsi" w:hAnsiTheme="minorHAnsi" w:cstheme="minorHAnsi"/>
          <w:sz w:val="23"/>
          <w:szCs w:val="23"/>
        </w:rPr>
      </w:pPr>
      <w:r w:rsidRPr="002C6972">
        <w:rPr>
          <w:rFonts w:asciiTheme="minorHAnsi" w:hAnsiTheme="minorHAnsi" w:cstheme="minorHAnsi"/>
        </w:rPr>
        <w:t>Pre-placed allocations of both medications are based on the number of residents and staff at each facility as reported through providers’ My</w:t>
      </w:r>
      <w:r w:rsidR="00F208FB" w:rsidRPr="002C6972">
        <w:rPr>
          <w:rFonts w:asciiTheme="minorHAnsi" w:hAnsiTheme="minorHAnsi" w:cstheme="minorHAnsi"/>
        </w:rPr>
        <w:t xml:space="preserve"> </w:t>
      </w:r>
      <w:r w:rsidRPr="002C6972">
        <w:rPr>
          <w:rFonts w:asciiTheme="minorHAnsi" w:hAnsiTheme="minorHAnsi" w:cstheme="minorHAnsi"/>
        </w:rPr>
        <w:t xml:space="preserve">Aged Care data. </w:t>
      </w:r>
      <w:r w:rsidRPr="002C6972">
        <w:rPr>
          <w:rFonts w:asciiTheme="minorHAnsi" w:hAnsiTheme="minorHAnsi" w:cstheme="minorHAnsi"/>
          <w:sz w:val="23"/>
          <w:szCs w:val="23"/>
        </w:rPr>
        <w:t xml:space="preserve">All facilities were allocated to receive </w:t>
      </w:r>
      <w:proofErr w:type="spellStart"/>
      <w:r w:rsidRPr="002C6972">
        <w:rPr>
          <w:rFonts w:asciiTheme="minorHAnsi" w:hAnsiTheme="minorHAnsi" w:cstheme="minorHAnsi"/>
          <w:sz w:val="23"/>
          <w:szCs w:val="23"/>
        </w:rPr>
        <w:t>Lagevrio</w:t>
      </w:r>
      <w:proofErr w:type="spellEnd"/>
      <w:r w:rsidRPr="002C6972">
        <w:rPr>
          <w:rFonts w:asciiTheme="minorHAnsi" w:hAnsiTheme="minorHAnsi" w:cstheme="minorHAnsi"/>
          <w:sz w:val="23"/>
          <w:szCs w:val="23"/>
        </w:rPr>
        <w:t xml:space="preserve"> and Tamiflu automatically without an application process.</w:t>
      </w:r>
    </w:p>
    <w:p w14:paraId="28BB042E" w14:textId="30A9E734" w:rsidR="00E12E25" w:rsidRPr="002C6972" w:rsidRDefault="00C547CA" w:rsidP="00F208FB">
      <w:pPr>
        <w:pStyle w:val="VACRCbody-landscape"/>
        <w:rPr>
          <w:rFonts w:asciiTheme="minorHAnsi" w:hAnsiTheme="minorHAnsi" w:cstheme="minorHAnsi"/>
        </w:rPr>
      </w:pPr>
      <w:r>
        <w:rPr>
          <w:rFonts w:asciiTheme="minorHAnsi" w:hAnsiTheme="minorHAnsi" w:cstheme="minorHAnsi"/>
        </w:rPr>
        <w:t>Aged care homes</w:t>
      </w:r>
      <w:r w:rsidRPr="002C6972">
        <w:rPr>
          <w:rFonts w:asciiTheme="minorHAnsi" w:hAnsiTheme="minorHAnsi" w:cstheme="minorHAnsi"/>
        </w:rPr>
        <w:t xml:space="preserve"> </w:t>
      </w:r>
      <w:r w:rsidR="00E12E25" w:rsidRPr="002C6972">
        <w:rPr>
          <w:rFonts w:asciiTheme="minorHAnsi" w:hAnsiTheme="minorHAnsi" w:cstheme="minorHAnsi"/>
        </w:rPr>
        <w:t>should take preparatory steps prior to a COVID-19 or influenza outbreak including, where possible:</w:t>
      </w:r>
    </w:p>
    <w:p w14:paraId="299C2DE8" w14:textId="75A5E032" w:rsidR="00E12E25" w:rsidRPr="002C6972" w:rsidRDefault="00E12E25" w:rsidP="001707B8">
      <w:pPr>
        <w:pStyle w:val="VACRCbody-landscape"/>
        <w:numPr>
          <w:ilvl w:val="0"/>
          <w:numId w:val="23"/>
        </w:numPr>
        <w:rPr>
          <w:rFonts w:asciiTheme="minorHAnsi" w:hAnsiTheme="minorHAnsi" w:cstheme="minorHAnsi"/>
        </w:rPr>
      </w:pPr>
      <w:r w:rsidRPr="002C6972">
        <w:rPr>
          <w:rFonts w:asciiTheme="minorHAnsi" w:hAnsiTheme="minorHAnsi" w:cstheme="minorHAnsi"/>
        </w:rPr>
        <w:t>seeking consent from residents and families to administer the treatment if prescribed</w:t>
      </w:r>
    </w:p>
    <w:p w14:paraId="6799E4E9" w14:textId="6F2BACEE" w:rsidR="00E12E25" w:rsidRPr="002C6972" w:rsidRDefault="00E12E25" w:rsidP="001707B8">
      <w:pPr>
        <w:pStyle w:val="VACRCbody-landscape"/>
        <w:numPr>
          <w:ilvl w:val="0"/>
          <w:numId w:val="23"/>
        </w:numPr>
        <w:rPr>
          <w:rFonts w:asciiTheme="minorHAnsi" w:hAnsiTheme="minorHAnsi" w:cstheme="minorHAnsi"/>
        </w:rPr>
      </w:pPr>
      <w:r w:rsidRPr="002C6972">
        <w:rPr>
          <w:rFonts w:asciiTheme="minorHAnsi" w:hAnsiTheme="minorHAnsi" w:cstheme="minorHAnsi"/>
        </w:rPr>
        <w:t xml:space="preserve">arranging for </w:t>
      </w:r>
      <w:r w:rsidR="00B6254B" w:rsidRPr="002C6972">
        <w:rPr>
          <w:rFonts w:asciiTheme="minorHAnsi" w:hAnsiTheme="minorHAnsi" w:cstheme="minorHAnsi"/>
        </w:rPr>
        <w:t xml:space="preserve">general practitioners </w:t>
      </w:r>
      <w:r w:rsidRPr="002C6972">
        <w:rPr>
          <w:rFonts w:asciiTheme="minorHAnsi" w:hAnsiTheme="minorHAnsi" w:cstheme="minorHAnsi"/>
        </w:rPr>
        <w:t>(GPs) to consider eligibility of residents for medications, including adjustments in dosage or oral preparation requirements</w:t>
      </w:r>
    </w:p>
    <w:p w14:paraId="15EFB15D" w14:textId="77777777" w:rsidR="00E12E25" w:rsidRPr="002C6972" w:rsidRDefault="00E12E25" w:rsidP="001707B8">
      <w:pPr>
        <w:pStyle w:val="VACRCbody-landscape"/>
        <w:numPr>
          <w:ilvl w:val="0"/>
          <w:numId w:val="23"/>
        </w:numPr>
        <w:rPr>
          <w:rFonts w:asciiTheme="minorHAnsi" w:hAnsiTheme="minorHAnsi" w:cstheme="minorHAnsi"/>
        </w:rPr>
      </w:pPr>
      <w:r w:rsidRPr="002C6972">
        <w:rPr>
          <w:rFonts w:asciiTheme="minorHAnsi" w:hAnsiTheme="minorHAnsi" w:cstheme="minorHAnsi"/>
        </w:rPr>
        <w:t>ensuring they have an agreed process with GPs for timely prescription in the event of an outbreak.</w:t>
      </w:r>
    </w:p>
    <w:p w14:paraId="2773F3C9" w14:textId="10111C9D" w:rsidR="00E12E25" w:rsidRPr="002C6972" w:rsidRDefault="00E12E25" w:rsidP="00F208FB">
      <w:pPr>
        <w:pStyle w:val="VACRCbody-landscape"/>
        <w:rPr>
          <w:rFonts w:asciiTheme="minorHAnsi" w:hAnsiTheme="minorHAnsi" w:cstheme="minorHAnsi"/>
        </w:rPr>
      </w:pPr>
      <w:r w:rsidRPr="002C6972">
        <w:rPr>
          <w:rFonts w:asciiTheme="minorHAnsi" w:hAnsiTheme="minorHAnsi" w:cstheme="minorHAnsi"/>
        </w:rPr>
        <w:t xml:space="preserve">Facilities are encouraged to use the pre-placed supplies of Tamiflu and </w:t>
      </w:r>
      <w:proofErr w:type="spellStart"/>
      <w:r w:rsidRPr="002C6972">
        <w:rPr>
          <w:rFonts w:asciiTheme="minorHAnsi" w:hAnsiTheme="minorHAnsi" w:cstheme="minorHAnsi"/>
        </w:rPr>
        <w:t>Lagevrio</w:t>
      </w:r>
      <w:proofErr w:type="spellEnd"/>
      <w:r w:rsidRPr="002C6972">
        <w:rPr>
          <w:rFonts w:asciiTheme="minorHAnsi" w:hAnsiTheme="minorHAnsi" w:cstheme="minorHAnsi"/>
        </w:rPr>
        <w:t xml:space="preserve"> before replenishing stock through existing community pharmacy channels. Where supplies have been exhausted and additional stock cannot be obtained through existing commercial mechanisms, this may be resupplied through the </w:t>
      </w:r>
      <w:r w:rsidR="00B6254B" w:rsidRPr="002C6972">
        <w:rPr>
          <w:rFonts w:asciiTheme="minorHAnsi" w:hAnsiTheme="minorHAnsi" w:cstheme="minorHAnsi"/>
        </w:rPr>
        <w:t>NMS</w:t>
      </w:r>
      <w:r w:rsidRPr="002C6972">
        <w:rPr>
          <w:rFonts w:asciiTheme="minorHAnsi" w:hAnsiTheme="minorHAnsi" w:cstheme="minorHAnsi"/>
        </w:rPr>
        <w:t xml:space="preserve"> upon request.</w:t>
      </w:r>
    </w:p>
    <w:p w14:paraId="265C25EF" w14:textId="77777777" w:rsidR="00E12E25" w:rsidRPr="00E12E25" w:rsidRDefault="00E12E25" w:rsidP="00216DFA">
      <w:pPr>
        <w:keepNext/>
        <w:keepLines/>
        <w:spacing w:before="120" w:after="120" w:line="250" w:lineRule="atLeast"/>
        <w:ind w:right="119"/>
        <w:outlineLvl w:val="1"/>
        <w:rPr>
          <w:rFonts w:ascii="Arial Nova" w:hAnsi="Arial Nova"/>
          <w:b/>
          <w:color w:val="538135"/>
          <w:sz w:val="32"/>
          <w:szCs w:val="32"/>
        </w:rPr>
      </w:pPr>
      <w:bookmarkStart w:id="42" w:name="_Vaccination"/>
      <w:bookmarkStart w:id="43" w:name="_Workforce"/>
      <w:bookmarkStart w:id="44" w:name="_Toc101419756"/>
      <w:bookmarkStart w:id="45" w:name="_Toc101539833"/>
      <w:bookmarkStart w:id="46" w:name="_Toc102482446"/>
      <w:bookmarkStart w:id="47" w:name="_Toc104459149"/>
      <w:bookmarkStart w:id="48" w:name="_Toc108624571"/>
      <w:bookmarkEnd w:id="42"/>
      <w:bookmarkEnd w:id="43"/>
      <w:r w:rsidRPr="00E12E25">
        <w:rPr>
          <w:rFonts w:ascii="Arial Nova" w:hAnsi="Arial Nova"/>
          <w:b/>
          <w:color w:val="538135"/>
          <w:sz w:val="32"/>
          <w:szCs w:val="32"/>
        </w:rPr>
        <w:lastRenderedPageBreak/>
        <w:t>Workforce</w:t>
      </w:r>
      <w:bookmarkEnd w:id="44"/>
      <w:bookmarkEnd w:id="45"/>
      <w:bookmarkEnd w:id="46"/>
      <w:bookmarkEnd w:id="47"/>
      <w:bookmarkEnd w:id="48"/>
    </w:p>
    <w:p w14:paraId="38281957" w14:textId="7B835CEB" w:rsidR="00E12E25" w:rsidRPr="002C6972" w:rsidRDefault="00E12E25" w:rsidP="00561FC2">
      <w:pPr>
        <w:pStyle w:val="VACRCbody-landscape"/>
        <w:spacing w:after="160"/>
        <w:rPr>
          <w:rFonts w:asciiTheme="minorHAnsi" w:hAnsiTheme="minorHAnsi" w:cstheme="minorHAnsi"/>
        </w:rPr>
      </w:pPr>
      <w:bookmarkStart w:id="49" w:name="_Toc102482447"/>
      <w:bookmarkStart w:id="50" w:name="_Toc101419757"/>
      <w:bookmarkStart w:id="51" w:name="_Toc101539834"/>
      <w:r w:rsidRPr="002C6972">
        <w:rPr>
          <w:rFonts w:asciiTheme="minorHAnsi" w:hAnsiTheme="minorHAnsi" w:cstheme="minorHAnsi"/>
        </w:rPr>
        <w:t>Ensuring sufficient workforce coverage is a key component of effective outbreak management and the delivering of safe, quality care. It is crucial that facilities consider potential workforce impacts of COVID-19 or influenza outbreaks and put in place supplementary or replacement workforce strategies in advance including utilising casual staff, establish arrangements with local workforce agencies, and consider where staff can perform other functions.</w:t>
      </w:r>
      <w:bookmarkEnd w:id="49"/>
      <w:bookmarkEnd w:id="50"/>
      <w:bookmarkEnd w:id="51"/>
    </w:p>
    <w:p w14:paraId="3E9EC1AA" w14:textId="77777777" w:rsidR="00B6254B" w:rsidRPr="002C6972" w:rsidRDefault="00B6254B" w:rsidP="00F208FB">
      <w:pPr>
        <w:pStyle w:val="VACRCbody-landscape"/>
        <w:shd w:val="clear" w:color="auto" w:fill="D9EAD3"/>
        <w:rPr>
          <w:rFonts w:asciiTheme="minorHAnsi" w:hAnsiTheme="minorHAnsi" w:cstheme="minorHAnsi"/>
          <w:b/>
          <w:bCs/>
        </w:rPr>
      </w:pPr>
      <w:r w:rsidRPr="002C6972">
        <w:rPr>
          <w:rFonts w:asciiTheme="minorHAnsi" w:hAnsiTheme="minorHAnsi" w:cstheme="minorHAnsi"/>
          <w:b/>
          <w:bCs/>
        </w:rPr>
        <w:t>Provider considerations</w:t>
      </w:r>
    </w:p>
    <w:p w14:paraId="08A3B6D1" w14:textId="01178492" w:rsidR="00B6254B" w:rsidRPr="002C6972" w:rsidRDefault="00B6254B" w:rsidP="00F208FB">
      <w:pPr>
        <w:pStyle w:val="VACRCbody-landscape"/>
        <w:shd w:val="clear" w:color="auto" w:fill="D9EAD3"/>
        <w:rPr>
          <w:rFonts w:asciiTheme="minorHAnsi" w:hAnsiTheme="minorHAnsi" w:cstheme="minorHAnsi"/>
        </w:rPr>
      </w:pPr>
      <w:r w:rsidRPr="002C6972">
        <w:rPr>
          <w:rFonts w:asciiTheme="minorHAnsi" w:hAnsiTheme="minorHAnsi" w:cstheme="minorHAnsi"/>
        </w:rPr>
        <w:t xml:space="preserve">At all times, </w:t>
      </w:r>
      <w:r w:rsidRPr="002C6972">
        <w:rPr>
          <w:rFonts w:asciiTheme="minorHAnsi" w:hAnsiTheme="minorHAnsi" w:cstheme="minorHAnsi"/>
          <w:bCs/>
        </w:rPr>
        <w:t xml:space="preserve">providers remain responsible for ensuring </w:t>
      </w:r>
      <w:r w:rsidR="00C547CA">
        <w:rPr>
          <w:rFonts w:asciiTheme="minorHAnsi" w:hAnsiTheme="minorHAnsi" w:cstheme="minorHAnsi"/>
          <w:bCs/>
        </w:rPr>
        <w:t>their facilities</w:t>
      </w:r>
      <w:r w:rsidR="00C547CA" w:rsidRPr="002C6972">
        <w:rPr>
          <w:rFonts w:asciiTheme="minorHAnsi" w:hAnsiTheme="minorHAnsi" w:cstheme="minorHAnsi"/>
          <w:bCs/>
        </w:rPr>
        <w:t xml:space="preserve"> </w:t>
      </w:r>
      <w:r w:rsidRPr="002C6972">
        <w:rPr>
          <w:rFonts w:asciiTheme="minorHAnsi" w:hAnsiTheme="minorHAnsi" w:cstheme="minorHAnsi"/>
          <w:bCs/>
        </w:rPr>
        <w:t>are staffed appropriately</w:t>
      </w:r>
      <w:r w:rsidRPr="002C6972">
        <w:rPr>
          <w:rFonts w:asciiTheme="minorHAnsi" w:hAnsiTheme="minorHAnsi" w:cstheme="minorHAnsi"/>
        </w:rPr>
        <w:t xml:space="preserve">. </w:t>
      </w:r>
    </w:p>
    <w:p w14:paraId="195FB849" w14:textId="3A36CEE0" w:rsidR="00B6254B" w:rsidRPr="002C6972" w:rsidRDefault="00B6254B" w:rsidP="00561FC2">
      <w:pPr>
        <w:pStyle w:val="VACRCbody-landscape"/>
        <w:shd w:val="clear" w:color="auto" w:fill="D9EAD3"/>
        <w:spacing w:after="160"/>
        <w:rPr>
          <w:rFonts w:asciiTheme="minorHAnsi" w:hAnsiTheme="minorHAnsi" w:cstheme="minorHAnsi"/>
        </w:rPr>
      </w:pPr>
      <w:r w:rsidRPr="002C6972">
        <w:rPr>
          <w:rFonts w:asciiTheme="minorHAnsi" w:hAnsiTheme="minorHAnsi" w:cstheme="minorHAnsi"/>
        </w:rPr>
        <w:t xml:space="preserve">Providers should undertake appropriate workforce management planning as part of their outbreak management planning processes. Providers are strongly encouraged to undertake this planning with the </w:t>
      </w:r>
      <w:hyperlink r:id="rId37" w:history="1">
        <w:r w:rsidRPr="002C6972">
          <w:rPr>
            <w:rFonts w:asciiTheme="minorHAnsi" w:hAnsiTheme="minorHAnsi" w:cstheme="minorHAnsi"/>
            <w:color w:val="007DC3" w:themeColor="hyperlink"/>
          </w:rPr>
          <w:t>interim guidance on managing workforce in regards to COVID-19 in aged care</w:t>
        </w:r>
      </w:hyperlink>
      <w:r w:rsidRPr="002C6972">
        <w:rPr>
          <w:rFonts w:asciiTheme="minorHAnsi" w:hAnsiTheme="minorHAnsi" w:cstheme="minorHAnsi"/>
          <w:color w:val="007DC3" w:themeColor="hyperlink"/>
        </w:rPr>
        <w:t xml:space="preserve"> </w:t>
      </w:r>
      <w:hyperlink r:id="rId38" w:history="1">
        <w:r w:rsidRPr="002C6972">
          <w:rPr>
            <w:rFonts w:asciiTheme="minorHAnsi" w:hAnsiTheme="minorHAnsi" w:cstheme="minorHAnsi"/>
            <w:color w:val="007DC3" w:themeColor="hyperlink"/>
          </w:rPr>
          <w:t>guidelines</w:t>
        </w:r>
      </w:hyperlink>
      <w:r w:rsidRPr="002C6972">
        <w:rPr>
          <w:rFonts w:asciiTheme="minorHAnsi" w:hAnsiTheme="minorHAnsi" w:cstheme="minorHAnsi"/>
        </w:rPr>
        <w:t xml:space="preserve"> in mind. This</w:t>
      </w:r>
      <w:r w:rsidR="00F208FB" w:rsidRPr="002C6972">
        <w:rPr>
          <w:rFonts w:asciiTheme="minorHAnsi" w:hAnsiTheme="minorHAnsi" w:cstheme="minorHAnsi"/>
        </w:rPr>
        <w:t xml:space="preserve"> </w:t>
      </w:r>
      <w:r w:rsidRPr="002C6972">
        <w:rPr>
          <w:rFonts w:asciiTheme="minorHAnsi" w:hAnsiTheme="minorHAnsi" w:cstheme="minorHAnsi"/>
        </w:rPr>
        <w:t>guidance provides a framework to support decision making when determining whether to place work restrictions on aged care staff.</w:t>
      </w:r>
    </w:p>
    <w:p w14:paraId="4C0E800E" w14:textId="77777777" w:rsidR="002A5D94" w:rsidRPr="002A5D94" w:rsidRDefault="002A5D94" w:rsidP="00216DFA">
      <w:pPr>
        <w:keepNext/>
        <w:keepLines/>
        <w:spacing w:before="120" w:after="120" w:line="250" w:lineRule="atLeast"/>
        <w:ind w:right="119"/>
        <w:outlineLvl w:val="1"/>
        <w:rPr>
          <w:rFonts w:ascii="Arial Nova" w:hAnsi="Arial Nova"/>
          <w:b/>
          <w:color w:val="538135"/>
          <w:sz w:val="32"/>
          <w:szCs w:val="32"/>
        </w:rPr>
      </w:pPr>
      <w:bookmarkStart w:id="52" w:name="_Toc101419759"/>
      <w:bookmarkStart w:id="53" w:name="_Toc101539836"/>
      <w:bookmarkStart w:id="54" w:name="_Toc102482448"/>
      <w:bookmarkStart w:id="55" w:name="_Toc104459150"/>
      <w:bookmarkStart w:id="56" w:name="_Toc108624572"/>
      <w:r w:rsidRPr="002A5D94">
        <w:rPr>
          <w:rFonts w:ascii="Arial Nova" w:hAnsi="Arial Nova"/>
          <w:b/>
          <w:color w:val="538135"/>
          <w:sz w:val="32"/>
          <w:szCs w:val="32"/>
        </w:rPr>
        <w:t>Communications, guidance and advice</w:t>
      </w:r>
      <w:bookmarkEnd w:id="52"/>
      <w:bookmarkEnd w:id="53"/>
      <w:bookmarkEnd w:id="54"/>
      <w:bookmarkEnd w:id="55"/>
      <w:bookmarkEnd w:id="56"/>
    </w:p>
    <w:p w14:paraId="63537DA3" w14:textId="77777777" w:rsidR="002A5D94" w:rsidRPr="002C6972" w:rsidRDefault="002A5D94" w:rsidP="00F208FB">
      <w:pPr>
        <w:pStyle w:val="VACRCbody-landscape"/>
        <w:rPr>
          <w:rFonts w:asciiTheme="minorHAnsi" w:hAnsiTheme="minorHAnsi" w:cstheme="minorHAnsi"/>
        </w:rPr>
      </w:pPr>
      <w:r w:rsidRPr="002C6972">
        <w:rPr>
          <w:rFonts w:asciiTheme="minorHAnsi" w:hAnsiTheme="minorHAnsi" w:cstheme="minorHAnsi"/>
        </w:rPr>
        <w:t xml:space="preserve">In the event of an outbreak, communicating to staff, residents and their families and representatives in a clear and timely manner is essential. Understanding your communication obligations, establishing clear lines and roles, and continuing to articulate the steps taken to prepare the facility, are all key components of readiness. </w:t>
      </w:r>
    </w:p>
    <w:p w14:paraId="14FBE043" w14:textId="0CAA1B3B" w:rsidR="004605BB" w:rsidRDefault="002A5D94" w:rsidP="00561FC2">
      <w:pPr>
        <w:pStyle w:val="VACRCbody-landscape"/>
        <w:spacing w:after="160"/>
      </w:pPr>
      <w:r w:rsidRPr="002C6972">
        <w:rPr>
          <w:rFonts w:asciiTheme="minorHAnsi" w:hAnsiTheme="minorHAnsi" w:cstheme="minorHAnsi"/>
        </w:rPr>
        <w:t xml:space="preserve">The </w:t>
      </w:r>
      <w:hyperlink r:id="rId39" w:history="1">
        <w:r w:rsidRPr="00967B8E">
          <w:rPr>
            <w:rFonts w:asciiTheme="minorHAnsi" w:hAnsiTheme="minorHAnsi" w:cstheme="minorHAnsi"/>
            <w:color w:val="0563C1"/>
          </w:rPr>
          <w:t>National COVID-19 Residential Aged Care Emergency Communication Guide</w:t>
        </w:r>
      </w:hyperlink>
      <w:r w:rsidRPr="002C6972">
        <w:rPr>
          <w:rFonts w:asciiTheme="minorHAnsi" w:hAnsiTheme="minorHAnsi" w:cstheme="minorHAnsi"/>
        </w:rPr>
        <w:t xml:space="preserve"> outlines communication in advance of, and during, a COVID-19 outbreak. It covers roles and responsibilities, communication protocols and communication processes for Australian </w:t>
      </w:r>
      <w:r w:rsidR="0040078E" w:rsidRPr="002C6972">
        <w:rPr>
          <w:rFonts w:asciiTheme="minorHAnsi" w:hAnsiTheme="minorHAnsi" w:cstheme="minorHAnsi"/>
        </w:rPr>
        <w:t xml:space="preserve">Government, State and Territory Governments, the </w:t>
      </w:r>
      <w:r w:rsidR="00B6254B" w:rsidRPr="002C6972">
        <w:rPr>
          <w:rFonts w:asciiTheme="minorHAnsi" w:hAnsiTheme="minorHAnsi" w:cstheme="minorHAnsi"/>
        </w:rPr>
        <w:t xml:space="preserve">Commission </w:t>
      </w:r>
      <w:r w:rsidR="0040078E" w:rsidRPr="002C6972">
        <w:rPr>
          <w:rFonts w:asciiTheme="minorHAnsi" w:hAnsiTheme="minorHAnsi" w:cstheme="minorHAnsi"/>
        </w:rPr>
        <w:t xml:space="preserve">and </w:t>
      </w:r>
      <w:r w:rsidR="00C547CA">
        <w:rPr>
          <w:rFonts w:asciiTheme="minorHAnsi" w:hAnsiTheme="minorHAnsi" w:cstheme="minorHAnsi"/>
        </w:rPr>
        <w:t>aged care home</w:t>
      </w:r>
      <w:r w:rsidR="00C547CA" w:rsidRPr="002C6972">
        <w:rPr>
          <w:rFonts w:asciiTheme="minorHAnsi" w:hAnsiTheme="minorHAnsi" w:cstheme="minorHAnsi"/>
        </w:rPr>
        <w:t xml:space="preserve"> </w:t>
      </w:r>
      <w:r w:rsidR="0040078E" w:rsidRPr="002C6972">
        <w:rPr>
          <w:rFonts w:asciiTheme="minorHAnsi" w:hAnsiTheme="minorHAnsi" w:cstheme="minorHAnsi"/>
        </w:rPr>
        <w:t>providers. Providers should familiarise themselves with these resources.</w:t>
      </w:r>
    </w:p>
    <w:p w14:paraId="2BC7C187" w14:textId="77777777" w:rsidR="0094637C" w:rsidRPr="0094637C" w:rsidRDefault="0094637C" w:rsidP="00B169FF">
      <w:pPr>
        <w:keepNext/>
        <w:keepLines/>
        <w:spacing w:before="120" w:after="120" w:line="250" w:lineRule="atLeast"/>
        <w:ind w:right="119"/>
        <w:outlineLvl w:val="1"/>
        <w:rPr>
          <w:rFonts w:ascii="Arial Nova" w:hAnsi="Arial Nova"/>
          <w:b/>
          <w:color w:val="538135"/>
          <w:sz w:val="32"/>
          <w:szCs w:val="32"/>
        </w:rPr>
      </w:pPr>
      <w:bookmarkStart w:id="57" w:name="_Toc104459151"/>
      <w:bookmarkStart w:id="58" w:name="_Toc108624573"/>
      <w:r w:rsidRPr="0094637C">
        <w:rPr>
          <w:rFonts w:ascii="Arial Nova" w:hAnsi="Arial Nova"/>
          <w:b/>
          <w:color w:val="538135"/>
          <w:sz w:val="32"/>
          <w:szCs w:val="32"/>
        </w:rPr>
        <w:t>Visitation</w:t>
      </w:r>
      <w:bookmarkEnd w:id="57"/>
      <w:bookmarkEnd w:id="58"/>
    </w:p>
    <w:p w14:paraId="295812DD" w14:textId="232EDECF" w:rsidR="0094637C" w:rsidRPr="002C6972" w:rsidRDefault="0094637C" w:rsidP="00F208FB">
      <w:pPr>
        <w:pStyle w:val="VACRCbody-landscape"/>
        <w:rPr>
          <w:rFonts w:asciiTheme="minorHAnsi" w:hAnsiTheme="minorHAnsi" w:cstheme="minorHAnsi"/>
        </w:rPr>
      </w:pPr>
      <w:bookmarkStart w:id="59" w:name="_Toc104458395"/>
      <w:bookmarkStart w:id="60" w:name="_Toc104459152"/>
      <w:bookmarkStart w:id="61" w:name="_Toc105590107"/>
      <w:r w:rsidRPr="002C6972">
        <w:rPr>
          <w:rFonts w:asciiTheme="minorHAnsi" w:hAnsiTheme="minorHAnsi" w:cstheme="minorHAnsi"/>
        </w:rPr>
        <w:t>Social engagement and continuity of close relationships has a profoundly positive impact on the wellbeing of aged care residents. Conversely, restrictions on in-person relationships (such as those experienced earlier in the COVID-19 pandemic under tighter public health restrictions), have seen associated negative impacts.</w:t>
      </w:r>
      <w:bookmarkEnd w:id="59"/>
      <w:bookmarkEnd w:id="60"/>
      <w:bookmarkEnd w:id="61"/>
    </w:p>
    <w:p w14:paraId="32D87251" w14:textId="582666D7" w:rsidR="0094637C" w:rsidRPr="002C6972" w:rsidRDefault="0094637C" w:rsidP="00F208FB">
      <w:pPr>
        <w:pStyle w:val="VACRCbody-landscape"/>
        <w:rPr>
          <w:rFonts w:asciiTheme="minorHAnsi" w:hAnsiTheme="minorHAnsi" w:cstheme="minorHAnsi"/>
        </w:rPr>
      </w:pPr>
      <w:bookmarkStart w:id="62" w:name="_Toc104458396"/>
      <w:bookmarkStart w:id="63" w:name="_Toc104459153"/>
      <w:bookmarkStart w:id="64" w:name="_Toc105590108"/>
      <w:r w:rsidRPr="002C6972">
        <w:rPr>
          <w:rFonts w:asciiTheme="minorHAnsi" w:hAnsiTheme="minorHAnsi" w:cstheme="minorHAnsi"/>
        </w:rPr>
        <w:t>Whilst contemporary public health requirements are facilitating ever-increasing levels of visitation, consideration should be given during the ‘Readiness’ phase, towards actions which can be taken in advance to best ensure visitation can safely be maintained, even during an outbreak.</w:t>
      </w:r>
      <w:bookmarkEnd w:id="62"/>
      <w:bookmarkEnd w:id="63"/>
      <w:bookmarkEnd w:id="64"/>
    </w:p>
    <w:p w14:paraId="5466B77C" w14:textId="57E8B1C9" w:rsidR="004605BB" w:rsidRPr="00D565B4" w:rsidRDefault="0094637C" w:rsidP="00F208FB">
      <w:pPr>
        <w:pStyle w:val="VACRCbody-landscape"/>
        <w:rPr>
          <w:rFonts w:eastAsia="MS Gothic"/>
        </w:rPr>
      </w:pPr>
      <w:bookmarkStart w:id="65" w:name="_Toc104458397"/>
      <w:bookmarkStart w:id="66" w:name="_Toc104459154"/>
      <w:bookmarkStart w:id="67" w:name="_Toc105590109"/>
      <w:r w:rsidRPr="002C6972">
        <w:rPr>
          <w:rFonts w:asciiTheme="minorHAnsi" w:hAnsiTheme="minorHAnsi" w:cstheme="minorHAnsi"/>
        </w:rPr>
        <w:t xml:space="preserve">Providers are encouraged to use the ‘Readiness’ phase to establish mechanisms (such as a </w:t>
      </w:r>
      <w:hyperlink r:id="rId40" w:history="1">
        <w:r w:rsidRPr="00967B8E">
          <w:rPr>
            <w:rFonts w:asciiTheme="minorHAnsi" w:hAnsiTheme="minorHAnsi" w:cstheme="minorHAnsi"/>
            <w:color w:val="0563C1"/>
          </w:rPr>
          <w:t>Partnerships in Care</w:t>
        </w:r>
      </w:hyperlink>
      <w:r w:rsidRPr="002C6972">
        <w:rPr>
          <w:rFonts w:asciiTheme="minorHAnsi" w:hAnsiTheme="minorHAnsi" w:cstheme="minorHAnsi"/>
        </w:rPr>
        <w:t xml:space="preserve"> program, which allows family and friends of residents to participate in their care) to promote existing relationships of care, even during outbreaks.</w:t>
      </w:r>
      <w:bookmarkEnd w:id="65"/>
      <w:bookmarkEnd w:id="66"/>
      <w:bookmarkEnd w:id="67"/>
      <w:r w:rsidR="004605BB" w:rsidRPr="00D565B4">
        <w:br w:type="page"/>
      </w:r>
    </w:p>
    <w:p w14:paraId="393BB7E7" w14:textId="14F96315" w:rsidR="002E67AA" w:rsidRPr="002E67AA" w:rsidRDefault="00B1270A" w:rsidP="00561FC2">
      <w:pPr>
        <w:keepNext/>
        <w:keepLines/>
        <w:spacing w:before="120" w:after="120" w:line="250" w:lineRule="atLeast"/>
        <w:outlineLvl w:val="0"/>
        <w:rPr>
          <w:rFonts w:ascii="Arial Nova" w:hAnsi="Arial Nova"/>
          <w:b/>
          <w:color w:val="EB701D"/>
          <w:sz w:val="48"/>
          <w:szCs w:val="48"/>
        </w:rPr>
      </w:pPr>
      <w:bookmarkStart w:id="68" w:name="_Toc108624574"/>
      <w:r>
        <w:rPr>
          <w:rFonts w:ascii="Arial Nova" w:hAnsi="Arial Nova"/>
          <w:b/>
          <w:color w:val="EB701D"/>
          <w:sz w:val="48"/>
          <w:szCs w:val="48"/>
        </w:rPr>
        <w:lastRenderedPageBreak/>
        <w:t>Response</w:t>
      </w:r>
      <w:bookmarkEnd w:id="68"/>
    </w:p>
    <w:p w14:paraId="5D546B4A" w14:textId="74E369B8" w:rsidR="005739DB" w:rsidRPr="002C6972" w:rsidRDefault="002E67AA" w:rsidP="005739DB">
      <w:pPr>
        <w:pStyle w:val="VACRCbody-landscape"/>
        <w:rPr>
          <w:rFonts w:asciiTheme="minorHAnsi" w:hAnsiTheme="minorHAnsi" w:cstheme="minorHAnsi"/>
        </w:rPr>
      </w:pPr>
      <w:r w:rsidRPr="002C6972">
        <w:rPr>
          <w:rFonts w:asciiTheme="minorHAnsi" w:hAnsiTheme="minorHAnsi" w:cstheme="minorHAnsi"/>
        </w:rPr>
        <w:t xml:space="preserve">Rapid actions in the Response phase, based on preparation during the Readiness phase, ensures </w:t>
      </w:r>
      <w:r w:rsidR="00C547CA">
        <w:rPr>
          <w:rFonts w:asciiTheme="minorHAnsi" w:hAnsiTheme="minorHAnsi" w:cstheme="minorHAnsi"/>
        </w:rPr>
        <w:t>aged care homes</w:t>
      </w:r>
      <w:r w:rsidR="00C547CA" w:rsidRPr="002C6972">
        <w:rPr>
          <w:rFonts w:asciiTheme="minorHAnsi" w:hAnsiTheme="minorHAnsi" w:cstheme="minorHAnsi"/>
        </w:rPr>
        <w:t xml:space="preserve"> </w:t>
      </w:r>
      <w:r w:rsidRPr="002C6972">
        <w:rPr>
          <w:rFonts w:asciiTheme="minorHAnsi" w:hAnsiTheme="minorHAnsi" w:cstheme="minorHAnsi"/>
        </w:rPr>
        <w:t>can address outbreaks early and lessen the potential impacts.</w:t>
      </w:r>
      <w:r w:rsidR="005739DB" w:rsidRPr="005739DB">
        <w:rPr>
          <w:rFonts w:asciiTheme="minorHAnsi" w:hAnsiTheme="minorHAnsi" w:cstheme="minorHAnsi"/>
        </w:rPr>
        <w:t xml:space="preserve"> </w:t>
      </w:r>
      <w:r w:rsidR="005739DB" w:rsidRPr="002C6972">
        <w:rPr>
          <w:rFonts w:asciiTheme="minorHAnsi" w:hAnsiTheme="minorHAnsi" w:cstheme="minorHAnsi"/>
        </w:rPr>
        <w:t>Th</w:t>
      </w:r>
      <w:r w:rsidR="005739DB">
        <w:rPr>
          <w:rFonts w:asciiTheme="minorHAnsi" w:hAnsiTheme="minorHAnsi" w:cstheme="minorHAnsi"/>
        </w:rPr>
        <w:t xml:space="preserve">is </w:t>
      </w:r>
      <w:r w:rsidR="005739DB" w:rsidRPr="002C6972">
        <w:rPr>
          <w:rFonts w:asciiTheme="minorHAnsi" w:hAnsiTheme="minorHAnsi" w:cstheme="minorHAnsi"/>
        </w:rPr>
        <w:t>second phase relies on effort from all parties – Commonwealth, State or Territory, and the approved provider.</w:t>
      </w:r>
    </w:p>
    <w:p w14:paraId="1BDA2DCC" w14:textId="535BAD05" w:rsidR="002E67AA" w:rsidRPr="002C6972" w:rsidRDefault="002E67AA" w:rsidP="00561FC2">
      <w:pPr>
        <w:pStyle w:val="VACRCbody-landscape"/>
        <w:spacing w:after="160"/>
        <w:rPr>
          <w:rFonts w:asciiTheme="minorHAnsi" w:hAnsiTheme="minorHAnsi" w:cstheme="minorHAnsi"/>
        </w:rPr>
      </w:pPr>
      <w:r w:rsidRPr="002C6972">
        <w:rPr>
          <w:rFonts w:asciiTheme="minorHAnsi" w:hAnsiTheme="minorHAnsi" w:cstheme="minorHAnsi"/>
        </w:rPr>
        <w:t xml:space="preserve">It is important that </w:t>
      </w:r>
      <w:r w:rsidR="00C547CA">
        <w:rPr>
          <w:rFonts w:asciiTheme="minorHAnsi" w:hAnsiTheme="minorHAnsi" w:cstheme="minorHAnsi"/>
        </w:rPr>
        <w:t>aged care homes</w:t>
      </w:r>
      <w:r w:rsidR="00C547CA" w:rsidRPr="002C6972">
        <w:rPr>
          <w:rFonts w:asciiTheme="minorHAnsi" w:hAnsiTheme="minorHAnsi" w:cstheme="minorHAnsi"/>
        </w:rPr>
        <w:t xml:space="preserve"> </w:t>
      </w:r>
      <w:r w:rsidRPr="002C6972">
        <w:rPr>
          <w:rFonts w:asciiTheme="minorHAnsi" w:hAnsiTheme="minorHAnsi" w:cstheme="minorHAnsi"/>
        </w:rPr>
        <w:t>tailor their responses to COVID-19 outbreaks, influenza outbreaks, or both at once, guided by risk</w:t>
      </w:r>
      <w:r w:rsidRPr="002C6972">
        <w:rPr>
          <w:rFonts w:asciiTheme="minorHAnsi" w:hAnsiTheme="minorHAnsi" w:cstheme="minorHAnsi"/>
        </w:rPr>
        <w:noBreakHyphen/>
        <w:t>based decision making, to ensure a proportionate and least-restrictive response which minimises potential detrimental impacts on residents.</w:t>
      </w:r>
    </w:p>
    <w:p w14:paraId="5A6E217B" w14:textId="77777777" w:rsidR="005739DB" w:rsidRPr="002C6972" w:rsidRDefault="005739DB" w:rsidP="005739DB">
      <w:pPr>
        <w:pStyle w:val="VACRCbody-landscape"/>
        <w:rPr>
          <w:rFonts w:asciiTheme="minorHAnsi" w:hAnsiTheme="minorHAnsi" w:cstheme="minorHAnsi"/>
        </w:rPr>
      </w:pPr>
      <w:bookmarkStart w:id="69" w:name="_Toc101419764"/>
      <w:bookmarkStart w:id="70" w:name="_Toc101539841"/>
      <w:bookmarkStart w:id="71" w:name="_Toc102482450"/>
      <w:bookmarkStart w:id="72" w:name="_Toc104459156"/>
      <w:r w:rsidRPr="002C6972">
        <w:rPr>
          <w:rFonts w:asciiTheme="minorHAnsi" w:hAnsiTheme="minorHAnsi" w:cstheme="minorHAnsi"/>
        </w:rPr>
        <w:t>The checklists provided at the end of this document contain examples of practical and operational actions, which providers should consider during the ‘Response’ phase to ensure they can respond appropriately, as required.</w:t>
      </w:r>
    </w:p>
    <w:p w14:paraId="2395BB01" w14:textId="5D70C191" w:rsidR="002E67AA" w:rsidRPr="002C6972" w:rsidRDefault="002E67AA" w:rsidP="00F208FB">
      <w:pPr>
        <w:pStyle w:val="VACRCbody-landscape"/>
        <w:shd w:val="clear" w:color="auto" w:fill="FBE4D5"/>
        <w:rPr>
          <w:rFonts w:asciiTheme="minorHAnsi" w:hAnsiTheme="minorHAnsi" w:cstheme="minorHAnsi"/>
          <w:b/>
          <w:bCs/>
        </w:rPr>
      </w:pPr>
      <w:r w:rsidRPr="002C6972">
        <w:rPr>
          <w:rFonts w:asciiTheme="minorHAnsi" w:hAnsiTheme="minorHAnsi" w:cstheme="minorHAnsi"/>
          <w:b/>
          <w:bCs/>
        </w:rPr>
        <w:t>Provider responsibilities</w:t>
      </w:r>
      <w:bookmarkEnd w:id="69"/>
      <w:bookmarkEnd w:id="70"/>
      <w:bookmarkEnd w:id="71"/>
      <w:bookmarkEnd w:id="72"/>
    </w:p>
    <w:p w14:paraId="258D23DD" w14:textId="0E56C5AD" w:rsidR="00B6254B" w:rsidRPr="002C6972" w:rsidRDefault="00B6254B" w:rsidP="00F208FB">
      <w:pPr>
        <w:pStyle w:val="VACRCbody-landscape"/>
        <w:shd w:val="clear" w:color="auto" w:fill="FBE4D5"/>
        <w:rPr>
          <w:rFonts w:asciiTheme="minorHAnsi" w:hAnsiTheme="minorHAnsi" w:cstheme="minorHAnsi"/>
        </w:rPr>
      </w:pPr>
      <w:r w:rsidRPr="002C6972">
        <w:rPr>
          <w:rFonts w:asciiTheme="minorHAnsi" w:hAnsiTheme="minorHAnsi" w:cstheme="minorHAnsi"/>
        </w:rPr>
        <w:t xml:space="preserve">The primary responsibility for outbreak management in aged care services rests with the approved provider – this is linked to relevant obligations under both aged care legislation (relating to continued delivery of quality and safe care for residents) as well as state-based work health and safety laws (relating to the provision of a safe working environment for staff). This includes reporting positive cases in compliance with the relevant state and territory requirement and to the </w:t>
      </w:r>
      <w:r w:rsidR="00626E0D" w:rsidRPr="002C6972">
        <w:rPr>
          <w:rFonts w:asciiTheme="minorHAnsi" w:hAnsiTheme="minorHAnsi" w:cstheme="minorHAnsi"/>
        </w:rPr>
        <w:t>d</w:t>
      </w:r>
      <w:r w:rsidRPr="002C6972">
        <w:rPr>
          <w:rFonts w:asciiTheme="minorHAnsi" w:hAnsiTheme="minorHAnsi" w:cstheme="minorHAnsi"/>
        </w:rPr>
        <w:t>epartment (for COVID-19).</w:t>
      </w:r>
    </w:p>
    <w:p w14:paraId="32A59580" w14:textId="5DE3FC66" w:rsidR="00B6254B" w:rsidRPr="002C6972" w:rsidRDefault="00B6254B" w:rsidP="00F208FB">
      <w:pPr>
        <w:pStyle w:val="VACRCbody-landscape"/>
        <w:shd w:val="clear" w:color="auto" w:fill="FBE4D5"/>
        <w:rPr>
          <w:rFonts w:asciiTheme="minorHAnsi" w:hAnsiTheme="minorHAnsi" w:cstheme="minorHAnsi"/>
        </w:rPr>
      </w:pPr>
      <w:r w:rsidRPr="002C6972">
        <w:rPr>
          <w:rFonts w:asciiTheme="minorHAnsi" w:eastAsia="Times New Roman" w:hAnsiTheme="minorHAnsi" w:cstheme="minorHAnsi"/>
        </w:rPr>
        <w:t xml:space="preserve">Each service should have emergency plans, policies and procedures in place and accessible to all staff. Management staff should also have a thorough knowledge of these procedures and have vested authority to make immediate decisions in line with the plan and procedures. </w:t>
      </w:r>
      <w:r w:rsidRPr="002C6972">
        <w:rPr>
          <w:rFonts w:asciiTheme="minorHAnsi" w:hAnsiTheme="minorHAnsi" w:cstheme="minorHAnsi"/>
        </w:rPr>
        <w:t>Having strong leadership and governance on-site, including clinical guidance on appropriate IPC procedures, is a vital component. Providers should also ensure they have a plan for the safe return of any residents who may have been hospitalised during the outbreak.</w:t>
      </w:r>
    </w:p>
    <w:p w14:paraId="15651C87" w14:textId="7CC648CE" w:rsidR="00B6254B" w:rsidRPr="002C6972" w:rsidRDefault="00B6254B" w:rsidP="00F208FB">
      <w:pPr>
        <w:pStyle w:val="VACRCbody-landscape"/>
        <w:shd w:val="clear" w:color="auto" w:fill="FBE4D5"/>
        <w:rPr>
          <w:rFonts w:asciiTheme="minorHAnsi" w:hAnsiTheme="minorHAnsi" w:cstheme="minorHAnsi"/>
        </w:rPr>
      </w:pPr>
      <w:r w:rsidRPr="002C6972">
        <w:rPr>
          <w:rFonts w:asciiTheme="minorHAnsi" w:hAnsiTheme="minorHAnsi" w:cstheme="minorHAnsi"/>
        </w:rPr>
        <w:t>Jurisdictional and/or Commonwealth supports are supplementary to this responsibility; they are intended as additional supports for providers, as required, when existing outbreak management capacity may be exhausted.</w:t>
      </w:r>
    </w:p>
    <w:p w14:paraId="63043664" w14:textId="250E40D0" w:rsidR="00B6254B" w:rsidRPr="002C6972" w:rsidRDefault="00B6254B" w:rsidP="00F208FB">
      <w:pPr>
        <w:pStyle w:val="VACRCbody-landscape"/>
        <w:shd w:val="clear" w:color="auto" w:fill="FBE4D5"/>
        <w:rPr>
          <w:rFonts w:asciiTheme="minorHAnsi" w:hAnsiTheme="minorHAnsi" w:cstheme="minorHAnsi"/>
        </w:rPr>
      </w:pPr>
      <w:r w:rsidRPr="002C6972">
        <w:rPr>
          <w:rFonts w:asciiTheme="minorHAnsi" w:hAnsiTheme="minorHAnsi" w:cstheme="minorHAnsi"/>
        </w:rPr>
        <w:t>All states and territories have issued public health directions for aged care providers (published on each</w:t>
      </w:r>
      <w:r w:rsidR="00B169FF" w:rsidRPr="002C6972">
        <w:rPr>
          <w:rFonts w:asciiTheme="minorHAnsi" w:hAnsiTheme="minorHAnsi" w:cstheme="minorHAnsi"/>
        </w:rPr>
        <w:t xml:space="preserve"> </w:t>
      </w:r>
      <w:hyperlink r:id="rId41" w:history="1">
        <w:r w:rsidRPr="002C6972">
          <w:rPr>
            <w:rFonts w:asciiTheme="minorHAnsi" w:eastAsiaTheme="majorEastAsia" w:hAnsiTheme="minorHAnsi" w:cstheme="minorHAnsi"/>
            <w:color w:val="0563C1"/>
            <w:u w:val="single"/>
          </w:rPr>
          <w:t>state or territory health department</w:t>
        </w:r>
      </w:hyperlink>
      <w:r w:rsidRPr="002C6972">
        <w:rPr>
          <w:rFonts w:asciiTheme="minorHAnsi" w:eastAsiaTheme="majorEastAsia" w:hAnsiTheme="minorHAnsi" w:cstheme="minorHAnsi"/>
          <w:color w:val="0563C1"/>
          <w:u w:val="single"/>
        </w:rPr>
        <w:t xml:space="preserve"> websites</w:t>
      </w:r>
      <w:r w:rsidRPr="002C6972">
        <w:rPr>
          <w:rFonts w:asciiTheme="minorHAnsi" w:hAnsiTheme="minorHAnsi" w:cstheme="minorHAnsi"/>
        </w:rPr>
        <w:t>). Whilst providers must foremost comply with any relevant public health directions, they are expected to ensure that outbreak responses are proportionate to prevailing risk and take a least-restrictive approach.</w:t>
      </w:r>
    </w:p>
    <w:p w14:paraId="2084C6FF" w14:textId="20D2EC32" w:rsidR="00FF25B6" w:rsidRDefault="00B6254B" w:rsidP="00F208FB">
      <w:pPr>
        <w:pStyle w:val="VACRCbody-landscape"/>
        <w:shd w:val="clear" w:color="auto" w:fill="FBE4D5"/>
        <w:rPr>
          <w:rFonts w:cs="Segoe UI"/>
        </w:rPr>
      </w:pPr>
      <w:r w:rsidRPr="002C6972">
        <w:rPr>
          <w:rFonts w:asciiTheme="minorHAnsi" w:hAnsiTheme="minorHAnsi" w:cstheme="minorHAnsi"/>
        </w:rPr>
        <w:t xml:space="preserve">Responses to COVID-19 outbreaks should align with the principles outlined in the </w:t>
      </w:r>
      <w:hyperlink r:id="rId42" w:history="1">
        <w:r w:rsidRPr="002C6972">
          <w:rPr>
            <w:rFonts w:asciiTheme="minorHAnsi" w:hAnsiTheme="minorHAnsi" w:cstheme="minorHAnsi"/>
            <w:color w:val="007DC3" w:themeColor="hyperlink"/>
            <w:u w:val="single"/>
          </w:rPr>
          <w:t xml:space="preserve">Interim Guidance on Managing Public Health </w:t>
        </w:r>
        <w:r w:rsidRPr="002C6972">
          <w:rPr>
            <w:rFonts w:asciiTheme="minorHAnsi" w:hAnsiTheme="minorHAnsi" w:cstheme="minorHAnsi"/>
            <w:color w:val="0563C1"/>
            <w:u w:val="single"/>
          </w:rPr>
          <w:t>Restrictions</w:t>
        </w:r>
        <w:r w:rsidRPr="002C6972">
          <w:rPr>
            <w:rFonts w:asciiTheme="minorHAnsi" w:hAnsiTheme="minorHAnsi" w:cstheme="minorHAnsi"/>
            <w:color w:val="007DC3" w:themeColor="hyperlink"/>
            <w:u w:val="single"/>
          </w:rPr>
          <w:t xml:space="preserve"> on Residential Aged Care Facilities</w:t>
        </w:r>
      </w:hyperlink>
      <w:r w:rsidRPr="002C6972">
        <w:rPr>
          <w:rFonts w:asciiTheme="minorHAnsi" w:hAnsiTheme="minorHAnsi" w:cstheme="minorHAnsi"/>
        </w:rPr>
        <w:t xml:space="preserve"> and the </w:t>
      </w:r>
      <w:hyperlink r:id="rId43" w:history="1">
        <w:r w:rsidRPr="002C6972">
          <w:rPr>
            <w:rStyle w:val="Hyperlink"/>
            <w:rFonts w:asciiTheme="minorHAnsi" w:eastAsia="Times New Roman" w:hAnsiTheme="minorHAnsi" w:cstheme="minorHAnsi"/>
          </w:rPr>
          <w:t>Industry Code for Visiting in Aged Care Homes</w:t>
        </w:r>
      </w:hyperlink>
      <w:r w:rsidRPr="002C6972">
        <w:rPr>
          <w:rFonts w:asciiTheme="minorHAnsi" w:eastAsia="Times New Roman" w:hAnsiTheme="minorHAnsi" w:cstheme="minorHAnsi"/>
        </w:rPr>
        <w:t>,</w:t>
      </w:r>
      <w:r w:rsidRPr="002C6972">
        <w:rPr>
          <w:rFonts w:asciiTheme="minorHAnsi" w:hAnsiTheme="minorHAnsi" w:cstheme="minorHAnsi"/>
        </w:rPr>
        <w:t xml:space="preserve"> with responses to influenza expected to take an even less restrictive approach.</w:t>
      </w:r>
      <w:r w:rsidR="00FF25B6">
        <w:rPr>
          <w:rFonts w:cs="Segoe UI"/>
        </w:rPr>
        <w:br w:type="page"/>
      </w:r>
    </w:p>
    <w:p w14:paraId="72ED4047" w14:textId="5B96FAD4" w:rsidR="00CA5C41" w:rsidRPr="00CA5C41" w:rsidRDefault="00CA5C41" w:rsidP="00B169FF">
      <w:pPr>
        <w:keepNext/>
        <w:keepLines/>
        <w:spacing w:before="120" w:after="120" w:line="250" w:lineRule="atLeast"/>
        <w:outlineLvl w:val="1"/>
        <w:rPr>
          <w:rFonts w:ascii="Arial Nova" w:hAnsi="Arial Nova"/>
          <w:b/>
          <w:color w:val="EB701D"/>
          <w:sz w:val="32"/>
          <w:szCs w:val="32"/>
        </w:rPr>
      </w:pPr>
      <w:bookmarkStart w:id="73" w:name="_Toc101419767"/>
      <w:bookmarkStart w:id="74" w:name="_Toc101539845"/>
      <w:bookmarkStart w:id="75" w:name="_Toc102482451"/>
      <w:bookmarkStart w:id="76" w:name="_Toc104459157"/>
      <w:bookmarkStart w:id="77" w:name="_Toc108624575"/>
      <w:r w:rsidRPr="00CA5C41">
        <w:rPr>
          <w:rFonts w:ascii="Arial Nova" w:hAnsi="Arial Nova"/>
          <w:b/>
          <w:color w:val="EB701D"/>
          <w:sz w:val="32"/>
          <w:szCs w:val="32"/>
        </w:rPr>
        <w:lastRenderedPageBreak/>
        <w:t>Identifying an outbreak/exposure – Testing</w:t>
      </w:r>
      <w:bookmarkEnd w:id="73"/>
      <w:bookmarkEnd w:id="74"/>
      <w:bookmarkEnd w:id="75"/>
      <w:bookmarkEnd w:id="76"/>
      <w:bookmarkEnd w:id="77"/>
    </w:p>
    <w:p w14:paraId="12C7CDF8" w14:textId="7F098D2D" w:rsidR="00CA5C41" w:rsidRPr="002C6972" w:rsidRDefault="00AB6337" w:rsidP="00F208FB">
      <w:pPr>
        <w:pStyle w:val="VACRCbody-landscape"/>
        <w:rPr>
          <w:rFonts w:asciiTheme="minorHAnsi" w:hAnsiTheme="minorHAnsi" w:cstheme="minorHAnsi"/>
        </w:rPr>
      </w:pPr>
      <w:r>
        <w:rPr>
          <w:rFonts w:asciiTheme="minorHAnsi" w:hAnsiTheme="minorHAnsi" w:cstheme="minorHAnsi"/>
        </w:rPr>
        <w:t>Aged care homes</w:t>
      </w:r>
      <w:r w:rsidRPr="002C6972">
        <w:rPr>
          <w:rFonts w:asciiTheme="minorHAnsi" w:hAnsiTheme="minorHAnsi" w:cstheme="minorHAnsi"/>
        </w:rPr>
        <w:t xml:space="preserve"> </w:t>
      </w:r>
      <w:r w:rsidR="00CA5C41" w:rsidRPr="002C6972">
        <w:rPr>
          <w:rFonts w:asciiTheme="minorHAnsi" w:hAnsiTheme="minorHAnsi" w:cstheme="minorHAnsi"/>
        </w:rPr>
        <w:t>should familiarise themselves with the signs and symptoms of respiratory illnesses. Where signs may present, facilities should activate current testing requirements advised by local public health authorities. It is important these clinical referral pathways are established and understood by nursing staff onsite so that they can be activated quickly.</w:t>
      </w:r>
    </w:p>
    <w:p w14:paraId="309851AA" w14:textId="4C4342E0" w:rsidR="005739DB" w:rsidRDefault="00A30262" w:rsidP="005739DB">
      <w:pPr>
        <w:pStyle w:val="VACRCbody-landscape"/>
        <w:rPr>
          <w:rFonts w:asciiTheme="minorHAnsi" w:hAnsiTheme="minorHAnsi" w:cstheme="minorHAnsi"/>
        </w:rPr>
      </w:pPr>
      <w:r>
        <w:rPr>
          <w:rFonts w:asciiTheme="minorHAnsi" w:hAnsiTheme="minorHAnsi" w:cstheme="minorHAnsi"/>
        </w:rPr>
        <w:t>T</w:t>
      </w:r>
      <w:r w:rsidR="00CA5C41" w:rsidRPr="002C6972">
        <w:rPr>
          <w:rFonts w:asciiTheme="minorHAnsi" w:hAnsiTheme="minorHAnsi" w:cstheme="minorHAnsi"/>
        </w:rPr>
        <w:t xml:space="preserve">esting for other winter respiratory diseases such as Influenza should be managed by the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00CA5C41" w:rsidRPr="002C6972">
        <w:rPr>
          <w:rFonts w:asciiTheme="minorHAnsi" w:hAnsiTheme="minorHAnsi" w:cstheme="minorHAnsi"/>
        </w:rPr>
        <w:t>through engagement with their local primary care and pathology providers and subsidised through the Medicare Benefits Schedule.</w:t>
      </w:r>
      <w:r w:rsidR="005739DB" w:rsidRPr="005739DB">
        <w:rPr>
          <w:rFonts w:asciiTheme="minorHAnsi" w:hAnsiTheme="minorHAnsi" w:cstheme="minorHAnsi"/>
        </w:rPr>
        <w:t xml:space="preserve"> </w:t>
      </w:r>
    </w:p>
    <w:p w14:paraId="033F0074" w14:textId="4B696D4E" w:rsidR="005739DB" w:rsidRPr="002C6972" w:rsidRDefault="005739DB" w:rsidP="005739DB">
      <w:pPr>
        <w:pStyle w:val="VACRCbody-landscape"/>
        <w:rPr>
          <w:rFonts w:asciiTheme="minorHAnsi" w:hAnsiTheme="minorHAnsi" w:cstheme="minorHAnsi"/>
        </w:rPr>
      </w:pPr>
      <w:r w:rsidRPr="002C6972">
        <w:rPr>
          <w:rFonts w:asciiTheme="minorHAnsi" w:hAnsiTheme="minorHAnsi" w:cstheme="minorHAnsi"/>
        </w:rPr>
        <w:t xml:space="preserve">The department will continue to support and provide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Pr="002C6972">
        <w:rPr>
          <w:rFonts w:asciiTheme="minorHAnsi" w:hAnsiTheme="minorHAnsi" w:cstheme="minorHAnsi"/>
        </w:rPr>
        <w:t>with in-reach testing for COVID</w:t>
      </w:r>
      <w:r w:rsidRPr="002C6972">
        <w:rPr>
          <w:rFonts w:asciiTheme="minorHAnsi" w:hAnsiTheme="minorHAnsi" w:cstheme="minorHAnsi"/>
        </w:rPr>
        <w:noBreakHyphen/>
        <w:t xml:space="preserve">19 where required, alongside the use of </w:t>
      </w:r>
      <w:r>
        <w:rPr>
          <w:rFonts w:asciiTheme="minorHAnsi" w:hAnsiTheme="minorHAnsi" w:cstheme="minorHAnsi"/>
        </w:rPr>
        <w:t>RAT kits</w:t>
      </w:r>
      <w:r w:rsidRPr="002C6972">
        <w:rPr>
          <w:rFonts w:asciiTheme="minorHAnsi" w:hAnsiTheme="minorHAnsi" w:cstheme="minorHAnsi"/>
        </w:rPr>
        <w:t>.</w:t>
      </w:r>
    </w:p>
    <w:p w14:paraId="00674251" w14:textId="77777777" w:rsidR="00FF25B6" w:rsidRPr="002C6972" w:rsidRDefault="00FF25B6" w:rsidP="00F208FB">
      <w:pPr>
        <w:pStyle w:val="VACRCbody-landscape"/>
        <w:shd w:val="clear" w:color="auto" w:fill="FBE4D5"/>
        <w:rPr>
          <w:rFonts w:asciiTheme="minorHAnsi" w:hAnsiTheme="minorHAnsi" w:cstheme="minorHAnsi"/>
          <w:b/>
          <w:bCs/>
        </w:rPr>
      </w:pPr>
      <w:r w:rsidRPr="002C6972">
        <w:rPr>
          <w:rFonts w:asciiTheme="minorHAnsi" w:hAnsiTheme="minorHAnsi" w:cstheme="minorHAnsi"/>
          <w:b/>
          <w:bCs/>
        </w:rPr>
        <w:t>Provider considerations</w:t>
      </w:r>
    </w:p>
    <w:p w14:paraId="6E69D838" w14:textId="2602BEAA" w:rsidR="00FF25B6" w:rsidRPr="002C6972" w:rsidRDefault="00FF25B6" w:rsidP="00F208FB">
      <w:pPr>
        <w:pStyle w:val="VACRCbody-landscape"/>
        <w:shd w:val="clear" w:color="auto" w:fill="FBE4D5"/>
        <w:rPr>
          <w:rFonts w:asciiTheme="minorHAnsi" w:hAnsiTheme="minorHAnsi" w:cstheme="minorHAnsi"/>
          <w:bCs/>
        </w:rPr>
      </w:pPr>
      <w:r w:rsidRPr="002C6972">
        <w:rPr>
          <w:rFonts w:asciiTheme="minorHAnsi" w:hAnsiTheme="minorHAnsi" w:cstheme="minorHAnsi"/>
          <w:bCs/>
        </w:rPr>
        <w:t>Providers are responsible for keeping updated on requirements for the management of respiratory illness relevant to their location. This includes any guidance issued by local public health authorities.</w:t>
      </w:r>
    </w:p>
    <w:p w14:paraId="1EFF38B6" w14:textId="269332B0" w:rsidR="00CA5C41" w:rsidRPr="002C6972" w:rsidRDefault="00AB6337" w:rsidP="00561FC2">
      <w:pPr>
        <w:pStyle w:val="VACRCbody-landscape"/>
        <w:shd w:val="clear" w:color="auto" w:fill="FBE4D5"/>
        <w:spacing w:after="160"/>
        <w:rPr>
          <w:rFonts w:asciiTheme="minorHAnsi" w:hAnsiTheme="minorHAnsi" w:cstheme="minorHAnsi"/>
        </w:rPr>
      </w:pPr>
      <w:r>
        <w:rPr>
          <w:rFonts w:asciiTheme="minorHAnsi" w:hAnsiTheme="minorHAnsi" w:cstheme="minorHAnsi"/>
        </w:rPr>
        <w:t>Aged care homes</w:t>
      </w:r>
      <w:r w:rsidRPr="002C6972">
        <w:rPr>
          <w:rFonts w:asciiTheme="minorHAnsi" w:hAnsiTheme="minorHAnsi" w:cstheme="minorHAnsi"/>
        </w:rPr>
        <w:t xml:space="preserve"> </w:t>
      </w:r>
      <w:r w:rsidR="00FF25B6" w:rsidRPr="002C6972">
        <w:rPr>
          <w:rFonts w:asciiTheme="minorHAnsi" w:hAnsiTheme="minorHAnsi" w:cstheme="minorHAnsi"/>
          <w:bCs/>
        </w:rPr>
        <w:t>should have established links with local primary care clinicians and ensure these clinicians are available to assess respiratory symptoms and refer for pathology testing as required.</w:t>
      </w:r>
    </w:p>
    <w:p w14:paraId="4FAD50D0" w14:textId="058C708D" w:rsidR="00001A0C" w:rsidRPr="00001A0C" w:rsidRDefault="00001A0C" w:rsidP="00B169FF">
      <w:pPr>
        <w:keepNext/>
        <w:keepLines/>
        <w:spacing w:before="120" w:after="120" w:line="250" w:lineRule="atLeast"/>
        <w:outlineLvl w:val="1"/>
        <w:rPr>
          <w:rFonts w:ascii="Arial Nova" w:hAnsi="Arial Nova"/>
          <w:b/>
          <w:color w:val="EB701D"/>
          <w:sz w:val="32"/>
          <w:szCs w:val="32"/>
        </w:rPr>
      </w:pPr>
      <w:bookmarkStart w:id="78" w:name="_Toc102482452"/>
      <w:bookmarkStart w:id="79" w:name="_Toc104459158"/>
      <w:bookmarkStart w:id="80" w:name="_Toc108624576"/>
      <w:r w:rsidRPr="00001A0C">
        <w:rPr>
          <w:rFonts w:ascii="Arial Nova" w:hAnsi="Arial Nova"/>
          <w:b/>
          <w:color w:val="EB701D"/>
          <w:sz w:val="32"/>
          <w:szCs w:val="32"/>
        </w:rPr>
        <w:t>Managing an outbreak</w:t>
      </w:r>
      <w:bookmarkEnd w:id="78"/>
      <w:bookmarkEnd w:id="79"/>
      <w:bookmarkEnd w:id="80"/>
    </w:p>
    <w:p w14:paraId="470225F6" w14:textId="780C4C3F" w:rsidR="00001A0C" w:rsidRPr="002C6972" w:rsidRDefault="00001A0C" w:rsidP="00F208FB">
      <w:pPr>
        <w:pStyle w:val="VACRCbody-landscape"/>
        <w:rPr>
          <w:rFonts w:asciiTheme="minorHAnsi" w:hAnsiTheme="minorHAnsi" w:cstheme="minorHAnsi"/>
          <w:szCs w:val="22"/>
        </w:rPr>
      </w:pPr>
      <w:r w:rsidRPr="002C6972">
        <w:rPr>
          <w:rFonts w:asciiTheme="minorHAnsi" w:hAnsiTheme="minorHAnsi" w:cstheme="minorHAnsi"/>
          <w:szCs w:val="22"/>
        </w:rPr>
        <w:t xml:space="preserve">RACF should activate their outbreak management plans as soon as a positive case of COVID-19 is identified. In the event influenza is identified or suspected,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Pr="002C6972">
        <w:rPr>
          <w:rFonts w:asciiTheme="minorHAnsi" w:hAnsiTheme="minorHAnsi" w:cstheme="minorHAnsi"/>
          <w:szCs w:val="22"/>
        </w:rPr>
        <w:t>should activate their outbreak management plan and consult with their primary care team including general practitioners.</w:t>
      </w:r>
    </w:p>
    <w:p w14:paraId="38772582" w14:textId="0AD60394" w:rsidR="00001A0C" w:rsidRPr="002C6972" w:rsidRDefault="00001A0C" w:rsidP="00F208FB">
      <w:pPr>
        <w:pStyle w:val="VACRCbody-landscape"/>
        <w:rPr>
          <w:rFonts w:asciiTheme="minorHAnsi" w:hAnsiTheme="minorHAnsi" w:cstheme="minorHAnsi"/>
          <w:szCs w:val="22"/>
        </w:rPr>
      </w:pPr>
      <w:r w:rsidRPr="002C6972">
        <w:rPr>
          <w:rFonts w:asciiTheme="minorHAnsi" w:hAnsiTheme="minorHAnsi" w:cstheme="minorHAnsi"/>
          <w:szCs w:val="22"/>
        </w:rPr>
        <w:t>Information to support a</w:t>
      </w:r>
      <w:r w:rsidR="00AB6337">
        <w:rPr>
          <w:rFonts w:asciiTheme="minorHAnsi" w:hAnsiTheme="minorHAnsi" w:cstheme="minorHAnsi"/>
          <w:szCs w:val="22"/>
        </w:rPr>
        <w:t>n</w:t>
      </w:r>
      <w:r w:rsidRPr="002C6972">
        <w:rPr>
          <w:rFonts w:asciiTheme="minorHAnsi" w:hAnsiTheme="minorHAnsi" w:cstheme="minorHAnsi"/>
          <w:szCs w:val="22"/>
        </w:rPr>
        <w:t xml:space="preserve">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Pr="002C6972">
        <w:rPr>
          <w:rFonts w:asciiTheme="minorHAnsi" w:hAnsiTheme="minorHAnsi" w:cstheme="minorHAnsi"/>
          <w:szCs w:val="22"/>
        </w:rPr>
        <w:t>response to an outbreak is available in a range of resources including:</w:t>
      </w:r>
    </w:p>
    <w:p w14:paraId="4DE6CF95" w14:textId="002E85C9" w:rsidR="00001A0C" w:rsidRPr="002C6972" w:rsidRDefault="00001A0C" w:rsidP="001707B8">
      <w:pPr>
        <w:pStyle w:val="VACRCbody-landscape"/>
        <w:numPr>
          <w:ilvl w:val="0"/>
          <w:numId w:val="24"/>
        </w:numPr>
        <w:rPr>
          <w:rFonts w:asciiTheme="minorHAnsi" w:hAnsiTheme="minorHAnsi" w:cstheme="minorHAnsi"/>
          <w:szCs w:val="22"/>
        </w:rPr>
      </w:pPr>
      <w:r w:rsidRPr="00B64C5F">
        <w:rPr>
          <w:rFonts w:asciiTheme="minorHAnsi" w:hAnsiTheme="minorHAnsi" w:cstheme="minorHAnsi"/>
          <w:szCs w:val="22"/>
        </w:rPr>
        <w:t xml:space="preserve">CDNA </w:t>
      </w:r>
      <w:hyperlink r:id="rId44" w:history="1">
        <w:r w:rsidR="00B64C5F" w:rsidRPr="00B64C5F">
          <w:rPr>
            <w:rStyle w:val="Hyperlink"/>
            <w:rFonts w:asciiTheme="minorHAnsi" w:hAnsiTheme="minorHAnsi" w:cstheme="minorHAnsi"/>
          </w:rPr>
          <w:t>national guidelines for the prevention, control and public health management of COVID-19 outbreaks in residential care facilities in Australia</w:t>
        </w:r>
      </w:hyperlink>
    </w:p>
    <w:p w14:paraId="49833F2A" w14:textId="178145D2" w:rsidR="00FF25B6" w:rsidRPr="00B64C5F" w:rsidRDefault="00E35DE8" w:rsidP="001707B8">
      <w:pPr>
        <w:pStyle w:val="VACRCbody-landscape"/>
        <w:numPr>
          <w:ilvl w:val="0"/>
          <w:numId w:val="24"/>
        </w:numPr>
        <w:rPr>
          <w:rFonts w:asciiTheme="minorHAnsi" w:hAnsiTheme="minorHAnsi" w:cstheme="minorHAnsi"/>
          <w:szCs w:val="22"/>
        </w:rPr>
      </w:pPr>
      <w:hyperlink r:id="rId45" w:history="1">
        <w:r w:rsidR="00001A0C" w:rsidRPr="00B64C5F">
          <w:rPr>
            <w:rFonts w:asciiTheme="minorHAnsi" w:hAnsiTheme="minorHAnsi" w:cstheme="minorHAnsi"/>
            <w:color w:val="0563C1"/>
            <w:szCs w:val="22"/>
          </w:rPr>
          <w:t>First 24 Hours Checklist – Managing Covid-19 In A Residential Aged Care Facility</w:t>
        </w:r>
      </w:hyperlink>
    </w:p>
    <w:p w14:paraId="554B2BAF" w14:textId="70DC0446" w:rsidR="00001A0C" w:rsidRPr="002C6972" w:rsidRDefault="00FF25B6" w:rsidP="001707B8">
      <w:pPr>
        <w:pStyle w:val="VACRCbody-landscape"/>
        <w:numPr>
          <w:ilvl w:val="0"/>
          <w:numId w:val="24"/>
        </w:numPr>
        <w:rPr>
          <w:rFonts w:asciiTheme="minorHAnsi" w:hAnsiTheme="minorHAnsi" w:cstheme="minorHAnsi"/>
          <w:szCs w:val="22"/>
        </w:rPr>
      </w:pPr>
      <w:r w:rsidRPr="002C6972">
        <w:rPr>
          <w:rFonts w:asciiTheme="minorHAnsi" w:hAnsiTheme="minorHAnsi" w:cstheme="minorHAnsi"/>
          <w:szCs w:val="22"/>
        </w:rPr>
        <w:t xml:space="preserve">resources </w:t>
      </w:r>
      <w:r w:rsidR="00001A0C" w:rsidRPr="002C6972">
        <w:rPr>
          <w:rFonts w:asciiTheme="minorHAnsi" w:hAnsiTheme="minorHAnsi" w:cstheme="minorHAnsi"/>
          <w:szCs w:val="22"/>
        </w:rPr>
        <w:t xml:space="preserve">provided by state </w:t>
      </w:r>
      <w:r w:rsidRPr="002C6972">
        <w:rPr>
          <w:rFonts w:asciiTheme="minorHAnsi" w:hAnsiTheme="minorHAnsi" w:cstheme="minorHAnsi"/>
          <w:szCs w:val="22"/>
        </w:rPr>
        <w:t>and territory governments</w:t>
      </w:r>
      <w:r w:rsidR="00001A0C" w:rsidRPr="002C6972">
        <w:rPr>
          <w:rFonts w:asciiTheme="minorHAnsi" w:hAnsiTheme="minorHAnsi" w:cstheme="minorHAnsi"/>
          <w:szCs w:val="22"/>
        </w:rPr>
        <w:t>.</w:t>
      </w:r>
    </w:p>
    <w:p w14:paraId="0AA168F5" w14:textId="2ECE626A" w:rsidR="00FF25B6" w:rsidRDefault="00001A0C" w:rsidP="00F208FB">
      <w:pPr>
        <w:pStyle w:val="VACRCbody-landscape"/>
        <w:rPr>
          <w:rFonts w:ascii="Arial Nova" w:hAnsi="Arial Nova"/>
          <w:b/>
          <w:bCs/>
          <w:i/>
          <w:iCs/>
          <w:color w:val="EB701D"/>
          <w:sz w:val="28"/>
          <w:szCs w:val="24"/>
        </w:rPr>
      </w:pPr>
      <w:r w:rsidRPr="002C6972">
        <w:rPr>
          <w:rFonts w:asciiTheme="minorHAnsi" w:hAnsiTheme="minorHAnsi" w:cstheme="minorHAnsi"/>
          <w:szCs w:val="22"/>
        </w:rPr>
        <w:t>Where a resident presents with respiratory symptoms and both COVID</w:t>
      </w:r>
      <w:r w:rsidRPr="002C6972">
        <w:rPr>
          <w:rFonts w:asciiTheme="minorHAnsi" w:hAnsiTheme="minorHAnsi" w:cstheme="minorHAnsi"/>
          <w:szCs w:val="22"/>
        </w:rPr>
        <w:noBreakHyphen/>
        <w:t>19 and influenza are yet to be excluded, the facility’s approach to IPC should reflect the higher requirement (</w:t>
      </w:r>
      <w:proofErr w:type="gramStart"/>
      <w:r w:rsidRPr="002C6972">
        <w:rPr>
          <w:rFonts w:asciiTheme="minorHAnsi" w:hAnsiTheme="minorHAnsi" w:cstheme="minorHAnsi"/>
          <w:szCs w:val="22"/>
        </w:rPr>
        <w:t>i.e.</w:t>
      </w:r>
      <w:proofErr w:type="gramEnd"/>
      <w:r w:rsidRPr="002C6972">
        <w:rPr>
          <w:rFonts w:asciiTheme="minorHAnsi" w:hAnsiTheme="minorHAnsi" w:cstheme="minorHAnsi"/>
          <w:szCs w:val="22"/>
        </w:rPr>
        <w:t xml:space="preserve"> for COVID-19).</w:t>
      </w:r>
      <w:bookmarkStart w:id="81" w:name="_Toc101539843"/>
      <w:bookmarkStart w:id="82" w:name="_Toc102482453"/>
      <w:bookmarkStart w:id="83" w:name="_Toc104459159"/>
    </w:p>
    <w:p w14:paraId="0699740D" w14:textId="07094B7B" w:rsidR="00001A0C" w:rsidRPr="00B169FF" w:rsidRDefault="00001A0C" w:rsidP="00B169FF">
      <w:pPr>
        <w:keepNext/>
        <w:keepLines/>
        <w:spacing w:before="120" w:after="120" w:line="240" w:lineRule="atLeast"/>
        <w:outlineLvl w:val="2"/>
        <w:rPr>
          <w:rFonts w:ascii="Arial Nova" w:hAnsi="Arial Nova"/>
          <w:i/>
          <w:iCs/>
          <w:color w:val="EB701D"/>
          <w:sz w:val="28"/>
          <w:szCs w:val="24"/>
        </w:rPr>
      </w:pPr>
      <w:bookmarkStart w:id="84" w:name="_Toc108624577"/>
      <w:r w:rsidRPr="00B169FF">
        <w:rPr>
          <w:rFonts w:ascii="Arial Nova" w:hAnsi="Arial Nova"/>
          <w:i/>
          <w:iCs/>
          <w:color w:val="EB701D"/>
          <w:sz w:val="28"/>
          <w:szCs w:val="24"/>
        </w:rPr>
        <w:t>Managing outbreaks – COVID-19 and influenza</w:t>
      </w:r>
      <w:bookmarkEnd w:id="81"/>
      <w:bookmarkEnd w:id="82"/>
      <w:bookmarkEnd w:id="83"/>
      <w:bookmarkEnd w:id="84"/>
    </w:p>
    <w:p w14:paraId="4805DA28" w14:textId="5B2D22EF" w:rsidR="00001A0C" w:rsidRPr="002C6972" w:rsidRDefault="00001A0C" w:rsidP="005105CC">
      <w:pPr>
        <w:pStyle w:val="VACRCbody-landscape"/>
        <w:rPr>
          <w:rFonts w:asciiTheme="minorHAnsi" w:hAnsiTheme="minorHAnsi" w:cstheme="minorHAnsi"/>
        </w:rPr>
      </w:pPr>
      <w:r w:rsidRPr="002C6972">
        <w:rPr>
          <w:rFonts w:asciiTheme="minorHAnsi" w:hAnsiTheme="minorHAnsi" w:cstheme="minorHAnsi"/>
        </w:rPr>
        <w:t>Where residents or staff are identified as close contacts, high risk exposures or have general COVID</w:t>
      </w:r>
      <w:r w:rsidR="005739DB">
        <w:rPr>
          <w:rFonts w:asciiTheme="minorHAnsi" w:hAnsiTheme="minorHAnsi" w:cstheme="minorHAnsi"/>
        </w:rPr>
        <w:noBreakHyphen/>
      </w:r>
      <w:r w:rsidRPr="002C6972">
        <w:rPr>
          <w:rFonts w:asciiTheme="minorHAnsi" w:hAnsiTheme="minorHAnsi" w:cstheme="minorHAnsi"/>
        </w:rPr>
        <w:t>19</w:t>
      </w:r>
      <w:r w:rsidR="005739DB">
        <w:rPr>
          <w:rFonts w:asciiTheme="minorHAnsi" w:hAnsiTheme="minorHAnsi" w:cstheme="minorHAnsi"/>
        </w:rPr>
        <w:t xml:space="preserve"> </w:t>
      </w:r>
      <w:r w:rsidRPr="002C6972">
        <w:rPr>
          <w:rFonts w:asciiTheme="minorHAnsi" w:hAnsiTheme="minorHAnsi" w:cstheme="minorHAnsi"/>
        </w:rPr>
        <w:t>/</w:t>
      </w:r>
      <w:r w:rsidR="005739DB">
        <w:rPr>
          <w:rFonts w:asciiTheme="minorHAnsi" w:hAnsiTheme="minorHAnsi" w:cstheme="minorHAnsi"/>
        </w:rPr>
        <w:t xml:space="preserve"> </w:t>
      </w:r>
      <w:r w:rsidRPr="002C6972">
        <w:rPr>
          <w:rFonts w:asciiTheme="minorHAnsi" w:hAnsiTheme="minorHAnsi" w:cstheme="minorHAnsi"/>
        </w:rPr>
        <w:t>influenza symptoms:</w:t>
      </w:r>
    </w:p>
    <w:p w14:paraId="238F1CA8" w14:textId="77777777" w:rsidR="00001A0C" w:rsidRPr="002C6972" w:rsidRDefault="00001A0C" w:rsidP="001707B8">
      <w:pPr>
        <w:pStyle w:val="VACRCbody-landscape"/>
        <w:numPr>
          <w:ilvl w:val="0"/>
          <w:numId w:val="25"/>
        </w:numPr>
        <w:rPr>
          <w:rFonts w:asciiTheme="minorHAnsi" w:hAnsiTheme="minorHAnsi" w:cstheme="minorHAnsi"/>
        </w:rPr>
      </w:pPr>
      <w:r w:rsidRPr="002C6972">
        <w:rPr>
          <w:rFonts w:asciiTheme="minorHAnsi" w:hAnsiTheme="minorHAnsi" w:cstheme="minorHAnsi"/>
        </w:rPr>
        <w:t>Providers should utilise RATs to determine whether COVID-19 transmission is present.</w:t>
      </w:r>
    </w:p>
    <w:p w14:paraId="5FA1C8D4" w14:textId="6C1F4FBB" w:rsidR="00FF25B6" w:rsidRPr="002C6972" w:rsidRDefault="00001A0C" w:rsidP="001707B8">
      <w:pPr>
        <w:pStyle w:val="VACRCbody-landscape"/>
        <w:numPr>
          <w:ilvl w:val="0"/>
          <w:numId w:val="25"/>
        </w:numPr>
        <w:rPr>
          <w:rFonts w:asciiTheme="minorHAnsi" w:hAnsiTheme="minorHAnsi" w:cstheme="minorHAnsi"/>
        </w:rPr>
      </w:pPr>
      <w:r w:rsidRPr="002C6972">
        <w:rPr>
          <w:rFonts w:asciiTheme="minorHAnsi" w:hAnsiTheme="minorHAnsi" w:cstheme="minorHAnsi"/>
        </w:rPr>
        <w:t>If COVID-19 is not detected through this initial screening, providers should consult with a GP to determine whether other testing is required to confirm circulation of another respiratory illness in the facility.</w:t>
      </w:r>
    </w:p>
    <w:p w14:paraId="6D1C18EE" w14:textId="0842B46B" w:rsidR="00001A0C" w:rsidRPr="002C6972" w:rsidRDefault="00001A0C" w:rsidP="001707B8">
      <w:pPr>
        <w:pStyle w:val="VACRCbody-landscape"/>
        <w:numPr>
          <w:ilvl w:val="0"/>
          <w:numId w:val="25"/>
        </w:numPr>
        <w:rPr>
          <w:rFonts w:asciiTheme="minorHAnsi" w:hAnsiTheme="minorHAnsi" w:cstheme="minorHAnsi"/>
        </w:rPr>
      </w:pPr>
      <w:r w:rsidRPr="002C6972">
        <w:rPr>
          <w:rFonts w:asciiTheme="minorHAnsi" w:hAnsiTheme="minorHAnsi" w:cstheme="minorHAnsi"/>
        </w:rPr>
        <w:t>Providers are strongly encouraged to work closely with their primary care partners to ensure appropriate support can be quickly facilitated as needed.</w:t>
      </w:r>
    </w:p>
    <w:p w14:paraId="69F5454A" w14:textId="61C946D1" w:rsidR="00001A0C" w:rsidRDefault="00001A0C" w:rsidP="005105CC">
      <w:pPr>
        <w:pStyle w:val="VACRCbody-landscape"/>
        <w:rPr>
          <w:rFonts w:asciiTheme="minorHAnsi" w:hAnsiTheme="minorHAnsi" w:cstheme="minorHAnsi"/>
        </w:rPr>
      </w:pPr>
      <w:r w:rsidRPr="002C6972">
        <w:rPr>
          <w:rFonts w:asciiTheme="minorHAnsi" w:hAnsiTheme="minorHAnsi" w:cstheme="minorHAnsi"/>
        </w:rPr>
        <w:t xml:space="preserve">Support provided by the </w:t>
      </w:r>
      <w:r w:rsidR="00626E0D" w:rsidRPr="002C6972">
        <w:rPr>
          <w:rFonts w:asciiTheme="minorHAnsi" w:hAnsiTheme="minorHAnsi" w:cstheme="minorHAnsi"/>
        </w:rPr>
        <w:t xml:space="preserve">department </w:t>
      </w:r>
      <w:r w:rsidRPr="002C6972">
        <w:rPr>
          <w:rFonts w:asciiTheme="minorHAnsi" w:hAnsiTheme="minorHAnsi" w:cstheme="minorHAnsi"/>
        </w:rPr>
        <w:t xml:space="preserve">to assist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Pr="002C6972">
        <w:rPr>
          <w:rFonts w:asciiTheme="minorHAnsi" w:hAnsiTheme="minorHAnsi" w:cstheme="minorHAnsi"/>
        </w:rPr>
        <w:t xml:space="preserve">in the event of an outbreak of COVID-19 or influenza differs (outlined in Table 1 below). The supports described below primarily relate to the management of COVID-19 outbreaks, however depending on the scope and impact of an influenza outbreak on a facility,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Pr="002C6972">
        <w:rPr>
          <w:rFonts w:asciiTheme="minorHAnsi" w:hAnsiTheme="minorHAnsi" w:cstheme="minorHAnsi"/>
        </w:rPr>
        <w:t>may also receive assistance through these supports.</w:t>
      </w:r>
    </w:p>
    <w:p w14:paraId="57251F34" w14:textId="44C4DC38" w:rsidR="001707B8" w:rsidRDefault="001707B8">
      <w:pPr>
        <w:rPr>
          <w:rFonts w:asciiTheme="minorHAnsi" w:eastAsia="Times" w:hAnsiTheme="minorHAnsi" w:cstheme="minorHAnsi"/>
          <w:sz w:val="22"/>
        </w:rPr>
      </w:pPr>
      <w:r>
        <w:rPr>
          <w:rFonts w:asciiTheme="minorHAnsi" w:hAnsiTheme="minorHAnsi" w:cstheme="minorHAnsi"/>
        </w:rPr>
        <w:br w:type="page"/>
      </w:r>
    </w:p>
    <w:p w14:paraId="01701834" w14:textId="77777777" w:rsidR="00001A0C" w:rsidRPr="00B169FF" w:rsidRDefault="00001A0C" w:rsidP="00B169FF">
      <w:pPr>
        <w:keepNext/>
        <w:keepLines/>
        <w:spacing w:before="120" w:after="120" w:line="240" w:lineRule="atLeast"/>
        <w:outlineLvl w:val="2"/>
        <w:rPr>
          <w:rFonts w:ascii="Arial Nova" w:hAnsi="Arial Nova"/>
          <w:i/>
          <w:iCs/>
          <w:color w:val="EB701D"/>
          <w:sz w:val="28"/>
          <w:szCs w:val="24"/>
        </w:rPr>
      </w:pPr>
      <w:bookmarkStart w:id="85" w:name="_Threshold_for_accessing"/>
      <w:bookmarkStart w:id="86" w:name="_Toc101419768"/>
      <w:bookmarkStart w:id="87" w:name="_Toc101539846"/>
      <w:bookmarkStart w:id="88" w:name="_Toc102482454"/>
      <w:bookmarkStart w:id="89" w:name="_Toc104459160"/>
      <w:bookmarkStart w:id="90" w:name="_Toc108624578"/>
      <w:bookmarkEnd w:id="85"/>
      <w:r w:rsidRPr="00B169FF">
        <w:rPr>
          <w:rFonts w:ascii="Arial Nova" w:hAnsi="Arial Nova"/>
          <w:i/>
          <w:iCs/>
          <w:color w:val="EB701D"/>
          <w:sz w:val="28"/>
          <w:szCs w:val="24"/>
        </w:rPr>
        <w:lastRenderedPageBreak/>
        <w:t>Threshold for accessing supports</w:t>
      </w:r>
      <w:bookmarkEnd w:id="86"/>
      <w:bookmarkEnd w:id="87"/>
      <w:bookmarkEnd w:id="88"/>
      <w:bookmarkEnd w:id="89"/>
      <w:bookmarkEnd w:id="90"/>
    </w:p>
    <w:p w14:paraId="445D4115" w14:textId="0C2F7484" w:rsidR="00001A0C" w:rsidRPr="002C6972" w:rsidRDefault="00001A0C" w:rsidP="005105CC">
      <w:pPr>
        <w:pStyle w:val="VACRCbody-landscape"/>
        <w:rPr>
          <w:rFonts w:asciiTheme="minorHAnsi" w:hAnsiTheme="minorHAnsi" w:cstheme="minorHAnsi"/>
        </w:rPr>
      </w:pPr>
      <w:r w:rsidRPr="002C6972">
        <w:rPr>
          <w:rFonts w:asciiTheme="minorHAnsi" w:hAnsiTheme="minorHAnsi" w:cstheme="minorHAnsi"/>
        </w:rPr>
        <w:t xml:space="preserve">The </w:t>
      </w:r>
      <w:r w:rsidR="00FF25B6" w:rsidRPr="002C6972">
        <w:rPr>
          <w:rFonts w:asciiTheme="minorHAnsi" w:hAnsiTheme="minorHAnsi" w:cstheme="minorHAnsi"/>
        </w:rPr>
        <w:t xml:space="preserve">department </w:t>
      </w:r>
      <w:r w:rsidRPr="002C6972">
        <w:rPr>
          <w:rFonts w:asciiTheme="minorHAnsi" w:hAnsiTheme="minorHAnsi" w:cstheme="minorHAnsi"/>
        </w:rPr>
        <w:t>facilitates a range of supports for COVID-19 impacted aged care services, linking providers with support through case managers, additional supplies through the NMS and access to surge workforce.</w:t>
      </w:r>
    </w:p>
    <w:p w14:paraId="48969354" w14:textId="77777777" w:rsidR="00001A0C" w:rsidRPr="002C6972" w:rsidRDefault="00001A0C" w:rsidP="005105CC">
      <w:pPr>
        <w:pStyle w:val="VACRCbody-landscape"/>
        <w:rPr>
          <w:rFonts w:asciiTheme="minorHAnsi" w:hAnsiTheme="minorHAnsi" w:cstheme="minorHAnsi"/>
        </w:rPr>
      </w:pPr>
      <w:r w:rsidRPr="002C6972">
        <w:rPr>
          <w:rFonts w:asciiTheme="minorHAnsi" w:hAnsiTheme="minorHAnsi" w:cstheme="minorHAnsi"/>
        </w:rPr>
        <w:t xml:space="preserve">During winter 2022, supports will continue to be available to aged care services impacted by COVID-19 outbreaks, however, providers impacted by influenza outbreaks may also be eligible to access a limited number of these supports. </w:t>
      </w:r>
    </w:p>
    <w:p w14:paraId="539ED482" w14:textId="77777777" w:rsidR="00001A0C" w:rsidRPr="002C6972" w:rsidRDefault="00001A0C" w:rsidP="00561FC2">
      <w:pPr>
        <w:pStyle w:val="VACRCbody-landscape"/>
        <w:spacing w:after="160"/>
        <w:rPr>
          <w:rFonts w:asciiTheme="minorHAnsi" w:hAnsiTheme="minorHAnsi" w:cstheme="minorHAnsi"/>
        </w:rPr>
      </w:pPr>
      <w:r w:rsidRPr="002C6972">
        <w:rPr>
          <w:rFonts w:asciiTheme="minorHAnsi" w:hAnsiTheme="minorHAnsi" w:cstheme="minorHAnsi"/>
        </w:rPr>
        <w:t xml:space="preserve">Eligibility for key supports is set out in Table 1. It is important to note, access to these supports is not automatic and will be considered on a case-by-case basis based on risk and need. Providers are required to lead all aspects of the outbreak response and should not rely on or assume additional government support will be available. </w:t>
      </w:r>
    </w:p>
    <w:p w14:paraId="0F4B54A6" w14:textId="1395A008" w:rsidR="00001A0C" w:rsidRPr="002C6972" w:rsidRDefault="00001A0C" w:rsidP="005105CC">
      <w:pPr>
        <w:pStyle w:val="VACRCbody-landscape"/>
        <w:rPr>
          <w:rFonts w:asciiTheme="minorHAnsi" w:hAnsiTheme="minorHAnsi" w:cstheme="minorHAnsi"/>
          <w:i/>
          <w:iCs/>
        </w:rPr>
      </w:pPr>
      <w:bookmarkStart w:id="91" w:name="_Table_1:_Supports"/>
      <w:bookmarkEnd w:id="91"/>
      <w:r w:rsidRPr="002C6972">
        <w:rPr>
          <w:rFonts w:asciiTheme="minorHAnsi" w:hAnsiTheme="minorHAnsi" w:cstheme="minorHAnsi"/>
          <w:i/>
          <w:iCs/>
        </w:rPr>
        <w:t xml:space="preserve">Table 1: Supports from the </w:t>
      </w:r>
      <w:r w:rsidR="00626E0D" w:rsidRPr="002C6972">
        <w:rPr>
          <w:rFonts w:asciiTheme="minorHAnsi" w:hAnsiTheme="minorHAnsi" w:cstheme="minorHAnsi"/>
          <w:i/>
          <w:iCs/>
        </w:rPr>
        <w:t>department</w:t>
      </w:r>
    </w:p>
    <w:tbl>
      <w:tblPr>
        <w:tblStyle w:val="TableGrid31"/>
        <w:tblW w:w="10201" w:type="dxa"/>
        <w:tblLook w:val="04A0" w:firstRow="1" w:lastRow="0" w:firstColumn="1" w:lastColumn="0" w:noHBand="0" w:noVBand="1"/>
        <w:tblCaption w:val="RACF supports from the Department of Health"/>
        <w:tblDescription w:val="From left to right: Support, COVID-19 outbreak only, Concurrent COVID-19 and influenza outbreaks, Influenza only"/>
      </w:tblPr>
      <w:tblGrid>
        <w:gridCol w:w="2896"/>
        <w:gridCol w:w="2344"/>
        <w:gridCol w:w="2552"/>
        <w:gridCol w:w="2409"/>
      </w:tblGrid>
      <w:tr w:rsidR="00001A0C" w:rsidRPr="002C6972" w14:paraId="06827A44" w14:textId="77777777" w:rsidTr="00001A0C">
        <w:tc>
          <w:tcPr>
            <w:tcW w:w="2896" w:type="dxa"/>
          </w:tcPr>
          <w:p w14:paraId="57FB1A7A" w14:textId="05077857" w:rsidR="00001A0C" w:rsidRPr="002C6972" w:rsidRDefault="00FF25B6" w:rsidP="00001A0C">
            <w:pPr>
              <w:rPr>
                <w:rFonts w:asciiTheme="minorHAnsi" w:hAnsiTheme="minorHAnsi" w:cstheme="minorHAnsi"/>
                <w:b/>
                <w:bCs/>
              </w:rPr>
            </w:pPr>
            <w:r w:rsidRPr="002C6972">
              <w:rPr>
                <w:rFonts w:asciiTheme="minorHAnsi" w:hAnsiTheme="minorHAnsi" w:cstheme="minorHAnsi"/>
                <w:b/>
                <w:bCs/>
              </w:rPr>
              <w:t>Supports</w:t>
            </w:r>
          </w:p>
        </w:tc>
        <w:tc>
          <w:tcPr>
            <w:tcW w:w="2344" w:type="dxa"/>
          </w:tcPr>
          <w:p w14:paraId="5733A0AC" w14:textId="77777777" w:rsidR="00001A0C" w:rsidRPr="002C6972" w:rsidRDefault="00001A0C" w:rsidP="00001A0C">
            <w:pPr>
              <w:jc w:val="center"/>
              <w:rPr>
                <w:rFonts w:asciiTheme="minorHAnsi" w:hAnsiTheme="minorHAnsi" w:cstheme="minorHAnsi"/>
                <w:b/>
                <w:bCs/>
              </w:rPr>
            </w:pPr>
            <w:r w:rsidRPr="002C6972">
              <w:rPr>
                <w:rFonts w:asciiTheme="minorHAnsi" w:hAnsiTheme="minorHAnsi" w:cstheme="minorHAnsi"/>
                <w:b/>
                <w:bCs/>
              </w:rPr>
              <w:t>COVID-19 outbreak only</w:t>
            </w:r>
          </w:p>
        </w:tc>
        <w:tc>
          <w:tcPr>
            <w:tcW w:w="2552" w:type="dxa"/>
          </w:tcPr>
          <w:p w14:paraId="72A7C4F7" w14:textId="77777777" w:rsidR="00001A0C" w:rsidRPr="002C6972" w:rsidRDefault="00001A0C" w:rsidP="00001A0C">
            <w:pPr>
              <w:jc w:val="center"/>
              <w:rPr>
                <w:rFonts w:asciiTheme="minorHAnsi" w:hAnsiTheme="minorHAnsi" w:cstheme="minorHAnsi"/>
                <w:b/>
                <w:bCs/>
              </w:rPr>
            </w:pPr>
            <w:r w:rsidRPr="002C6972">
              <w:rPr>
                <w:rFonts w:asciiTheme="minorHAnsi" w:hAnsiTheme="minorHAnsi" w:cstheme="minorHAnsi"/>
                <w:b/>
                <w:bCs/>
              </w:rPr>
              <w:t>Concurrent COVID-19 and influenza outbreaks</w:t>
            </w:r>
          </w:p>
        </w:tc>
        <w:tc>
          <w:tcPr>
            <w:tcW w:w="2409" w:type="dxa"/>
          </w:tcPr>
          <w:p w14:paraId="293C39CF" w14:textId="77777777" w:rsidR="00001A0C" w:rsidRPr="002C6972" w:rsidRDefault="00001A0C" w:rsidP="00001A0C">
            <w:pPr>
              <w:jc w:val="center"/>
              <w:rPr>
                <w:rFonts w:asciiTheme="minorHAnsi" w:hAnsiTheme="minorHAnsi" w:cstheme="minorHAnsi"/>
                <w:b/>
                <w:bCs/>
              </w:rPr>
            </w:pPr>
            <w:r w:rsidRPr="002C6972">
              <w:rPr>
                <w:rFonts w:asciiTheme="minorHAnsi" w:hAnsiTheme="minorHAnsi" w:cstheme="minorHAnsi"/>
                <w:b/>
                <w:bCs/>
              </w:rPr>
              <w:t>Influenza only</w:t>
            </w:r>
          </w:p>
        </w:tc>
      </w:tr>
      <w:tr w:rsidR="00001A0C" w:rsidRPr="002C6972" w14:paraId="28587273" w14:textId="77777777" w:rsidTr="00001A0C">
        <w:tc>
          <w:tcPr>
            <w:tcW w:w="2896" w:type="dxa"/>
          </w:tcPr>
          <w:p w14:paraId="569941CB" w14:textId="77777777" w:rsidR="00001A0C" w:rsidRPr="002C6972" w:rsidRDefault="00001A0C" w:rsidP="00001A0C">
            <w:pPr>
              <w:rPr>
                <w:rFonts w:asciiTheme="minorHAnsi" w:hAnsiTheme="minorHAnsi" w:cstheme="minorHAnsi"/>
              </w:rPr>
            </w:pPr>
            <w:r w:rsidRPr="002C6972">
              <w:rPr>
                <w:rFonts w:asciiTheme="minorHAnsi" w:hAnsiTheme="minorHAnsi" w:cstheme="minorHAnsi"/>
              </w:rPr>
              <w:t>Case manager support</w:t>
            </w:r>
          </w:p>
        </w:tc>
        <w:tc>
          <w:tcPr>
            <w:tcW w:w="2344" w:type="dxa"/>
            <w:vAlign w:val="center"/>
          </w:tcPr>
          <w:p w14:paraId="507DE056" w14:textId="77777777" w:rsidR="00001A0C" w:rsidRPr="002C6972" w:rsidRDefault="00001A0C" w:rsidP="00001A0C">
            <w:pPr>
              <w:jc w:val="center"/>
              <w:rPr>
                <w:rFonts w:asciiTheme="minorHAnsi" w:hAnsiTheme="minorHAnsi" w:cstheme="minorHAnsi"/>
              </w:rPr>
            </w:pPr>
            <w:r w:rsidRPr="002C6972">
              <w:rPr>
                <w:rFonts w:asciiTheme="minorHAnsi" w:hAnsiTheme="minorHAnsi" w:cstheme="minorHAnsi"/>
              </w:rPr>
              <w:t>X</w:t>
            </w:r>
          </w:p>
        </w:tc>
        <w:tc>
          <w:tcPr>
            <w:tcW w:w="2552" w:type="dxa"/>
            <w:vAlign w:val="center"/>
          </w:tcPr>
          <w:p w14:paraId="08142A0C" w14:textId="77777777" w:rsidR="00001A0C" w:rsidRPr="002C6972" w:rsidRDefault="00001A0C" w:rsidP="00001A0C">
            <w:pPr>
              <w:jc w:val="center"/>
              <w:rPr>
                <w:rFonts w:asciiTheme="minorHAnsi" w:hAnsiTheme="minorHAnsi" w:cstheme="minorHAnsi"/>
              </w:rPr>
            </w:pPr>
            <w:r w:rsidRPr="002C6972">
              <w:rPr>
                <w:rFonts w:asciiTheme="minorHAnsi" w:hAnsiTheme="minorHAnsi" w:cstheme="minorHAnsi"/>
              </w:rPr>
              <w:t>X</w:t>
            </w:r>
          </w:p>
        </w:tc>
        <w:tc>
          <w:tcPr>
            <w:tcW w:w="2409" w:type="dxa"/>
            <w:vAlign w:val="center"/>
          </w:tcPr>
          <w:p w14:paraId="089DC9EE" w14:textId="77777777" w:rsidR="00001A0C" w:rsidRPr="002C6972" w:rsidRDefault="00001A0C" w:rsidP="00001A0C">
            <w:pPr>
              <w:jc w:val="center"/>
              <w:rPr>
                <w:rFonts w:asciiTheme="minorHAnsi" w:hAnsiTheme="minorHAnsi" w:cstheme="minorHAnsi"/>
              </w:rPr>
            </w:pPr>
          </w:p>
        </w:tc>
      </w:tr>
      <w:tr w:rsidR="00001A0C" w:rsidRPr="002C6972" w14:paraId="59AAC6B2" w14:textId="77777777" w:rsidTr="00001A0C">
        <w:tc>
          <w:tcPr>
            <w:tcW w:w="2896" w:type="dxa"/>
          </w:tcPr>
          <w:p w14:paraId="642B6816" w14:textId="77777777" w:rsidR="00001A0C" w:rsidRPr="002C6972" w:rsidRDefault="00001A0C" w:rsidP="00001A0C">
            <w:pPr>
              <w:rPr>
                <w:rFonts w:asciiTheme="minorHAnsi" w:hAnsiTheme="minorHAnsi" w:cstheme="minorHAnsi"/>
              </w:rPr>
            </w:pPr>
            <w:r w:rsidRPr="002C6972">
              <w:rPr>
                <w:rFonts w:asciiTheme="minorHAnsi" w:hAnsiTheme="minorHAnsi" w:cstheme="minorHAnsi"/>
              </w:rPr>
              <w:t>PPE</w:t>
            </w:r>
          </w:p>
        </w:tc>
        <w:tc>
          <w:tcPr>
            <w:tcW w:w="2344" w:type="dxa"/>
            <w:vAlign w:val="center"/>
          </w:tcPr>
          <w:p w14:paraId="70450AAD" w14:textId="77777777" w:rsidR="00001A0C" w:rsidRPr="002C6972" w:rsidRDefault="00001A0C" w:rsidP="00001A0C">
            <w:pPr>
              <w:jc w:val="center"/>
              <w:rPr>
                <w:rFonts w:asciiTheme="minorHAnsi" w:hAnsiTheme="minorHAnsi" w:cstheme="minorHAnsi"/>
              </w:rPr>
            </w:pPr>
            <w:r w:rsidRPr="002C6972">
              <w:rPr>
                <w:rFonts w:asciiTheme="minorHAnsi" w:hAnsiTheme="minorHAnsi" w:cstheme="minorHAnsi"/>
              </w:rPr>
              <w:t>X</w:t>
            </w:r>
          </w:p>
        </w:tc>
        <w:tc>
          <w:tcPr>
            <w:tcW w:w="2552" w:type="dxa"/>
            <w:vAlign w:val="center"/>
          </w:tcPr>
          <w:p w14:paraId="23B78443" w14:textId="77777777" w:rsidR="00001A0C" w:rsidRPr="002C6972" w:rsidRDefault="00001A0C" w:rsidP="00001A0C">
            <w:pPr>
              <w:jc w:val="center"/>
              <w:rPr>
                <w:rFonts w:asciiTheme="minorHAnsi" w:hAnsiTheme="minorHAnsi" w:cstheme="minorHAnsi"/>
              </w:rPr>
            </w:pPr>
            <w:r w:rsidRPr="002C6972">
              <w:rPr>
                <w:rFonts w:asciiTheme="minorHAnsi" w:hAnsiTheme="minorHAnsi" w:cstheme="minorHAnsi"/>
              </w:rPr>
              <w:t>X</w:t>
            </w:r>
          </w:p>
        </w:tc>
        <w:tc>
          <w:tcPr>
            <w:tcW w:w="2409" w:type="dxa"/>
            <w:vAlign w:val="center"/>
          </w:tcPr>
          <w:p w14:paraId="5259CA17" w14:textId="77777777" w:rsidR="00001A0C" w:rsidRPr="002C6972" w:rsidRDefault="00001A0C" w:rsidP="00001A0C">
            <w:pPr>
              <w:jc w:val="center"/>
              <w:rPr>
                <w:rFonts w:asciiTheme="minorHAnsi" w:hAnsiTheme="minorHAnsi" w:cstheme="minorHAnsi"/>
              </w:rPr>
            </w:pPr>
          </w:p>
        </w:tc>
      </w:tr>
      <w:tr w:rsidR="00001A0C" w:rsidRPr="002C6972" w14:paraId="4AE767B3" w14:textId="77777777" w:rsidTr="00001A0C">
        <w:tc>
          <w:tcPr>
            <w:tcW w:w="2896" w:type="dxa"/>
          </w:tcPr>
          <w:p w14:paraId="07957B8D" w14:textId="77777777" w:rsidR="00001A0C" w:rsidRPr="002C6972" w:rsidRDefault="00001A0C" w:rsidP="00001A0C">
            <w:pPr>
              <w:rPr>
                <w:rFonts w:asciiTheme="minorHAnsi" w:hAnsiTheme="minorHAnsi" w:cstheme="minorHAnsi"/>
              </w:rPr>
            </w:pPr>
            <w:r w:rsidRPr="002C6972">
              <w:rPr>
                <w:rFonts w:asciiTheme="minorHAnsi" w:hAnsiTheme="minorHAnsi" w:cstheme="minorHAnsi"/>
              </w:rPr>
              <w:t>Antivirals</w:t>
            </w:r>
          </w:p>
        </w:tc>
        <w:tc>
          <w:tcPr>
            <w:tcW w:w="2344" w:type="dxa"/>
            <w:vAlign w:val="center"/>
          </w:tcPr>
          <w:p w14:paraId="0CB17E62" w14:textId="77777777" w:rsidR="00001A0C" w:rsidRPr="002C6972" w:rsidRDefault="00001A0C" w:rsidP="00001A0C">
            <w:pPr>
              <w:jc w:val="center"/>
              <w:rPr>
                <w:rFonts w:asciiTheme="minorHAnsi" w:hAnsiTheme="minorHAnsi" w:cstheme="minorHAnsi"/>
              </w:rPr>
            </w:pPr>
            <w:r w:rsidRPr="002C6972">
              <w:rPr>
                <w:rFonts w:asciiTheme="minorHAnsi" w:hAnsiTheme="minorHAnsi" w:cstheme="minorHAnsi"/>
              </w:rPr>
              <w:t>X</w:t>
            </w:r>
          </w:p>
        </w:tc>
        <w:tc>
          <w:tcPr>
            <w:tcW w:w="2552" w:type="dxa"/>
            <w:vAlign w:val="center"/>
          </w:tcPr>
          <w:p w14:paraId="104A24E2" w14:textId="77777777" w:rsidR="00001A0C" w:rsidRPr="002C6972" w:rsidRDefault="00001A0C" w:rsidP="00001A0C">
            <w:pPr>
              <w:jc w:val="center"/>
              <w:rPr>
                <w:rFonts w:asciiTheme="minorHAnsi" w:hAnsiTheme="minorHAnsi" w:cstheme="minorHAnsi"/>
              </w:rPr>
            </w:pPr>
            <w:r w:rsidRPr="002C6972">
              <w:rPr>
                <w:rFonts w:asciiTheme="minorHAnsi" w:hAnsiTheme="minorHAnsi" w:cstheme="minorHAnsi"/>
              </w:rPr>
              <w:t>X</w:t>
            </w:r>
          </w:p>
        </w:tc>
        <w:tc>
          <w:tcPr>
            <w:tcW w:w="2409" w:type="dxa"/>
            <w:vAlign w:val="center"/>
          </w:tcPr>
          <w:p w14:paraId="0775BD2F" w14:textId="77777777" w:rsidR="00001A0C" w:rsidRPr="002C6972" w:rsidRDefault="00001A0C" w:rsidP="00001A0C">
            <w:pPr>
              <w:jc w:val="center"/>
              <w:rPr>
                <w:rFonts w:asciiTheme="minorHAnsi" w:hAnsiTheme="minorHAnsi" w:cstheme="minorHAnsi"/>
              </w:rPr>
            </w:pPr>
            <w:r w:rsidRPr="002C6972">
              <w:rPr>
                <w:rFonts w:asciiTheme="minorHAnsi" w:hAnsiTheme="minorHAnsi" w:cstheme="minorHAnsi"/>
              </w:rPr>
              <w:t>X</w:t>
            </w:r>
          </w:p>
        </w:tc>
      </w:tr>
      <w:tr w:rsidR="00001A0C" w:rsidRPr="002C6972" w14:paraId="6544E45A" w14:textId="77777777" w:rsidTr="00001A0C">
        <w:tc>
          <w:tcPr>
            <w:tcW w:w="2896" w:type="dxa"/>
          </w:tcPr>
          <w:p w14:paraId="2A821DA3" w14:textId="77777777" w:rsidR="00001A0C" w:rsidRPr="002C6972" w:rsidRDefault="00001A0C" w:rsidP="00001A0C">
            <w:pPr>
              <w:rPr>
                <w:rFonts w:asciiTheme="minorHAnsi" w:hAnsiTheme="minorHAnsi" w:cstheme="minorHAnsi"/>
              </w:rPr>
            </w:pPr>
            <w:r w:rsidRPr="002C6972">
              <w:rPr>
                <w:rFonts w:asciiTheme="minorHAnsi" w:hAnsiTheme="minorHAnsi" w:cstheme="minorHAnsi"/>
              </w:rPr>
              <w:t>Workforce support</w:t>
            </w:r>
          </w:p>
        </w:tc>
        <w:tc>
          <w:tcPr>
            <w:tcW w:w="2344" w:type="dxa"/>
            <w:vAlign w:val="center"/>
          </w:tcPr>
          <w:p w14:paraId="5CB7C75C" w14:textId="77777777" w:rsidR="00001A0C" w:rsidRPr="002C6972" w:rsidRDefault="00001A0C" w:rsidP="00001A0C">
            <w:pPr>
              <w:jc w:val="center"/>
              <w:rPr>
                <w:rFonts w:asciiTheme="minorHAnsi" w:hAnsiTheme="minorHAnsi" w:cstheme="minorHAnsi"/>
              </w:rPr>
            </w:pPr>
            <w:r w:rsidRPr="002C6972">
              <w:rPr>
                <w:rFonts w:asciiTheme="minorHAnsi" w:hAnsiTheme="minorHAnsi" w:cstheme="minorHAnsi"/>
              </w:rPr>
              <w:t>X</w:t>
            </w:r>
          </w:p>
        </w:tc>
        <w:tc>
          <w:tcPr>
            <w:tcW w:w="2552" w:type="dxa"/>
            <w:vAlign w:val="center"/>
          </w:tcPr>
          <w:p w14:paraId="116809C3" w14:textId="77777777" w:rsidR="00001A0C" w:rsidRPr="002C6972" w:rsidRDefault="00001A0C" w:rsidP="00001A0C">
            <w:pPr>
              <w:jc w:val="center"/>
              <w:rPr>
                <w:rFonts w:asciiTheme="minorHAnsi" w:hAnsiTheme="minorHAnsi" w:cstheme="minorHAnsi"/>
              </w:rPr>
            </w:pPr>
            <w:r w:rsidRPr="002C6972">
              <w:rPr>
                <w:rFonts w:asciiTheme="minorHAnsi" w:hAnsiTheme="minorHAnsi" w:cstheme="minorHAnsi"/>
              </w:rPr>
              <w:t>X</w:t>
            </w:r>
          </w:p>
        </w:tc>
        <w:tc>
          <w:tcPr>
            <w:tcW w:w="2409" w:type="dxa"/>
            <w:vAlign w:val="center"/>
          </w:tcPr>
          <w:p w14:paraId="5F4B428C" w14:textId="77777777" w:rsidR="00001A0C" w:rsidRPr="002C6972" w:rsidRDefault="00001A0C" w:rsidP="00001A0C">
            <w:pPr>
              <w:jc w:val="center"/>
              <w:rPr>
                <w:rFonts w:asciiTheme="minorHAnsi" w:hAnsiTheme="minorHAnsi" w:cstheme="minorHAnsi"/>
              </w:rPr>
            </w:pPr>
          </w:p>
        </w:tc>
      </w:tr>
      <w:tr w:rsidR="00001A0C" w:rsidRPr="002C6972" w14:paraId="51F64CAE" w14:textId="77777777" w:rsidTr="00001A0C">
        <w:tc>
          <w:tcPr>
            <w:tcW w:w="2896" w:type="dxa"/>
          </w:tcPr>
          <w:p w14:paraId="1EF93554" w14:textId="77777777" w:rsidR="00001A0C" w:rsidRPr="002C6972" w:rsidRDefault="00001A0C" w:rsidP="00001A0C">
            <w:pPr>
              <w:rPr>
                <w:rFonts w:asciiTheme="minorHAnsi" w:hAnsiTheme="minorHAnsi" w:cstheme="minorHAnsi"/>
              </w:rPr>
            </w:pPr>
            <w:r w:rsidRPr="002C6972">
              <w:rPr>
                <w:rFonts w:asciiTheme="minorHAnsi" w:hAnsiTheme="minorHAnsi" w:cstheme="minorHAnsi"/>
              </w:rPr>
              <w:t>In-reach testing</w:t>
            </w:r>
          </w:p>
        </w:tc>
        <w:tc>
          <w:tcPr>
            <w:tcW w:w="2344" w:type="dxa"/>
            <w:vAlign w:val="center"/>
          </w:tcPr>
          <w:p w14:paraId="597F88D1" w14:textId="77777777" w:rsidR="00001A0C" w:rsidRPr="002C6972" w:rsidRDefault="00001A0C" w:rsidP="00001A0C">
            <w:pPr>
              <w:jc w:val="center"/>
              <w:rPr>
                <w:rFonts w:asciiTheme="minorHAnsi" w:hAnsiTheme="minorHAnsi" w:cstheme="minorHAnsi"/>
              </w:rPr>
            </w:pPr>
            <w:r w:rsidRPr="002C6972">
              <w:rPr>
                <w:rFonts w:asciiTheme="minorHAnsi" w:hAnsiTheme="minorHAnsi" w:cstheme="minorHAnsi"/>
              </w:rPr>
              <w:t>X</w:t>
            </w:r>
          </w:p>
        </w:tc>
        <w:tc>
          <w:tcPr>
            <w:tcW w:w="2552" w:type="dxa"/>
            <w:vAlign w:val="center"/>
          </w:tcPr>
          <w:p w14:paraId="0CB0A7B3" w14:textId="77777777" w:rsidR="00001A0C" w:rsidRPr="002C6972" w:rsidRDefault="00001A0C" w:rsidP="00001A0C">
            <w:pPr>
              <w:jc w:val="center"/>
              <w:rPr>
                <w:rFonts w:asciiTheme="minorHAnsi" w:hAnsiTheme="minorHAnsi" w:cstheme="minorHAnsi"/>
              </w:rPr>
            </w:pPr>
            <w:r w:rsidRPr="002C6972">
              <w:rPr>
                <w:rFonts w:asciiTheme="minorHAnsi" w:hAnsiTheme="minorHAnsi" w:cstheme="minorHAnsi"/>
              </w:rPr>
              <w:t>X</w:t>
            </w:r>
          </w:p>
        </w:tc>
        <w:tc>
          <w:tcPr>
            <w:tcW w:w="2409" w:type="dxa"/>
            <w:vAlign w:val="center"/>
          </w:tcPr>
          <w:p w14:paraId="701E3579" w14:textId="77777777" w:rsidR="00001A0C" w:rsidRPr="002C6972" w:rsidRDefault="00001A0C" w:rsidP="00001A0C">
            <w:pPr>
              <w:jc w:val="center"/>
              <w:rPr>
                <w:rFonts w:asciiTheme="minorHAnsi" w:hAnsiTheme="minorHAnsi" w:cstheme="minorHAnsi"/>
              </w:rPr>
            </w:pPr>
          </w:p>
        </w:tc>
      </w:tr>
    </w:tbl>
    <w:p w14:paraId="259375BD" w14:textId="6909C62E" w:rsidR="00001A0C" w:rsidRPr="002C6972" w:rsidRDefault="00001A0C" w:rsidP="00561FC2">
      <w:pPr>
        <w:pStyle w:val="VACRCbody-landscape"/>
        <w:spacing w:before="160"/>
        <w:rPr>
          <w:rFonts w:asciiTheme="minorHAnsi" w:hAnsiTheme="minorHAnsi" w:cstheme="minorHAnsi"/>
        </w:rPr>
      </w:pPr>
      <w:r w:rsidRPr="002C6972">
        <w:rPr>
          <w:rFonts w:asciiTheme="minorHAnsi" w:hAnsiTheme="minorHAnsi" w:cstheme="minorHAnsi"/>
        </w:rPr>
        <w:t xml:space="preserve">All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Pr="002C6972">
        <w:rPr>
          <w:rFonts w:asciiTheme="minorHAnsi" w:hAnsiTheme="minorHAnsi" w:cstheme="minorHAnsi"/>
        </w:rPr>
        <w:t xml:space="preserve">must report any exposure or outbreak of COVID-19 through the My Aged Care Provider Portal. Once reported, the </w:t>
      </w:r>
      <w:r w:rsidR="00AB6337">
        <w:rPr>
          <w:rFonts w:asciiTheme="minorHAnsi" w:hAnsiTheme="minorHAnsi" w:cstheme="minorHAnsi"/>
        </w:rPr>
        <w:t>aged care home</w:t>
      </w:r>
      <w:r w:rsidR="00AB6337" w:rsidRPr="002C6972">
        <w:rPr>
          <w:rFonts w:asciiTheme="minorHAnsi" w:hAnsiTheme="minorHAnsi" w:cstheme="minorHAnsi"/>
        </w:rPr>
        <w:t xml:space="preserve"> </w:t>
      </w:r>
      <w:r w:rsidRPr="002C6972">
        <w:rPr>
          <w:rFonts w:asciiTheme="minorHAnsi" w:hAnsiTheme="minorHAnsi" w:cstheme="minorHAnsi"/>
        </w:rPr>
        <w:t>will receive advice from the state-based case management team, including arrangements for seeking escalated support or emergency advice.</w:t>
      </w:r>
    </w:p>
    <w:p w14:paraId="2518A09D" w14:textId="6F63F19F" w:rsidR="00001A0C" w:rsidRPr="002C6972" w:rsidRDefault="00001A0C" w:rsidP="005105CC">
      <w:pPr>
        <w:pStyle w:val="VACRCbody-landscape"/>
        <w:rPr>
          <w:rFonts w:asciiTheme="minorHAnsi" w:hAnsiTheme="minorHAnsi" w:cstheme="minorHAnsi"/>
        </w:rPr>
      </w:pPr>
      <w:r w:rsidRPr="002C6972">
        <w:rPr>
          <w:rFonts w:asciiTheme="minorHAnsi" w:hAnsiTheme="minorHAnsi" w:cstheme="minorHAnsi"/>
        </w:rPr>
        <w:t>The case management team will connect each facility with resources to manage the outbreak. Resources include PPE, surge workforce, supplementary testing, and helping to facilitate access to primary and allied health care. The level of support offered by the case management team will vary depending on the provider’s capability, availability of resources and the scale of the outbreak.</w:t>
      </w:r>
    </w:p>
    <w:p w14:paraId="62A619DE" w14:textId="77777777" w:rsidR="00932311" w:rsidRPr="002C6972" w:rsidRDefault="00932311" w:rsidP="001D7143">
      <w:pPr>
        <w:pStyle w:val="VACRCbody-landscape"/>
        <w:rPr>
          <w:rFonts w:asciiTheme="minorHAnsi" w:hAnsiTheme="minorHAnsi" w:cstheme="minorHAnsi"/>
          <w:szCs w:val="22"/>
        </w:rPr>
      </w:pPr>
      <w:r w:rsidRPr="002C6972">
        <w:rPr>
          <w:rFonts w:asciiTheme="minorHAnsi" w:hAnsiTheme="minorHAnsi" w:cstheme="minorHAnsi"/>
          <w:szCs w:val="22"/>
        </w:rPr>
        <w:t>Case management support will not be assigned where providers are managing standalone influenza outbreaks.</w:t>
      </w:r>
    </w:p>
    <w:p w14:paraId="193B41A7" w14:textId="4CB5085B" w:rsidR="00932311" w:rsidRPr="002C6972" w:rsidRDefault="00932311" w:rsidP="001D7143">
      <w:pPr>
        <w:pStyle w:val="VACRCbody-landscape"/>
        <w:rPr>
          <w:rFonts w:asciiTheme="minorHAnsi" w:hAnsiTheme="minorHAnsi" w:cstheme="minorHAnsi"/>
          <w:szCs w:val="22"/>
        </w:rPr>
      </w:pPr>
      <w:r w:rsidRPr="002C6972">
        <w:rPr>
          <w:rFonts w:asciiTheme="minorHAnsi" w:hAnsiTheme="minorHAnsi" w:cstheme="minorHAnsi"/>
          <w:szCs w:val="22"/>
        </w:rPr>
        <w:t xml:space="preserve">All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Pr="002C6972">
        <w:rPr>
          <w:rFonts w:asciiTheme="minorHAnsi" w:hAnsiTheme="minorHAnsi" w:cstheme="minorHAnsi"/>
          <w:szCs w:val="22"/>
        </w:rPr>
        <w:t xml:space="preserve">have pre-deployed PPE, RATs (only capable of detecting COVID-19) and antiviral treatments for both COVID-19 and influenza. These supplies will enable RACFs to immediately respond to suspected or actual cases. Providers are responsible for maintaining and replenishing their own stock of PPE from commercial suppliers. </w:t>
      </w:r>
      <w:r w:rsidR="00AB6337">
        <w:rPr>
          <w:rFonts w:asciiTheme="minorHAnsi" w:hAnsiTheme="minorHAnsi" w:cstheme="minorHAnsi"/>
          <w:szCs w:val="22"/>
        </w:rPr>
        <w:t>A</w:t>
      </w:r>
      <w:r w:rsidR="00AB6337">
        <w:rPr>
          <w:rFonts w:asciiTheme="minorHAnsi" w:hAnsiTheme="minorHAnsi" w:cstheme="minorHAnsi"/>
        </w:rPr>
        <w:t>ged care homes</w:t>
      </w:r>
      <w:r w:rsidR="00AB6337" w:rsidRPr="002C6972">
        <w:rPr>
          <w:rFonts w:asciiTheme="minorHAnsi" w:hAnsiTheme="minorHAnsi" w:cstheme="minorHAnsi"/>
        </w:rPr>
        <w:t xml:space="preserve"> </w:t>
      </w:r>
      <w:r w:rsidRPr="002C6972">
        <w:rPr>
          <w:rFonts w:asciiTheme="minorHAnsi" w:hAnsiTheme="minorHAnsi" w:cstheme="minorHAnsi"/>
          <w:szCs w:val="22"/>
        </w:rPr>
        <w:t>can access additional PPE through the NMS if commercial supplies are unavailable.</w:t>
      </w:r>
    </w:p>
    <w:p w14:paraId="11525BA5" w14:textId="580E63FF" w:rsidR="00932311" w:rsidRPr="002C6972" w:rsidRDefault="00932311" w:rsidP="001D7143">
      <w:pPr>
        <w:pStyle w:val="VACRCbody-landscape"/>
        <w:rPr>
          <w:rFonts w:asciiTheme="minorHAnsi" w:eastAsia="Calibri" w:hAnsiTheme="minorHAnsi" w:cstheme="minorHAnsi"/>
          <w:szCs w:val="22"/>
        </w:rPr>
      </w:pPr>
      <w:r w:rsidRPr="002C6972">
        <w:rPr>
          <w:rFonts w:asciiTheme="minorHAnsi" w:eastAsia="Calibri" w:hAnsiTheme="minorHAnsi" w:cstheme="minorHAnsi"/>
          <w:szCs w:val="22"/>
        </w:rPr>
        <w:t xml:space="preserve">In-home and community aged care providers will also receive advice from state-based case management team, including arrangements for seeking escalated support or emergency advice. </w:t>
      </w:r>
    </w:p>
    <w:p w14:paraId="1F92705B" w14:textId="3B1F1EC7" w:rsidR="00932311" w:rsidRPr="002C6972" w:rsidRDefault="00932311" w:rsidP="001D7143">
      <w:pPr>
        <w:pStyle w:val="VACRCbody-landscape"/>
        <w:rPr>
          <w:rFonts w:asciiTheme="minorHAnsi" w:hAnsiTheme="minorHAnsi" w:cstheme="minorHAnsi"/>
          <w:szCs w:val="22"/>
        </w:rPr>
      </w:pPr>
      <w:r w:rsidRPr="002C6972">
        <w:rPr>
          <w:rFonts w:asciiTheme="minorHAnsi" w:hAnsiTheme="minorHAnsi" w:cstheme="minorHAnsi"/>
          <w:szCs w:val="22"/>
        </w:rPr>
        <w:t xml:space="preserve">Providers should procure their own PPE stock to manage influenza outbreaks as part of their business-as-usual activities.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Pr="002C6972">
        <w:rPr>
          <w:rFonts w:asciiTheme="minorHAnsi" w:hAnsiTheme="minorHAnsi" w:cstheme="minorHAnsi"/>
          <w:szCs w:val="22"/>
        </w:rPr>
        <w:t>managing COVID-19 and Influenza outbreaks at the same time can access support services as noted in the table above.</w:t>
      </w:r>
    </w:p>
    <w:p w14:paraId="4FED1B5D" w14:textId="0188AC4E" w:rsidR="00932311" w:rsidRPr="00CB43F7" w:rsidRDefault="00932311" w:rsidP="00CB43F7">
      <w:pPr>
        <w:keepNext/>
        <w:keepLines/>
        <w:spacing w:before="120" w:after="120" w:line="240" w:lineRule="atLeast"/>
        <w:outlineLvl w:val="2"/>
        <w:rPr>
          <w:rFonts w:ascii="Arial Nova" w:hAnsi="Arial Nova"/>
          <w:i/>
          <w:iCs/>
          <w:color w:val="EB701D"/>
          <w:sz w:val="28"/>
          <w:szCs w:val="24"/>
        </w:rPr>
      </w:pPr>
      <w:bookmarkStart w:id="92" w:name="_Toc102482455"/>
      <w:bookmarkStart w:id="93" w:name="_Toc104459161"/>
      <w:bookmarkStart w:id="94" w:name="_Toc101419769"/>
      <w:bookmarkStart w:id="95" w:name="_Toc101539847"/>
      <w:bookmarkStart w:id="96" w:name="_Toc108624579"/>
      <w:r w:rsidRPr="00CB43F7">
        <w:rPr>
          <w:rFonts w:ascii="Arial Nova" w:hAnsi="Arial Nova"/>
          <w:i/>
          <w:iCs/>
          <w:color w:val="EB701D"/>
          <w:sz w:val="28"/>
          <w:szCs w:val="24"/>
        </w:rPr>
        <w:t>Access to care and treatments</w:t>
      </w:r>
      <w:bookmarkEnd w:id="92"/>
      <w:bookmarkEnd w:id="93"/>
      <w:bookmarkEnd w:id="94"/>
      <w:bookmarkEnd w:id="95"/>
      <w:bookmarkEnd w:id="96"/>
    </w:p>
    <w:p w14:paraId="563FA37D" w14:textId="7346D70B" w:rsidR="00932311" w:rsidRPr="00CB43F7" w:rsidRDefault="00932311" w:rsidP="001D7143">
      <w:pPr>
        <w:pStyle w:val="VACRCbody-landscape"/>
        <w:rPr>
          <w:rFonts w:asciiTheme="minorHAnsi" w:hAnsiTheme="minorHAnsi" w:cstheme="minorHAnsi"/>
          <w:szCs w:val="22"/>
        </w:rPr>
      </w:pPr>
      <w:r w:rsidRPr="00CB43F7">
        <w:rPr>
          <w:rFonts w:asciiTheme="minorHAnsi" w:hAnsiTheme="minorHAnsi" w:cstheme="minorHAnsi"/>
          <w:szCs w:val="22"/>
        </w:rPr>
        <w:t>Rapid access to care and treatment is a key element to the success of managing an outbreak of either influenza or COVID-19.</w:t>
      </w:r>
    </w:p>
    <w:p w14:paraId="626FD10B" w14:textId="629F08EA" w:rsidR="001707B8" w:rsidRDefault="00932311" w:rsidP="001D7143">
      <w:pPr>
        <w:pStyle w:val="VACRCbody-landscape"/>
        <w:rPr>
          <w:rFonts w:asciiTheme="minorHAnsi" w:hAnsiTheme="minorHAnsi" w:cstheme="minorHAnsi"/>
          <w:szCs w:val="22"/>
        </w:rPr>
      </w:pPr>
      <w:r w:rsidRPr="00CB43F7">
        <w:rPr>
          <w:rFonts w:asciiTheme="minorHAnsi" w:hAnsiTheme="minorHAnsi" w:cstheme="minorHAnsi"/>
          <w:szCs w:val="22"/>
        </w:rPr>
        <w:t>General practitioners and allied health professionals should be able to attend onsite in a timely manner and support residents with their care needs. This extends to providing consultations and prescriptions for antiviral treatments for both influenza and COVID-19.</w:t>
      </w:r>
    </w:p>
    <w:p w14:paraId="0A25D433" w14:textId="77777777" w:rsidR="001707B8" w:rsidRDefault="001707B8">
      <w:pPr>
        <w:rPr>
          <w:rFonts w:asciiTheme="minorHAnsi" w:eastAsia="Times" w:hAnsiTheme="minorHAnsi" w:cstheme="minorHAnsi"/>
          <w:sz w:val="22"/>
          <w:szCs w:val="22"/>
        </w:rPr>
      </w:pPr>
      <w:r>
        <w:rPr>
          <w:rFonts w:asciiTheme="minorHAnsi" w:hAnsiTheme="minorHAnsi" w:cstheme="minorHAnsi"/>
          <w:szCs w:val="22"/>
        </w:rPr>
        <w:br w:type="page"/>
      </w:r>
    </w:p>
    <w:p w14:paraId="76B37CA4" w14:textId="174721A9" w:rsidR="00932311" w:rsidRPr="00CB43F7" w:rsidRDefault="00932311" w:rsidP="001D7143">
      <w:pPr>
        <w:pStyle w:val="VACRCbody-landscape"/>
        <w:rPr>
          <w:rFonts w:asciiTheme="minorHAnsi" w:hAnsiTheme="minorHAnsi" w:cstheme="minorHAnsi"/>
          <w:szCs w:val="22"/>
        </w:rPr>
      </w:pPr>
      <w:r w:rsidRPr="00CB43F7">
        <w:rPr>
          <w:rFonts w:asciiTheme="minorHAnsi" w:eastAsia="Calibri" w:hAnsiTheme="minorHAnsi" w:cstheme="minorHAnsi"/>
          <w:szCs w:val="22"/>
        </w:rPr>
        <w:lastRenderedPageBreak/>
        <w:t>If a</w:t>
      </w:r>
      <w:r w:rsidR="00AB6337">
        <w:rPr>
          <w:rFonts w:asciiTheme="minorHAnsi" w:eastAsia="Calibri" w:hAnsiTheme="minorHAnsi" w:cstheme="minorHAnsi"/>
          <w:szCs w:val="22"/>
        </w:rPr>
        <w:t>n</w:t>
      </w:r>
      <w:r w:rsidRPr="00CB43F7">
        <w:rPr>
          <w:rFonts w:asciiTheme="minorHAnsi" w:eastAsia="Calibri" w:hAnsiTheme="minorHAnsi" w:cstheme="minorHAnsi"/>
          <w:szCs w:val="22"/>
        </w:rPr>
        <w:t xml:space="preserve">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Pr="00CB43F7">
        <w:rPr>
          <w:rFonts w:asciiTheme="minorHAnsi" w:eastAsia="Calibri" w:hAnsiTheme="minorHAnsi" w:cstheme="minorHAnsi"/>
          <w:szCs w:val="22"/>
        </w:rPr>
        <w:t xml:space="preserve">cannot access a general practitioner, they can seek support from Primary Health Networks (PHNs). PHNs can provide access to general practitioners through their Commissioned Home Visits program, available until 31 December 2022. </w:t>
      </w:r>
      <w:r w:rsidRPr="00CB43F7">
        <w:rPr>
          <w:rFonts w:asciiTheme="minorHAnsi" w:hAnsiTheme="minorHAnsi" w:cstheme="minorHAnsi"/>
          <w:szCs w:val="22"/>
        </w:rPr>
        <w:t xml:space="preserve">This program supports COVID-positive residents in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Pr="00CB43F7">
        <w:rPr>
          <w:rFonts w:asciiTheme="minorHAnsi" w:hAnsiTheme="minorHAnsi" w:cstheme="minorHAnsi"/>
          <w:szCs w:val="22"/>
        </w:rPr>
        <w:t xml:space="preserve">and those receiving support at home to have access to face-to-face clinical care and help avoid unnecessary ambulance </w:t>
      </w:r>
      <w:proofErr w:type="gramStart"/>
      <w:r w:rsidRPr="00CB43F7">
        <w:rPr>
          <w:rFonts w:asciiTheme="minorHAnsi" w:hAnsiTheme="minorHAnsi" w:cstheme="minorHAnsi"/>
          <w:szCs w:val="22"/>
        </w:rPr>
        <w:t>call-outs</w:t>
      </w:r>
      <w:proofErr w:type="gramEnd"/>
      <w:r w:rsidRPr="00CB43F7">
        <w:rPr>
          <w:rFonts w:asciiTheme="minorHAnsi" w:hAnsiTheme="minorHAnsi" w:cstheme="minorHAnsi"/>
          <w:szCs w:val="22"/>
        </w:rPr>
        <w:t xml:space="preserve"> and escalations to hospital. GPs providing face to face services to residents of RACFs under the Home Visits program can access PPE from PHNs.</w:t>
      </w:r>
    </w:p>
    <w:p w14:paraId="5EC1A420" w14:textId="0A512310" w:rsidR="00932311" w:rsidRPr="00CB43F7" w:rsidRDefault="00932311" w:rsidP="001D7143">
      <w:pPr>
        <w:pStyle w:val="VACRCbody-landscape"/>
        <w:rPr>
          <w:rFonts w:asciiTheme="minorHAnsi" w:hAnsiTheme="minorHAnsi" w:cstheme="minorHAnsi"/>
          <w:szCs w:val="22"/>
        </w:rPr>
      </w:pPr>
      <w:proofErr w:type="spellStart"/>
      <w:r w:rsidRPr="00CB43F7">
        <w:rPr>
          <w:rFonts w:asciiTheme="minorHAnsi" w:hAnsiTheme="minorHAnsi" w:cstheme="minorHAnsi"/>
          <w:szCs w:val="22"/>
        </w:rPr>
        <w:t>Lagevrio</w:t>
      </w:r>
      <w:proofErr w:type="spellEnd"/>
      <w:r w:rsidRPr="00CB43F7">
        <w:rPr>
          <w:rFonts w:asciiTheme="minorHAnsi" w:hAnsiTheme="minorHAnsi" w:cstheme="minorHAnsi"/>
          <w:szCs w:val="22"/>
        </w:rPr>
        <w:t xml:space="preserve"> and Tamiflu have been pre-deployed to </w:t>
      </w:r>
      <w:r w:rsidR="00AB6337">
        <w:rPr>
          <w:rFonts w:asciiTheme="minorHAnsi" w:hAnsiTheme="minorHAnsi" w:cstheme="minorHAnsi"/>
        </w:rPr>
        <w:t>aged care homes</w:t>
      </w:r>
      <w:r w:rsidR="00AB6337" w:rsidRPr="002C6972">
        <w:rPr>
          <w:rFonts w:asciiTheme="minorHAnsi" w:hAnsiTheme="minorHAnsi" w:cstheme="minorHAnsi"/>
        </w:rPr>
        <w:t xml:space="preserve"> </w:t>
      </w:r>
      <w:r w:rsidRPr="00CB43F7">
        <w:rPr>
          <w:rFonts w:asciiTheme="minorHAnsi" w:hAnsiTheme="minorHAnsi" w:cstheme="minorHAnsi"/>
          <w:szCs w:val="22"/>
        </w:rPr>
        <w:t xml:space="preserve">for immediate access. </w:t>
      </w:r>
      <w:r w:rsidR="004300D3" w:rsidRPr="00CB43F7">
        <w:rPr>
          <w:rFonts w:asciiTheme="minorHAnsi" w:hAnsiTheme="minorHAnsi" w:cstheme="minorHAnsi"/>
          <w:szCs w:val="22"/>
        </w:rPr>
        <w:t>For</w:t>
      </w:r>
      <w:r w:rsidRPr="00CB43F7">
        <w:rPr>
          <w:rFonts w:asciiTheme="minorHAnsi" w:hAnsiTheme="minorHAnsi" w:cstheme="minorHAnsi"/>
          <w:szCs w:val="22"/>
        </w:rPr>
        <w:t xml:space="preserve"> treatment to be effective, it needs to commence as soon as the decision is made to treat (either following clinical assessment or </w:t>
      </w:r>
      <w:r w:rsidR="004300D3" w:rsidRPr="00CB43F7">
        <w:rPr>
          <w:rFonts w:asciiTheme="minorHAnsi" w:hAnsiTheme="minorHAnsi" w:cstheme="minorHAnsi"/>
          <w:szCs w:val="22"/>
        </w:rPr>
        <w:t>because of</w:t>
      </w:r>
      <w:r w:rsidRPr="00CB43F7">
        <w:rPr>
          <w:rFonts w:asciiTheme="minorHAnsi" w:hAnsiTheme="minorHAnsi" w:cstheme="minorHAnsi"/>
          <w:szCs w:val="22"/>
        </w:rPr>
        <w:t xml:space="preserve"> pre-consent):</w:t>
      </w:r>
    </w:p>
    <w:p w14:paraId="5560B5AA" w14:textId="2DB6FEF8" w:rsidR="00FF25B6" w:rsidRPr="00CB43F7" w:rsidRDefault="00932311" w:rsidP="001707B8">
      <w:pPr>
        <w:pStyle w:val="VACRCbody-landscape"/>
        <w:numPr>
          <w:ilvl w:val="0"/>
          <w:numId w:val="26"/>
        </w:numPr>
        <w:rPr>
          <w:rFonts w:asciiTheme="minorHAnsi" w:hAnsiTheme="minorHAnsi" w:cstheme="minorHAnsi"/>
          <w:szCs w:val="22"/>
        </w:rPr>
      </w:pPr>
      <w:proofErr w:type="spellStart"/>
      <w:r w:rsidRPr="00CB43F7">
        <w:rPr>
          <w:rFonts w:asciiTheme="minorHAnsi" w:hAnsiTheme="minorHAnsi" w:cstheme="minorHAnsi"/>
          <w:szCs w:val="22"/>
        </w:rPr>
        <w:t>Lagevrio</w:t>
      </w:r>
      <w:proofErr w:type="spellEnd"/>
      <w:r w:rsidRPr="00CB43F7">
        <w:rPr>
          <w:rFonts w:asciiTheme="minorHAnsi" w:hAnsiTheme="minorHAnsi" w:cstheme="minorHAnsi"/>
          <w:szCs w:val="22"/>
        </w:rPr>
        <w:t xml:space="preserve"> should be administered as soon as possible after diagnosis of COVID</w:t>
      </w:r>
      <w:r w:rsidRPr="00CB43F7">
        <w:rPr>
          <w:rFonts w:asciiTheme="minorHAnsi" w:hAnsiTheme="minorHAnsi" w:cstheme="minorHAnsi"/>
          <w:szCs w:val="22"/>
        </w:rPr>
        <w:noBreakHyphen/>
        <w:t xml:space="preserve">19 and within five days of symptom onset to achieve the most benefit – see </w:t>
      </w:r>
      <w:hyperlink r:id="rId46" w:history="1">
        <w:r w:rsidRPr="00CB43F7">
          <w:rPr>
            <w:rFonts w:asciiTheme="minorHAnsi" w:hAnsiTheme="minorHAnsi" w:cstheme="minorHAnsi"/>
            <w:color w:val="0563C1"/>
            <w:szCs w:val="22"/>
            <w:u w:val="single"/>
          </w:rPr>
          <w:t>factsheet</w:t>
        </w:r>
      </w:hyperlink>
      <w:r w:rsidRPr="00CB43F7">
        <w:rPr>
          <w:rFonts w:asciiTheme="minorHAnsi" w:hAnsiTheme="minorHAnsi" w:cstheme="minorHAnsi"/>
          <w:szCs w:val="22"/>
        </w:rPr>
        <w:t>.</w:t>
      </w:r>
    </w:p>
    <w:p w14:paraId="34323029" w14:textId="60604642" w:rsidR="00932311" w:rsidRPr="00CB43F7" w:rsidRDefault="00932311" w:rsidP="001707B8">
      <w:pPr>
        <w:pStyle w:val="VACRCbody-landscape"/>
        <w:numPr>
          <w:ilvl w:val="0"/>
          <w:numId w:val="26"/>
        </w:numPr>
        <w:rPr>
          <w:rFonts w:asciiTheme="minorHAnsi" w:hAnsiTheme="minorHAnsi" w:cstheme="minorHAnsi"/>
          <w:szCs w:val="22"/>
        </w:rPr>
      </w:pPr>
      <w:r w:rsidRPr="00CB43F7">
        <w:rPr>
          <w:rFonts w:asciiTheme="minorHAnsi" w:hAnsiTheme="minorHAnsi" w:cstheme="minorHAnsi"/>
          <w:szCs w:val="22"/>
        </w:rPr>
        <w:t xml:space="preserve">Tamiflu should be given within 48 hours of symptom onset – see </w:t>
      </w:r>
      <w:hyperlink r:id="rId47" w:history="1">
        <w:r w:rsidRPr="00CB43F7">
          <w:rPr>
            <w:rFonts w:asciiTheme="minorHAnsi" w:hAnsiTheme="minorHAnsi" w:cstheme="minorHAnsi"/>
            <w:color w:val="0563C1"/>
            <w:szCs w:val="22"/>
            <w:u w:val="single"/>
          </w:rPr>
          <w:t>factsheet</w:t>
        </w:r>
      </w:hyperlink>
      <w:r w:rsidRPr="00CB43F7">
        <w:rPr>
          <w:rFonts w:asciiTheme="minorHAnsi" w:hAnsiTheme="minorHAnsi" w:cstheme="minorHAnsi"/>
          <w:szCs w:val="22"/>
        </w:rPr>
        <w:t>.</w:t>
      </w:r>
    </w:p>
    <w:p w14:paraId="046E5496" w14:textId="423B6CDB" w:rsidR="00932311" w:rsidRDefault="00932311" w:rsidP="001D7143">
      <w:pPr>
        <w:pStyle w:val="VACRCbody-landscape"/>
        <w:rPr>
          <w:rFonts w:asciiTheme="minorHAnsi" w:hAnsiTheme="minorHAnsi" w:cstheme="minorHAnsi"/>
          <w:szCs w:val="22"/>
        </w:rPr>
      </w:pPr>
      <w:r w:rsidRPr="00CB43F7">
        <w:rPr>
          <w:rFonts w:asciiTheme="minorHAnsi" w:hAnsiTheme="minorHAnsi" w:cstheme="minorHAnsi"/>
          <w:szCs w:val="22"/>
        </w:rPr>
        <w:t>Utilising pre-deployed antiviral treatments for COVID-19 and influenza can enable residents to have immediate access once treatments are prescribed.</w:t>
      </w:r>
    </w:p>
    <w:p w14:paraId="274A46E5" w14:textId="77777777" w:rsidR="00EB5CF5" w:rsidRDefault="009E7D9E" w:rsidP="001D7143">
      <w:pPr>
        <w:pStyle w:val="VACRCbody-landscape"/>
        <w:rPr>
          <w:rFonts w:asciiTheme="minorHAnsi" w:hAnsiTheme="minorHAnsi" w:cstheme="minorHAnsi"/>
          <w:szCs w:val="22"/>
        </w:rPr>
      </w:pPr>
      <w:bookmarkStart w:id="97" w:name="_Hlk108352590"/>
      <w:r>
        <w:rPr>
          <w:rFonts w:asciiTheme="minorHAnsi" w:hAnsiTheme="minorHAnsi" w:cstheme="minorHAnsi"/>
          <w:szCs w:val="22"/>
        </w:rPr>
        <w:t xml:space="preserve">Both COVID-19 oral antiviral treatments, </w:t>
      </w:r>
      <w:proofErr w:type="spellStart"/>
      <w:r w:rsidRPr="009E7D9E">
        <w:rPr>
          <w:rFonts w:asciiTheme="minorHAnsi" w:hAnsiTheme="minorHAnsi" w:cstheme="minorHAnsi"/>
          <w:szCs w:val="22"/>
        </w:rPr>
        <w:t>Paxlovid</w:t>
      </w:r>
      <w:proofErr w:type="spellEnd"/>
      <w:r w:rsidRPr="009E7D9E">
        <w:rPr>
          <w:rFonts w:asciiTheme="minorHAnsi" w:hAnsiTheme="minorHAnsi" w:cstheme="minorHAnsi"/>
          <w:szCs w:val="22"/>
        </w:rPr>
        <w:t xml:space="preserve"> (</w:t>
      </w:r>
      <w:proofErr w:type="spellStart"/>
      <w:r w:rsidRPr="009E7D9E">
        <w:rPr>
          <w:rFonts w:asciiTheme="minorHAnsi" w:hAnsiTheme="minorHAnsi" w:cstheme="minorHAnsi"/>
          <w:szCs w:val="22"/>
        </w:rPr>
        <w:t>nirmatrelvir</w:t>
      </w:r>
      <w:proofErr w:type="spellEnd"/>
      <w:r w:rsidRPr="009E7D9E">
        <w:rPr>
          <w:rFonts w:asciiTheme="minorHAnsi" w:hAnsiTheme="minorHAnsi" w:cstheme="minorHAnsi"/>
          <w:szCs w:val="22"/>
        </w:rPr>
        <w:t xml:space="preserve"> and ritonavir) and </w:t>
      </w:r>
      <w:proofErr w:type="spellStart"/>
      <w:r w:rsidRPr="009E7D9E">
        <w:rPr>
          <w:rFonts w:asciiTheme="minorHAnsi" w:hAnsiTheme="minorHAnsi" w:cstheme="minorHAnsi"/>
          <w:szCs w:val="22"/>
        </w:rPr>
        <w:t>molnupiravir</w:t>
      </w:r>
      <w:proofErr w:type="spellEnd"/>
      <w:r w:rsidRPr="009E7D9E">
        <w:rPr>
          <w:rFonts w:asciiTheme="minorHAnsi" w:hAnsiTheme="minorHAnsi" w:cstheme="minorHAnsi"/>
          <w:szCs w:val="22"/>
        </w:rPr>
        <w:t xml:space="preserve"> (</w:t>
      </w:r>
      <w:proofErr w:type="spellStart"/>
      <w:r w:rsidRPr="009E7D9E">
        <w:rPr>
          <w:rFonts w:asciiTheme="minorHAnsi" w:hAnsiTheme="minorHAnsi" w:cstheme="minorHAnsi"/>
          <w:szCs w:val="22"/>
        </w:rPr>
        <w:t>Lagevrio</w:t>
      </w:r>
      <w:proofErr w:type="spellEnd"/>
      <w:r w:rsidRPr="009E7D9E">
        <w:rPr>
          <w:rFonts w:asciiTheme="minorHAnsi" w:hAnsiTheme="minorHAnsi" w:cstheme="minorHAnsi"/>
          <w:szCs w:val="22"/>
        </w:rPr>
        <w:t>)</w:t>
      </w:r>
      <w:r>
        <w:rPr>
          <w:rFonts w:asciiTheme="minorHAnsi" w:hAnsiTheme="minorHAnsi" w:cstheme="minorHAnsi"/>
          <w:szCs w:val="22"/>
        </w:rPr>
        <w:t>, are available on the Pharmaceutical Benefits Scheme</w:t>
      </w:r>
      <w:r w:rsidR="00EB5CF5">
        <w:rPr>
          <w:rFonts w:asciiTheme="minorHAnsi" w:hAnsiTheme="minorHAnsi" w:cstheme="minorHAnsi"/>
          <w:szCs w:val="22"/>
        </w:rPr>
        <w:t xml:space="preserve"> and can be accessed through community pharmacies where pre-deployed supplies run out</w:t>
      </w:r>
      <w:r>
        <w:rPr>
          <w:rFonts w:asciiTheme="minorHAnsi" w:hAnsiTheme="minorHAnsi" w:cstheme="minorHAnsi"/>
          <w:szCs w:val="22"/>
        </w:rPr>
        <w:t xml:space="preserve">. </w:t>
      </w:r>
    </w:p>
    <w:p w14:paraId="7CCBD87C" w14:textId="54D3ED17" w:rsidR="009E7D9E" w:rsidRPr="00CB43F7" w:rsidRDefault="009E7D9E" w:rsidP="001D7143">
      <w:pPr>
        <w:pStyle w:val="VACRCbody-landscape"/>
        <w:rPr>
          <w:rFonts w:asciiTheme="minorHAnsi" w:hAnsiTheme="minorHAnsi" w:cstheme="minorHAnsi"/>
          <w:szCs w:val="22"/>
        </w:rPr>
      </w:pPr>
      <w:r>
        <w:rPr>
          <w:rFonts w:asciiTheme="minorHAnsi" w:hAnsiTheme="minorHAnsi" w:cstheme="minorHAnsi"/>
          <w:szCs w:val="22"/>
        </w:rPr>
        <w:t>In line with the latest evidence, older people 70 years or older</w:t>
      </w:r>
      <w:r w:rsidR="00EB5CF5">
        <w:rPr>
          <w:rFonts w:asciiTheme="minorHAnsi" w:hAnsiTheme="minorHAnsi" w:cstheme="minorHAnsi"/>
          <w:szCs w:val="22"/>
        </w:rPr>
        <w:t xml:space="preserve"> can be prescribed COVID-19 treatments when they test positive, regardless of risk factors or the presence of symptoms. People 50 years or older can access where two risk factors are present, including living in residential aged care, chronic respiratory symptoms, kidney failure, or diabetes. Oral antiviral treatments for COVID-19 help keep people out of hospital and stop COVID-19 from becoming severe, having a major impact for older Australians.  </w:t>
      </w:r>
    </w:p>
    <w:bookmarkEnd w:id="97"/>
    <w:p w14:paraId="17AFC11B" w14:textId="53B79562" w:rsidR="00932311" w:rsidRPr="00CB43F7" w:rsidRDefault="00932311" w:rsidP="001D7143">
      <w:pPr>
        <w:pStyle w:val="VACRCbody-landscape"/>
        <w:rPr>
          <w:rFonts w:asciiTheme="minorHAnsi" w:hAnsiTheme="minorHAnsi" w:cstheme="minorHAnsi"/>
          <w:szCs w:val="22"/>
        </w:rPr>
      </w:pPr>
      <w:r w:rsidRPr="00CB43F7">
        <w:rPr>
          <w:rFonts w:asciiTheme="minorHAnsi" w:hAnsiTheme="minorHAnsi" w:cstheme="minorHAnsi"/>
          <w:szCs w:val="22"/>
        </w:rPr>
        <w:t xml:space="preserve">There is also a role for prophylactic use of Tamiflu in residential aged care outbreaks to prevent ongoing transmission. Facilities should seek clinical advice from a GP on whether this is recommended for their site. Further guidance on the use of Tamiflu in aged care is available on the </w:t>
      </w:r>
      <w:r w:rsidR="00626E0D" w:rsidRPr="00CB43F7">
        <w:rPr>
          <w:rFonts w:asciiTheme="minorHAnsi" w:hAnsiTheme="minorHAnsi" w:cstheme="minorHAnsi"/>
          <w:szCs w:val="22"/>
        </w:rPr>
        <w:t xml:space="preserve">department’s </w:t>
      </w:r>
      <w:hyperlink r:id="rId48" w:history="1">
        <w:r w:rsidRPr="00CB43F7">
          <w:rPr>
            <w:rFonts w:asciiTheme="minorHAnsi" w:hAnsiTheme="minorHAnsi" w:cstheme="minorHAnsi"/>
            <w:color w:val="0563C1"/>
            <w:szCs w:val="22"/>
            <w:u w:val="single"/>
          </w:rPr>
          <w:t>website</w:t>
        </w:r>
      </w:hyperlink>
      <w:r w:rsidRPr="00CB43F7">
        <w:rPr>
          <w:rFonts w:asciiTheme="minorHAnsi" w:hAnsiTheme="minorHAnsi" w:cstheme="minorHAnsi"/>
          <w:szCs w:val="22"/>
        </w:rPr>
        <w:t xml:space="preserve"> and in the </w:t>
      </w:r>
      <w:r w:rsidR="00B64C5F" w:rsidRPr="002C6972">
        <w:rPr>
          <w:rFonts w:asciiTheme="minorHAnsi" w:hAnsiTheme="minorHAnsi" w:cstheme="minorHAnsi"/>
        </w:rPr>
        <w:t>CDNA</w:t>
      </w:r>
      <w:r w:rsidR="00B64C5F">
        <w:rPr>
          <w:rFonts w:asciiTheme="minorHAnsi" w:hAnsiTheme="minorHAnsi" w:cstheme="minorHAnsi"/>
        </w:rPr>
        <w:t xml:space="preserve"> </w:t>
      </w:r>
      <w:hyperlink r:id="rId49" w:history="1">
        <w:r w:rsidR="00B64C5F" w:rsidRPr="00B64C5F">
          <w:rPr>
            <w:rStyle w:val="Hyperlink"/>
            <w:rFonts w:asciiTheme="minorHAnsi" w:hAnsiTheme="minorHAnsi" w:cstheme="minorHAnsi"/>
          </w:rPr>
          <w:t>national guidelines for the prevention, control and public health management of COVID-19 outbreaks in residential care facilities in Australia</w:t>
        </w:r>
      </w:hyperlink>
      <w:r w:rsidR="00B64C5F">
        <w:rPr>
          <w:rFonts w:asciiTheme="minorHAnsi" w:hAnsiTheme="minorHAnsi" w:cstheme="minorHAnsi"/>
          <w:szCs w:val="22"/>
        </w:rPr>
        <w:t xml:space="preserve"> </w:t>
      </w:r>
      <w:r w:rsidRPr="00CB43F7">
        <w:rPr>
          <w:rFonts w:asciiTheme="minorHAnsi" w:hAnsiTheme="minorHAnsi" w:cstheme="minorHAnsi"/>
          <w:szCs w:val="22"/>
        </w:rPr>
        <w:t>.</w:t>
      </w:r>
    </w:p>
    <w:p w14:paraId="4C8FEEA4" w14:textId="77777777" w:rsidR="00932311" w:rsidRPr="00CB43F7" w:rsidRDefault="00932311" w:rsidP="00561FC2">
      <w:pPr>
        <w:pStyle w:val="VACRCbody-landscape"/>
        <w:spacing w:after="160"/>
        <w:rPr>
          <w:rFonts w:asciiTheme="minorHAnsi" w:hAnsiTheme="minorHAnsi" w:cstheme="minorHAnsi"/>
          <w:szCs w:val="22"/>
        </w:rPr>
      </w:pPr>
      <w:r w:rsidRPr="00CB43F7">
        <w:rPr>
          <w:rFonts w:asciiTheme="minorHAnsi" w:hAnsiTheme="minorHAnsi" w:cstheme="minorHAnsi"/>
          <w:szCs w:val="22"/>
        </w:rPr>
        <w:t>Having antivirals on hand, and subsequently prescribing them to residents where appropriate, does not mean that ambulance callouts and hospitalisation will be entirely avoided. General Practitioners and the local public health unit should be immediately consulted with where residents are not responding to prescribed treatments and necessary interventions should be facilitated as required.</w:t>
      </w:r>
    </w:p>
    <w:p w14:paraId="16C9CD19" w14:textId="77777777" w:rsidR="00932311" w:rsidRPr="00932311" w:rsidRDefault="00932311" w:rsidP="00CB43F7">
      <w:pPr>
        <w:keepNext/>
        <w:keepLines/>
        <w:spacing w:before="120" w:after="120" w:line="250" w:lineRule="atLeast"/>
        <w:outlineLvl w:val="1"/>
        <w:rPr>
          <w:rFonts w:ascii="Arial Nova" w:hAnsi="Arial Nova"/>
          <w:b/>
          <w:color w:val="EB701D"/>
          <w:sz w:val="32"/>
          <w:szCs w:val="32"/>
        </w:rPr>
      </w:pPr>
      <w:bookmarkStart w:id="98" w:name="_Toc102482456"/>
      <w:bookmarkStart w:id="99" w:name="_Toc104459162"/>
      <w:bookmarkStart w:id="100" w:name="_Toc108624580"/>
      <w:r w:rsidRPr="00932311">
        <w:rPr>
          <w:rFonts w:ascii="Arial Nova" w:hAnsi="Arial Nova"/>
          <w:b/>
          <w:color w:val="EB701D"/>
          <w:sz w:val="32"/>
          <w:szCs w:val="32"/>
        </w:rPr>
        <w:t>Strong Infection Prevention and Control (IPC)</w:t>
      </w:r>
      <w:bookmarkEnd w:id="98"/>
      <w:bookmarkEnd w:id="99"/>
      <w:bookmarkEnd w:id="100"/>
    </w:p>
    <w:p w14:paraId="56CDF6DF" w14:textId="65BAC0DA" w:rsidR="00932311" w:rsidRPr="002C6972" w:rsidRDefault="00932311" w:rsidP="001D7143">
      <w:pPr>
        <w:pStyle w:val="VACRCbody-landscape"/>
        <w:rPr>
          <w:rFonts w:asciiTheme="minorHAnsi" w:eastAsia="Calibri" w:hAnsiTheme="minorHAnsi" w:cstheme="minorHAnsi"/>
          <w:b/>
          <w:bCs/>
          <w:i/>
          <w:iCs/>
          <w:color w:val="4472C4"/>
          <w:sz w:val="28"/>
          <w:szCs w:val="28"/>
        </w:rPr>
      </w:pPr>
      <w:r w:rsidRPr="002C6972">
        <w:rPr>
          <w:rFonts w:asciiTheme="minorHAnsi" w:hAnsiTheme="minorHAnsi" w:cstheme="minorHAnsi"/>
        </w:rPr>
        <w:t xml:space="preserve">During an outbreak, stringent IPC is essential to getting on top of transmission and limiting the potential impacts. Building on the preparations undertaken in the Readiness Phase, each </w:t>
      </w:r>
      <w:r w:rsidR="00335EE3">
        <w:rPr>
          <w:rFonts w:asciiTheme="minorHAnsi" w:hAnsiTheme="minorHAnsi" w:cstheme="minorHAnsi"/>
        </w:rPr>
        <w:t>aged care home</w:t>
      </w:r>
      <w:r w:rsidR="00335EE3" w:rsidRPr="002C6972">
        <w:rPr>
          <w:rFonts w:asciiTheme="minorHAnsi" w:hAnsiTheme="minorHAnsi" w:cstheme="minorHAnsi"/>
        </w:rPr>
        <w:t xml:space="preserve"> </w:t>
      </w:r>
      <w:r w:rsidRPr="002C6972">
        <w:rPr>
          <w:rFonts w:asciiTheme="minorHAnsi" w:hAnsiTheme="minorHAnsi" w:cstheme="minorHAnsi"/>
        </w:rPr>
        <w:t>should have clear procedures to implement robust IPC.</w:t>
      </w:r>
      <w:bookmarkStart w:id="101" w:name="_Toc101419770"/>
    </w:p>
    <w:p w14:paraId="3684AB18" w14:textId="65469ABC" w:rsidR="00932311" w:rsidRPr="00CB43F7" w:rsidRDefault="00932311" w:rsidP="00CB43F7">
      <w:pPr>
        <w:keepNext/>
        <w:keepLines/>
        <w:spacing w:before="120" w:after="120" w:line="240" w:lineRule="atLeast"/>
        <w:outlineLvl w:val="2"/>
        <w:rPr>
          <w:rFonts w:ascii="Arial Nova" w:hAnsi="Arial Nova"/>
          <w:i/>
          <w:iCs/>
          <w:color w:val="EB701D"/>
          <w:sz w:val="28"/>
          <w:szCs w:val="24"/>
        </w:rPr>
      </w:pPr>
      <w:bookmarkStart w:id="102" w:name="_Toc102482457"/>
      <w:bookmarkStart w:id="103" w:name="_Toc104459163"/>
      <w:bookmarkStart w:id="104" w:name="_Toc108624581"/>
      <w:r w:rsidRPr="00CB43F7">
        <w:rPr>
          <w:rFonts w:ascii="Arial Nova" w:hAnsi="Arial Nova"/>
          <w:i/>
          <w:iCs/>
          <w:color w:val="EB701D"/>
          <w:sz w:val="28"/>
          <w:szCs w:val="24"/>
        </w:rPr>
        <w:t>Drawing on expert IPC Capability</w:t>
      </w:r>
      <w:bookmarkEnd w:id="101"/>
      <w:bookmarkEnd w:id="102"/>
      <w:bookmarkEnd w:id="103"/>
      <w:bookmarkEnd w:id="104"/>
    </w:p>
    <w:p w14:paraId="5F438194" w14:textId="43401AA7" w:rsidR="00FF25B6" w:rsidRPr="00CB43F7" w:rsidRDefault="00FF25B6" w:rsidP="001D7143">
      <w:pPr>
        <w:pStyle w:val="VACRCbody-landscape"/>
        <w:shd w:val="clear" w:color="auto" w:fill="FBE4D5"/>
        <w:rPr>
          <w:rFonts w:asciiTheme="minorHAnsi" w:hAnsiTheme="minorHAnsi" w:cstheme="minorHAnsi"/>
          <w:b/>
          <w:bCs/>
        </w:rPr>
      </w:pPr>
      <w:r w:rsidRPr="00CB43F7">
        <w:rPr>
          <w:rFonts w:asciiTheme="minorHAnsi" w:hAnsiTheme="minorHAnsi" w:cstheme="minorHAnsi"/>
          <w:b/>
          <w:bCs/>
        </w:rPr>
        <w:t>Provider considerations</w:t>
      </w:r>
    </w:p>
    <w:p w14:paraId="0CCE4CD8" w14:textId="1F8468C3" w:rsidR="00FF25B6" w:rsidRPr="00CB43F7" w:rsidRDefault="00FF25B6" w:rsidP="001D7143">
      <w:pPr>
        <w:pStyle w:val="VACRCbody-landscape"/>
        <w:shd w:val="clear" w:color="auto" w:fill="FBE4D5"/>
        <w:rPr>
          <w:rFonts w:asciiTheme="minorHAnsi" w:hAnsiTheme="minorHAnsi" w:cstheme="minorHAnsi"/>
        </w:rPr>
      </w:pPr>
      <w:r w:rsidRPr="00CB43F7">
        <w:rPr>
          <w:rFonts w:asciiTheme="minorHAnsi" w:hAnsiTheme="minorHAnsi" w:cstheme="minorHAnsi"/>
        </w:rPr>
        <w:t>The IPC</w:t>
      </w:r>
      <w:r w:rsidR="001D7143" w:rsidRPr="00CB43F7">
        <w:rPr>
          <w:rFonts w:asciiTheme="minorHAnsi" w:hAnsiTheme="minorHAnsi" w:cstheme="minorHAnsi"/>
        </w:rPr>
        <w:t xml:space="preserve"> </w:t>
      </w:r>
      <w:r w:rsidRPr="00CB43F7">
        <w:rPr>
          <w:rFonts w:asciiTheme="minorHAnsi" w:hAnsiTheme="minorHAnsi" w:cstheme="minorHAnsi"/>
        </w:rPr>
        <w:t>Lead role does not abdicate approved providers of relevant obligations under both aged care legislation and jurisdictional based work health and safety laws. Strong IPC practices should be undertaken by all.</w:t>
      </w:r>
    </w:p>
    <w:p w14:paraId="6166B164" w14:textId="0D4B6265" w:rsidR="00FF25B6" w:rsidRPr="00CB43F7" w:rsidRDefault="00FF25B6" w:rsidP="00FF25B6">
      <w:pPr>
        <w:pStyle w:val="VACRCbody-landscape"/>
        <w:shd w:val="clear" w:color="auto" w:fill="FBE4D5"/>
        <w:rPr>
          <w:rFonts w:asciiTheme="minorHAnsi" w:hAnsiTheme="minorHAnsi" w:cstheme="minorHAnsi"/>
        </w:rPr>
      </w:pPr>
      <w:r w:rsidRPr="00CB43F7">
        <w:rPr>
          <w:rFonts w:asciiTheme="minorHAnsi" w:hAnsiTheme="minorHAnsi" w:cstheme="minorHAnsi"/>
        </w:rPr>
        <w:t>Public health units are responsible for setting public health orders and directions with respect to outbreaks sites.</w:t>
      </w:r>
    </w:p>
    <w:p w14:paraId="24B669A0" w14:textId="48855332" w:rsidR="00FF25B6" w:rsidRPr="00CB43F7" w:rsidRDefault="00FF25B6" w:rsidP="001D7143">
      <w:pPr>
        <w:pStyle w:val="VACRCbody-landscape"/>
        <w:shd w:val="clear" w:color="auto" w:fill="FBE4D5"/>
        <w:rPr>
          <w:rFonts w:asciiTheme="minorHAnsi" w:hAnsiTheme="minorHAnsi" w:cstheme="minorHAnsi"/>
        </w:rPr>
      </w:pPr>
      <w:r w:rsidRPr="00CB43F7">
        <w:rPr>
          <w:rFonts w:asciiTheme="minorHAnsi" w:hAnsiTheme="minorHAnsi" w:cstheme="minorHAnsi"/>
        </w:rPr>
        <w:t xml:space="preserve">In the event of an outbreak, </w:t>
      </w:r>
      <w:r w:rsidR="00335EE3">
        <w:rPr>
          <w:rFonts w:asciiTheme="minorHAnsi" w:hAnsiTheme="minorHAnsi" w:cstheme="minorHAnsi"/>
        </w:rPr>
        <w:t>aged care homes</w:t>
      </w:r>
      <w:r w:rsidR="00335EE3" w:rsidRPr="002C6972">
        <w:rPr>
          <w:rFonts w:asciiTheme="minorHAnsi" w:hAnsiTheme="minorHAnsi" w:cstheme="minorHAnsi"/>
        </w:rPr>
        <w:t xml:space="preserve"> </w:t>
      </w:r>
      <w:r w:rsidRPr="00CB43F7">
        <w:rPr>
          <w:rFonts w:asciiTheme="minorHAnsi" w:hAnsiTheme="minorHAnsi" w:cstheme="minorHAnsi"/>
        </w:rPr>
        <w:t>should work closely with the public health unit to determine what IPC requirements need to be followed on site. Facility leadership, including the appointed IPC Lead, are responsible for ensuring compliance with these requirements.</w:t>
      </w:r>
    </w:p>
    <w:p w14:paraId="488B73E5" w14:textId="192FF761" w:rsidR="00932311" w:rsidRPr="00CB43F7" w:rsidRDefault="00932311" w:rsidP="001D7143">
      <w:pPr>
        <w:pStyle w:val="VACRCbody-landscape"/>
        <w:rPr>
          <w:rFonts w:asciiTheme="minorHAnsi" w:hAnsiTheme="minorHAnsi" w:cstheme="minorHAnsi"/>
        </w:rPr>
      </w:pPr>
      <w:r w:rsidRPr="00CB43F7">
        <w:rPr>
          <w:rFonts w:asciiTheme="minorHAnsi" w:hAnsiTheme="minorHAnsi" w:cstheme="minorHAnsi"/>
        </w:rPr>
        <w:t xml:space="preserve">Each facility should have a clear plan on how to implement IPC requirements in response to an outbreak of either COVID-19 or other respiratory diseases such as Influenza. This includes easy access to IPC equipment such as PPE, signage and waste management. All staff have a role to play in managing IPC and should know their role during an outbreak. These plans should regularly be reviewed and/or </w:t>
      </w:r>
      <w:r w:rsidR="001D7143" w:rsidRPr="00CB43F7">
        <w:rPr>
          <w:rFonts w:asciiTheme="minorHAnsi" w:hAnsiTheme="minorHAnsi" w:cstheme="minorHAnsi"/>
        </w:rPr>
        <w:t>stress tested</w:t>
      </w:r>
      <w:r w:rsidRPr="00CB43F7">
        <w:rPr>
          <w:rFonts w:asciiTheme="minorHAnsi" w:hAnsiTheme="minorHAnsi" w:cstheme="minorHAnsi"/>
        </w:rPr>
        <w:t xml:space="preserve"> as appropriate.</w:t>
      </w:r>
    </w:p>
    <w:p w14:paraId="28E9F122" w14:textId="43229347" w:rsidR="00932311" w:rsidRPr="00CB43F7" w:rsidRDefault="00932311" w:rsidP="001D7143">
      <w:pPr>
        <w:pStyle w:val="VACRCbody-landscape"/>
        <w:rPr>
          <w:rFonts w:asciiTheme="minorHAnsi" w:hAnsiTheme="minorHAnsi" w:cstheme="minorHAnsi"/>
        </w:rPr>
      </w:pPr>
      <w:r w:rsidRPr="00CB43F7">
        <w:rPr>
          <w:rFonts w:asciiTheme="minorHAnsi" w:hAnsiTheme="minorHAnsi" w:cstheme="minorHAnsi"/>
        </w:rPr>
        <w:lastRenderedPageBreak/>
        <w:t xml:space="preserve">As in the Readiness stage, IPC Leads are a vital IPC resource for </w:t>
      </w:r>
      <w:r w:rsidR="00335EE3">
        <w:rPr>
          <w:rFonts w:asciiTheme="minorHAnsi" w:hAnsiTheme="minorHAnsi" w:cstheme="minorHAnsi"/>
        </w:rPr>
        <w:t>aged care homes</w:t>
      </w:r>
      <w:r w:rsidR="00335EE3" w:rsidRPr="002C6972">
        <w:rPr>
          <w:rFonts w:asciiTheme="minorHAnsi" w:hAnsiTheme="minorHAnsi" w:cstheme="minorHAnsi"/>
        </w:rPr>
        <w:t xml:space="preserve"> </w:t>
      </w:r>
      <w:r w:rsidRPr="00CB43F7">
        <w:rPr>
          <w:rFonts w:asciiTheme="minorHAnsi" w:hAnsiTheme="minorHAnsi" w:cstheme="minorHAnsi"/>
        </w:rPr>
        <w:t xml:space="preserve">to draw on during the Response process. </w:t>
      </w:r>
      <w:r w:rsidR="00335EE3">
        <w:rPr>
          <w:rFonts w:asciiTheme="minorHAnsi" w:hAnsiTheme="minorHAnsi" w:cstheme="minorHAnsi"/>
        </w:rPr>
        <w:t>Aged care homes</w:t>
      </w:r>
      <w:r w:rsidR="00335EE3" w:rsidRPr="002C6972">
        <w:rPr>
          <w:rFonts w:asciiTheme="minorHAnsi" w:hAnsiTheme="minorHAnsi" w:cstheme="minorHAnsi"/>
        </w:rPr>
        <w:t xml:space="preserve"> </w:t>
      </w:r>
      <w:r w:rsidRPr="00CB43F7">
        <w:rPr>
          <w:rFonts w:asciiTheme="minorHAnsi" w:hAnsiTheme="minorHAnsi" w:cstheme="minorHAnsi"/>
        </w:rPr>
        <w:t>should support their IPC Lead to be involved in all response activities and provide on</w:t>
      </w:r>
      <w:r w:rsidRPr="00CB43F7">
        <w:rPr>
          <w:rFonts w:asciiTheme="minorHAnsi" w:hAnsiTheme="minorHAnsi" w:cstheme="minorHAnsi"/>
        </w:rPr>
        <w:noBreakHyphen/>
        <w:t>the</w:t>
      </w:r>
      <w:r w:rsidRPr="00CB43F7">
        <w:rPr>
          <w:rFonts w:asciiTheme="minorHAnsi" w:hAnsiTheme="minorHAnsi" w:cstheme="minorHAnsi"/>
        </w:rPr>
        <w:noBreakHyphen/>
        <w:t>ground clinical leadership and guidance.</w:t>
      </w:r>
    </w:p>
    <w:p w14:paraId="31D47022" w14:textId="6031FFCE" w:rsidR="00932311" w:rsidRPr="00932311" w:rsidRDefault="00932311" w:rsidP="00CB43F7">
      <w:pPr>
        <w:keepNext/>
        <w:keepLines/>
        <w:spacing w:before="120" w:after="120" w:line="250" w:lineRule="atLeast"/>
        <w:outlineLvl w:val="1"/>
        <w:rPr>
          <w:rFonts w:ascii="Arial Nova" w:hAnsi="Arial Nova"/>
          <w:b/>
          <w:color w:val="EB701D"/>
          <w:sz w:val="32"/>
          <w:szCs w:val="32"/>
        </w:rPr>
      </w:pPr>
      <w:bookmarkStart w:id="105" w:name="_Workforce_1"/>
      <w:bookmarkStart w:id="106" w:name="_Toc101419771"/>
      <w:bookmarkStart w:id="107" w:name="_Toc101539848"/>
      <w:bookmarkStart w:id="108" w:name="_Toc102482458"/>
      <w:bookmarkStart w:id="109" w:name="_Toc104459164"/>
      <w:bookmarkStart w:id="110" w:name="_Toc108624582"/>
      <w:bookmarkEnd w:id="105"/>
      <w:r w:rsidRPr="00932311">
        <w:rPr>
          <w:rFonts w:ascii="Arial Nova" w:hAnsi="Arial Nova"/>
          <w:b/>
          <w:color w:val="EB701D"/>
          <w:sz w:val="32"/>
          <w:szCs w:val="32"/>
        </w:rPr>
        <w:t>Workforce</w:t>
      </w:r>
      <w:bookmarkEnd w:id="106"/>
      <w:bookmarkEnd w:id="107"/>
      <w:bookmarkEnd w:id="108"/>
      <w:bookmarkEnd w:id="109"/>
      <w:bookmarkEnd w:id="110"/>
    </w:p>
    <w:p w14:paraId="3DDE8678" w14:textId="792F6B2F" w:rsidR="00932311" w:rsidRPr="00CB43F7" w:rsidRDefault="00932311" w:rsidP="00CB43F7">
      <w:pPr>
        <w:keepNext/>
        <w:keepLines/>
        <w:spacing w:before="120" w:after="120" w:line="240" w:lineRule="atLeast"/>
        <w:outlineLvl w:val="2"/>
        <w:rPr>
          <w:rFonts w:ascii="Arial Nova" w:hAnsi="Arial Nova"/>
          <w:i/>
          <w:iCs/>
          <w:color w:val="EB701D"/>
          <w:sz w:val="28"/>
          <w:szCs w:val="24"/>
        </w:rPr>
      </w:pPr>
      <w:bookmarkStart w:id="111" w:name="_Toc101539849"/>
      <w:bookmarkStart w:id="112" w:name="_Toc102482459"/>
      <w:bookmarkStart w:id="113" w:name="_Toc104459165"/>
      <w:bookmarkStart w:id="114" w:name="_Toc101419772"/>
      <w:bookmarkStart w:id="115" w:name="_Toc108624583"/>
      <w:r w:rsidRPr="00CB43F7">
        <w:rPr>
          <w:rFonts w:ascii="Arial Nova" w:hAnsi="Arial Nova"/>
          <w:i/>
          <w:iCs/>
          <w:color w:val="EB701D"/>
          <w:sz w:val="28"/>
          <w:szCs w:val="24"/>
        </w:rPr>
        <w:t>Provision of surge workforce</w:t>
      </w:r>
      <w:bookmarkEnd w:id="111"/>
      <w:bookmarkEnd w:id="112"/>
      <w:bookmarkEnd w:id="113"/>
      <w:bookmarkEnd w:id="114"/>
      <w:bookmarkEnd w:id="115"/>
    </w:p>
    <w:p w14:paraId="1CD97353" w14:textId="2B2FD2C0" w:rsidR="00932311" w:rsidRPr="00CB43F7" w:rsidRDefault="00932311" w:rsidP="001D7143">
      <w:pPr>
        <w:pStyle w:val="VACRCbody-landscape"/>
        <w:rPr>
          <w:rFonts w:asciiTheme="minorHAnsi" w:hAnsiTheme="minorHAnsi" w:cstheme="minorHAnsi"/>
        </w:rPr>
      </w:pPr>
      <w:r w:rsidRPr="00CB43F7">
        <w:rPr>
          <w:rFonts w:asciiTheme="minorHAnsi" w:hAnsiTheme="minorHAnsi" w:cstheme="minorHAnsi"/>
        </w:rPr>
        <w:t>Building on the experience of COVID-19, providers must closely consider their current workforce resources and options for sourcing additional workforce to respond to an outbreak. A workforce management plan is essential, including options for accessing local health resources if available.</w:t>
      </w:r>
    </w:p>
    <w:p w14:paraId="5D2A06CD" w14:textId="2078D31A" w:rsidR="00932311" w:rsidRPr="00CB43F7" w:rsidRDefault="00932311" w:rsidP="001D7143">
      <w:pPr>
        <w:pStyle w:val="VACRCbody-landscape"/>
        <w:rPr>
          <w:rFonts w:asciiTheme="minorHAnsi" w:hAnsiTheme="minorHAnsi" w:cstheme="minorHAnsi"/>
        </w:rPr>
      </w:pPr>
      <w:r w:rsidRPr="00CB43F7">
        <w:rPr>
          <w:rFonts w:asciiTheme="minorHAnsi" w:hAnsiTheme="minorHAnsi" w:cstheme="minorHAnsi"/>
        </w:rPr>
        <w:t xml:space="preserve">When a provider experiences detrimental staff loss, the </w:t>
      </w:r>
      <w:r w:rsidR="00626E0D" w:rsidRPr="00CB43F7">
        <w:rPr>
          <w:rFonts w:asciiTheme="minorHAnsi" w:hAnsiTheme="minorHAnsi" w:cstheme="minorHAnsi"/>
        </w:rPr>
        <w:t xml:space="preserve">department </w:t>
      </w:r>
      <w:r w:rsidRPr="00CB43F7">
        <w:rPr>
          <w:rFonts w:asciiTheme="minorHAnsi" w:hAnsiTheme="minorHAnsi" w:cstheme="minorHAnsi"/>
        </w:rPr>
        <w:t xml:space="preserve">may be able to assist in brokering </w:t>
      </w:r>
      <w:hyperlink r:id="rId50" w:history="1">
        <w:r w:rsidRPr="00967B8E">
          <w:rPr>
            <w:rFonts w:asciiTheme="minorHAnsi" w:hAnsiTheme="minorHAnsi" w:cstheme="minorHAnsi"/>
            <w:color w:val="0563C1"/>
          </w:rPr>
          <w:t>short term assistance</w:t>
        </w:r>
      </w:hyperlink>
      <w:r w:rsidRPr="00CB43F7">
        <w:rPr>
          <w:rFonts w:asciiTheme="minorHAnsi" w:hAnsiTheme="minorHAnsi" w:cstheme="minorHAnsi"/>
        </w:rPr>
        <w:t xml:space="preserve"> for </w:t>
      </w:r>
      <w:r w:rsidR="00811532">
        <w:rPr>
          <w:rFonts w:asciiTheme="minorHAnsi" w:hAnsiTheme="minorHAnsi" w:cstheme="minorHAnsi"/>
        </w:rPr>
        <w:t>aged care homes</w:t>
      </w:r>
      <w:r w:rsidR="00811532" w:rsidRPr="002C6972">
        <w:rPr>
          <w:rFonts w:asciiTheme="minorHAnsi" w:hAnsiTheme="minorHAnsi" w:cstheme="minorHAnsi"/>
        </w:rPr>
        <w:t xml:space="preserve"> </w:t>
      </w:r>
      <w:r w:rsidRPr="00CB43F7">
        <w:rPr>
          <w:rFonts w:asciiTheme="minorHAnsi" w:hAnsiTheme="minorHAnsi" w:cstheme="minorHAnsi"/>
        </w:rPr>
        <w:t>following the declaration of a COVID-19 outbreak. These arrangements have been extended to 31 December 2022.</w:t>
      </w:r>
    </w:p>
    <w:p w14:paraId="3053C389" w14:textId="77777777" w:rsidR="00932311" w:rsidRPr="00CB43F7" w:rsidRDefault="00932311" w:rsidP="001D7143">
      <w:pPr>
        <w:pStyle w:val="VACRCbody-landscape"/>
        <w:rPr>
          <w:rFonts w:asciiTheme="minorHAnsi" w:eastAsia="Calibri" w:hAnsiTheme="minorHAnsi" w:cstheme="minorHAnsi"/>
        </w:rPr>
      </w:pPr>
      <w:r w:rsidRPr="00CB43F7">
        <w:rPr>
          <w:rFonts w:asciiTheme="minorHAnsi" w:eastAsia="Calibri" w:hAnsiTheme="minorHAnsi" w:cstheme="minorHAnsi"/>
        </w:rPr>
        <w:t>Providers must have exhausted their existing partnerships and recruitment channels before they are eligible to access funded workforce support – this includes considering internal options such as increasing the hours worked by staff at the affected facility and drawing staff in from other facilities operated by the approved provider (not in exposure or outbreak).</w:t>
      </w:r>
    </w:p>
    <w:p w14:paraId="1881292D" w14:textId="20194A01" w:rsidR="00932311" w:rsidRPr="00CB43F7" w:rsidRDefault="00932311" w:rsidP="001D7143">
      <w:pPr>
        <w:pStyle w:val="VACRCbody-landscape"/>
        <w:rPr>
          <w:rFonts w:asciiTheme="minorHAnsi" w:eastAsia="Calibri" w:hAnsiTheme="minorHAnsi" w:cstheme="minorHAnsi"/>
        </w:rPr>
      </w:pPr>
      <w:r w:rsidRPr="00CB43F7">
        <w:rPr>
          <w:rFonts w:asciiTheme="minorHAnsi" w:eastAsia="Calibri" w:hAnsiTheme="minorHAnsi" w:cstheme="minorHAnsi"/>
        </w:rPr>
        <w:t xml:space="preserve">Where these pathways are unsuccessful, providers may turn to the </w:t>
      </w:r>
      <w:r w:rsidR="00626E0D" w:rsidRPr="00CB43F7">
        <w:rPr>
          <w:rFonts w:asciiTheme="minorHAnsi" w:eastAsia="Calibri" w:hAnsiTheme="minorHAnsi" w:cstheme="minorHAnsi"/>
        </w:rPr>
        <w:t xml:space="preserve">department’s </w:t>
      </w:r>
      <w:r w:rsidRPr="00CB43F7">
        <w:rPr>
          <w:rFonts w:asciiTheme="minorHAnsi" w:eastAsia="Calibri" w:hAnsiTheme="minorHAnsi" w:cstheme="minorHAnsi"/>
        </w:rPr>
        <w:t>supports to fill an immediate gap while they attempt to find a longer-term solution, which includes staff returning from isolation or quarantine due to COVID-19.</w:t>
      </w:r>
    </w:p>
    <w:p w14:paraId="2E1564FC" w14:textId="6DB5EB53" w:rsidR="00932311" w:rsidRPr="00CB43F7" w:rsidRDefault="00932311" w:rsidP="001D7143">
      <w:pPr>
        <w:pStyle w:val="VACRCbody-landscape"/>
        <w:rPr>
          <w:rFonts w:asciiTheme="minorHAnsi" w:eastAsia="Calibri" w:hAnsiTheme="minorHAnsi" w:cstheme="minorHAnsi"/>
        </w:rPr>
      </w:pPr>
      <w:r w:rsidRPr="00CB43F7">
        <w:rPr>
          <w:rFonts w:asciiTheme="minorHAnsi" w:hAnsiTheme="minorHAnsi" w:cstheme="minorHAnsi"/>
        </w:rPr>
        <w:t xml:space="preserve">Surge workforce resources provided by the </w:t>
      </w:r>
      <w:r w:rsidR="00626E0D" w:rsidRPr="00CB43F7">
        <w:rPr>
          <w:rFonts w:asciiTheme="minorHAnsi" w:hAnsiTheme="minorHAnsi" w:cstheme="minorHAnsi"/>
        </w:rPr>
        <w:t xml:space="preserve">department </w:t>
      </w:r>
      <w:r w:rsidRPr="00CB43F7">
        <w:rPr>
          <w:rFonts w:asciiTheme="minorHAnsi" w:hAnsiTheme="minorHAnsi" w:cstheme="minorHAnsi"/>
        </w:rPr>
        <w:t xml:space="preserve">are short term and not guaranteed, nor are they sufficient to be the only staffing solution for a facility. </w:t>
      </w:r>
      <w:r w:rsidRPr="00CB43F7">
        <w:rPr>
          <w:rFonts w:asciiTheme="minorHAnsi" w:eastAsia="Calibri" w:hAnsiTheme="minorHAnsi" w:cstheme="minorHAnsi"/>
        </w:rPr>
        <w:t>This surge support may be able to provide clinical and/or non-clinical staff for facilities during this period. Providers should also consider how visitors and volunteers can also assist with non-clinical support during an outbreak.</w:t>
      </w:r>
    </w:p>
    <w:p w14:paraId="65E9CCDD" w14:textId="56474AC9" w:rsidR="00646D9B" w:rsidRPr="00CB43F7" w:rsidRDefault="00646D9B" w:rsidP="001D7143">
      <w:pPr>
        <w:pStyle w:val="VACRCbody-landscape"/>
        <w:rPr>
          <w:rFonts w:asciiTheme="minorHAnsi" w:eastAsia="Calibri" w:hAnsiTheme="minorHAnsi" w:cstheme="minorHAnsi"/>
        </w:rPr>
      </w:pPr>
      <w:r w:rsidRPr="00CB43F7">
        <w:rPr>
          <w:rFonts w:asciiTheme="minorHAnsi" w:eastAsia="Calibri" w:hAnsiTheme="minorHAnsi" w:cstheme="minorHAnsi"/>
        </w:rPr>
        <w:t xml:space="preserve">It should be noted that the availability of surge staff is dependent upon the availability of staff at the time of request, noting resources are not finite and will be prioritised by the </w:t>
      </w:r>
      <w:r w:rsidR="00626E0D" w:rsidRPr="00CB43F7">
        <w:rPr>
          <w:rFonts w:asciiTheme="minorHAnsi" w:eastAsia="Calibri" w:hAnsiTheme="minorHAnsi" w:cstheme="minorHAnsi"/>
        </w:rPr>
        <w:t>department</w:t>
      </w:r>
      <w:r w:rsidRPr="00CB43F7">
        <w:rPr>
          <w:rFonts w:asciiTheme="minorHAnsi" w:eastAsia="Calibri" w:hAnsiTheme="minorHAnsi" w:cstheme="minorHAnsi"/>
        </w:rPr>
        <w:t>. The</w:t>
      </w:r>
      <w:r w:rsidR="00626E0D" w:rsidRPr="00CB43F7">
        <w:rPr>
          <w:rFonts w:asciiTheme="minorHAnsi" w:eastAsia="Calibri" w:hAnsiTheme="minorHAnsi" w:cstheme="minorHAnsi"/>
        </w:rPr>
        <w:t xml:space="preserve"> d</w:t>
      </w:r>
      <w:r w:rsidRPr="00CB43F7">
        <w:rPr>
          <w:rFonts w:asciiTheme="minorHAnsi" w:eastAsia="Calibri" w:hAnsiTheme="minorHAnsi" w:cstheme="minorHAnsi"/>
        </w:rPr>
        <w:t xml:space="preserve">epartment’s prioritisation of resources will consider aspects such as the nature and severity of the outbreak as well as </w:t>
      </w:r>
      <w:r w:rsidR="00811532">
        <w:rPr>
          <w:rFonts w:asciiTheme="minorHAnsi" w:hAnsiTheme="minorHAnsi" w:cstheme="minorHAnsi"/>
        </w:rPr>
        <w:t>aged care homes</w:t>
      </w:r>
      <w:r w:rsidR="00811532" w:rsidRPr="002C6972">
        <w:rPr>
          <w:rFonts w:asciiTheme="minorHAnsi" w:hAnsiTheme="minorHAnsi" w:cstheme="minorHAnsi"/>
        </w:rPr>
        <w:t xml:space="preserve"> </w:t>
      </w:r>
      <w:r w:rsidRPr="00CB43F7">
        <w:rPr>
          <w:rFonts w:asciiTheme="minorHAnsi" w:eastAsia="Calibri" w:hAnsiTheme="minorHAnsi" w:cstheme="minorHAnsi"/>
        </w:rPr>
        <w:t>competency to safely self-manage (for example, stringent existing IPC and back-up workforce options in place already).</w:t>
      </w:r>
    </w:p>
    <w:p w14:paraId="55653192" w14:textId="558C0EC4" w:rsidR="00646D9B" w:rsidRPr="00CB43F7" w:rsidRDefault="00646D9B" w:rsidP="00561FC2">
      <w:pPr>
        <w:pStyle w:val="VACRCbody-landscape"/>
        <w:spacing w:after="160"/>
        <w:rPr>
          <w:rFonts w:asciiTheme="minorHAnsi" w:hAnsiTheme="minorHAnsi" w:cstheme="minorHAnsi"/>
        </w:rPr>
      </w:pPr>
      <w:r w:rsidRPr="00CB43F7">
        <w:rPr>
          <w:rFonts w:asciiTheme="minorHAnsi" w:hAnsiTheme="minorHAnsi" w:cstheme="minorHAnsi"/>
        </w:rPr>
        <w:t xml:space="preserve">Providers experiencing standalone influenza outbreaks will not be able to access surge workforce from the </w:t>
      </w:r>
      <w:r w:rsidR="00626E0D" w:rsidRPr="00CB43F7">
        <w:rPr>
          <w:rFonts w:asciiTheme="minorHAnsi" w:hAnsiTheme="minorHAnsi" w:cstheme="minorHAnsi"/>
        </w:rPr>
        <w:t xml:space="preserve">department </w:t>
      </w:r>
      <w:r w:rsidRPr="00CB43F7">
        <w:rPr>
          <w:rFonts w:asciiTheme="minorHAnsi" w:hAnsiTheme="minorHAnsi" w:cstheme="minorHAnsi"/>
        </w:rPr>
        <w:t>as the public health response to influenza outbreaks are more mature and do not impact the availability of workforce (as is the case with COVID-19 isolation requirements).</w:t>
      </w:r>
    </w:p>
    <w:p w14:paraId="40190F7A" w14:textId="77777777" w:rsidR="00CC73F7" w:rsidRPr="00CB43F7" w:rsidRDefault="00CC73F7" w:rsidP="001D7143">
      <w:pPr>
        <w:pStyle w:val="VACRCbody-landscape"/>
        <w:shd w:val="clear" w:color="auto" w:fill="FBE4D5"/>
        <w:rPr>
          <w:rFonts w:asciiTheme="minorHAnsi" w:hAnsiTheme="minorHAnsi" w:cstheme="minorHAnsi"/>
          <w:b/>
          <w:bCs/>
        </w:rPr>
      </w:pPr>
      <w:r w:rsidRPr="00CB43F7">
        <w:rPr>
          <w:rFonts w:asciiTheme="minorHAnsi" w:hAnsiTheme="minorHAnsi" w:cstheme="minorHAnsi"/>
          <w:b/>
          <w:bCs/>
        </w:rPr>
        <w:t>Provider considerations</w:t>
      </w:r>
    </w:p>
    <w:p w14:paraId="189E5E09" w14:textId="080CDFA8" w:rsidR="00CC73F7" w:rsidRPr="00CB43F7" w:rsidRDefault="00CC73F7" w:rsidP="001D7143">
      <w:pPr>
        <w:pStyle w:val="VACRCbody-landscape"/>
        <w:shd w:val="clear" w:color="auto" w:fill="FBE4D5"/>
        <w:rPr>
          <w:rFonts w:asciiTheme="minorHAnsi" w:hAnsiTheme="minorHAnsi" w:cstheme="minorHAnsi"/>
        </w:rPr>
      </w:pPr>
      <w:r w:rsidRPr="00CB43F7">
        <w:rPr>
          <w:rFonts w:asciiTheme="minorHAnsi" w:hAnsiTheme="minorHAnsi" w:cstheme="minorHAnsi"/>
        </w:rPr>
        <w:t xml:space="preserve">Enacting workforce planning is essential to ensure </w:t>
      </w:r>
      <w:r w:rsidR="00811532">
        <w:rPr>
          <w:rFonts w:asciiTheme="minorHAnsi" w:hAnsiTheme="minorHAnsi" w:cstheme="minorHAnsi"/>
        </w:rPr>
        <w:t>aged care homes</w:t>
      </w:r>
      <w:r w:rsidR="00811532" w:rsidRPr="002C6972">
        <w:rPr>
          <w:rFonts w:asciiTheme="minorHAnsi" w:hAnsiTheme="minorHAnsi" w:cstheme="minorHAnsi"/>
        </w:rPr>
        <w:t xml:space="preserve"> </w:t>
      </w:r>
      <w:r w:rsidRPr="00CB43F7">
        <w:rPr>
          <w:rFonts w:asciiTheme="minorHAnsi" w:hAnsiTheme="minorHAnsi" w:cstheme="minorHAnsi"/>
        </w:rPr>
        <w:t>can meet the immediate challenges of staffing the facility following the confirmation of an outbreak.</w:t>
      </w:r>
    </w:p>
    <w:p w14:paraId="68DA8343" w14:textId="4D3F489C" w:rsidR="00CC73F7" w:rsidRPr="00CB43F7" w:rsidRDefault="00811532" w:rsidP="001D7143">
      <w:pPr>
        <w:pStyle w:val="VACRCbody-landscape"/>
        <w:shd w:val="clear" w:color="auto" w:fill="FBE4D5"/>
        <w:rPr>
          <w:rFonts w:asciiTheme="minorHAnsi" w:hAnsiTheme="minorHAnsi" w:cstheme="minorHAnsi"/>
        </w:rPr>
      </w:pPr>
      <w:r>
        <w:rPr>
          <w:rFonts w:asciiTheme="minorHAnsi" w:hAnsiTheme="minorHAnsi" w:cstheme="minorHAnsi"/>
        </w:rPr>
        <w:t>Aged care homes</w:t>
      </w:r>
      <w:r w:rsidRPr="002C6972">
        <w:rPr>
          <w:rFonts w:asciiTheme="minorHAnsi" w:hAnsiTheme="minorHAnsi" w:cstheme="minorHAnsi"/>
        </w:rPr>
        <w:t xml:space="preserve"> </w:t>
      </w:r>
      <w:r w:rsidR="00CC73F7" w:rsidRPr="00CB43F7">
        <w:rPr>
          <w:rFonts w:asciiTheme="minorHAnsi" w:hAnsiTheme="minorHAnsi" w:cstheme="minorHAnsi"/>
        </w:rPr>
        <w:t xml:space="preserve">should consider the relevant work permissions and restrictions to apply (following agreed </w:t>
      </w:r>
      <w:hyperlink r:id="rId51" w:history="1">
        <w:r w:rsidR="00CC73F7" w:rsidRPr="00CB43F7">
          <w:rPr>
            <w:rFonts w:asciiTheme="minorHAnsi" w:hAnsiTheme="minorHAnsi" w:cstheme="minorHAnsi"/>
            <w:color w:val="0563C1"/>
          </w:rPr>
          <w:t>guidance</w:t>
        </w:r>
      </w:hyperlink>
      <w:r w:rsidR="00CC73F7" w:rsidRPr="00CB43F7">
        <w:rPr>
          <w:rFonts w:asciiTheme="minorHAnsi" w:hAnsiTheme="minorHAnsi" w:cstheme="minorHAnsi"/>
        </w:rPr>
        <w:t xml:space="preserve">) and work quickly to determine the nature of staff exposure or contact – adjusting rosters where required. To the greatest extent possible, staff should not work at secondary </w:t>
      </w:r>
      <w:r>
        <w:rPr>
          <w:rFonts w:asciiTheme="minorHAnsi" w:hAnsiTheme="minorHAnsi" w:cstheme="minorHAnsi"/>
        </w:rPr>
        <w:t>aged care homes</w:t>
      </w:r>
      <w:r w:rsidRPr="002C6972">
        <w:rPr>
          <w:rFonts w:asciiTheme="minorHAnsi" w:hAnsiTheme="minorHAnsi" w:cstheme="minorHAnsi"/>
        </w:rPr>
        <w:t xml:space="preserve"> </w:t>
      </w:r>
      <w:r w:rsidR="00CC73F7" w:rsidRPr="00CB43F7">
        <w:rPr>
          <w:rFonts w:asciiTheme="minorHAnsi" w:hAnsiTheme="minorHAnsi" w:cstheme="minorHAnsi"/>
        </w:rPr>
        <w:t xml:space="preserve">or locations whilst they are working at an outbreak/exposure site. </w:t>
      </w:r>
    </w:p>
    <w:p w14:paraId="21EA83B9" w14:textId="709A37CA" w:rsidR="00CC73F7" w:rsidRPr="00CB43F7" w:rsidRDefault="00811532" w:rsidP="001D7143">
      <w:pPr>
        <w:pStyle w:val="VACRCbody-landscape"/>
        <w:shd w:val="clear" w:color="auto" w:fill="FBE4D5"/>
        <w:rPr>
          <w:rFonts w:asciiTheme="minorHAnsi" w:hAnsiTheme="minorHAnsi" w:cstheme="minorHAnsi"/>
        </w:rPr>
      </w:pPr>
      <w:r>
        <w:rPr>
          <w:rFonts w:asciiTheme="minorHAnsi" w:hAnsiTheme="minorHAnsi" w:cstheme="minorHAnsi"/>
        </w:rPr>
        <w:t>Aged care homes</w:t>
      </w:r>
      <w:r w:rsidRPr="002C6972">
        <w:rPr>
          <w:rFonts w:asciiTheme="minorHAnsi" w:hAnsiTheme="minorHAnsi" w:cstheme="minorHAnsi"/>
        </w:rPr>
        <w:t xml:space="preserve"> </w:t>
      </w:r>
      <w:r w:rsidR="00CC73F7" w:rsidRPr="00CB43F7">
        <w:rPr>
          <w:rFonts w:asciiTheme="minorHAnsi" w:hAnsiTheme="minorHAnsi" w:cstheme="minorHAnsi"/>
        </w:rPr>
        <w:t>are strongly encouraged to consider:</w:t>
      </w:r>
    </w:p>
    <w:p w14:paraId="3CCC16A4" w14:textId="2F0E41F5" w:rsidR="00CC73F7" w:rsidRPr="00CB43F7" w:rsidRDefault="00CC73F7" w:rsidP="001707B8">
      <w:pPr>
        <w:pStyle w:val="VACRCbody-landscape"/>
        <w:numPr>
          <w:ilvl w:val="0"/>
          <w:numId w:val="27"/>
        </w:numPr>
        <w:shd w:val="clear" w:color="auto" w:fill="FBE4D5"/>
        <w:rPr>
          <w:rFonts w:asciiTheme="minorHAnsi" w:hAnsiTheme="minorHAnsi" w:cstheme="minorHAnsi"/>
        </w:rPr>
      </w:pPr>
      <w:r w:rsidRPr="00CB43F7">
        <w:rPr>
          <w:rFonts w:asciiTheme="minorHAnsi" w:hAnsiTheme="minorHAnsi" w:cstheme="minorHAnsi"/>
        </w:rPr>
        <w:t xml:space="preserve">limiting staff to </w:t>
      </w:r>
      <w:proofErr w:type="gramStart"/>
      <w:r w:rsidRPr="00CB43F7">
        <w:rPr>
          <w:rFonts w:asciiTheme="minorHAnsi" w:hAnsiTheme="minorHAnsi" w:cstheme="minorHAnsi"/>
        </w:rPr>
        <w:t>particular wards</w:t>
      </w:r>
      <w:proofErr w:type="gramEnd"/>
      <w:r w:rsidRPr="00CB43F7">
        <w:rPr>
          <w:rFonts w:asciiTheme="minorHAnsi" w:hAnsiTheme="minorHAnsi" w:cstheme="minorHAnsi"/>
        </w:rPr>
        <w:t xml:space="preserve"> and/or residents for the duration of the outbreak</w:t>
      </w:r>
    </w:p>
    <w:p w14:paraId="7C8D6186" w14:textId="51052959" w:rsidR="00CC73F7" w:rsidRPr="00CB43F7" w:rsidRDefault="00CC73F7" w:rsidP="001707B8">
      <w:pPr>
        <w:pStyle w:val="VACRCbody-landscape"/>
        <w:numPr>
          <w:ilvl w:val="0"/>
          <w:numId w:val="27"/>
        </w:numPr>
        <w:shd w:val="clear" w:color="auto" w:fill="FBE4D5"/>
        <w:rPr>
          <w:rFonts w:asciiTheme="minorHAnsi" w:hAnsiTheme="minorHAnsi" w:cstheme="minorHAnsi"/>
        </w:rPr>
      </w:pPr>
      <w:r w:rsidRPr="00CB43F7">
        <w:rPr>
          <w:rFonts w:asciiTheme="minorHAnsi" w:hAnsiTheme="minorHAnsi" w:cstheme="minorHAnsi"/>
        </w:rPr>
        <w:t>extending shift times to extend the limited workforce across the full roster whilst staff are furloughed</w:t>
      </w:r>
    </w:p>
    <w:p w14:paraId="1D435171" w14:textId="56E34A9D" w:rsidR="00CC73F7" w:rsidRPr="00646D9B" w:rsidRDefault="00CC73F7" w:rsidP="00561FC2">
      <w:pPr>
        <w:pStyle w:val="VACRCbody-landscape"/>
        <w:numPr>
          <w:ilvl w:val="0"/>
          <w:numId w:val="27"/>
        </w:numPr>
        <w:shd w:val="clear" w:color="auto" w:fill="FBE4D5"/>
        <w:spacing w:after="160"/>
        <w:ind w:left="714" w:hanging="357"/>
      </w:pPr>
      <w:r w:rsidRPr="00CB43F7">
        <w:rPr>
          <w:rFonts w:asciiTheme="minorHAnsi" w:hAnsiTheme="minorHAnsi" w:cstheme="minorHAnsi"/>
        </w:rPr>
        <w:t>utilising furloughed staff for corporate, communication or other functions.</w:t>
      </w:r>
    </w:p>
    <w:p w14:paraId="14A5E8E2" w14:textId="50D31ACD" w:rsidR="00646D9B" w:rsidRPr="00CB43F7" w:rsidRDefault="00646D9B" w:rsidP="00A006F2">
      <w:pPr>
        <w:keepNext/>
        <w:keepLines/>
        <w:spacing w:before="120" w:after="120" w:line="250" w:lineRule="atLeast"/>
        <w:outlineLvl w:val="1"/>
        <w:rPr>
          <w:rFonts w:ascii="Arial Nova" w:hAnsi="Arial Nova"/>
          <w:b/>
          <w:color w:val="EB701D"/>
          <w:sz w:val="32"/>
          <w:szCs w:val="32"/>
        </w:rPr>
      </w:pPr>
      <w:bookmarkStart w:id="116" w:name="_Toc102482460"/>
      <w:bookmarkStart w:id="117" w:name="_Toc104459166"/>
      <w:bookmarkStart w:id="118" w:name="_Toc108624584"/>
      <w:r w:rsidRPr="00646D9B">
        <w:rPr>
          <w:rFonts w:ascii="Arial Nova" w:hAnsi="Arial Nova"/>
          <w:b/>
          <w:color w:val="EB701D"/>
          <w:sz w:val="32"/>
          <w:szCs w:val="32"/>
        </w:rPr>
        <w:t>Communication processes</w:t>
      </w:r>
      <w:bookmarkEnd w:id="116"/>
      <w:bookmarkEnd w:id="117"/>
      <w:bookmarkEnd w:id="118"/>
    </w:p>
    <w:p w14:paraId="32DC0960" w14:textId="00AD93CE" w:rsidR="00646D9B" w:rsidRPr="00967B8E" w:rsidRDefault="00646D9B" w:rsidP="00561FC2">
      <w:pPr>
        <w:pStyle w:val="VACRCbody-landscape"/>
        <w:spacing w:after="160"/>
        <w:rPr>
          <w:rFonts w:asciiTheme="minorHAnsi" w:eastAsia="Calibri" w:hAnsiTheme="minorHAnsi" w:cstheme="minorHAnsi"/>
          <w:color w:val="0563C1"/>
        </w:rPr>
      </w:pPr>
      <w:r w:rsidRPr="00967B8E">
        <w:rPr>
          <w:rFonts w:asciiTheme="minorHAnsi" w:hAnsiTheme="minorHAnsi" w:cstheme="minorHAnsi"/>
        </w:rPr>
        <w:t xml:space="preserve">In the event of an outbreak or confirmed cases, aged care providers should initiate their communication plan as necessary. The </w:t>
      </w:r>
      <w:hyperlink r:id="rId52" w:history="1">
        <w:r w:rsidRPr="00967B8E">
          <w:rPr>
            <w:rFonts w:asciiTheme="minorHAnsi" w:hAnsiTheme="minorHAnsi" w:cstheme="minorHAnsi"/>
            <w:color w:val="0563C1"/>
          </w:rPr>
          <w:t>Older Persons Advocacy Network (OPAN)</w:t>
        </w:r>
      </w:hyperlink>
      <w:r w:rsidRPr="00967B8E">
        <w:rPr>
          <w:rFonts w:asciiTheme="minorHAnsi" w:hAnsiTheme="minorHAnsi" w:cstheme="minorHAnsi"/>
        </w:rPr>
        <w:t xml:space="preserve"> offers guidance and assistance for providers in communicating with both residents and families during (and following) an outbreak. More information is available at:</w:t>
      </w:r>
      <w:r w:rsidR="00CB43F7" w:rsidRPr="00967B8E">
        <w:rPr>
          <w:rFonts w:asciiTheme="minorHAnsi" w:hAnsiTheme="minorHAnsi" w:cstheme="minorHAnsi"/>
        </w:rPr>
        <w:t xml:space="preserve"> </w:t>
      </w:r>
      <w:hyperlink r:id="rId53" w:history="1">
        <w:r w:rsidRPr="00967B8E">
          <w:rPr>
            <w:rFonts w:asciiTheme="minorHAnsi" w:eastAsia="Calibri" w:hAnsiTheme="minorHAnsi" w:cstheme="minorHAnsi"/>
            <w:color w:val="0563C1"/>
          </w:rPr>
          <w:t>National COVID-19 Residential Aged Care Emergency Communication Guide</w:t>
        </w:r>
      </w:hyperlink>
      <w:r w:rsidR="002C6972" w:rsidRPr="00967B8E">
        <w:rPr>
          <w:rFonts w:asciiTheme="minorHAnsi" w:eastAsia="Calibri" w:hAnsiTheme="minorHAnsi" w:cstheme="minorHAnsi"/>
          <w:color w:val="0563C1"/>
        </w:rPr>
        <w:t>.</w:t>
      </w:r>
    </w:p>
    <w:p w14:paraId="33D2301B" w14:textId="77777777" w:rsidR="00811532" w:rsidRDefault="00811532">
      <w:pPr>
        <w:rPr>
          <w:rFonts w:asciiTheme="minorHAnsi" w:eastAsia="Times" w:hAnsiTheme="minorHAnsi" w:cstheme="minorHAnsi"/>
          <w:b/>
          <w:bCs/>
          <w:sz w:val="22"/>
        </w:rPr>
      </w:pPr>
      <w:r>
        <w:rPr>
          <w:rFonts w:asciiTheme="minorHAnsi" w:hAnsiTheme="minorHAnsi" w:cstheme="minorHAnsi"/>
          <w:b/>
          <w:bCs/>
        </w:rPr>
        <w:br w:type="page"/>
      </w:r>
    </w:p>
    <w:p w14:paraId="1B0C82B8" w14:textId="5A4C1518" w:rsidR="00CC73F7" w:rsidRPr="00CB43F7" w:rsidRDefault="00CC73F7" w:rsidP="001D7143">
      <w:pPr>
        <w:pStyle w:val="VACRCbody-landscape"/>
        <w:shd w:val="clear" w:color="auto" w:fill="FBE4D5"/>
        <w:rPr>
          <w:rFonts w:asciiTheme="minorHAnsi" w:hAnsiTheme="minorHAnsi" w:cstheme="minorHAnsi"/>
          <w:b/>
          <w:bCs/>
        </w:rPr>
      </w:pPr>
      <w:r w:rsidRPr="00CB43F7">
        <w:rPr>
          <w:rFonts w:asciiTheme="minorHAnsi" w:hAnsiTheme="minorHAnsi" w:cstheme="minorHAnsi"/>
          <w:b/>
          <w:bCs/>
        </w:rPr>
        <w:lastRenderedPageBreak/>
        <w:t>Provider considerations</w:t>
      </w:r>
    </w:p>
    <w:p w14:paraId="49FF9FDD" w14:textId="77777777" w:rsidR="00CC73F7" w:rsidRPr="00CB43F7" w:rsidRDefault="00CC73F7" w:rsidP="001D7143">
      <w:pPr>
        <w:pStyle w:val="VACRCbody-landscape"/>
        <w:shd w:val="clear" w:color="auto" w:fill="FBE4D5"/>
        <w:rPr>
          <w:rFonts w:asciiTheme="minorHAnsi" w:hAnsiTheme="minorHAnsi" w:cstheme="minorHAnsi"/>
        </w:rPr>
      </w:pPr>
      <w:r w:rsidRPr="00CB43F7">
        <w:rPr>
          <w:rFonts w:asciiTheme="minorHAnsi" w:hAnsiTheme="minorHAnsi" w:cstheme="minorHAnsi"/>
        </w:rPr>
        <w:t xml:space="preserve">In the event of a COVID-19 outbreak, providers should consult the national </w:t>
      </w:r>
      <w:hyperlink r:id="rId54" w:history="1">
        <w:r w:rsidRPr="00CB43F7">
          <w:rPr>
            <w:rFonts w:asciiTheme="minorHAnsi" w:hAnsiTheme="minorHAnsi" w:cstheme="minorHAnsi"/>
            <w:color w:val="0563C1"/>
          </w:rPr>
          <w:t>communication guide</w:t>
        </w:r>
      </w:hyperlink>
      <w:r w:rsidRPr="00CB43F7">
        <w:rPr>
          <w:rFonts w:asciiTheme="minorHAnsi" w:hAnsiTheme="minorHAnsi" w:cstheme="minorHAnsi"/>
          <w:color w:val="0563C1"/>
        </w:rPr>
        <w:t xml:space="preserve"> </w:t>
      </w:r>
      <w:r w:rsidRPr="00CB43F7">
        <w:rPr>
          <w:rFonts w:asciiTheme="minorHAnsi" w:hAnsiTheme="minorHAnsi" w:cstheme="minorHAnsi"/>
        </w:rPr>
        <w:t xml:space="preserve">for advice on how to provide updates to residents and their families. </w:t>
      </w:r>
    </w:p>
    <w:p w14:paraId="7FBDBAFA" w14:textId="6EA4C503" w:rsidR="00CC73F7" w:rsidRPr="00CB43F7" w:rsidRDefault="00CC73F7" w:rsidP="001D7143">
      <w:pPr>
        <w:pStyle w:val="VACRCbody-landscape"/>
        <w:shd w:val="clear" w:color="auto" w:fill="FBE4D5"/>
        <w:rPr>
          <w:rFonts w:asciiTheme="minorHAnsi" w:eastAsia="Calibri" w:hAnsiTheme="minorHAnsi" w:cstheme="minorHAnsi"/>
        </w:rPr>
      </w:pPr>
      <w:r w:rsidRPr="00CB43F7">
        <w:rPr>
          <w:rFonts w:asciiTheme="minorHAnsi" w:hAnsiTheme="minorHAnsi" w:cstheme="minorHAnsi"/>
        </w:rPr>
        <w:t>In the event of an Influenza outbreak, the normal communication process applies.</w:t>
      </w:r>
    </w:p>
    <w:p w14:paraId="3529A1F1" w14:textId="77777777" w:rsidR="00646D9B" w:rsidRPr="00646D9B" w:rsidRDefault="00646D9B" w:rsidP="00A006F2">
      <w:pPr>
        <w:keepNext/>
        <w:keepLines/>
        <w:spacing w:before="120" w:after="120" w:line="250" w:lineRule="atLeast"/>
        <w:outlineLvl w:val="1"/>
        <w:rPr>
          <w:rFonts w:ascii="Arial Nova" w:hAnsi="Arial Nova"/>
          <w:b/>
          <w:color w:val="EB701D"/>
          <w:sz w:val="32"/>
          <w:szCs w:val="32"/>
        </w:rPr>
      </w:pPr>
      <w:bookmarkStart w:id="119" w:name="_Communication_processes"/>
      <w:bookmarkStart w:id="120" w:name="_Toc101419774"/>
      <w:bookmarkStart w:id="121" w:name="_Toc101539852"/>
      <w:bookmarkStart w:id="122" w:name="_Toc102482461"/>
      <w:bookmarkStart w:id="123" w:name="_Toc104459167"/>
      <w:bookmarkStart w:id="124" w:name="_Toc108624585"/>
      <w:bookmarkEnd w:id="119"/>
      <w:r w:rsidRPr="00646D9B">
        <w:rPr>
          <w:rFonts w:ascii="Arial Nova" w:hAnsi="Arial Nova"/>
          <w:b/>
          <w:color w:val="EB701D"/>
          <w:sz w:val="32"/>
          <w:szCs w:val="32"/>
        </w:rPr>
        <w:t>Maintaining physical, social, mental and emotional health and wellbeing</w:t>
      </w:r>
      <w:bookmarkEnd w:id="120"/>
      <w:bookmarkEnd w:id="121"/>
      <w:bookmarkEnd w:id="122"/>
      <w:bookmarkEnd w:id="123"/>
      <w:bookmarkEnd w:id="124"/>
    </w:p>
    <w:p w14:paraId="1936652F" w14:textId="77777777" w:rsidR="00646D9B" w:rsidRPr="00CB43F7" w:rsidRDefault="00646D9B" w:rsidP="00561FC2">
      <w:pPr>
        <w:spacing w:after="120" w:line="250" w:lineRule="atLeast"/>
        <w:rPr>
          <w:rFonts w:asciiTheme="minorHAnsi" w:hAnsiTheme="minorHAnsi" w:cstheme="minorHAnsi"/>
          <w:sz w:val="22"/>
          <w:szCs w:val="22"/>
        </w:rPr>
      </w:pPr>
      <w:r w:rsidRPr="00CB43F7">
        <w:rPr>
          <w:rFonts w:asciiTheme="minorHAnsi" w:hAnsiTheme="minorHAnsi" w:cstheme="minorHAnsi"/>
          <w:sz w:val="22"/>
          <w:szCs w:val="22"/>
        </w:rPr>
        <w:t>Aged care providers need to balance their responsibilities in managing outbreaks of infectious diseases with their responsibilities for meeting physical, social and emotional needs and supporting choice and quality of life.</w:t>
      </w:r>
    </w:p>
    <w:p w14:paraId="56D46C41" w14:textId="77777777" w:rsidR="00646D9B" w:rsidRPr="00CB43F7" w:rsidRDefault="00646D9B" w:rsidP="00CB43F7">
      <w:pPr>
        <w:keepNext/>
        <w:keepLines/>
        <w:spacing w:before="120" w:after="120" w:line="240" w:lineRule="atLeast"/>
        <w:outlineLvl w:val="2"/>
        <w:rPr>
          <w:rFonts w:ascii="Arial Nova" w:hAnsi="Arial Nova"/>
          <w:i/>
          <w:iCs/>
          <w:color w:val="EB701D"/>
          <w:sz w:val="28"/>
          <w:szCs w:val="24"/>
        </w:rPr>
      </w:pPr>
      <w:bookmarkStart w:id="125" w:name="_Maintaining_delivery_of"/>
      <w:bookmarkStart w:id="126" w:name="_Toc101419775"/>
      <w:bookmarkStart w:id="127" w:name="_Toc102482462"/>
      <w:bookmarkStart w:id="128" w:name="_Toc104459168"/>
      <w:bookmarkStart w:id="129" w:name="_Toc108624586"/>
      <w:bookmarkEnd w:id="125"/>
      <w:r w:rsidRPr="00CB43F7">
        <w:rPr>
          <w:rFonts w:ascii="Arial Nova" w:hAnsi="Arial Nova"/>
          <w:i/>
          <w:iCs/>
          <w:color w:val="EB701D"/>
          <w:sz w:val="28"/>
          <w:szCs w:val="24"/>
        </w:rPr>
        <w:t>Maintaining delivery</w:t>
      </w:r>
      <w:bookmarkEnd w:id="126"/>
      <w:r w:rsidRPr="00CB43F7">
        <w:rPr>
          <w:rFonts w:ascii="Arial Nova" w:hAnsi="Arial Nova"/>
          <w:i/>
          <w:iCs/>
          <w:color w:val="EB701D"/>
          <w:sz w:val="28"/>
          <w:szCs w:val="24"/>
        </w:rPr>
        <w:t xml:space="preserve"> of care</w:t>
      </w:r>
      <w:bookmarkEnd w:id="127"/>
      <w:bookmarkEnd w:id="128"/>
      <w:bookmarkEnd w:id="129"/>
    </w:p>
    <w:p w14:paraId="78BA7A19" w14:textId="0BCD6DDA" w:rsidR="00646D9B" w:rsidRPr="00CB43F7" w:rsidRDefault="00646D9B" w:rsidP="001D7143">
      <w:pPr>
        <w:pStyle w:val="VACRCbody-landscape"/>
        <w:rPr>
          <w:rFonts w:asciiTheme="minorHAnsi" w:eastAsia="Calibri" w:hAnsiTheme="minorHAnsi" w:cstheme="minorHAnsi"/>
        </w:rPr>
      </w:pPr>
      <w:r w:rsidRPr="00CB43F7">
        <w:rPr>
          <w:rFonts w:asciiTheme="minorHAnsi" w:hAnsiTheme="minorHAnsi" w:cstheme="minorHAnsi"/>
        </w:rPr>
        <w:t xml:space="preserve">It is important that resident wellbeing continues to be supported during an outbreak, including maintaining the delivery of usual care and supports, facilitating safe visitation and ensuring access to services such as primary care and allied health. This acknowledges the detrimental impacts for residents linked to prolonged social isolation due to extended lockdowns. </w:t>
      </w:r>
      <w:r w:rsidRPr="00CB43F7">
        <w:rPr>
          <w:rFonts w:asciiTheme="minorHAnsi" w:eastAsia="Calibri" w:hAnsiTheme="minorHAnsi" w:cstheme="minorHAnsi"/>
        </w:rPr>
        <w:t xml:space="preserve">A range of guidance and supports are available on the </w:t>
      </w:r>
      <w:hyperlink r:id="rId55" w:anchor="responding-to-an-outbreak" w:history="1">
        <w:r w:rsidR="00F121EA" w:rsidRPr="00967B8E">
          <w:rPr>
            <w:rFonts w:asciiTheme="minorHAnsi" w:eastAsia="Calibri" w:hAnsiTheme="minorHAnsi" w:cstheme="minorHAnsi"/>
            <w:color w:val="0563C1"/>
          </w:rPr>
          <w:t>department</w:t>
        </w:r>
        <w:r w:rsidRPr="00967B8E">
          <w:rPr>
            <w:rFonts w:asciiTheme="minorHAnsi" w:eastAsia="Calibri" w:hAnsiTheme="minorHAnsi" w:cstheme="minorHAnsi"/>
            <w:color w:val="0563C1"/>
          </w:rPr>
          <w:t>’s website</w:t>
        </w:r>
      </w:hyperlink>
      <w:r w:rsidRPr="00CB43F7">
        <w:rPr>
          <w:rFonts w:asciiTheme="minorHAnsi" w:eastAsia="Calibri" w:hAnsiTheme="minorHAnsi" w:cstheme="minorHAnsi"/>
        </w:rPr>
        <w:t xml:space="preserve"> to assist providers in their self-management of outbreaks.</w:t>
      </w:r>
    </w:p>
    <w:p w14:paraId="1B1A8103" w14:textId="77777777" w:rsidR="00646D9B" w:rsidRPr="00CB43F7" w:rsidRDefault="00646D9B" w:rsidP="001D7143">
      <w:pPr>
        <w:pStyle w:val="VACRCbody-landscape"/>
        <w:rPr>
          <w:rFonts w:asciiTheme="minorHAnsi" w:hAnsiTheme="minorHAnsi" w:cstheme="minorHAnsi"/>
        </w:rPr>
      </w:pPr>
      <w:r w:rsidRPr="00CB43F7">
        <w:rPr>
          <w:rFonts w:asciiTheme="minorHAnsi" w:hAnsiTheme="minorHAnsi" w:cstheme="minorHAnsi"/>
        </w:rPr>
        <w:t>Primary care and other healthcare providers should continue to provide services to residents to ensure that appropriate care and treatment is delivered in a timely manner. Even mild COVID-19 may impact on other health conditions and a holistic approach to clinical care is required. Aged care providers should work with primary and allied care providers to ensure that any deferred health care (including preventive care such as screening) is progressed and provided.</w:t>
      </w:r>
    </w:p>
    <w:p w14:paraId="62D3FFAB" w14:textId="62FBF63F" w:rsidR="00646D9B" w:rsidRPr="00CB43F7" w:rsidRDefault="00646D9B" w:rsidP="001D7143">
      <w:pPr>
        <w:pStyle w:val="VACRCbody-landscape"/>
        <w:rPr>
          <w:rFonts w:asciiTheme="minorHAnsi" w:hAnsiTheme="minorHAnsi" w:cstheme="minorHAnsi"/>
        </w:rPr>
      </w:pPr>
      <w:r w:rsidRPr="00CB43F7">
        <w:rPr>
          <w:rFonts w:asciiTheme="minorHAnsi" w:hAnsiTheme="minorHAnsi" w:cstheme="minorHAnsi"/>
        </w:rPr>
        <w:t>PHNs have adapted existing COVID-19 Community Care Pathways to ensure measures are in place for medically and socially vulnerable groups.</w:t>
      </w:r>
    </w:p>
    <w:p w14:paraId="7A042A12" w14:textId="77AEBA79" w:rsidR="00646D9B" w:rsidRPr="00967B8E" w:rsidRDefault="00646D9B" w:rsidP="001D7143">
      <w:pPr>
        <w:pStyle w:val="VACRCbody-landscape"/>
        <w:rPr>
          <w:rFonts w:asciiTheme="minorHAnsi" w:eastAsia="Calibri" w:hAnsiTheme="minorHAnsi" w:cstheme="minorHAnsi"/>
        </w:rPr>
      </w:pPr>
      <w:r w:rsidRPr="00CB43F7">
        <w:rPr>
          <w:rFonts w:asciiTheme="minorHAnsi" w:eastAsia="Calibri" w:hAnsiTheme="minorHAnsi" w:cstheme="minorHAnsi"/>
        </w:rPr>
        <w:t>All personal care and health services should continue when someone is in quarantine or isolation unless otherwise specified under state or territory public health orders. Home care providers can contact the</w:t>
      </w:r>
      <w:r w:rsidR="001D7143" w:rsidRPr="00CB43F7">
        <w:rPr>
          <w:rFonts w:asciiTheme="minorHAnsi" w:eastAsia="Calibri" w:hAnsiTheme="minorHAnsi" w:cstheme="minorHAnsi"/>
        </w:rPr>
        <w:t xml:space="preserve"> </w:t>
      </w:r>
      <w:hyperlink r:id="rId56" w:history="1">
        <w:r w:rsidRPr="00967B8E">
          <w:rPr>
            <w:rFonts w:asciiTheme="minorHAnsi" w:eastAsia="Calibri" w:hAnsiTheme="minorHAnsi" w:cstheme="minorHAnsi"/>
            <w:color w:val="0563C1"/>
          </w:rPr>
          <w:t>local PHU</w:t>
        </w:r>
      </w:hyperlink>
      <w:r w:rsidR="001D7143" w:rsidRPr="00967B8E">
        <w:rPr>
          <w:rFonts w:asciiTheme="minorHAnsi" w:eastAsia="Calibri" w:hAnsiTheme="minorHAnsi" w:cstheme="minorHAnsi"/>
          <w:color w:val="0563C1"/>
        </w:rPr>
        <w:t xml:space="preserve"> </w:t>
      </w:r>
      <w:r w:rsidRPr="00967B8E">
        <w:rPr>
          <w:rFonts w:asciiTheme="minorHAnsi" w:eastAsia="Calibri" w:hAnsiTheme="minorHAnsi" w:cstheme="minorHAnsi"/>
        </w:rPr>
        <w:t>for specific advice or go to the</w:t>
      </w:r>
      <w:r w:rsidR="00660BCA" w:rsidRPr="00967B8E">
        <w:rPr>
          <w:rFonts w:asciiTheme="minorHAnsi" w:eastAsia="Calibri" w:hAnsiTheme="minorHAnsi" w:cstheme="minorHAnsi"/>
        </w:rPr>
        <w:t xml:space="preserve"> </w:t>
      </w:r>
      <w:hyperlink r:id="rId57" w:history="1">
        <w:r w:rsidRPr="00967B8E">
          <w:rPr>
            <w:rFonts w:asciiTheme="minorHAnsi" w:eastAsia="Calibri" w:hAnsiTheme="minorHAnsi" w:cstheme="minorHAnsi"/>
            <w:color w:val="0563C1"/>
          </w:rPr>
          <w:t>relevant state or territory website</w:t>
        </w:r>
      </w:hyperlink>
      <w:r w:rsidRPr="00967B8E">
        <w:rPr>
          <w:rFonts w:asciiTheme="minorHAnsi" w:eastAsia="Calibri" w:hAnsiTheme="minorHAnsi" w:cstheme="minorHAnsi"/>
        </w:rPr>
        <w:t>.</w:t>
      </w:r>
    </w:p>
    <w:p w14:paraId="0CCEE469" w14:textId="0A606BCD" w:rsidR="00646D9B" w:rsidRPr="00967B8E" w:rsidRDefault="00646D9B" w:rsidP="001D7143">
      <w:pPr>
        <w:pStyle w:val="VACRCbody-landscape"/>
        <w:rPr>
          <w:rFonts w:asciiTheme="minorHAnsi" w:eastAsia="Calibri" w:hAnsiTheme="minorHAnsi" w:cstheme="minorHAnsi"/>
        </w:rPr>
      </w:pPr>
      <w:r w:rsidRPr="00967B8E">
        <w:rPr>
          <w:rFonts w:asciiTheme="minorHAnsi" w:eastAsia="Calibri" w:hAnsiTheme="minorHAnsi" w:cstheme="minorHAnsi"/>
        </w:rPr>
        <w:t xml:space="preserve">Home care providers should have an </w:t>
      </w:r>
      <w:hyperlink r:id="rId58" w:anchor="emergency-care-plans" w:history="1">
        <w:r w:rsidRPr="00967B8E">
          <w:rPr>
            <w:rFonts w:asciiTheme="minorHAnsi" w:eastAsia="Calibri" w:hAnsiTheme="minorHAnsi" w:cstheme="minorHAnsi"/>
            <w:color w:val="0563C1"/>
          </w:rPr>
          <w:t>emergency care plan</w:t>
        </w:r>
      </w:hyperlink>
      <w:r w:rsidRPr="00967B8E">
        <w:rPr>
          <w:rFonts w:asciiTheme="minorHAnsi" w:eastAsia="Calibri" w:hAnsiTheme="minorHAnsi" w:cstheme="minorHAnsi"/>
        </w:rPr>
        <w:t xml:space="preserve"> for each care recipient. This can include alternative models of delivery and should include alternative care arrangements if required.</w:t>
      </w:r>
    </w:p>
    <w:p w14:paraId="781D4AF6" w14:textId="30145584" w:rsidR="00646D9B" w:rsidRPr="00CB43F7" w:rsidRDefault="00646D9B" w:rsidP="00CB43F7">
      <w:pPr>
        <w:keepNext/>
        <w:keepLines/>
        <w:spacing w:before="120" w:after="120" w:line="240" w:lineRule="atLeast"/>
        <w:outlineLvl w:val="2"/>
        <w:rPr>
          <w:rFonts w:ascii="Arial Nova" w:hAnsi="Arial Nova"/>
          <w:i/>
          <w:iCs/>
          <w:color w:val="EB701D"/>
          <w:sz w:val="28"/>
          <w:szCs w:val="24"/>
        </w:rPr>
      </w:pPr>
      <w:bookmarkStart w:id="130" w:name="_Visitation"/>
      <w:bookmarkStart w:id="131" w:name="_Toc101539853"/>
      <w:bookmarkStart w:id="132" w:name="_Toc102482463"/>
      <w:bookmarkStart w:id="133" w:name="_Toc104459169"/>
      <w:bookmarkStart w:id="134" w:name="_Toc101419777"/>
      <w:bookmarkStart w:id="135" w:name="_Toc108624587"/>
      <w:bookmarkEnd w:id="130"/>
      <w:r w:rsidRPr="00CB43F7">
        <w:rPr>
          <w:rFonts w:ascii="Arial Nova" w:hAnsi="Arial Nova"/>
          <w:i/>
          <w:iCs/>
          <w:color w:val="EB701D"/>
          <w:sz w:val="28"/>
          <w:szCs w:val="24"/>
        </w:rPr>
        <w:t>Visitation</w:t>
      </w:r>
      <w:bookmarkEnd w:id="131"/>
      <w:bookmarkEnd w:id="132"/>
      <w:bookmarkEnd w:id="133"/>
      <w:bookmarkEnd w:id="134"/>
      <w:bookmarkEnd w:id="135"/>
    </w:p>
    <w:p w14:paraId="16D1AFC3" w14:textId="17216BB8" w:rsidR="00646D9B" w:rsidRPr="00CB43F7" w:rsidRDefault="00646D9B" w:rsidP="001D7143">
      <w:pPr>
        <w:pStyle w:val="VACRCbody-landscape"/>
        <w:rPr>
          <w:rFonts w:asciiTheme="minorHAnsi" w:hAnsiTheme="minorHAnsi" w:cstheme="minorHAnsi"/>
        </w:rPr>
      </w:pPr>
      <w:r w:rsidRPr="00CB43F7">
        <w:rPr>
          <w:rFonts w:asciiTheme="minorHAnsi" w:hAnsiTheme="minorHAnsi" w:cstheme="minorHAnsi"/>
        </w:rPr>
        <w:t>Maintained access to visitors is vital to ensuring residents’ wellbeing is maintained. Providers should plan how existing visitation arrangements may need to be altered (or additional, innovative visitation arrangements introduced) when there is an escalated level of infection risk, to ensure safe visitation can continue.</w:t>
      </w:r>
    </w:p>
    <w:p w14:paraId="05509101" w14:textId="782E1F3F" w:rsidR="00646D9B" w:rsidRPr="00967B8E" w:rsidRDefault="00646D9B" w:rsidP="001D7143">
      <w:pPr>
        <w:pStyle w:val="VACRCbody-landscape"/>
        <w:rPr>
          <w:rFonts w:asciiTheme="minorHAnsi" w:hAnsiTheme="minorHAnsi" w:cstheme="minorHAnsi"/>
        </w:rPr>
      </w:pPr>
      <w:r w:rsidRPr="00CB43F7">
        <w:rPr>
          <w:rFonts w:asciiTheme="minorHAnsi" w:hAnsiTheme="minorHAnsi" w:cstheme="minorHAnsi"/>
        </w:rPr>
        <w:t xml:space="preserve">In the event of an outbreak, each aged care facility is responsible for applying the least restrictive isolation requirements on residents as possible and making sure that all residents can have access to at least one Essential Visitor, as outlined in the </w:t>
      </w:r>
      <w:hyperlink r:id="rId59" w:history="1">
        <w:r w:rsidRPr="00967B8E">
          <w:rPr>
            <w:rFonts w:asciiTheme="minorHAnsi" w:hAnsiTheme="minorHAnsi" w:cstheme="minorHAnsi"/>
            <w:color w:val="0563C1"/>
          </w:rPr>
          <w:t>Interim Guidance on Managing Public Health Restrictions on Residential Aged Care Facilities</w:t>
        </w:r>
      </w:hyperlink>
      <w:r w:rsidRPr="00967B8E">
        <w:rPr>
          <w:rFonts w:asciiTheme="minorHAnsi" w:hAnsiTheme="minorHAnsi" w:cstheme="minorHAnsi"/>
        </w:rPr>
        <w:t>. This can include volunteers.</w:t>
      </w:r>
    </w:p>
    <w:p w14:paraId="7ED77993" w14:textId="1C71B6F0" w:rsidR="00646D9B" w:rsidRPr="00967B8E" w:rsidRDefault="00646D9B" w:rsidP="001D7143">
      <w:pPr>
        <w:pStyle w:val="VACRCbody-landscape"/>
        <w:rPr>
          <w:rFonts w:asciiTheme="minorHAnsi" w:hAnsiTheme="minorHAnsi" w:cstheme="minorHAnsi"/>
        </w:rPr>
      </w:pPr>
      <w:r w:rsidRPr="00967B8E">
        <w:rPr>
          <w:rFonts w:asciiTheme="minorHAnsi" w:hAnsiTheme="minorHAnsi" w:cstheme="minorHAnsi"/>
        </w:rPr>
        <w:t xml:space="preserve">The </w:t>
      </w:r>
      <w:hyperlink r:id="rId60" w:history="1">
        <w:r w:rsidRPr="00967B8E">
          <w:rPr>
            <w:rFonts w:asciiTheme="minorHAnsi" w:hAnsiTheme="minorHAnsi" w:cstheme="minorHAnsi"/>
            <w:color w:val="0563C1"/>
          </w:rPr>
          <w:t>Industry Code for Visiting in Aged Care Homes</w:t>
        </w:r>
      </w:hyperlink>
      <w:r w:rsidRPr="00967B8E">
        <w:rPr>
          <w:rFonts w:asciiTheme="minorHAnsi" w:hAnsiTheme="minorHAnsi" w:cstheme="minorHAnsi"/>
        </w:rPr>
        <w:t xml:space="preserve"> also offers practical advice to help guide provider decision making across different levels of infection risk.</w:t>
      </w:r>
    </w:p>
    <w:p w14:paraId="5D88336A" w14:textId="675B4694" w:rsidR="002C6972" w:rsidRPr="00967B8E" w:rsidRDefault="00646D9B" w:rsidP="001D7143">
      <w:pPr>
        <w:pStyle w:val="VACRCbody-landscape"/>
        <w:rPr>
          <w:rFonts w:asciiTheme="minorHAnsi" w:hAnsiTheme="minorHAnsi" w:cstheme="minorHAnsi"/>
        </w:rPr>
      </w:pPr>
      <w:r w:rsidRPr="00967B8E">
        <w:rPr>
          <w:rFonts w:asciiTheme="minorHAnsi" w:hAnsiTheme="minorHAnsi" w:cstheme="minorHAnsi"/>
        </w:rPr>
        <w:t xml:space="preserve">Further, as advised in the recent </w:t>
      </w:r>
      <w:hyperlink r:id="rId61" w:history="1">
        <w:r w:rsidRPr="00967B8E">
          <w:rPr>
            <w:rFonts w:asciiTheme="minorHAnsi" w:hAnsiTheme="minorHAnsi" w:cstheme="minorHAnsi"/>
            <w:color w:val="0563C1"/>
          </w:rPr>
          <w:t>statement on visitation</w:t>
        </w:r>
      </w:hyperlink>
      <w:r w:rsidRPr="00967B8E">
        <w:rPr>
          <w:rFonts w:asciiTheme="minorHAnsi" w:hAnsiTheme="minorHAnsi" w:cstheme="minorHAnsi"/>
        </w:rPr>
        <w:t xml:space="preserve"> from the Aged Care Quality and Safety Commission, aged care </w:t>
      </w:r>
      <w:r w:rsidR="00811532">
        <w:rPr>
          <w:rFonts w:asciiTheme="minorHAnsi" w:hAnsiTheme="minorHAnsi" w:cstheme="minorHAnsi"/>
        </w:rPr>
        <w:t>homes</w:t>
      </w:r>
      <w:r w:rsidR="00811532" w:rsidRPr="00967B8E">
        <w:rPr>
          <w:rFonts w:asciiTheme="minorHAnsi" w:hAnsiTheme="minorHAnsi" w:cstheme="minorHAnsi"/>
        </w:rPr>
        <w:t xml:space="preserve"> </w:t>
      </w:r>
      <w:r w:rsidRPr="00967B8E">
        <w:rPr>
          <w:rFonts w:asciiTheme="minorHAnsi" w:hAnsiTheme="minorHAnsi" w:cstheme="minorHAnsi"/>
        </w:rPr>
        <w:t xml:space="preserve">should engage proactively (in advance of any COVID-19 exposure or outbreak) with residents and their representatives to identify the people considered to be essential visitors for each resident. This includes </w:t>
      </w:r>
      <w:hyperlink r:id="rId62" w:history="1">
        <w:r w:rsidRPr="00967B8E">
          <w:rPr>
            <w:rFonts w:asciiTheme="minorHAnsi" w:hAnsiTheme="minorHAnsi" w:cstheme="minorHAnsi"/>
            <w:color w:val="0563C1"/>
          </w:rPr>
          <w:t>Partners in Care</w:t>
        </w:r>
      </w:hyperlink>
      <w:r w:rsidRPr="00967B8E">
        <w:rPr>
          <w:rFonts w:asciiTheme="minorHAnsi" w:hAnsiTheme="minorHAnsi" w:cstheme="minorHAnsi"/>
        </w:rPr>
        <w:t>, named visitors, and visitors at end-of-life.</w:t>
      </w:r>
    </w:p>
    <w:p w14:paraId="1A53F01D" w14:textId="5183E330" w:rsidR="00646D9B" w:rsidRPr="00967B8E" w:rsidRDefault="00646D9B" w:rsidP="001D7143">
      <w:pPr>
        <w:pStyle w:val="VACRCbody-landscape"/>
        <w:rPr>
          <w:rFonts w:asciiTheme="minorHAnsi" w:hAnsiTheme="minorHAnsi" w:cstheme="minorHAnsi"/>
        </w:rPr>
      </w:pPr>
      <w:r w:rsidRPr="00967B8E">
        <w:rPr>
          <w:rFonts w:asciiTheme="minorHAnsi" w:hAnsiTheme="minorHAnsi" w:cstheme="minorHAnsi"/>
        </w:rPr>
        <w:t xml:space="preserve">Providers should also consider how they will return to standard visitation arrangements </w:t>
      </w:r>
      <w:bookmarkStart w:id="136" w:name="_Toc101419778"/>
      <w:bookmarkStart w:id="137" w:name="_Toc101539856"/>
      <w:r w:rsidRPr="00967B8E">
        <w:rPr>
          <w:rFonts w:asciiTheme="minorHAnsi" w:hAnsiTheme="minorHAnsi" w:cstheme="minorHAnsi"/>
        </w:rPr>
        <w:t>following an outbreak (and/or as infection risk diminishes), to ensure a least-restrictive approach.</w:t>
      </w:r>
    </w:p>
    <w:p w14:paraId="493ED171" w14:textId="77777777" w:rsidR="00561FC2" w:rsidRDefault="00561FC2">
      <w:pPr>
        <w:rPr>
          <w:rFonts w:ascii="Arial Nova" w:hAnsi="Arial Nova"/>
          <w:i/>
          <w:iCs/>
          <w:color w:val="EB701D"/>
          <w:sz w:val="28"/>
          <w:szCs w:val="24"/>
        </w:rPr>
      </w:pPr>
      <w:bookmarkStart w:id="138" w:name="_Social_and_emotional"/>
      <w:bookmarkStart w:id="139" w:name="_Toc102482464"/>
      <w:bookmarkStart w:id="140" w:name="_Toc104459170"/>
      <w:bookmarkEnd w:id="138"/>
      <w:r>
        <w:rPr>
          <w:rFonts w:ascii="Arial Nova" w:hAnsi="Arial Nova"/>
          <w:i/>
          <w:iCs/>
          <w:color w:val="EB701D"/>
          <w:sz w:val="28"/>
          <w:szCs w:val="24"/>
        </w:rPr>
        <w:br w:type="page"/>
      </w:r>
    </w:p>
    <w:p w14:paraId="212F41C8" w14:textId="3BC9D6B6" w:rsidR="00646D9B" w:rsidRPr="00CB43F7" w:rsidRDefault="00646D9B" w:rsidP="00CB43F7">
      <w:pPr>
        <w:keepNext/>
        <w:keepLines/>
        <w:spacing w:before="120" w:after="120" w:line="240" w:lineRule="atLeast"/>
        <w:outlineLvl w:val="2"/>
        <w:rPr>
          <w:rFonts w:ascii="Arial Nova" w:hAnsi="Arial Nova"/>
          <w:i/>
          <w:iCs/>
          <w:color w:val="EB701D"/>
          <w:sz w:val="28"/>
          <w:szCs w:val="24"/>
        </w:rPr>
      </w:pPr>
      <w:bookmarkStart w:id="141" w:name="_Toc108624588"/>
      <w:r w:rsidRPr="00CB43F7">
        <w:rPr>
          <w:rFonts w:ascii="Arial Nova" w:hAnsi="Arial Nova"/>
          <w:i/>
          <w:iCs/>
          <w:color w:val="EB701D"/>
          <w:sz w:val="28"/>
          <w:szCs w:val="24"/>
        </w:rPr>
        <w:lastRenderedPageBreak/>
        <w:t>Social and emotional support</w:t>
      </w:r>
      <w:bookmarkEnd w:id="136"/>
      <w:bookmarkEnd w:id="137"/>
      <w:bookmarkEnd w:id="139"/>
      <w:bookmarkEnd w:id="140"/>
      <w:bookmarkEnd w:id="141"/>
    </w:p>
    <w:p w14:paraId="50003632" w14:textId="6DA21F8F" w:rsidR="00646D9B" w:rsidRPr="00CB43F7" w:rsidRDefault="00646D9B" w:rsidP="001D7143">
      <w:pPr>
        <w:pStyle w:val="VACRCbody-landscape"/>
        <w:rPr>
          <w:rFonts w:asciiTheme="minorHAnsi" w:hAnsiTheme="minorHAnsi" w:cstheme="minorHAnsi"/>
          <w:lang w:eastAsia="en-AU"/>
        </w:rPr>
      </w:pPr>
      <w:r w:rsidRPr="00CB43F7">
        <w:rPr>
          <w:rFonts w:asciiTheme="minorHAnsi" w:hAnsiTheme="minorHAnsi" w:cstheme="minorHAnsi"/>
          <w:lang w:eastAsia="en-AU"/>
        </w:rPr>
        <w:t>Any rise in COVID-19 and influenza rates within residential aged care facilities could risk flow on impacts in terms of residents’ mental health, due to the increased fear and isolation this can bring. The Australian Government funds a range of mental health supports that are available to residents should this occur. This</w:t>
      </w:r>
      <w:r w:rsidR="00B318E9">
        <w:rPr>
          <w:rFonts w:asciiTheme="minorHAnsi" w:hAnsiTheme="minorHAnsi" w:cstheme="minorHAnsi"/>
          <w:lang w:eastAsia="en-AU"/>
        </w:rPr>
        <w:t> </w:t>
      </w:r>
      <w:r w:rsidRPr="00CB43F7">
        <w:rPr>
          <w:rFonts w:asciiTheme="minorHAnsi" w:hAnsiTheme="minorHAnsi" w:cstheme="minorHAnsi"/>
          <w:lang w:eastAsia="en-AU"/>
        </w:rPr>
        <w:t>includes:</w:t>
      </w:r>
    </w:p>
    <w:p w14:paraId="205BB155" w14:textId="7FA1B100" w:rsidR="00F121EA" w:rsidRPr="00CB43F7" w:rsidRDefault="00F121EA" w:rsidP="001707B8">
      <w:pPr>
        <w:pStyle w:val="VACRCbody-landscape"/>
        <w:numPr>
          <w:ilvl w:val="0"/>
          <w:numId w:val="28"/>
        </w:numPr>
        <w:rPr>
          <w:rFonts w:asciiTheme="minorHAnsi" w:hAnsiTheme="minorHAnsi" w:cstheme="minorHAnsi"/>
          <w:lang w:eastAsia="en-AU"/>
        </w:rPr>
      </w:pPr>
      <w:r w:rsidRPr="00CB43F7">
        <w:rPr>
          <w:rFonts w:asciiTheme="minorHAnsi" w:hAnsiTheme="minorHAnsi" w:cstheme="minorHAnsi"/>
          <w:lang w:eastAsia="en-AU"/>
        </w:rPr>
        <w:t xml:space="preserve">Support through the </w:t>
      </w:r>
      <w:r w:rsidRPr="00CB43F7">
        <w:rPr>
          <w:rFonts w:asciiTheme="minorHAnsi" w:hAnsiTheme="minorHAnsi" w:cstheme="minorHAnsi"/>
          <w:i/>
          <w:iCs/>
          <w:lang w:eastAsia="en-AU"/>
        </w:rPr>
        <w:t>Better Access to Psychiatrists, Psychologists and General Practitioners through the Medicare Benefits Schedule</w:t>
      </w:r>
      <w:r w:rsidRPr="00CB43F7">
        <w:rPr>
          <w:rFonts w:asciiTheme="minorHAnsi" w:hAnsiTheme="minorHAnsi" w:cstheme="minorHAnsi"/>
          <w:lang w:eastAsia="en-AU"/>
        </w:rPr>
        <w:t xml:space="preserve"> </w:t>
      </w:r>
      <w:r w:rsidRPr="00CB43F7">
        <w:rPr>
          <w:rFonts w:asciiTheme="minorHAnsi" w:hAnsiTheme="minorHAnsi" w:cstheme="minorHAnsi"/>
          <w:i/>
          <w:iCs/>
          <w:lang w:eastAsia="en-AU"/>
        </w:rPr>
        <w:t>initiative</w:t>
      </w:r>
      <w:r w:rsidRPr="00CB43F7">
        <w:rPr>
          <w:rFonts w:asciiTheme="minorHAnsi" w:hAnsiTheme="minorHAnsi" w:cstheme="minorHAnsi"/>
          <w:lang w:eastAsia="en-AU"/>
        </w:rPr>
        <w:t xml:space="preserve"> (</w:t>
      </w:r>
      <w:r w:rsidRPr="00CB43F7">
        <w:rPr>
          <w:rFonts w:asciiTheme="minorHAnsi" w:hAnsiTheme="minorHAnsi" w:cstheme="minorHAnsi"/>
          <w:b/>
          <w:bCs/>
          <w:lang w:eastAsia="en-AU"/>
        </w:rPr>
        <w:t>Better Access</w:t>
      </w:r>
      <w:r w:rsidRPr="00CB43F7">
        <w:rPr>
          <w:rFonts w:asciiTheme="minorHAnsi" w:hAnsiTheme="minorHAnsi" w:cstheme="minorHAnsi"/>
          <w:lang w:eastAsia="en-AU"/>
        </w:rPr>
        <w:t>). Between 10 December 2020 and 31</w:t>
      </w:r>
      <w:r w:rsidR="00B318E9">
        <w:rPr>
          <w:rFonts w:asciiTheme="minorHAnsi" w:hAnsiTheme="minorHAnsi" w:cstheme="minorHAnsi"/>
          <w:lang w:eastAsia="en-AU"/>
        </w:rPr>
        <w:t> </w:t>
      </w:r>
      <w:r w:rsidRPr="00CB43F7">
        <w:rPr>
          <w:rFonts w:asciiTheme="minorHAnsi" w:hAnsiTheme="minorHAnsi" w:cstheme="minorHAnsi"/>
          <w:lang w:eastAsia="en-AU"/>
        </w:rPr>
        <w:t>December 2022, aged care residents experiencing diagnosed mental health conditions can access up to 20 individual Medicare-subsidised psychological services each calendar year under this initiative. Further information is available at this</w:t>
      </w:r>
      <w:r w:rsidR="00067392">
        <w:rPr>
          <w:rFonts w:asciiTheme="minorHAnsi" w:hAnsiTheme="minorHAnsi" w:cstheme="minorHAnsi"/>
          <w:lang w:eastAsia="en-AU"/>
        </w:rPr>
        <w:t xml:space="preserve"> </w:t>
      </w:r>
      <w:hyperlink r:id="rId63" w:history="1">
        <w:r w:rsidR="00067392" w:rsidRPr="00067392">
          <w:rPr>
            <w:rStyle w:val="Hyperlink"/>
            <w:rFonts w:asciiTheme="minorHAnsi" w:hAnsiTheme="minorHAnsi" w:cstheme="minorHAnsi"/>
            <w:lang w:eastAsia="en-AU"/>
          </w:rPr>
          <w:t>webpage.</w:t>
        </w:r>
      </w:hyperlink>
      <w:r w:rsidR="00067392">
        <w:rPr>
          <w:rFonts w:asciiTheme="minorHAnsi" w:hAnsiTheme="minorHAnsi" w:cstheme="minorHAnsi"/>
          <w:lang w:eastAsia="en-AU"/>
        </w:rPr>
        <w:t xml:space="preserve"> </w:t>
      </w:r>
      <w:r w:rsidRPr="00CB43F7">
        <w:rPr>
          <w:rFonts w:asciiTheme="minorHAnsi" w:hAnsiTheme="minorHAnsi" w:cstheme="minorHAnsi"/>
          <w:lang w:eastAsia="en-AU"/>
        </w:rPr>
        <w:t xml:space="preserve"> </w:t>
      </w:r>
    </w:p>
    <w:p w14:paraId="5D8095EB" w14:textId="5CFA7B37" w:rsidR="00646D9B" w:rsidRPr="00CB43F7" w:rsidRDefault="00646D9B" w:rsidP="001707B8">
      <w:pPr>
        <w:pStyle w:val="VACRCbody-landscape"/>
        <w:numPr>
          <w:ilvl w:val="0"/>
          <w:numId w:val="28"/>
        </w:numPr>
        <w:rPr>
          <w:rFonts w:asciiTheme="minorHAnsi" w:hAnsiTheme="minorHAnsi" w:cstheme="minorHAnsi"/>
          <w:lang w:eastAsia="en-AU"/>
        </w:rPr>
      </w:pPr>
      <w:r w:rsidRPr="00CB43F7">
        <w:rPr>
          <w:rFonts w:asciiTheme="minorHAnsi" w:hAnsiTheme="minorHAnsi" w:cstheme="minorHAnsi"/>
          <w:lang w:eastAsia="en-AU"/>
        </w:rPr>
        <w:t xml:space="preserve">Support through </w:t>
      </w:r>
      <w:r w:rsidRPr="00CB43F7">
        <w:rPr>
          <w:rFonts w:asciiTheme="minorHAnsi" w:hAnsiTheme="minorHAnsi" w:cstheme="minorHAnsi"/>
          <w:b/>
          <w:bCs/>
          <w:lang w:eastAsia="en-AU"/>
        </w:rPr>
        <w:t>PHN funded services</w:t>
      </w:r>
      <w:r w:rsidRPr="00CB43F7">
        <w:rPr>
          <w:rFonts w:asciiTheme="minorHAnsi" w:hAnsiTheme="minorHAnsi" w:cstheme="minorHAnsi"/>
          <w:lang w:eastAsia="en-AU"/>
        </w:rPr>
        <w:t xml:space="preserve">. The Government funds </w:t>
      </w:r>
      <w:hyperlink r:id="rId64" w:history="1">
        <w:r w:rsidRPr="00CB43F7">
          <w:rPr>
            <w:rStyle w:val="Hyperlink"/>
            <w:rFonts w:asciiTheme="minorHAnsi" w:hAnsiTheme="minorHAnsi" w:cstheme="minorHAnsi"/>
            <w:szCs w:val="22"/>
            <w:lang w:eastAsia="en-AU"/>
          </w:rPr>
          <w:t>PHNs</w:t>
        </w:r>
      </w:hyperlink>
      <w:r w:rsidRPr="00CB43F7">
        <w:rPr>
          <w:rFonts w:asciiTheme="minorHAnsi" w:hAnsiTheme="minorHAnsi" w:cstheme="minorHAnsi"/>
          <w:lang w:eastAsia="en-AU"/>
        </w:rPr>
        <w:t xml:space="preserve"> to plan and commission low to moderate intensity psychological in-reach services to support the mental health of aged care residents in their regions.</w:t>
      </w:r>
    </w:p>
    <w:p w14:paraId="74F0BE9F" w14:textId="4FC6BD23" w:rsidR="003C7C61" w:rsidRPr="00CB43F7" w:rsidRDefault="003C7C61" w:rsidP="001D7143">
      <w:pPr>
        <w:pStyle w:val="VACRCbody-landscape"/>
        <w:rPr>
          <w:rFonts w:asciiTheme="minorHAnsi" w:hAnsiTheme="minorHAnsi" w:cstheme="minorHAnsi"/>
          <w:lang w:eastAsia="en-AU"/>
        </w:rPr>
      </w:pPr>
      <w:r w:rsidRPr="00CB43F7">
        <w:rPr>
          <w:rFonts w:asciiTheme="minorHAnsi" w:hAnsiTheme="minorHAnsi" w:cstheme="minorHAnsi"/>
          <w:lang w:eastAsia="en-AU"/>
        </w:rPr>
        <w:t>Better Access services are available to residents via telehealth where clinically appropriate and safe if face-to-face delivery is not available. PHN services are also generally available via telehealth, however, this varies according the specific service models in place across PHNs.</w:t>
      </w:r>
    </w:p>
    <w:p w14:paraId="52CDC369" w14:textId="1652D364" w:rsidR="003C7C61" w:rsidRPr="00CB43F7" w:rsidRDefault="003C7C61" w:rsidP="001D7143">
      <w:pPr>
        <w:pStyle w:val="VACRCbody-landscape"/>
        <w:rPr>
          <w:rFonts w:asciiTheme="minorHAnsi" w:hAnsiTheme="minorHAnsi" w:cstheme="minorHAnsi"/>
          <w:lang w:eastAsia="en-AU"/>
        </w:rPr>
      </w:pPr>
      <w:r w:rsidRPr="00CB43F7">
        <w:rPr>
          <w:rFonts w:asciiTheme="minorHAnsi" w:hAnsiTheme="minorHAnsi" w:cstheme="minorHAnsi"/>
          <w:lang w:eastAsia="en-AU"/>
        </w:rPr>
        <w:t>Availability of technology to support telehealth consults and/or contact with families, and the capacity of staff to assist residents with using the technology may vary between individual facilities. Providers should ensure they have the necessary equipment, and clinically and culturally capable staff to assist residents to access telehealth services. Staff working in residential aged care facilities are encouraged to support residents to access telehealth services by ensuring that private rooms, access to digital resources and assistance to use them are available where possible.</w:t>
      </w:r>
    </w:p>
    <w:p w14:paraId="3ACE717B" w14:textId="25CA921B" w:rsidR="003C7C61" w:rsidRPr="00CB43F7" w:rsidRDefault="003C7C61" w:rsidP="00561FC2">
      <w:pPr>
        <w:pStyle w:val="VACRCbody-landscape"/>
        <w:spacing w:after="160"/>
        <w:rPr>
          <w:rFonts w:asciiTheme="minorHAnsi" w:hAnsiTheme="minorHAnsi" w:cstheme="minorHAnsi"/>
          <w:lang w:eastAsia="en-AU"/>
        </w:rPr>
      </w:pPr>
      <w:r w:rsidRPr="00CB43F7">
        <w:rPr>
          <w:rFonts w:asciiTheme="minorHAnsi" w:hAnsiTheme="minorHAnsi" w:cstheme="minorHAnsi"/>
          <w:lang w:eastAsia="en-AU"/>
        </w:rPr>
        <w:t xml:space="preserve">Free online training to support aged care staff and relevant health practitioners to understand and assist the mental health of aged care residents is being delivered by </w:t>
      </w:r>
      <w:r w:rsidRPr="00967B8E">
        <w:rPr>
          <w:rFonts w:asciiTheme="minorHAnsi" w:hAnsiTheme="minorHAnsi" w:cstheme="minorHAnsi"/>
          <w:lang w:eastAsia="en-AU"/>
        </w:rPr>
        <w:t xml:space="preserve">the </w:t>
      </w:r>
      <w:hyperlink r:id="rId65" w:history="1">
        <w:r w:rsidRPr="00E402BA">
          <w:rPr>
            <w:rFonts w:asciiTheme="minorHAnsi" w:hAnsiTheme="minorHAnsi" w:cstheme="minorHAnsi"/>
            <w:color w:val="0563C1"/>
            <w:lang w:eastAsia="en-AU"/>
          </w:rPr>
          <w:t>Australian Psychological Association</w:t>
        </w:r>
      </w:hyperlink>
      <w:r w:rsidRPr="00CB43F7">
        <w:rPr>
          <w:rFonts w:asciiTheme="minorHAnsi" w:hAnsiTheme="minorHAnsi" w:cstheme="minorHAnsi"/>
          <w:lang w:eastAsia="en-AU"/>
        </w:rPr>
        <w:t>. This training is available for free.</w:t>
      </w:r>
    </w:p>
    <w:p w14:paraId="0FD03838" w14:textId="77777777" w:rsidR="00F121EA" w:rsidRPr="00A006F2" w:rsidRDefault="00F121EA" w:rsidP="00A006F2">
      <w:pPr>
        <w:pStyle w:val="VACRCbody-landscape"/>
        <w:shd w:val="clear" w:color="auto" w:fill="FBE4D5"/>
        <w:rPr>
          <w:rFonts w:asciiTheme="minorHAnsi" w:hAnsiTheme="minorHAnsi" w:cstheme="minorHAnsi"/>
          <w:b/>
          <w:bCs/>
        </w:rPr>
      </w:pPr>
      <w:r w:rsidRPr="00A006F2">
        <w:rPr>
          <w:rFonts w:asciiTheme="minorHAnsi" w:hAnsiTheme="minorHAnsi" w:cstheme="minorHAnsi"/>
          <w:b/>
          <w:bCs/>
        </w:rPr>
        <w:t>Provider considerations</w:t>
      </w:r>
    </w:p>
    <w:p w14:paraId="7EAF017C" w14:textId="2E1EDAE8" w:rsidR="00F121EA" w:rsidRPr="00A006F2" w:rsidRDefault="00F121EA" w:rsidP="00A006F2">
      <w:pPr>
        <w:pStyle w:val="VACRCbody-landscape"/>
        <w:shd w:val="clear" w:color="auto" w:fill="FBE4D5"/>
        <w:rPr>
          <w:rFonts w:asciiTheme="minorHAnsi" w:hAnsiTheme="minorHAnsi" w:cstheme="minorHAnsi"/>
        </w:rPr>
      </w:pPr>
      <w:r w:rsidRPr="00A006F2">
        <w:rPr>
          <w:rFonts w:asciiTheme="minorHAnsi" w:hAnsiTheme="minorHAnsi" w:cstheme="minorHAnsi"/>
        </w:rPr>
        <w:t>Providers are expected to</w:t>
      </w:r>
      <w:r w:rsidR="00660BCA">
        <w:rPr>
          <w:rFonts w:asciiTheme="minorHAnsi" w:hAnsiTheme="minorHAnsi" w:cstheme="minorHAnsi"/>
        </w:rPr>
        <w:t xml:space="preserve"> </w:t>
      </w:r>
      <w:r w:rsidRPr="00A006F2">
        <w:rPr>
          <w:rFonts w:asciiTheme="minorHAnsi" w:hAnsiTheme="minorHAnsi" w:cstheme="minorHAnsi"/>
        </w:rPr>
        <w:t>balance their responsibilities to reduce the risk of COVID-19 entering the site, with their responsibilities for meeting the physical, social, mental and emotional needs of residents by</w:t>
      </w:r>
      <w:r w:rsidR="00660BCA">
        <w:rPr>
          <w:rFonts w:asciiTheme="minorHAnsi" w:hAnsiTheme="minorHAnsi" w:cstheme="minorHAnsi"/>
        </w:rPr>
        <w:t xml:space="preserve"> </w:t>
      </w:r>
      <w:r w:rsidRPr="00A006F2">
        <w:rPr>
          <w:rFonts w:asciiTheme="minorHAnsi" w:hAnsiTheme="minorHAnsi" w:cstheme="minorHAnsi"/>
        </w:rPr>
        <w:t>tailoring care and services as far as</w:t>
      </w:r>
      <w:r w:rsidR="00660BCA">
        <w:rPr>
          <w:rFonts w:asciiTheme="minorHAnsi" w:hAnsiTheme="minorHAnsi" w:cstheme="minorHAnsi"/>
        </w:rPr>
        <w:t xml:space="preserve"> </w:t>
      </w:r>
      <w:r w:rsidRPr="00A006F2">
        <w:rPr>
          <w:rFonts w:asciiTheme="minorHAnsi" w:hAnsiTheme="minorHAnsi" w:cstheme="minorHAnsi"/>
        </w:rPr>
        <w:t>possible to their individual circumstances.</w:t>
      </w:r>
    </w:p>
    <w:p w14:paraId="0E5F83C2" w14:textId="0C3CC5CE" w:rsidR="00F121EA" w:rsidRPr="00A006F2" w:rsidRDefault="00F121EA" w:rsidP="00A006F2">
      <w:pPr>
        <w:pStyle w:val="VACRCbody-landscape"/>
        <w:shd w:val="clear" w:color="auto" w:fill="FBE4D5"/>
        <w:rPr>
          <w:rFonts w:asciiTheme="minorHAnsi" w:hAnsiTheme="minorHAnsi" w:cstheme="minorHAnsi"/>
        </w:rPr>
      </w:pPr>
      <w:r w:rsidRPr="00A006F2">
        <w:rPr>
          <w:rFonts w:asciiTheme="minorHAnsi" w:hAnsiTheme="minorHAnsi" w:cstheme="minorHAnsi"/>
        </w:rPr>
        <w:t>If a public health order imposes specific restrictions on access to an aged care facility, it must be complied with, but cannot be used by</w:t>
      </w:r>
      <w:r w:rsidR="00660BCA">
        <w:rPr>
          <w:rFonts w:asciiTheme="minorHAnsi" w:hAnsiTheme="minorHAnsi" w:cstheme="minorHAnsi"/>
        </w:rPr>
        <w:t xml:space="preserve"> </w:t>
      </w:r>
      <w:r w:rsidRPr="00A006F2">
        <w:rPr>
          <w:rFonts w:asciiTheme="minorHAnsi" w:hAnsiTheme="minorHAnsi" w:cstheme="minorHAnsi"/>
        </w:rPr>
        <w:t>a</w:t>
      </w:r>
      <w:r w:rsidR="00660BCA">
        <w:rPr>
          <w:rFonts w:asciiTheme="minorHAnsi" w:hAnsiTheme="minorHAnsi" w:cstheme="minorHAnsi"/>
        </w:rPr>
        <w:t xml:space="preserve"> </w:t>
      </w:r>
      <w:r w:rsidRPr="00A006F2">
        <w:rPr>
          <w:rFonts w:asciiTheme="minorHAnsi" w:hAnsiTheme="minorHAnsi" w:cstheme="minorHAnsi"/>
        </w:rPr>
        <w:t>provider to justify tighter restrictions. Infection control procedures do not override the ongoing obligations of providers to</w:t>
      </w:r>
      <w:r w:rsidR="00660BCA">
        <w:rPr>
          <w:rFonts w:asciiTheme="minorHAnsi" w:hAnsiTheme="minorHAnsi" w:cstheme="minorHAnsi"/>
        </w:rPr>
        <w:t xml:space="preserve"> </w:t>
      </w:r>
      <w:r w:rsidRPr="00A006F2">
        <w:rPr>
          <w:rFonts w:asciiTheme="minorHAnsi" w:hAnsiTheme="minorHAnsi" w:cstheme="minorHAnsi"/>
        </w:rPr>
        <w:t>facilitate safe visiting arrangements (within</w:t>
      </w:r>
      <w:r w:rsidR="00660BCA">
        <w:rPr>
          <w:rFonts w:asciiTheme="minorHAnsi" w:hAnsiTheme="minorHAnsi" w:cstheme="minorHAnsi"/>
        </w:rPr>
        <w:t xml:space="preserve"> </w:t>
      </w:r>
      <w:r w:rsidRPr="00A006F2">
        <w:rPr>
          <w:rFonts w:asciiTheme="minorHAnsi" w:hAnsiTheme="minorHAnsi" w:cstheme="minorHAnsi"/>
        </w:rPr>
        <w:t>the terms of</w:t>
      </w:r>
      <w:r w:rsidR="00660BCA">
        <w:rPr>
          <w:rFonts w:asciiTheme="minorHAnsi" w:hAnsiTheme="minorHAnsi" w:cstheme="minorHAnsi"/>
        </w:rPr>
        <w:t xml:space="preserve"> </w:t>
      </w:r>
      <w:r w:rsidRPr="00A006F2">
        <w:rPr>
          <w:rFonts w:asciiTheme="minorHAnsi" w:hAnsiTheme="minorHAnsi" w:cstheme="minorHAnsi"/>
        </w:rPr>
        <w:t>any public health order), including through the provision of PPE and any necessary IPC training.</w:t>
      </w:r>
    </w:p>
    <w:p w14:paraId="014E64F9" w14:textId="77777777" w:rsidR="00F121EA" w:rsidRPr="00A006F2" w:rsidRDefault="00F121EA" w:rsidP="00A006F2">
      <w:pPr>
        <w:pStyle w:val="VACRCbody-landscape"/>
        <w:shd w:val="clear" w:color="auto" w:fill="FBE4D5"/>
        <w:rPr>
          <w:rFonts w:asciiTheme="minorHAnsi" w:hAnsiTheme="minorHAnsi" w:cstheme="minorHAnsi"/>
          <w:b/>
          <w:bCs/>
        </w:rPr>
      </w:pPr>
      <w:r w:rsidRPr="00A006F2">
        <w:rPr>
          <w:rFonts w:asciiTheme="minorHAnsi" w:hAnsiTheme="minorHAnsi" w:cstheme="minorHAnsi"/>
          <w:b/>
          <w:bCs/>
        </w:rPr>
        <w:t>Impacts of influenza outbreaks on visitation</w:t>
      </w:r>
    </w:p>
    <w:p w14:paraId="6360D531" w14:textId="7D5347B4" w:rsidR="00F121EA" w:rsidRPr="00A006F2" w:rsidRDefault="00F121EA" w:rsidP="00561FC2">
      <w:pPr>
        <w:pStyle w:val="VACRCbody-landscape"/>
        <w:shd w:val="clear" w:color="auto" w:fill="FBE4D5"/>
        <w:spacing w:after="160"/>
        <w:rPr>
          <w:rFonts w:asciiTheme="minorHAnsi" w:hAnsiTheme="minorHAnsi" w:cstheme="minorHAnsi"/>
        </w:rPr>
      </w:pPr>
      <w:r w:rsidRPr="00A006F2">
        <w:rPr>
          <w:rFonts w:asciiTheme="minorHAnsi" w:hAnsiTheme="minorHAnsi" w:cstheme="minorHAnsi"/>
        </w:rPr>
        <w:t xml:space="preserve">Public health and provider responses to influenza outbreaks differ greatly from responses to outbreaks of COVID-19. Providers responding to standalone influenza outbreaks are expected to comply with the public health requirements, using the CDNA </w:t>
      </w:r>
      <w:hyperlink r:id="rId66" w:history="1">
        <w:r w:rsidR="00B64C5F" w:rsidRPr="00B64C5F">
          <w:rPr>
            <w:rStyle w:val="Hyperlink"/>
            <w:rFonts w:asciiTheme="minorHAnsi" w:hAnsiTheme="minorHAnsi" w:cstheme="minorHAnsi"/>
          </w:rPr>
          <w:t>national guidelines for the prevention, control and public health management of COVID-19 outbreaks in residential care facilities in Australia</w:t>
        </w:r>
      </w:hyperlink>
      <w:r w:rsidR="00B64C5F">
        <w:rPr>
          <w:rFonts w:asciiTheme="minorHAnsi" w:hAnsiTheme="minorHAnsi" w:cstheme="minorHAnsi"/>
        </w:rPr>
        <w:t xml:space="preserve"> </w:t>
      </w:r>
      <w:r w:rsidRPr="00A006F2">
        <w:rPr>
          <w:rFonts w:asciiTheme="minorHAnsi" w:hAnsiTheme="minorHAnsi" w:cstheme="minorHAnsi"/>
        </w:rPr>
        <w:t>to guide their efforts. Visitation</w:t>
      </w:r>
      <w:r w:rsidR="00B64C5F">
        <w:rPr>
          <w:rFonts w:asciiTheme="minorHAnsi" w:hAnsiTheme="minorHAnsi" w:cstheme="minorHAnsi"/>
        </w:rPr>
        <w:t> </w:t>
      </w:r>
      <w:r w:rsidRPr="00A006F2">
        <w:rPr>
          <w:rFonts w:asciiTheme="minorHAnsi" w:hAnsiTheme="minorHAnsi" w:cstheme="minorHAnsi"/>
        </w:rPr>
        <w:t>restrictions should be considered in line with the considerations set out in the guidance, with a view to (at a minimum) retaining access to one essential visitor for all residents.</w:t>
      </w:r>
    </w:p>
    <w:p w14:paraId="06F80D82" w14:textId="6B9CC2E7" w:rsidR="003C7C61" w:rsidRPr="00CB43F7" w:rsidRDefault="003C7C61" w:rsidP="00CB43F7">
      <w:pPr>
        <w:keepNext/>
        <w:keepLines/>
        <w:spacing w:before="120" w:after="120" w:line="240" w:lineRule="atLeast"/>
        <w:outlineLvl w:val="2"/>
        <w:rPr>
          <w:rFonts w:ascii="Arial Nova" w:hAnsi="Arial Nova"/>
          <w:i/>
          <w:iCs/>
          <w:color w:val="EB701D"/>
          <w:sz w:val="28"/>
          <w:szCs w:val="24"/>
        </w:rPr>
      </w:pPr>
      <w:bookmarkStart w:id="142" w:name="_Toc104459171"/>
      <w:bookmarkStart w:id="143" w:name="_Toc102482465"/>
      <w:bookmarkStart w:id="144" w:name="_Toc108624589"/>
      <w:r w:rsidRPr="00CB43F7">
        <w:rPr>
          <w:rFonts w:ascii="Arial Nova" w:hAnsi="Arial Nova"/>
          <w:i/>
          <w:iCs/>
          <w:color w:val="EB701D"/>
          <w:sz w:val="28"/>
          <w:szCs w:val="24"/>
        </w:rPr>
        <w:t>Re-engaging volunteers into residential aged care facilities program</w:t>
      </w:r>
      <w:bookmarkEnd w:id="142"/>
      <w:bookmarkEnd w:id="143"/>
      <w:bookmarkEnd w:id="144"/>
    </w:p>
    <w:p w14:paraId="752AF3FD" w14:textId="33AF81E5" w:rsidR="003C7C61" w:rsidRPr="00CB43F7" w:rsidRDefault="003C7C61" w:rsidP="003E3E13">
      <w:pPr>
        <w:pStyle w:val="VACRCbody-landscape"/>
        <w:rPr>
          <w:rFonts w:asciiTheme="minorHAnsi" w:hAnsiTheme="minorHAnsi" w:cstheme="minorHAnsi"/>
        </w:rPr>
      </w:pPr>
      <w:r w:rsidRPr="00CB43F7">
        <w:rPr>
          <w:rFonts w:asciiTheme="minorHAnsi" w:hAnsiTheme="minorHAnsi" w:cstheme="minorHAnsi"/>
        </w:rPr>
        <w:t xml:space="preserve">Volunteers are an important </w:t>
      </w:r>
      <w:r w:rsidRPr="00CB43F7">
        <w:rPr>
          <w:rFonts w:asciiTheme="minorHAnsi" w:hAnsiTheme="minorHAnsi" w:cstheme="minorHAnsi"/>
          <w:iCs/>
        </w:rPr>
        <w:t>part of the aged care system</w:t>
      </w:r>
      <w:r w:rsidRPr="00CB43F7">
        <w:rPr>
          <w:rFonts w:asciiTheme="minorHAnsi" w:hAnsiTheme="minorHAnsi" w:cstheme="minorHAnsi"/>
        </w:rPr>
        <w:t xml:space="preserve"> in supporting older people to live meaningful lives, build social cohesion and prevent social isolation and loneliness. Public health advice now encourages visitors and provides an opportunity for </w:t>
      </w:r>
      <w:r w:rsidR="00811532">
        <w:rPr>
          <w:rFonts w:asciiTheme="minorHAnsi" w:hAnsiTheme="minorHAnsi" w:cstheme="minorHAnsi"/>
        </w:rPr>
        <w:t>aged care homes</w:t>
      </w:r>
      <w:r w:rsidRPr="00CB43F7">
        <w:rPr>
          <w:rFonts w:asciiTheme="minorHAnsi" w:hAnsiTheme="minorHAnsi" w:cstheme="minorHAnsi"/>
        </w:rPr>
        <w:t xml:space="preserve"> to re</w:t>
      </w:r>
      <w:r w:rsidRPr="00CB43F7">
        <w:rPr>
          <w:rFonts w:asciiTheme="minorHAnsi" w:hAnsiTheme="minorHAnsi" w:cstheme="minorHAnsi"/>
        </w:rPr>
        <w:noBreakHyphen/>
        <w:t>engage with volunteers to support older people.</w:t>
      </w:r>
      <w:r w:rsidR="00660BCA">
        <w:rPr>
          <w:rFonts w:asciiTheme="minorHAnsi" w:hAnsiTheme="minorHAnsi" w:cstheme="minorHAnsi"/>
        </w:rPr>
        <w:t xml:space="preserve"> </w:t>
      </w:r>
      <w:r w:rsidRPr="00CB43F7">
        <w:rPr>
          <w:rFonts w:asciiTheme="minorHAnsi" w:hAnsiTheme="minorHAnsi" w:cstheme="minorHAnsi"/>
        </w:rPr>
        <w:t>Volunteers should supplement, not replace, replicate or fill shifts of paid staff.</w:t>
      </w:r>
    </w:p>
    <w:p w14:paraId="0DB24A23" w14:textId="6F16F7C5" w:rsidR="001707B8" w:rsidRDefault="003C7C61" w:rsidP="00A006F2">
      <w:pPr>
        <w:pStyle w:val="VACRCbody-landscape"/>
        <w:spacing w:after="240"/>
        <w:rPr>
          <w:rFonts w:asciiTheme="minorHAnsi" w:hAnsiTheme="minorHAnsi" w:cstheme="minorHAnsi"/>
        </w:rPr>
      </w:pPr>
      <w:r w:rsidRPr="00CB43F7">
        <w:rPr>
          <w:rFonts w:asciiTheme="minorHAnsi" w:hAnsiTheme="minorHAnsi" w:cstheme="minorHAnsi"/>
          <w:iCs/>
        </w:rPr>
        <w:t>The</w:t>
      </w:r>
      <w:r w:rsidR="005F3AA8" w:rsidRPr="00CB43F7">
        <w:rPr>
          <w:rFonts w:asciiTheme="minorHAnsi" w:hAnsiTheme="minorHAnsi" w:cstheme="minorHAnsi"/>
          <w:iCs/>
        </w:rPr>
        <w:t xml:space="preserve"> </w:t>
      </w:r>
      <w:hyperlink r:id="rId67" w:history="1">
        <w:proofErr w:type="spellStart"/>
        <w:r w:rsidRPr="00967B8E">
          <w:rPr>
            <w:rFonts w:asciiTheme="minorHAnsi" w:hAnsiTheme="minorHAnsi" w:cstheme="minorHAnsi"/>
            <w:color w:val="0563C1"/>
            <w:lang w:eastAsia="en-AU"/>
          </w:rPr>
          <w:t>‘Re</w:t>
        </w:r>
        <w:proofErr w:type="spellEnd"/>
        <w:r w:rsidRPr="00967B8E">
          <w:rPr>
            <w:rFonts w:asciiTheme="minorHAnsi" w:hAnsiTheme="minorHAnsi" w:cstheme="minorHAnsi"/>
            <w:color w:val="0563C1"/>
            <w:lang w:eastAsia="en-AU"/>
          </w:rPr>
          <w:noBreakHyphen/>
          <w:t>engaging volunteers into residential aged care facilities</w:t>
        </w:r>
        <w:r w:rsidRPr="00967B8E">
          <w:rPr>
            <w:rFonts w:asciiTheme="minorHAnsi" w:hAnsiTheme="minorHAnsi" w:cstheme="minorHAnsi"/>
          </w:rPr>
          <w:t>’</w:t>
        </w:r>
      </w:hyperlink>
      <w:r w:rsidRPr="00967B8E">
        <w:rPr>
          <w:rFonts w:asciiTheme="minorHAnsi" w:hAnsiTheme="minorHAnsi" w:cstheme="minorHAnsi"/>
        </w:rPr>
        <w:t xml:space="preserve"> </w:t>
      </w:r>
      <w:r w:rsidRPr="00CB43F7">
        <w:rPr>
          <w:rFonts w:asciiTheme="minorHAnsi" w:hAnsiTheme="minorHAnsi" w:cstheme="minorHAnsi"/>
          <w:iCs/>
        </w:rPr>
        <w:t>program</w:t>
      </w:r>
      <w:r w:rsidRPr="00CB43F7">
        <w:rPr>
          <w:rFonts w:asciiTheme="minorHAnsi" w:hAnsiTheme="minorHAnsi" w:cstheme="minorHAnsi"/>
        </w:rPr>
        <w:t xml:space="preserve"> (RVRP)</w:t>
      </w:r>
      <w:r w:rsidRPr="00CB43F7">
        <w:rPr>
          <w:rFonts w:asciiTheme="minorHAnsi" w:hAnsiTheme="minorHAnsi" w:cstheme="minorHAnsi"/>
          <w:iCs/>
        </w:rPr>
        <w:t xml:space="preserve"> aims to encourage the return of volunteers and new volunteers </w:t>
      </w:r>
      <w:r w:rsidRPr="00CB43F7">
        <w:rPr>
          <w:rFonts w:asciiTheme="minorHAnsi" w:hAnsiTheme="minorHAnsi" w:cstheme="minorHAnsi"/>
        </w:rPr>
        <w:t xml:space="preserve">into </w:t>
      </w:r>
      <w:r w:rsidR="00811532">
        <w:rPr>
          <w:rFonts w:asciiTheme="minorHAnsi" w:hAnsiTheme="minorHAnsi" w:cstheme="minorHAnsi"/>
        </w:rPr>
        <w:t>aged care homes</w:t>
      </w:r>
      <w:r w:rsidRPr="00CB43F7">
        <w:rPr>
          <w:rFonts w:asciiTheme="minorHAnsi" w:hAnsiTheme="minorHAnsi" w:cstheme="minorHAnsi"/>
        </w:rPr>
        <w:t>.</w:t>
      </w:r>
      <w:r w:rsidRPr="00CB43F7">
        <w:rPr>
          <w:rFonts w:asciiTheme="minorHAnsi" w:hAnsiTheme="minorHAnsi" w:cstheme="minorHAnsi"/>
          <w:iCs/>
        </w:rPr>
        <w:t xml:space="preserve"> </w:t>
      </w:r>
      <w:r w:rsidRPr="00CB43F7">
        <w:rPr>
          <w:rFonts w:asciiTheme="minorHAnsi" w:hAnsiTheme="minorHAnsi" w:cstheme="minorHAnsi"/>
        </w:rPr>
        <w:t xml:space="preserve">Volunteers under the RVRP program will provide a range of non-clinical social supports, including during an outbreak, such as companionship, leisure activities, assistance to access to outdoor spaces or administrative support. </w:t>
      </w:r>
      <w:r w:rsidRPr="00CB43F7">
        <w:rPr>
          <w:rFonts w:asciiTheme="minorHAnsi" w:hAnsiTheme="minorHAnsi" w:cstheme="minorHAnsi"/>
          <w:iCs/>
        </w:rPr>
        <w:t xml:space="preserve">The RVRP complements the </w:t>
      </w:r>
      <w:r w:rsidRPr="00CB43F7">
        <w:rPr>
          <w:rFonts w:asciiTheme="minorHAnsi" w:hAnsiTheme="minorHAnsi" w:cstheme="minorHAnsi"/>
        </w:rPr>
        <w:t>Community Visitors Scheme (CVS).</w:t>
      </w:r>
    </w:p>
    <w:p w14:paraId="02E737B9" w14:textId="77777777" w:rsidR="00F121EA" w:rsidRPr="00A006F2" w:rsidRDefault="00F121EA" w:rsidP="00A006F2">
      <w:pPr>
        <w:pStyle w:val="VACRCbody-landscape"/>
        <w:shd w:val="clear" w:color="auto" w:fill="FBE4D5"/>
        <w:rPr>
          <w:rFonts w:asciiTheme="minorHAnsi" w:hAnsiTheme="minorHAnsi" w:cstheme="minorHAnsi"/>
          <w:b/>
          <w:bCs/>
        </w:rPr>
      </w:pPr>
      <w:r w:rsidRPr="00A006F2">
        <w:rPr>
          <w:rFonts w:asciiTheme="minorHAnsi" w:hAnsiTheme="minorHAnsi" w:cstheme="minorHAnsi"/>
          <w:b/>
          <w:bCs/>
        </w:rPr>
        <w:lastRenderedPageBreak/>
        <w:t>Provider considerations</w:t>
      </w:r>
    </w:p>
    <w:p w14:paraId="7B71085A" w14:textId="35C9929A" w:rsidR="00F121EA" w:rsidRPr="00CB43F7" w:rsidRDefault="00F121EA" w:rsidP="00A006F2">
      <w:pPr>
        <w:pStyle w:val="VACRCbody-landscape"/>
        <w:shd w:val="clear" w:color="auto" w:fill="FBE4D5"/>
        <w:rPr>
          <w:rFonts w:asciiTheme="minorHAnsi" w:hAnsiTheme="minorHAnsi" w:cstheme="minorHAnsi"/>
        </w:rPr>
      </w:pPr>
      <w:r w:rsidRPr="00CB43F7">
        <w:rPr>
          <w:rFonts w:asciiTheme="minorHAnsi" w:hAnsiTheme="minorHAnsi" w:cstheme="minorHAnsi"/>
        </w:rPr>
        <w:t xml:space="preserve">To nominate your facility to receive volunteers from the program fill out the </w:t>
      </w:r>
      <w:hyperlink r:id="rId68" w:history="1">
        <w:r w:rsidRPr="00A006F2">
          <w:rPr>
            <w:rFonts w:asciiTheme="minorHAnsi" w:hAnsiTheme="minorHAnsi" w:cstheme="minorHAnsi"/>
          </w:rPr>
          <w:t>webform</w:t>
        </w:r>
      </w:hyperlink>
      <w:r w:rsidRPr="00CB43F7">
        <w:rPr>
          <w:rFonts w:asciiTheme="minorHAnsi" w:hAnsiTheme="minorHAnsi" w:cstheme="minorHAnsi"/>
        </w:rPr>
        <w:t>. You will need to provide your facility's details, and contact details of the manager responsible for volunteer coordination.</w:t>
      </w:r>
    </w:p>
    <w:p w14:paraId="36BB75E0" w14:textId="5F2C28A4" w:rsidR="00F121EA" w:rsidRPr="00CB43F7" w:rsidRDefault="00F121EA" w:rsidP="00A006F2">
      <w:pPr>
        <w:pStyle w:val="VACRCbody-landscape"/>
        <w:shd w:val="clear" w:color="auto" w:fill="FBE4D5"/>
        <w:rPr>
          <w:rFonts w:asciiTheme="minorHAnsi" w:hAnsiTheme="minorHAnsi" w:cstheme="minorHAnsi"/>
        </w:rPr>
      </w:pPr>
      <w:r w:rsidRPr="00CB43F7">
        <w:rPr>
          <w:rFonts w:asciiTheme="minorHAnsi" w:hAnsiTheme="minorHAnsi" w:cstheme="minorHAnsi"/>
        </w:rPr>
        <w:t xml:space="preserve">Providers are required to enter a signed agreement with the volunteer to set out clear timeframes, volunteer role and </w:t>
      </w:r>
      <w:r w:rsidR="00811532">
        <w:rPr>
          <w:rFonts w:asciiTheme="minorHAnsi" w:hAnsiTheme="minorHAnsi" w:cstheme="minorHAnsi"/>
        </w:rPr>
        <w:t>aged care homes</w:t>
      </w:r>
      <w:r w:rsidR="00811532" w:rsidRPr="002C6972">
        <w:rPr>
          <w:rFonts w:asciiTheme="minorHAnsi" w:hAnsiTheme="minorHAnsi" w:cstheme="minorHAnsi"/>
        </w:rPr>
        <w:t xml:space="preserve"> </w:t>
      </w:r>
      <w:r w:rsidRPr="00CB43F7">
        <w:rPr>
          <w:rFonts w:asciiTheme="minorHAnsi" w:hAnsiTheme="minorHAnsi" w:cstheme="minorHAnsi"/>
        </w:rPr>
        <w:t>commitment to each of their roles and responsibilities.</w:t>
      </w:r>
    </w:p>
    <w:p w14:paraId="50A5DC1B" w14:textId="77777777" w:rsidR="00F121EA" w:rsidRPr="00CB43F7" w:rsidRDefault="00F121EA" w:rsidP="00A006F2">
      <w:pPr>
        <w:pStyle w:val="VACRCbody-landscape"/>
        <w:shd w:val="clear" w:color="auto" w:fill="FBE4D5"/>
        <w:rPr>
          <w:rFonts w:asciiTheme="minorHAnsi" w:hAnsiTheme="minorHAnsi" w:cstheme="minorHAnsi"/>
        </w:rPr>
      </w:pPr>
      <w:r w:rsidRPr="00CB43F7">
        <w:rPr>
          <w:rFonts w:asciiTheme="minorHAnsi" w:hAnsiTheme="minorHAnsi" w:cstheme="minorHAnsi"/>
        </w:rPr>
        <w:t>Aged care providers must provide:</w:t>
      </w:r>
    </w:p>
    <w:p w14:paraId="05F9C776" w14:textId="77777777" w:rsidR="00F121EA" w:rsidRPr="00CB43F7" w:rsidRDefault="00F121EA" w:rsidP="001707B8">
      <w:pPr>
        <w:pStyle w:val="VACRCbody-landscape"/>
        <w:numPr>
          <w:ilvl w:val="0"/>
          <w:numId w:val="35"/>
        </w:numPr>
        <w:shd w:val="clear" w:color="auto" w:fill="FBE4D5"/>
        <w:rPr>
          <w:rFonts w:asciiTheme="minorHAnsi" w:hAnsiTheme="minorHAnsi" w:cstheme="minorHAnsi"/>
        </w:rPr>
      </w:pPr>
      <w:r w:rsidRPr="00CB43F7">
        <w:rPr>
          <w:rFonts w:asciiTheme="minorHAnsi" w:hAnsiTheme="minorHAnsi" w:cstheme="minorHAnsi"/>
        </w:rPr>
        <w:t>an onsite volunteer or workforce coordinator</w:t>
      </w:r>
    </w:p>
    <w:p w14:paraId="5A65B090" w14:textId="77777777" w:rsidR="00F121EA" w:rsidRPr="00CB43F7" w:rsidRDefault="00F121EA" w:rsidP="001707B8">
      <w:pPr>
        <w:pStyle w:val="VACRCbody-landscape"/>
        <w:numPr>
          <w:ilvl w:val="0"/>
          <w:numId w:val="35"/>
        </w:numPr>
        <w:shd w:val="clear" w:color="auto" w:fill="FBE4D5"/>
        <w:rPr>
          <w:rFonts w:asciiTheme="minorHAnsi" w:hAnsiTheme="minorHAnsi" w:cstheme="minorHAnsi"/>
        </w:rPr>
      </w:pPr>
      <w:r w:rsidRPr="00CB43F7">
        <w:rPr>
          <w:rFonts w:asciiTheme="minorHAnsi" w:hAnsiTheme="minorHAnsi" w:cstheme="minorHAnsi"/>
        </w:rPr>
        <w:t>orientation upon commencement of the facility and processes</w:t>
      </w:r>
    </w:p>
    <w:p w14:paraId="0A337515" w14:textId="77777777" w:rsidR="00F121EA" w:rsidRPr="00CB43F7" w:rsidRDefault="00F121EA" w:rsidP="001707B8">
      <w:pPr>
        <w:pStyle w:val="VACRCbody-landscape"/>
        <w:numPr>
          <w:ilvl w:val="0"/>
          <w:numId w:val="35"/>
        </w:numPr>
        <w:shd w:val="clear" w:color="auto" w:fill="FBE4D5"/>
        <w:rPr>
          <w:rFonts w:asciiTheme="minorHAnsi" w:hAnsiTheme="minorHAnsi" w:cstheme="minorHAnsi"/>
        </w:rPr>
      </w:pPr>
      <w:r w:rsidRPr="00CB43F7">
        <w:rPr>
          <w:rFonts w:asciiTheme="minorHAnsi" w:hAnsiTheme="minorHAnsi" w:cstheme="minorHAnsi"/>
        </w:rPr>
        <w:t>current volunteer insurance</w:t>
      </w:r>
    </w:p>
    <w:p w14:paraId="731F6843" w14:textId="77777777" w:rsidR="00F121EA" w:rsidRPr="00CB43F7" w:rsidRDefault="00F121EA" w:rsidP="001707B8">
      <w:pPr>
        <w:pStyle w:val="VACRCbody-landscape"/>
        <w:numPr>
          <w:ilvl w:val="0"/>
          <w:numId w:val="35"/>
        </w:numPr>
        <w:shd w:val="clear" w:color="auto" w:fill="FBE4D5"/>
        <w:rPr>
          <w:rFonts w:asciiTheme="minorHAnsi" w:hAnsiTheme="minorHAnsi" w:cstheme="minorHAnsi"/>
        </w:rPr>
      </w:pPr>
      <w:r w:rsidRPr="00CB43F7">
        <w:rPr>
          <w:rFonts w:asciiTheme="minorHAnsi" w:hAnsiTheme="minorHAnsi" w:cstheme="minorHAnsi"/>
        </w:rPr>
        <w:t>a primary point of contact for communication and supervision</w:t>
      </w:r>
    </w:p>
    <w:p w14:paraId="0B9845FF" w14:textId="77777777" w:rsidR="00F121EA" w:rsidRPr="00CB43F7" w:rsidRDefault="00F121EA" w:rsidP="001707B8">
      <w:pPr>
        <w:pStyle w:val="VACRCbody-landscape"/>
        <w:numPr>
          <w:ilvl w:val="0"/>
          <w:numId w:val="35"/>
        </w:numPr>
        <w:shd w:val="clear" w:color="auto" w:fill="FBE4D5"/>
        <w:rPr>
          <w:rFonts w:asciiTheme="minorHAnsi" w:hAnsiTheme="minorHAnsi" w:cstheme="minorHAnsi"/>
        </w:rPr>
      </w:pPr>
      <w:r w:rsidRPr="00CB43F7">
        <w:rPr>
          <w:rFonts w:asciiTheme="minorHAnsi" w:hAnsiTheme="minorHAnsi" w:cstheme="minorHAnsi"/>
        </w:rPr>
        <w:t>free and correctly fitted PPE and free rapid antigen tests for all volunteers</w:t>
      </w:r>
    </w:p>
    <w:p w14:paraId="428C0A2B" w14:textId="38540D8A" w:rsidR="00F121EA" w:rsidRPr="00626E0D" w:rsidRDefault="00F121EA" w:rsidP="001707B8">
      <w:pPr>
        <w:pStyle w:val="VACRCbody-landscape"/>
        <w:numPr>
          <w:ilvl w:val="0"/>
          <w:numId w:val="35"/>
        </w:numPr>
        <w:shd w:val="clear" w:color="auto" w:fill="FBE4D5"/>
      </w:pPr>
      <w:r w:rsidRPr="00CB43F7">
        <w:rPr>
          <w:rFonts w:asciiTheme="minorHAnsi" w:hAnsiTheme="minorHAnsi" w:cstheme="minorHAnsi"/>
        </w:rPr>
        <w:t>a signed statement of agreement with volunteer regarding their role and support.</w:t>
      </w:r>
      <w:r>
        <w:br w:type="page"/>
      </w:r>
    </w:p>
    <w:p w14:paraId="2D0E23CA" w14:textId="0802A651" w:rsidR="00055675" w:rsidRPr="00055675" w:rsidRDefault="00F121EA" w:rsidP="00561FC2">
      <w:pPr>
        <w:keepNext/>
        <w:keepLines/>
        <w:spacing w:before="120" w:after="120" w:line="250" w:lineRule="atLeast"/>
        <w:outlineLvl w:val="0"/>
        <w:rPr>
          <w:rFonts w:ascii="Arial Nova" w:hAnsi="Arial Nova"/>
          <w:b/>
          <w:bCs/>
          <w:color w:val="2F5496"/>
          <w:sz w:val="48"/>
          <w:szCs w:val="48"/>
        </w:rPr>
      </w:pPr>
      <w:bookmarkStart w:id="145" w:name="_Toc108624590"/>
      <w:r>
        <w:rPr>
          <w:rFonts w:ascii="Arial Nova" w:hAnsi="Arial Nova"/>
          <w:b/>
          <w:bCs/>
          <w:color w:val="2F5496"/>
          <w:sz w:val="48"/>
          <w:szCs w:val="48"/>
        </w:rPr>
        <w:lastRenderedPageBreak/>
        <w:t>Recovery and Resilience</w:t>
      </w:r>
      <w:bookmarkEnd w:id="145"/>
    </w:p>
    <w:p w14:paraId="15B931D6" w14:textId="77777777" w:rsidR="00811532" w:rsidRPr="00A006F2" w:rsidRDefault="00811532" w:rsidP="00811532">
      <w:pPr>
        <w:pStyle w:val="VACRCbody-landscape"/>
        <w:rPr>
          <w:rFonts w:asciiTheme="minorHAnsi" w:hAnsiTheme="minorHAnsi" w:cstheme="minorHAnsi"/>
        </w:rPr>
      </w:pPr>
      <w:r w:rsidRPr="00A006F2">
        <w:rPr>
          <w:rFonts w:asciiTheme="minorHAnsi" w:hAnsiTheme="minorHAnsi" w:cstheme="minorHAnsi"/>
        </w:rPr>
        <w:t>The final phase of this Plan is “Recovery and Resilience”. This recognises the importance of providing support to aged care providers in the immediate period after outbreaks occur, and for providers to reflect on their response to the outbreak and assist staff to receive support and respite. It provides an important chance for each facility to review what worked and what could be improved during outbreak management. This phase is a key part of the emergency management and response process, providing opportunities for continual improvement.</w:t>
      </w:r>
    </w:p>
    <w:p w14:paraId="127FB568" w14:textId="3D33B13A" w:rsidR="00055675" w:rsidRPr="00A006F2" w:rsidRDefault="00055675" w:rsidP="003E3E13">
      <w:pPr>
        <w:pStyle w:val="VACRCbody-landscape"/>
        <w:rPr>
          <w:rFonts w:asciiTheme="minorHAnsi" w:hAnsiTheme="minorHAnsi" w:cstheme="minorHAnsi"/>
        </w:rPr>
      </w:pPr>
      <w:r w:rsidRPr="00A006F2">
        <w:rPr>
          <w:rFonts w:asciiTheme="minorHAnsi" w:hAnsiTheme="minorHAnsi" w:cstheme="minorHAnsi"/>
        </w:rPr>
        <w:t xml:space="preserve">The </w:t>
      </w:r>
      <w:r w:rsidR="00F121EA" w:rsidRPr="00A006F2">
        <w:rPr>
          <w:rFonts w:asciiTheme="minorHAnsi" w:hAnsiTheme="minorHAnsi" w:cstheme="minorHAnsi"/>
        </w:rPr>
        <w:t xml:space="preserve">checklists </w:t>
      </w:r>
      <w:r w:rsidRPr="00A006F2">
        <w:rPr>
          <w:rFonts w:asciiTheme="minorHAnsi" w:hAnsiTheme="minorHAnsi" w:cstheme="minorHAnsi"/>
        </w:rPr>
        <w:t>provided at the end of this document contain examples of practical and operational actions, which providers should consider during the ‘Recovery and Resilience’ phase, to assist post-response support for staff and residents and ensure processes are continually improved.</w:t>
      </w:r>
    </w:p>
    <w:p w14:paraId="0269A885" w14:textId="0322CDB9" w:rsidR="00055675" w:rsidRPr="00A006F2" w:rsidRDefault="00055675" w:rsidP="00E24013">
      <w:pPr>
        <w:pStyle w:val="VACRCbody-landscape"/>
        <w:spacing w:after="160"/>
        <w:rPr>
          <w:rFonts w:asciiTheme="minorHAnsi" w:hAnsiTheme="minorHAnsi" w:cstheme="minorHAnsi"/>
        </w:rPr>
      </w:pPr>
      <w:r w:rsidRPr="00A006F2">
        <w:rPr>
          <w:rFonts w:asciiTheme="minorHAnsi" w:hAnsiTheme="minorHAnsi" w:cstheme="minorHAnsi"/>
        </w:rPr>
        <w:t>Providers may move between this phase and the response phase on a recurring basis, highlighting the importance of ongoing Readiness, as set out in the first phase.</w:t>
      </w:r>
    </w:p>
    <w:p w14:paraId="2A72B9E7" w14:textId="0CA864DF" w:rsidR="00055675" w:rsidRPr="00A006F2" w:rsidRDefault="00055675" w:rsidP="003E3E13">
      <w:pPr>
        <w:pStyle w:val="VACRCbody-landscape"/>
        <w:shd w:val="clear" w:color="auto" w:fill="DEEAF6"/>
        <w:rPr>
          <w:rFonts w:asciiTheme="minorHAnsi" w:hAnsiTheme="minorHAnsi" w:cstheme="minorHAnsi"/>
          <w:b/>
          <w:bCs/>
        </w:rPr>
      </w:pPr>
      <w:bookmarkStart w:id="146" w:name="_Toc101419781"/>
      <w:bookmarkStart w:id="147" w:name="_Toc101539858"/>
      <w:bookmarkStart w:id="148" w:name="_Toc102482467"/>
      <w:bookmarkStart w:id="149" w:name="_Toc104459173"/>
      <w:r w:rsidRPr="00A006F2">
        <w:rPr>
          <w:rFonts w:asciiTheme="minorHAnsi" w:hAnsiTheme="minorHAnsi" w:cstheme="minorHAnsi"/>
          <w:b/>
          <w:bCs/>
        </w:rPr>
        <w:t>Provider responsibilities</w:t>
      </w:r>
      <w:bookmarkEnd w:id="146"/>
      <w:bookmarkEnd w:id="147"/>
      <w:bookmarkEnd w:id="148"/>
      <w:bookmarkEnd w:id="149"/>
    </w:p>
    <w:p w14:paraId="623761F3" w14:textId="79CB46E0" w:rsidR="00F121EA" w:rsidRPr="00A006F2" w:rsidRDefault="00F121EA" w:rsidP="003E3E13">
      <w:pPr>
        <w:pStyle w:val="VACRCbody-landscape"/>
        <w:shd w:val="clear" w:color="auto" w:fill="DEEAF6"/>
        <w:rPr>
          <w:rFonts w:asciiTheme="minorHAnsi" w:hAnsiTheme="minorHAnsi" w:cstheme="minorHAnsi"/>
          <w:lang w:eastAsia="en-AU"/>
        </w:rPr>
      </w:pPr>
      <w:r w:rsidRPr="00A006F2">
        <w:rPr>
          <w:rFonts w:asciiTheme="minorHAnsi" w:hAnsiTheme="minorHAnsi" w:cstheme="minorHAnsi"/>
          <w:lang w:eastAsia="en-AU"/>
        </w:rPr>
        <w:t xml:space="preserve">Providers should consider how their facility will support recovery in their </w:t>
      </w:r>
      <w:r w:rsidR="00811532">
        <w:rPr>
          <w:rFonts w:asciiTheme="minorHAnsi" w:hAnsiTheme="minorHAnsi" w:cstheme="minorHAnsi"/>
        </w:rPr>
        <w:t>aged care home</w:t>
      </w:r>
      <w:r w:rsidR="00811532" w:rsidRPr="002C6972">
        <w:rPr>
          <w:rFonts w:asciiTheme="minorHAnsi" w:hAnsiTheme="minorHAnsi" w:cstheme="minorHAnsi"/>
        </w:rPr>
        <w:t xml:space="preserve"> </w:t>
      </w:r>
      <w:r w:rsidRPr="00A006F2">
        <w:rPr>
          <w:rFonts w:asciiTheme="minorHAnsi" w:hAnsiTheme="minorHAnsi" w:cstheme="minorHAnsi"/>
          <w:lang w:eastAsia="en-AU"/>
        </w:rPr>
        <w:t>including:</w:t>
      </w:r>
    </w:p>
    <w:p w14:paraId="01B59414" w14:textId="733424FB" w:rsidR="00F121EA" w:rsidRPr="00A006F2" w:rsidRDefault="00F121EA" w:rsidP="001707B8">
      <w:pPr>
        <w:pStyle w:val="VACRCbody-landscape"/>
        <w:numPr>
          <w:ilvl w:val="0"/>
          <w:numId w:val="30"/>
        </w:numPr>
        <w:shd w:val="clear" w:color="auto" w:fill="DEEAF6"/>
        <w:rPr>
          <w:rFonts w:asciiTheme="minorHAnsi" w:hAnsiTheme="minorHAnsi" w:cstheme="minorHAnsi"/>
          <w:lang w:eastAsia="en-AU"/>
        </w:rPr>
      </w:pPr>
      <w:r w:rsidRPr="00A006F2">
        <w:rPr>
          <w:rFonts w:asciiTheme="minorHAnsi" w:hAnsiTheme="minorHAnsi" w:cstheme="minorHAnsi"/>
          <w:lang w:eastAsia="en-AU"/>
        </w:rPr>
        <w:t>Assessment of current level of care delivered to residents, including addressing any gaps due to staffing or isolation limitations.</w:t>
      </w:r>
    </w:p>
    <w:p w14:paraId="2DFE6CDA" w14:textId="5BC2BBEA" w:rsidR="00F121EA" w:rsidRPr="00A006F2" w:rsidRDefault="00F121EA" w:rsidP="001707B8">
      <w:pPr>
        <w:pStyle w:val="VACRCbody-landscape"/>
        <w:numPr>
          <w:ilvl w:val="0"/>
          <w:numId w:val="30"/>
        </w:numPr>
        <w:shd w:val="clear" w:color="auto" w:fill="DEEAF6"/>
        <w:rPr>
          <w:rFonts w:asciiTheme="minorHAnsi" w:hAnsiTheme="minorHAnsi" w:cstheme="minorHAnsi"/>
          <w:lang w:eastAsia="en-AU"/>
        </w:rPr>
      </w:pPr>
      <w:r w:rsidRPr="00A006F2">
        <w:rPr>
          <w:rFonts w:asciiTheme="minorHAnsi" w:hAnsiTheme="minorHAnsi" w:cstheme="minorHAnsi"/>
          <w:lang w:eastAsia="en-AU"/>
        </w:rPr>
        <w:t>Assessment of the current physical and emotional wellbeing of residents and considering how to address any deterioration in the residents’ condition that may have occurred during lockdown.</w:t>
      </w:r>
    </w:p>
    <w:p w14:paraId="14A2B9C6" w14:textId="4C9EE82A" w:rsidR="00F121EA" w:rsidRPr="00A006F2" w:rsidRDefault="00F121EA" w:rsidP="001707B8">
      <w:pPr>
        <w:pStyle w:val="VACRCbody-landscape"/>
        <w:numPr>
          <w:ilvl w:val="0"/>
          <w:numId w:val="30"/>
        </w:numPr>
        <w:shd w:val="clear" w:color="auto" w:fill="DEEAF6"/>
        <w:rPr>
          <w:rFonts w:asciiTheme="minorHAnsi" w:hAnsiTheme="minorHAnsi" w:cstheme="minorHAnsi"/>
          <w:lang w:eastAsia="en-AU"/>
        </w:rPr>
      </w:pPr>
      <w:r w:rsidRPr="00A006F2">
        <w:rPr>
          <w:rFonts w:asciiTheme="minorHAnsi" w:hAnsiTheme="minorHAnsi" w:cstheme="minorHAnsi"/>
          <w:lang w:eastAsia="en-AU"/>
        </w:rPr>
        <w:t>Management of the return of staff impacted by COVID-19 work after the public health unit* has cleared them fit to return.</w:t>
      </w:r>
    </w:p>
    <w:p w14:paraId="41BD8B7D" w14:textId="066AFCA9" w:rsidR="00F121EA" w:rsidRPr="00A006F2" w:rsidRDefault="00F121EA" w:rsidP="001707B8">
      <w:pPr>
        <w:pStyle w:val="VACRCbody-landscape"/>
        <w:numPr>
          <w:ilvl w:val="0"/>
          <w:numId w:val="30"/>
        </w:numPr>
        <w:shd w:val="clear" w:color="auto" w:fill="DEEAF6"/>
        <w:rPr>
          <w:rFonts w:asciiTheme="minorHAnsi" w:hAnsiTheme="minorHAnsi" w:cstheme="minorHAnsi"/>
          <w:lang w:eastAsia="en-AU"/>
        </w:rPr>
      </w:pPr>
      <w:r w:rsidRPr="00A006F2">
        <w:rPr>
          <w:rFonts w:asciiTheme="minorHAnsi" w:hAnsiTheme="minorHAnsi" w:cstheme="minorHAnsi"/>
          <w:lang w:eastAsia="en-AU"/>
        </w:rPr>
        <w:t xml:space="preserve">Management of the return of residents to the </w:t>
      </w:r>
      <w:r w:rsidR="00811532">
        <w:rPr>
          <w:rFonts w:asciiTheme="minorHAnsi" w:hAnsiTheme="minorHAnsi" w:cstheme="minorHAnsi"/>
        </w:rPr>
        <w:t>aged care home</w:t>
      </w:r>
      <w:r w:rsidR="00811532" w:rsidRPr="002C6972">
        <w:rPr>
          <w:rFonts w:asciiTheme="minorHAnsi" w:hAnsiTheme="minorHAnsi" w:cstheme="minorHAnsi"/>
        </w:rPr>
        <w:t xml:space="preserve"> </w:t>
      </w:r>
      <w:r w:rsidRPr="00A006F2">
        <w:rPr>
          <w:rFonts w:asciiTheme="minorHAnsi" w:hAnsiTheme="minorHAnsi" w:cstheme="minorHAnsi"/>
          <w:lang w:eastAsia="en-AU"/>
        </w:rPr>
        <w:t>if they were hospitalised during the outbreak.</w:t>
      </w:r>
    </w:p>
    <w:p w14:paraId="691BA18A" w14:textId="0F1D5435" w:rsidR="00F121EA" w:rsidRPr="00A006F2" w:rsidRDefault="00F121EA" w:rsidP="001707B8">
      <w:pPr>
        <w:pStyle w:val="VACRCbody-landscape"/>
        <w:numPr>
          <w:ilvl w:val="0"/>
          <w:numId w:val="30"/>
        </w:numPr>
        <w:shd w:val="clear" w:color="auto" w:fill="DEEAF6"/>
        <w:rPr>
          <w:rFonts w:asciiTheme="minorHAnsi" w:hAnsiTheme="minorHAnsi" w:cstheme="minorHAnsi"/>
          <w:lang w:eastAsia="en-AU"/>
        </w:rPr>
      </w:pPr>
      <w:r w:rsidRPr="00A006F2">
        <w:rPr>
          <w:rFonts w:asciiTheme="minorHAnsi" w:hAnsiTheme="minorHAnsi" w:cstheme="minorHAnsi"/>
          <w:lang w:eastAsia="en-AU"/>
        </w:rPr>
        <w:t>Identification of any additional costs incurred in the management of the outbreak and consider seeking reimbursement through the Aged Care Support Extension Grant if eligible.</w:t>
      </w:r>
    </w:p>
    <w:p w14:paraId="64111980" w14:textId="77777777" w:rsidR="00F121EA" w:rsidRPr="00A006F2" w:rsidRDefault="00F121EA" w:rsidP="003E3E13">
      <w:pPr>
        <w:pStyle w:val="VACRCbody-landscape"/>
        <w:shd w:val="clear" w:color="auto" w:fill="DEEAF6"/>
        <w:rPr>
          <w:rFonts w:asciiTheme="minorHAnsi" w:hAnsiTheme="minorHAnsi" w:cstheme="minorHAnsi"/>
          <w:lang w:eastAsia="en-AU"/>
        </w:rPr>
      </w:pPr>
      <w:r w:rsidRPr="00A006F2">
        <w:rPr>
          <w:rFonts w:asciiTheme="minorHAnsi" w:hAnsiTheme="minorHAnsi" w:cstheme="minorHAnsi"/>
          <w:lang w:eastAsia="en-AU"/>
        </w:rPr>
        <w:t>After the public health unit* declares the outbreak is over, the outbreak management team should consult with the local public health unit to consider holding a debrief of the situation. The debrief should identify:</w:t>
      </w:r>
    </w:p>
    <w:p w14:paraId="7F0C32B1" w14:textId="77777777" w:rsidR="00F121EA" w:rsidRPr="00A006F2" w:rsidRDefault="00F121EA" w:rsidP="001707B8">
      <w:pPr>
        <w:pStyle w:val="VACRCbody-landscape"/>
        <w:numPr>
          <w:ilvl w:val="0"/>
          <w:numId w:val="29"/>
        </w:numPr>
        <w:shd w:val="clear" w:color="auto" w:fill="DEEAF6"/>
        <w:rPr>
          <w:rFonts w:asciiTheme="minorHAnsi" w:hAnsiTheme="minorHAnsi" w:cstheme="minorHAnsi"/>
          <w:lang w:eastAsia="en-AU"/>
        </w:rPr>
      </w:pPr>
      <w:r w:rsidRPr="00A006F2">
        <w:rPr>
          <w:rFonts w:asciiTheme="minorHAnsi" w:hAnsiTheme="minorHAnsi" w:cstheme="minorHAnsi"/>
          <w:lang w:eastAsia="en-AU"/>
        </w:rPr>
        <w:t>strengths and weaknesses in the response and investigation</w:t>
      </w:r>
    </w:p>
    <w:p w14:paraId="634DB418" w14:textId="3AAF72A7" w:rsidR="00F121EA" w:rsidRPr="00A006F2" w:rsidRDefault="00F121EA" w:rsidP="001707B8">
      <w:pPr>
        <w:pStyle w:val="VACRCbody-landscape"/>
        <w:numPr>
          <w:ilvl w:val="0"/>
          <w:numId w:val="29"/>
        </w:numPr>
        <w:shd w:val="clear" w:color="auto" w:fill="DEEAF6"/>
        <w:rPr>
          <w:rFonts w:asciiTheme="minorHAnsi" w:hAnsiTheme="minorHAnsi" w:cstheme="minorHAnsi"/>
          <w:lang w:eastAsia="en-AU"/>
        </w:rPr>
      </w:pPr>
      <w:r w:rsidRPr="00A006F2">
        <w:rPr>
          <w:rFonts w:asciiTheme="minorHAnsi" w:hAnsiTheme="minorHAnsi" w:cstheme="minorHAnsi"/>
          <w:lang w:eastAsia="en-AU"/>
        </w:rPr>
        <w:t>any policies, practices or procedures that should be improved</w:t>
      </w:r>
      <w:r w:rsidR="00660BCA">
        <w:rPr>
          <w:rFonts w:asciiTheme="minorHAnsi" w:hAnsiTheme="minorHAnsi" w:cstheme="minorHAnsi"/>
          <w:lang w:eastAsia="en-AU"/>
        </w:rPr>
        <w:t xml:space="preserve"> </w:t>
      </w:r>
      <w:r w:rsidRPr="00A006F2">
        <w:rPr>
          <w:rFonts w:asciiTheme="minorHAnsi" w:hAnsiTheme="minorHAnsi" w:cstheme="minorHAnsi"/>
          <w:lang w:eastAsia="en-AU"/>
        </w:rPr>
        <w:t>for future outbreaks.</w:t>
      </w:r>
    </w:p>
    <w:p w14:paraId="4CE92912" w14:textId="3702EFF6" w:rsidR="00F121EA" w:rsidRPr="00A006F2" w:rsidRDefault="00F121EA" w:rsidP="00E24013">
      <w:pPr>
        <w:pStyle w:val="VACRCbody-landscape"/>
        <w:shd w:val="clear" w:color="auto" w:fill="DEEAF6"/>
        <w:spacing w:after="160"/>
        <w:rPr>
          <w:rFonts w:asciiTheme="minorHAnsi" w:hAnsiTheme="minorHAnsi" w:cstheme="minorHAnsi"/>
          <w:b/>
          <w:bCs/>
          <w:color w:val="2F5496"/>
          <w:sz w:val="32"/>
          <w:szCs w:val="32"/>
        </w:rPr>
      </w:pPr>
      <w:r w:rsidRPr="00A006F2">
        <w:rPr>
          <w:rFonts w:asciiTheme="minorHAnsi" w:hAnsiTheme="minorHAnsi" w:cstheme="minorHAnsi"/>
          <w:i/>
          <w:iCs/>
          <w:lang w:eastAsia="en-AU"/>
        </w:rPr>
        <w:t>*as applicable in each jurisdiction.</w:t>
      </w:r>
    </w:p>
    <w:p w14:paraId="00DF8B01" w14:textId="77777777" w:rsidR="00055675" w:rsidRPr="00055675" w:rsidRDefault="00055675" w:rsidP="00A006F2">
      <w:pPr>
        <w:keepNext/>
        <w:keepLines/>
        <w:spacing w:before="120" w:after="120" w:line="250" w:lineRule="atLeast"/>
        <w:outlineLvl w:val="1"/>
        <w:rPr>
          <w:rFonts w:ascii="Arial Nova" w:hAnsi="Arial Nova"/>
          <w:b/>
          <w:bCs/>
          <w:color w:val="2F5496"/>
          <w:sz w:val="32"/>
          <w:szCs w:val="32"/>
        </w:rPr>
      </w:pPr>
      <w:bookmarkStart w:id="150" w:name="_Supporting_resident_recovery"/>
      <w:bookmarkStart w:id="151" w:name="_Toc102482469"/>
      <w:bookmarkStart w:id="152" w:name="_Toc104459174"/>
      <w:bookmarkStart w:id="153" w:name="_Toc108624591"/>
      <w:bookmarkEnd w:id="150"/>
      <w:r w:rsidRPr="00055675">
        <w:rPr>
          <w:rFonts w:ascii="Arial Nova" w:hAnsi="Arial Nova"/>
          <w:b/>
          <w:bCs/>
          <w:color w:val="2F5496"/>
          <w:sz w:val="32"/>
          <w:szCs w:val="32"/>
        </w:rPr>
        <w:t>Supporting resident recovery</w:t>
      </w:r>
      <w:bookmarkEnd w:id="151"/>
      <w:bookmarkEnd w:id="152"/>
      <w:bookmarkEnd w:id="153"/>
    </w:p>
    <w:p w14:paraId="1AE4588B" w14:textId="33328752" w:rsidR="00055675" w:rsidRPr="00A006F2" w:rsidRDefault="00055675" w:rsidP="00A006F2">
      <w:pPr>
        <w:keepNext/>
        <w:keepLines/>
        <w:spacing w:before="120" w:after="120" w:line="240" w:lineRule="atLeast"/>
        <w:outlineLvl w:val="2"/>
        <w:rPr>
          <w:rFonts w:ascii="Arial Nova" w:hAnsi="Arial Nova"/>
          <w:i/>
          <w:iCs/>
          <w:color w:val="4472C4"/>
          <w:sz w:val="28"/>
          <w:szCs w:val="28"/>
        </w:rPr>
      </w:pPr>
      <w:bookmarkStart w:id="154" w:name="_Reablement_of_residents"/>
      <w:bookmarkStart w:id="155" w:name="_Toc102482470"/>
      <w:bookmarkStart w:id="156" w:name="_Toc104459175"/>
      <w:bookmarkStart w:id="157" w:name="_Toc108624592"/>
      <w:bookmarkEnd w:id="154"/>
      <w:r w:rsidRPr="00A006F2">
        <w:rPr>
          <w:rFonts w:ascii="Arial Nova" w:hAnsi="Arial Nova"/>
          <w:i/>
          <w:iCs/>
          <w:color w:val="4472C4"/>
          <w:sz w:val="28"/>
          <w:szCs w:val="28"/>
        </w:rPr>
        <w:t>Reablement of residents</w:t>
      </w:r>
      <w:bookmarkEnd w:id="155"/>
      <w:bookmarkEnd w:id="156"/>
      <w:bookmarkEnd w:id="157"/>
    </w:p>
    <w:p w14:paraId="4525824C" w14:textId="347E1321" w:rsidR="00055675" w:rsidRPr="00A006F2" w:rsidRDefault="00055675" w:rsidP="003E3E13">
      <w:pPr>
        <w:pStyle w:val="VACRCbody-landscape"/>
        <w:rPr>
          <w:rFonts w:asciiTheme="minorHAnsi" w:hAnsiTheme="minorHAnsi" w:cstheme="minorHAnsi"/>
        </w:rPr>
      </w:pPr>
      <w:r w:rsidRPr="00A006F2">
        <w:rPr>
          <w:rFonts w:asciiTheme="minorHAnsi" w:hAnsiTheme="minorHAnsi" w:cstheme="minorHAnsi"/>
        </w:rPr>
        <w:t>As a result of COVID-19 lockdowns and isolation requirements, many residents may have experienced physical, psychological and/or nutritional deconditioning. Providers will need to work with residents and their families on how they can support residents to regain lost capacity and mobility.</w:t>
      </w:r>
    </w:p>
    <w:p w14:paraId="54A2530F" w14:textId="7C2666B7" w:rsidR="00055675" w:rsidRPr="00A006F2" w:rsidRDefault="00055675" w:rsidP="003E3E13">
      <w:pPr>
        <w:pStyle w:val="VACRCbody-landscape"/>
        <w:rPr>
          <w:rFonts w:asciiTheme="minorHAnsi" w:hAnsiTheme="minorHAnsi" w:cstheme="minorHAnsi"/>
        </w:rPr>
      </w:pPr>
      <w:r w:rsidRPr="00A006F2">
        <w:rPr>
          <w:rFonts w:asciiTheme="minorHAnsi" w:hAnsiTheme="minorHAnsi" w:cstheme="minorHAnsi"/>
        </w:rPr>
        <w:t>In-home and community aged care providers should also consider how they can support their clients to regain lost capacity and mobility, including through supporting access to allied health services.</w:t>
      </w:r>
    </w:p>
    <w:p w14:paraId="4CF8E24C" w14:textId="64EDED5B" w:rsidR="00055675" w:rsidRPr="00A006F2" w:rsidRDefault="00055675" w:rsidP="00A006F2">
      <w:pPr>
        <w:keepNext/>
        <w:keepLines/>
        <w:spacing w:before="120" w:after="120" w:line="240" w:lineRule="atLeast"/>
        <w:outlineLvl w:val="2"/>
        <w:rPr>
          <w:rFonts w:ascii="Arial Nova" w:hAnsi="Arial Nova"/>
          <w:i/>
          <w:iCs/>
          <w:color w:val="4472C4"/>
          <w:sz w:val="28"/>
          <w:szCs w:val="28"/>
        </w:rPr>
      </w:pPr>
      <w:bookmarkStart w:id="158" w:name="_Toc102482471"/>
      <w:bookmarkStart w:id="159" w:name="_Toc104459176"/>
      <w:bookmarkStart w:id="160" w:name="_Toc108624593"/>
      <w:r w:rsidRPr="00A006F2">
        <w:rPr>
          <w:rFonts w:ascii="Arial Nova" w:hAnsi="Arial Nova"/>
          <w:i/>
          <w:iCs/>
          <w:color w:val="4472C4"/>
          <w:sz w:val="28"/>
          <w:szCs w:val="28"/>
        </w:rPr>
        <w:t xml:space="preserve">Allied </w:t>
      </w:r>
      <w:r w:rsidR="00062A44" w:rsidRPr="00A006F2">
        <w:rPr>
          <w:rFonts w:ascii="Arial Nova" w:hAnsi="Arial Nova"/>
          <w:i/>
          <w:iCs/>
          <w:color w:val="4472C4"/>
          <w:sz w:val="28"/>
          <w:szCs w:val="28"/>
        </w:rPr>
        <w:t xml:space="preserve">heath </w:t>
      </w:r>
      <w:r w:rsidRPr="00A006F2">
        <w:rPr>
          <w:rFonts w:ascii="Arial Nova" w:hAnsi="Arial Nova"/>
          <w:i/>
          <w:iCs/>
          <w:color w:val="4472C4"/>
          <w:sz w:val="28"/>
          <w:szCs w:val="28"/>
        </w:rPr>
        <w:t>support</w:t>
      </w:r>
      <w:bookmarkEnd w:id="158"/>
      <w:bookmarkEnd w:id="159"/>
      <w:bookmarkEnd w:id="160"/>
    </w:p>
    <w:p w14:paraId="030E6F0E" w14:textId="516B877B" w:rsidR="00055675" w:rsidRPr="00A006F2" w:rsidRDefault="00055675" w:rsidP="003E3E13">
      <w:pPr>
        <w:pStyle w:val="VACRCbody-landscape"/>
        <w:rPr>
          <w:rFonts w:asciiTheme="minorHAnsi" w:hAnsiTheme="minorHAnsi" w:cstheme="minorHAnsi"/>
        </w:rPr>
      </w:pPr>
      <w:r w:rsidRPr="00A006F2">
        <w:rPr>
          <w:rFonts w:asciiTheme="minorHAnsi" w:hAnsiTheme="minorHAnsi" w:cstheme="minorHAnsi"/>
        </w:rPr>
        <w:t xml:space="preserve">Access to allied health services is important to maintaining the health and wellbeing of older Australians. Allied health professionals provide a wide range of essential services for </w:t>
      </w:r>
      <w:r w:rsidR="00811532">
        <w:rPr>
          <w:rFonts w:asciiTheme="minorHAnsi" w:hAnsiTheme="minorHAnsi" w:cstheme="minorHAnsi"/>
        </w:rPr>
        <w:t>aged care homes</w:t>
      </w:r>
      <w:r w:rsidR="00811532" w:rsidRPr="002C6972">
        <w:rPr>
          <w:rFonts w:asciiTheme="minorHAnsi" w:hAnsiTheme="minorHAnsi" w:cstheme="minorHAnsi"/>
        </w:rPr>
        <w:t xml:space="preserve"> </w:t>
      </w:r>
      <w:r w:rsidRPr="00A006F2">
        <w:rPr>
          <w:rFonts w:asciiTheme="minorHAnsi" w:hAnsiTheme="minorHAnsi" w:cstheme="minorHAnsi"/>
        </w:rPr>
        <w:t>residents to support their mobility, pain management and daily activities.</w:t>
      </w:r>
    </w:p>
    <w:p w14:paraId="5BC71FB6" w14:textId="1ECFE9C5" w:rsidR="00055675" w:rsidRPr="00A006F2" w:rsidRDefault="00055675" w:rsidP="003E3E13">
      <w:pPr>
        <w:pStyle w:val="VACRCbody-landscape"/>
        <w:rPr>
          <w:rFonts w:asciiTheme="minorHAnsi" w:hAnsiTheme="minorHAnsi" w:cstheme="minorHAnsi"/>
        </w:rPr>
      </w:pPr>
      <w:r w:rsidRPr="00A006F2">
        <w:rPr>
          <w:rFonts w:asciiTheme="minorHAnsi" w:hAnsiTheme="minorHAnsi" w:cstheme="minorHAnsi"/>
        </w:rPr>
        <w:t>Facilitating additional access as required in the Recovery phase can help support reablement of residents and mitigate the impacts of any deconditioning which has occurred.</w:t>
      </w:r>
    </w:p>
    <w:p w14:paraId="011868BB" w14:textId="25395A58" w:rsidR="00055675" w:rsidRPr="00967B8E" w:rsidRDefault="00811532" w:rsidP="003E3E13">
      <w:pPr>
        <w:pStyle w:val="VACRCbody-landscape"/>
        <w:rPr>
          <w:rFonts w:asciiTheme="minorHAnsi" w:hAnsiTheme="minorHAnsi" w:cstheme="minorHAnsi"/>
        </w:rPr>
      </w:pPr>
      <w:r>
        <w:rPr>
          <w:rFonts w:asciiTheme="minorHAnsi" w:hAnsiTheme="minorHAnsi" w:cstheme="minorHAnsi"/>
        </w:rPr>
        <w:t>Aged care homes</w:t>
      </w:r>
      <w:r w:rsidRPr="002C6972">
        <w:rPr>
          <w:rFonts w:asciiTheme="minorHAnsi" w:hAnsiTheme="minorHAnsi" w:cstheme="minorHAnsi"/>
        </w:rPr>
        <w:t xml:space="preserve"> </w:t>
      </w:r>
      <w:r w:rsidR="00055675" w:rsidRPr="00967B8E">
        <w:rPr>
          <w:rFonts w:asciiTheme="minorHAnsi" w:hAnsiTheme="minorHAnsi" w:cstheme="minorHAnsi"/>
        </w:rPr>
        <w:t xml:space="preserve">should consult with allied health professionals as part of their reablement planning. Further advice on preventing deconditioning can be found in the </w:t>
      </w:r>
      <w:hyperlink r:id="rId69" w:history="1">
        <w:r w:rsidR="00055675" w:rsidRPr="00967B8E">
          <w:rPr>
            <w:rFonts w:asciiTheme="minorHAnsi" w:hAnsiTheme="minorHAnsi" w:cstheme="minorHAnsi"/>
            <w:color w:val="0563C1"/>
          </w:rPr>
          <w:t>Commonwealth Department of Health Visitation Guidelines for Residential Aged Care Facilities</w:t>
        </w:r>
      </w:hyperlink>
      <w:r w:rsidR="00055675" w:rsidRPr="00967B8E">
        <w:rPr>
          <w:rFonts w:asciiTheme="minorHAnsi" w:hAnsiTheme="minorHAnsi" w:cstheme="minorHAnsi"/>
        </w:rPr>
        <w:t>.</w:t>
      </w:r>
      <w:bookmarkStart w:id="161" w:name="_Supporting_staff_recovery"/>
      <w:bookmarkStart w:id="162" w:name="_Toc101419784"/>
      <w:bookmarkStart w:id="163" w:name="_Toc101539861"/>
      <w:bookmarkEnd w:id="161"/>
    </w:p>
    <w:p w14:paraId="20768FB9" w14:textId="77777777" w:rsidR="00055675" w:rsidRPr="00055675" w:rsidRDefault="00055675" w:rsidP="00A006F2">
      <w:pPr>
        <w:keepNext/>
        <w:keepLines/>
        <w:spacing w:before="120" w:after="120" w:line="250" w:lineRule="atLeast"/>
        <w:outlineLvl w:val="1"/>
        <w:rPr>
          <w:rFonts w:ascii="Arial Nova" w:hAnsi="Arial Nova"/>
          <w:b/>
          <w:bCs/>
          <w:color w:val="2F5496"/>
          <w:sz w:val="32"/>
          <w:szCs w:val="32"/>
        </w:rPr>
      </w:pPr>
      <w:bookmarkStart w:id="164" w:name="_Grief_and_trauma"/>
      <w:bookmarkStart w:id="165" w:name="_Toc102482472"/>
      <w:bookmarkStart w:id="166" w:name="_Toc104459177"/>
      <w:bookmarkStart w:id="167" w:name="_Toc108624594"/>
      <w:bookmarkEnd w:id="164"/>
      <w:r w:rsidRPr="00055675">
        <w:rPr>
          <w:rFonts w:ascii="Arial Nova" w:hAnsi="Arial Nova"/>
          <w:b/>
          <w:bCs/>
          <w:color w:val="2F5496"/>
          <w:sz w:val="32"/>
          <w:szCs w:val="32"/>
        </w:rPr>
        <w:lastRenderedPageBreak/>
        <w:t xml:space="preserve">Grief and trauma </w:t>
      </w:r>
      <w:bookmarkEnd w:id="162"/>
      <w:bookmarkEnd w:id="163"/>
      <w:bookmarkEnd w:id="165"/>
      <w:r w:rsidRPr="00055675">
        <w:rPr>
          <w:rFonts w:ascii="Arial Nova" w:hAnsi="Arial Nova"/>
          <w:b/>
          <w:bCs/>
          <w:color w:val="2F5496"/>
          <w:sz w:val="32"/>
          <w:szCs w:val="32"/>
        </w:rPr>
        <w:t>support</w:t>
      </w:r>
      <w:bookmarkEnd w:id="166"/>
      <w:bookmarkEnd w:id="167"/>
    </w:p>
    <w:p w14:paraId="7F74721D" w14:textId="77777777" w:rsidR="00055675" w:rsidRPr="00A006F2" w:rsidRDefault="00055675" w:rsidP="003E3E13">
      <w:pPr>
        <w:pStyle w:val="VACRCbody-landscape"/>
        <w:rPr>
          <w:rFonts w:asciiTheme="minorHAnsi" w:hAnsiTheme="minorHAnsi" w:cstheme="minorHAnsi"/>
          <w:lang w:eastAsia="en-AU"/>
        </w:rPr>
      </w:pPr>
      <w:r w:rsidRPr="00A006F2">
        <w:rPr>
          <w:rFonts w:asciiTheme="minorHAnsi" w:hAnsiTheme="minorHAnsi" w:cstheme="minorHAnsi"/>
          <w:lang w:eastAsia="en-AU"/>
        </w:rPr>
        <w:t>As a result of COVID-19, many people may be:</w:t>
      </w:r>
    </w:p>
    <w:p w14:paraId="314AB9EF" w14:textId="77777777" w:rsidR="00055675" w:rsidRPr="00A006F2" w:rsidRDefault="00055675" w:rsidP="001707B8">
      <w:pPr>
        <w:pStyle w:val="VACRCbody-landscape"/>
        <w:numPr>
          <w:ilvl w:val="0"/>
          <w:numId w:val="31"/>
        </w:numPr>
        <w:rPr>
          <w:rFonts w:asciiTheme="minorHAnsi" w:eastAsia="Calibri" w:hAnsiTheme="minorHAnsi" w:cstheme="minorHAnsi"/>
        </w:rPr>
      </w:pPr>
      <w:r w:rsidRPr="00A006F2">
        <w:rPr>
          <w:rFonts w:asciiTheme="minorHAnsi" w:eastAsia="Calibri" w:hAnsiTheme="minorHAnsi" w:cstheme="minorHAnsi"/>
        </w:rPr>
        <w:t>suffering grief and loss from the passing of a loved one (or care recipient) or significant changes in lifestyle</w:t>
      </w:r>
    </w:p>
    <w:p w14:paraId="1ACBDD91" w14:textId="77777777" w:rsidR="00055675" w:rsidRPr="00967B8E" w:rsidRDefault="00055675" w:rsidP="001707B8">
      <w:pPr>
        <w:pStyle w:val="VACRCbody-landscape"/>
        <w:numPr>
          <w:ilvl w:val="0"/>
          <w:numId w:val="31"/>
        </w:numPr>
        <w:rPr>
          <w:rFonts w:asciiTheme="minorHAnsi" w:eastAsia="Calibri" w:hAnsiTheme="minorHAnsi" w:cstheme="minorHAnsi"/>
        </w:rPr>
      </w:pPr>
      <w:r w:rsidRPr="00A006F2">
        <w:rPr>
          <w:rFonts w:asciiTheme="minorHAnsi" w:eastAsia="Calibri" w:hAnsiTheme="minorHAnsi" w:cstheme="minorHAnsi"/>
        </w:rPr>
        <w:t>experiencing trauma or increased stress as a response to isolation, physical distancing, and visitor restrictions in aged care.</w:t>
      </w:r>
    </w:p>
    <w:p w14:paraId="19FFD20E" w14:textId="77777777" w:rsidR="00055675" w:rsidRPr="00A006F2" w:rsidRDefault="00055675" w:rsidP="003E3E13">
      <w:pPr>
        <w:pStyle w:val="VACRCbody-landscape"/>
        <w:rPr>
          <w:rFonts w:asciiTheme="minorHAnsi" w:hAnsiTheme="minorHAnsi" w:cstheme="minorHAnsi"/>
          <w:lang w:eastAsia="en-AU"/>
        </w:rPr>
      </w:pPr>
      <w:r w:rsidRPr="00967B8E">
        <w:rPr>
          <w:rFonts w:asciiTheme="minorHAnsi" w:hAnsiTheme="minorHAnsi" w:cstheme="minorHAnsi"/>
          <w:lang w:eastAsia="en-AU"/>
        </w:rPr>
        <w:t xml:space="preserve">A range of </w:t>
      </w:r>
      <w:hyperlink r:id="rId70" w:anchor=":~:text=As%20a%20result%20of%20COVID,visitor%20restrictions%20in%20aged%20care." w:history="1">
        <w:r w:rsidRPr="00967B8E">
          <w:rPr>
            <w:rFonts w:asciiTheme="minorHAnsi" w:hAnsiTheme="minorHAnsi" w:cstheme="minorHAnsi"/>
            <w:color w:val="0563C1"/>
            <w:lang w:eastAsia="en-AU"/>
          </w:rPr>
          <w:t>services and resources</w:t>
        </w:r>
      </w:hyperlink>
      <w:r w:rsidRPr="00A006F2">
        <w:rPr>
          <w:rFonts w:asciiTheme="minorHAnsi" w:hAnsiTheme="minorHAnsi" w:cstheme="minorHAnsi"/>
          <w:lang w:eastAsia="en-AU"/>
        </w:rPr>
        <w:t xml:space="preserve"> are available including:</w:t>
      </w:r>
    </w:p>
    <w:p w14:paraId="062A166A" w14:textId="2947DF05" w:rsidR="00055675" w:rsidRPr="00A006F2" w:rsidRDefault="00C11729" w:rsidP="001707B8">
      <w:pPr>
        <w:pStyle w:val="VACRCbody-landscape"/>
        <w:numPr>
          <w:ilvl w:val="0"/>
          <w:numId w:val="32"/>
        </w:numPr>
        <w:rPr>
          <w:rFonts w:asciiTheme="minorHAnsi" w:eastAsia="Calibri" w:hAnsiTheme="minorHAnsi" w:cstheme="minorHAnsi"/>
        </w:rPr>
      </w:pPr>
      <w:r w:rsidRPr="00A006F2">
        <w:rPr>
          <w:rFonts w:asciiTheme="minorHAnsi" w:eastAsia="Calibri" w:hAnsiTheme="minorHAnsi" w:cstheme="minorHAnsi"/>
        </w:rPr>
        <w:t xml:space="preserve">support </w:t>
      </w:r>
      <w:r w:rsidR="00055675" w:rsidRPr="00A006F2">
        <w:rPr>
          <w:rFonts w:asciiTheme="minorHAnsi" w:eastAsia="Calibri" w:hAnsiTheme="minorHAnsi" w:cstheme="minorHAnsi"/>
        </w:rPr>
        <w:t>for grief, loss and bereavement</w:t>
      </w:r>
    </w:p>
    <w:p w14:paraId="17AAA43F" w14:textId="45437BFD" w:rsidR="00055675" w:rsidRPr="00A006F2" w:rsidRDefault="00C11729" w:rsidP="001707B8">
      <w:pPr>
        <w:pStyle w:val="VACRCbody-landscape"/>
        <w:numPr>
          <w:ilvl w:val="0"/>
          <w:numId w:val="32"/>
        </w:numPr>
        <w:rPr>
          <w:rFonts w:asciiTheme="minorHAnsi" w:eastAsia="Calibri" w:hAnsiTheme="minorHAnsi" w:cstheme="minorHAnsi"/>
        </w:rPr>
      </w:pPr>
      <w:r w:rsidRPr="00A006F2">
        <w:rPr>
          <w:rFonts w:asciiTheme="minorHAnsi" w:eastAsia="Calibri" w:hAnsiTheme="minorHAnsi" w:cstheme="minorHAnsi"/>
        </w:rPr>
        <w:t xml:space="preserve">resources </w:t>
      </w:r>
      <w:r w:rsidR="00055675" w:rsidRPr="00A006F2">
        <w:rPr>
          <w:rFonts w:asciiTheme="minorHAnsi" w:eastAsia="Calibri" w:hAnsiTheme="minorHAnsi" w:cstheme="minorHAnsi"/>
        </w:rPr>
        <w:t>for those affected by trauma</w:t>
      </w:r>
    </w:p>
    <w:p w14:paraId="086BC029" w14:textId="48F86317" w:rsidR="00055675" w:rsidRPr="00A006F2" w:rsidRDefault="00C11729" w:rsidP="001707B8">
      <w:pPr>
        <w:pStyle w:val="VACRCbody-landscape"/>
        <w:numPr>
          <w:ilvl w:val="0"/>
          <w:numId w:val="32"/>
        </w:numPr>
        <w:rPr>
          <w:rFonts w:asciiTheme="minorHAnsi" w:eastAsia="Calibri" w:hAnsiTheme="minorHAnsi" w:cstheme="minorHAnsi"/>
        </w:rPr>
      </w:pPr>
      <w:r w:rsidRPr="00A006F2">
        <w:rPr>
          <w:rFonts w:asciiTheme="minorHAnsi" w:eastAsia="Calibri" w:hAnsiTheme="minorHAnsi" w:cstheme="minorHAnsi"/>
        </w:rPr>
        <w:t xml:space="preserve">help </w:t>
      </w:r>
      <w:r w:rsidR="00055675" w:rsidRPr="00A006F2">
        <w:rPr>
          <w:rFonts w:asciiTheme="minorHAnsi" w:eastAsia="Calibri" w:hAnsiTheme="minorHAnsi" w:cstheme="minorHAnsi"/>
        </w:rPr>
        <w:t>for dementia associated behaviours</w:t>
      </w:r>
    </w:p>
    <w:p w14:paraId="28B78C02" w14:textId="7BFE3C73" w:rsidR="00055675" w:rsidRPr="00A006F2" w:rsidRDefault="00C11729" w:rsidP="001707B8">
      <w:pPr>
        <w:pStyle w:val="VACRCbody-landscape"/>
        <w:numPr>
          <w:ilvl w:val="0"/>
          <w:numId w:val="32"/>
        </w:numPr>
        <w:rPr>
          <w:rFonts w:asciiTheme="minorHAnsi" w:eastAsia="Calibri" w:hAnsiTheme="minorHAnsi" w:cstheme="minorHAnsi"/>
        </w:rPr>
      </w:pPr>
      <w:r w:rsidRPr="00A006F2">
        <w:rPr>
          <w:rFonts w:asciiTheme="minorHAnsi" w:eastAsia="Calibri" w:hAnsiTheme="minorHAnsi" w:cstheme="minorHAnsi"/>
        </w:rPr>
        <w:t xml:space="preserve">advice </w:t>
      </w:r>
      <w:r w:rsidR="00055675" w:rsidRPr="00A006F2">
        <w:rPr>
          <w:rFonts w:asciiTheme="minorHAnsi" w:eastAsia="Calibri" w:hAnsiTheme="minorHAnsi" w:cstheme="minorHAnsi"/>
        </w:rPr>
        <w:t>and advocacy for older people</w:t>
      </w:r>
    </w:p>
    <w:p w14:paraId="2482FB86" w14:textId="144775C9" w:rsidR="00055675" w:rsidRPr="00A006F2" w:rsidRDefault="005F3AA8" w:rsidP="001707B8">
      <w:pPr>
        <w:pStyle w:val="VACRCbody-landscape"/>
        <w:numPr>
          <w:ilvl w:val="0"/>
          <w:numId w:val="32"/>
        </w:numPr>
        <w:rPr>
          <w:rFonts w:asciiTheme="minorHAnsi" w:eastAsia="Calibri" w:hAnsiTheme="minorHAnsi" w:cstheme="minorHAnsi"/>
        </w:rPr>
      </w:pPr>
      <w:r w:rsidRPr="00A006F2">
        <w:rPr>
          <w:rFonts w:asciiTheme="minorHAnsi" w:eastAsia="Calibri" w:hAnsiTheme="minorHAnsi" w:cstheme="minorHAnsi"/>
        </w:rPr>
        <w:t>crises</w:t>
      </w:r>
      <w:r w:rsidR="00C11729" w:rsidRPr="00A006F2">
        <w:rPr>
          <w:rFonts w:asciiTheme="minorHAnsi" w:eastAsia="Calibri" w:hAnsiTheme="minorHAnsi" w:cstheme="minorHAnsi"/>
        </w:rPr>
        <w:t xml:space="preserve"> </w:t>
      </w:r>
      <w:r w:rsidR="00055675" w:rsidRPr="00A006F2">
        <w:rPr>
          <w:rFonts w:asciiTheme="minorHAnsi" w:eastAsia="Calibri" w:hAnsiTheme="minorHAnsi" w:cstheme="minorHAnsi"/>
        </w:rPr>
        <w:t>support services – available 24 hours</w:t>
      </w:r>
      <w:r w:rsidR="00C11729" w:rsidRPr="00A006F2">
        <w:rPr>
          <w:rFonts w:asciiTheme="minorHAnsi" w:eastAsia="Calibri" w:hAnsiTheme="minorHAnsi" w:cstheme="minorHAnsi"/>
        </w:rPr>
        <w:t>.</w:t>
      </w:r>
    </w:p>
    <w:p w14:paraId="4FF81281" w14:textId="77777777" w:rsidR="00055675" w:rsidRPr="00A006F2" w:rsidRDefault="00055675" w:rsidP="003E3E13">
      <w:pPr>
        <w:pStyle w:val="VACRCbody-landscape"/>
        <w:rPr>
          <w:rFonts w:asciiTheme="minorHAnsi" w:hAnsiTheme="minorHAnsi" w:cstheme="minorHAnsi"/>
          <w:lang w:eastAsia="en-AU"/>
        </w:rPr>
      </w:pPr>
      <w:r w:rsidRPr="00A006F2">
        <w:rPr>
          <w:rFonts w:asciiTheme="minorHAnsi" w:hAnsiTheme="minorHAnsi" w:cstheme="minorHAnsi"/>
          <w:lang w:eastAsia="en-AU"/>
        </w:rPr>
        <w:t>Free support and advice services are available Australia-wide for:</w:t>
      </w:r>
    </w:p>
    <w:p w14:paraId="7AEABBFF" w14:textId="77777777" w:rsidR="00055675" w:rsidRPr="00A006F2" w:rsidRDefault="00055675" w:rsidP="001707B8">
      <w:pPr>
        <w:pStyle w:val="VACRCbody-landscape"/>
        <w:numPr>
          <w:ilvl w:val="0"/>
          <w:numId w:val="33"/>
        </w:numPr>
        <w:rPr>
          <w:rFonts w:asciiTheme="minorHAnsi" w:eastAsia="Calibri" w:hAnsiTheme="minorHAnsi" w:cstheme="minorHAnsi"/>
        </w:rPr>
      </w:pPr>
      <w:r w:rsidRPr="00A006F2">
        <w:rPr>
          <w:rFonts w:asciiTheme="minorHAnsi" w:eastAsia="Calibri" w:hAnsiTheme="minorHAnsi" w:cstheme="minorHAnsi"/>
        </w:rPr>
        <w:t>residents in aged care</w:t>
      </w:r>
    </w:p>
    <w:p w14:paraId="1A3B1D60" w14:textId="77777777" w:rsidR="00055675" w:rsidRPr="00A006F2" w:rsidRDefault="00055675" w:rsidP="001707B8">
      <w:pPr>
        <w:pStyle w:val="VACRCbody-landscape"/>
        <w:numPr>
          <w:ilvl w:val="0"/>
          <w:numId w:val="33"/>
        </w:numPr>
        <w:rPr>
          <w:rFonts w:asciiTheme="minorHAnsi" w:eastAsia="Calibri" w:hAnsiTheme="minorHAnsi" w:cstheme="minorHAnsi"/>
        </w:rPr>
      </w:pPr>
      <w:r w:rsidRPr="00A006F2">
        <w:rPr>
          <w:rFonts w:asciiTheme="minorHAnsi" w:eastAsia="Calibri" w:hAnsiTheme="minorHAnsi" w:cstheme="minorHAnsi"/>
        </w:rPr>
        <w:t>home care recipients</w:t>
      </w:r>
    </w:p>
    <w:p w14:paraId="68E2A98A" w14:textId="77777777" w:rsidR="00055675" w:rsidRPr="00A006F2" w:rsidRDefault="00055675" w:rsidP="001707B8">
      <w:pPr>
        <w:pStyle w:val="VACRCbody-landscape"/>
        <w:numPr>
          <w:ilvl w:val="0"/>
          <w:numId w:val="33"/>
        </w:numPr>
        <w:rPr>
          <w:rFonts w:asciiTheme="minorHAnsi" w:eastAsia="Calibri" w:hAnsiTheme="minorHAnsi" w:cstheme="minorHAnsi"/>
        </w:rPr>
      </w:pPr>
      <w:r w:rsidRPr="00A006F2">
        <w:rPr>
          <w:rFonts w:asciiTheme="minorHAnsi" w:eastAsia="Calibri" w:hAnsiTheme="minorHAnsi" w:cstheme="minorHAnsi"/>
        </w:rPr>
        <w:t>families of senior Australians, their families of choice, friends, loved ones, representatives and community visitors</w:t>
      </w:r>
    </w:p>
    <w:p w14:paraId="5A8EFFC7" w14:textId="3F9FFEF9" w:rsidR="00055675" w:rsidRPr="00A006F2" w:rsidRDefault="00055675" w:rsidP="001707B8">
      <w:pPr>
        <w:pStyle w:val="VACRCbody-landscape"/>
        <w:numPr>
          <w:ilvl w:val="0"/>
          <w:numId w:val="33"/>
        </w:numPr>
        <w:rPr>
          <w:rFonts w:asciiTheme="minorHAnsi" w:eastAsia="Calibri" w:hAnsiTheme="minorHAnsi" w:cstheme="minorHAnsi"/>
        </w:rPr>
      </w:pPr>
      <w:r w:rsidRPr="00A006F2">
        <w:rPr>
          <w:rFonts w:asciiTheme="minorHAnsi" w:eastAsia="Calibri" w:hAnsiTheme="minorHAnsi" w:cstheme="minorHAnsi"/>
        </w:rPr>
        <w:t>aged care staff, including residential aged care staff and home care staff, including aged care leadership, nursing and personal care workers, ancillary staff, and volunteers.</w:t>
      </w:r>
    </w:p>
    <w:p w14:paraId="3AF75DAB" w14:textId="5CDBA3E4" w:rsidR="00055675" w:rsidRPr="00967B8E" w:rsidRDefault="00055675" w:rsidP="003E3E13">
      <w:pPr>
        <w:pStyle w:val="VACRCbody-landscape"/>
        <w:rPr>
          <w:rFonts w:asciiTheme="minorHAnsi" w:hAnsiTheme="minorHAnsi" w:cstheme="minorHAnsi"/>
          <w:color w:val="313131"/>
          <w:lang w:eastAsia="en-AU"/>
        </w:rPr>
      </w:pPr>
      <w:r w:rsidRPr="00967B8E">
        <w:rPr>
          <w:rFonts w:asciiTheme="minorHAnsi" w:hAnsiTheme="minorHAnsi" w:cstheme="minorHAnsi"/>
          <w:lang w:eastAsia="en-AU"/>
        </w:rPr>
        <w:t>The grief and trauma support and advice services complement mental health resources already available, such as</w:t>
      </w:r>
      <w:r w:rsidR="00A006F2" w:rsidRPr="00967B8E">
        <w:rPr>
          <w:rFonts w:asciiTheme="minorHAnsi" w:hAnsiTheme="minorHAnsi" w:cstheme="minorHAnsi"/>
          <w:lang w:eastAsia="en-AU"/>
        </w:rPr>
        <w:t xml:space="preserve"> </w:t>
      </w:r>
      <w:hyperlink r:id="rId71" w:history="1">
        <w:r w:rsidRPr="00967B8E">
          <w:rPr>
            <w:rFonts w:asciiTheme="minorHAnsi" w:hAnsiTheme="minorHAnsi" w:cstheme="minorHAnsi"/>
            <w:color w:val="0563C1"/>
            <w:lang w:eastAsia="en-AU"/>
          </w:rPr>
          <w:t>Head to Health</w:t>
        </w:r>
      </w:hyperlink>
      <w:r w:rsidRPr="00967B8E">
        <w:rPr>
          <w:rFonts w:asciiTheme="minorHAnsi" w:hAnsiTheme="minorHAnsi" w:cstheme="minorHAnsi"/>
          <w:color w:val="313131"/>
          <w:lang w:eastAsia="en-AU"/>
        </w:rPr>
        <w:t>.</w:t>
      </w:r>
    </w:p>
    <w:p w14:paraId="3ED143EF" w14:textId="78056953" w:rsidR="00055675" w:rsidRPr="00967B8E" w:rsidRDefault="00055675" w:rsidP="00A006F2">
      <w:pPr>
        <w:keepNext/>
        <w:keepLines/>
        <w:spacing w:before="120" w:after="120" w:line="250" w:lineRule="atLeast"/>
        <w:outlineLvl w:val="1"/>
        <w:rPr>
          <w:rFonts w:ascii="Arial Nova" w:hAnsi="Arial Nova"/>
          <w:b/>
          <w:bCs/>
          <w:color w:val="2F5496"/>
          <w:sz w:val="32"/>
          <w:szCs w:val="32"/>
        </w:rPr>
      </w:pPr>
      <w:bookmarkStart w:id="168" w:name="_Mental_health_support"/>
      <w:bookmarkStart w:id="169" w:name="_Toc102482473"/>
      <w:bookmarkStart w:id="170" w:name="_Toc104459178"/>
      <w:bookmarkStart w:id="171" w:name="_Toc101419785"/>
      <w:bookmarkStart w:id="172" w:name="_Toc101539862"/>
      <w:bookmarkStart w:id="173" w:name="_Toc108624595"/>
      <w:bookmarkEnd w:id="168"/>
      <w:r w:rsidRPr="00967B8E">
        <w:rPr>
          <w:rFonts w:ascii="Arial Nova" w:hAnsi="Arial Nova"/>
          <w:b/>
          <w:bCs/>
          <w:color w:val="2F5496"/>
          <w:sz w:val="32"/>
          <w:szCs w:val="32"/>
        </w:rPr>
        <w:t>Mental health support</w:t>
      </w:r>
      <w:bookmarkEnd w:id="169"/>
      <w:bookmarkEnd w:id="170"/>
      <w:bookmarkEnd w:id="171"/>
      <w:bookmarkEnd w:id="172"/>
      <w:bookmarkEnd w:id="173"/>
    </w:p>
    <w:p w14:paraId="7D28075B" w14:textId="02A69150" w:rsidR="00055675" w:rsidRPr="00967B8E" w:rsidRDefault="00055675" w:rsidP="00314A18">
      <w:pPr>
        <w:spacing w:after="120"/>
        <w:rPr>
          <w:rFonts w:asciiTheme="minorHAnsi" w:eastAsia="Calibri" w:hAnsiTheme="minorHAnsi" w:cstheme="minorHAnsi"/>
          <w:sz w:val="22"/>
          <w:szCs w:val="22"/>
          <w:lang w:eastAsia="en-AU"/>
        </w:rPr>
      </w:pPr>
      <w:r w:rsidRPr="00967B8E">
        <w:rPr>
          <w:rFonts w:asciiTheme="minorHAnsi" w:eastAsia="Calibri" w:hAnsiTheme="minorHAnsi" w:cstheme="minorHAnsi"/>
          <w:sz w:val="22"/>
          <w:szCs w:val="22"/>
          <w:lang w:eastAsia="en-AU"/>
        </w:rPr>
        <w:t xml:space="preserve">Mental health support is available for people accessing aged care services, their families and aged care staff experiencing mental health distress, including </w:t>
      </w:r>
      <w:proofErr w:type="gramStart"/>
      <w:r w:rsidRPr="00967B8E">
        <w:rPr>
          <w:rFonts w:asciiTheme="minorHAnsi" w:eastAsia="Calibri" w:hAnsiTheme="minorHAnsi" w:cstheme="minorHAnsi"/>
          <w:sz w:val="22"/>
          <w:szCs w:val="22"/>
          <w:lang w:eastAsia="en-AU"/>
        </w:rPr>
        <w:t>as a result of</w:t>
      </w:r>
      <w:proofErr w:type="gramEnd"/>
      <w:r w:rsidRPr="00967B8E">
        <w:rPr>
          <w:rFonts w:asciiTheme="minorHAnsi" w:eastAsia="Calibri" w:hAnsiTheme="minorHAnsi" w:cstheme="minorHAnsi"/>
          <w:sz w:val="22"/>
          <w:szCs w:val="22"/>
          <w:lang w:eastAsia="en-AU"/>
        </w:rPr>
        <w:t xml:space="preserve"> increased stress and work pressures associated with rising COVID-19 and influenza rates during winter. This support is available through the following programs:</w:t>
      </w:r>
    </w:p>
    <w:p w14:paraId="03AF1E9B" w14:textId="5615203F" w:rsidR="00055675" w:rsidRPr="00967B8E" w:rsidRDefault="00055675" w:rsidP="001707B8">
      <w:pPr>
        <w:pStyle w:val="VACRCbody-landscape"/>
        <w:numPr>
          <w:ilvl w:val="0"/>
          <w:numId w:val="34"/>
        </w:numPr>
        <w:rPr>
          <w:rFonts w:asciiTheme="minorHAnsi" w:eastAsia="Calibri" w:hAnsiTheme="minorHAnsi" w:cstheme="minorHAnsi"/>
        </w:rPr>
      </w:pPr>
      <w:r w:rsidRPr="00967B8E">
        <w:rPr>
          <w:rFonts w:asciiTheme="minorHAnsi" w:hAnsiTheme="minorHAnsi" w:cstheme="minorHAnsi"/>
          <w:lang w:eastAsia="en-AU"/>
        </w:rPr>
        <w:t>The Better Access initiative (Medicare rebates for mental health services). In response to the impacts of COVID-19, this support has been temporarily expanded, with up to 20</w:t>
      </w:r>
      <w:r w:rsidR="00660BCA" w:rsidRPr="00967B8E">
        <w:rPr>
          <w:rFonts w:asciiTheme="minorHAnsi" w:hAnsiTheme="minorHAnsi" w:cstheme="minorHAnsi"/>
          <w:lang w:eastAsia="en-AU"/>
        </w:rPr>
        <w:t xml:space="preserve"> </w:t>
      </w:r>
      <w:r w:rsidRPr="00967B8E">
        <w:rPr>
          <w:rFonts w:asciiTheme="minorHAnsi" w:hAnsiTheme="minorHAnsi" w:cstheme="minorHAnsi"/>
          <w:lang w:eastAsia="en-AU"/>
        </w:rPr>
        <w:t>Medicare-subsidised individual psychological services available each calendar year until 31</w:t>
      </w:r>
      <w:r w:rsidR="00660BCA" w:rsidRPr="00967B8E">
        <w:rPr>
          <w:rFonts w:asciiTheme="minorHAnsi" w:hAnsiTheme="minorHAnsi" w:cstheme="minorHAnsi"/>
          <w:lang w:eastAsia="en-AU"/>
        </w:rPr>
        <w:t xml:space="preserve"> </w:t>
      </w:r>
      <w:r w:rsidRPr="00967B8E">
        <w:rPr>
          <w:rFonts w:asciiTheme="minorHAnsi" w:hAnsiTheme="minorHAnsi" w:cstheme="minorHAnsi"/>
          <w:lang w:eastAsia="en-AU"/>
        </w:rPr>
        <w:t>December 2022. Further</w:t>
      </w:r>
      <w:r w:rsidRPr="00967B8E">
        <w:rPr>
          <w:rFonts w:asciiTheme="minorHAnsi" w:hAnsiTheme="minorHAnsi" w:cstheme="minorHAnsi"/>
        </w:rPr>
        <w:t xml:space="preserve"> information in this support is available in </w:t>
      </w:r>
      <w:hyperlink r:id="rId72" w:history="1">
        <w:r w:rsidRPr="00967B8E">
          <w:rPr>
            <w:rFonts w:asciiTheme="minorHAnsi" w:hAnsiTheme="minorHAnsi" w:cstheme="minorHAnsi"/>
            <w:color w:val="0563C1"/>
          </w:rPr>
          <w:t>this fact sheet</w:t>
        </w:r>
      </w:hyperlink>
      <w:r w:rsidRPr="00967B8E">
        <w:rPr>
          <w:rFonts w:asciiTheme="minorHAnsi" w:hAnsiTheme="minorHAnsi" w:cstheme="minorHAnsi"/>
        </w:rPr>
        <w:t>.</w:t>
      </w:r>
    </w:p>
    <w:p w14:paraId="7035CD30" w14:textId="521D3590" w:rsidR="00055675" w:rsidRPr="00967B8E" w:rsidRDefault="00055675" w:rsidP="001707B8">
      <w:pPr>
        <w:pStyle w:val="VACRCbody-landscape"/>
        <w:numPr>
          <w:ilvl w:val="0"/>
          <w:numId w:val="34"/>
        </w:numPr>
        <w:rPr>
          <w:rFonts w:asciiTheme="minorHAnsi" w:eastAsia="Calibri" w:hAnsiTheme="minorHAnsi" w:cstheme="minorHAnsi"/>
          <w:lang w:eastAsia="en-AU"/>
        </w:rPr>
      </w:pPr>
      <w:r w:rsidRPr="00967B8E">
        <w:rPr>
          <w:rFonts w:asciiTheme="minorHAnsi" w:hAnsiTheme="minorHAnsi" w:cstheme="minorHAnsi"/>
          <w:lang w:eastAsia="en-AU"/>
        </w:rPr>
        <w:t xml:space="preserve">Primary Health Network (PHN) commissioned mental health services. The </w:t>
      </w:r>
      <w:r w:rsidR="00626E0D" w:rsidRPr="00967B8E">
        <w:rPr>
          <w:rFonts w:asciiTheme="minorHAnsi" w:hAnsiTheme="minorHAnsi" w:cstheme="minorHAnsi"/>
          <w:lang w:eastAsia="en-AU"/>
        </w:rPr>
        <w:t>department</w:t>
      </w:r>
      <w:r w:rsidRPr="00967B8E">
        <w:rPr>
          <w:rFonts w:asciiTheme="minorHAnsi" w:hAnsiTheme="minorHAnsi" w:cstheme="minorHAnsi"/>
          <w:lang w:eastAsia="en-AU"/>
        </w:rPr>
        <w:t xml:space="preserve"> funds PHNs to plan and commission regionally appropriate mental health and suicide prevention services. Further information on regional services is available by contacting the local PHN, with contact details available through the </w:t>
      </w:r>
      <w:hyperlink r:id="rId73" w:history="1">
        <w:r w:rsidRPr="00967B8E">
          <w:rPr>
            <w:rFonts w:asciiTheme="minorHAnsi" w:hAnsiTheme="minorHAnsi" w:cstheme="minorHAnsi"/>
            <w:color w:val="0563C1"/>
            <w:lang w:eastAsia="en-AU"/>
          </w:rPr>
          <w:t>PHNs map locator</w:t>
        </w:r>
      </w:hyperlink>
      <w:r w:rsidRPr="00967B8E">
        <w:rPr>
          <w:rFonts w:asciiTheme="minorHAnsi" w:hAnsiTheme="minorHAnsi" w:cstheme="minorHAnsi"/>
          <w:lang w:eastAsia="en-AU"/>
        </w:rPr>
        <w:t>.</w:t>
      </w:r>
    </w:p>
    <w:p w14:paraId="46C8F70C" w14:textId="068C17A1" w:rsidR="002E5D6B" w:rsidRPr="00967B8E" w:rsidRDefault="002E5D6B" w:rsidP="001707B8">
      <w:pPr>
        <w:pStyle w:val="VACRCbody-landscape"/>
        <w:numPr>
          <w:ilvl w:val="0"/>
          <w:numId w:val="34"/>
        </w:numPr>
        <w:rPr>
          <w:rFonts w:asciiTheme="minorHAnsi" w:hAnsiTheme="minorHAnsi" w:cstheme="minorHAnsi"/>
          <w:lang w:eastAsia="en-AU"/>
        </w:rPr>
      </w:pPr>
      <w:r w:rsidRPr="00967B8E">
        <w:rPr>
          <w:rFonts w:asciiTheme="minorHAnsi" w:hAnsiTheme="minorHAnsi" w:cstheme="minorHAnsi"/>
          <w:lang w:eastAsia="en-AU"/>
        </w:rPr>
        <w:t xml:space="preserve">Beyond Blue offers a dedicated 24/7 Coronavirus Mental Wellbeing Support Service. This hotline provides information, advice, and strategies to help manage wellbeing and mental health during the COVID-19 pandemic. Further information is available at </w:t>
      </w:r>
      <w:hyperlink r:id="rId74" w:history="1">
        <w:r w:rsidRPr="00967B8E">
          <w:rPr>
            <w:rFonts w:asciiTheme="minorHAnsi" w:hAnsiTheme="minorHAnsi" w:cstheme="minorHAnsi"/>
            <w:color w:val="007DC3" w:themeColor="hyperlink"/>
            <w:lang w:eastAsia="en-AU"/>
          </w:rPr>
          <w:t>Coronavirus Beyond Blue</w:t>
        </w:r>
      </w:hyperlink>
      <w:r w:rsidRPr="00967B8E">
        <w:rPr>
          <w:rFonts w:asciiTheme="minorHAnsi" w:hAnsiTheme="minorHAnsi" w:cstheme="minorHAnsi"/>
          <w:lang w:eastAsia="en-AU"/>
        </w:rPr>
        <w:t xml:space="preserve"> or by calling 1800 512 348.</w:t>
      </w:r>
    </w:p>
    <w:p w14:paraId="26BA6E63" w14:textId="77777777" w:rsidR="002E5D6B" w:rsidRPr="00967B8E" w:rsidRDefault="002E5D6B" w:rsidP="001707B8">
      <w:pPr>
        <w:pStyle w:val="VACRCbody-landscape"/>
        <w:numPr>
          <w:ilvl w:val="0"/>
          <w:numId w:val="34"/>
        </w:numPr>
        <w:rPr>
          <w:rFonts w:asciiTheme="minorHAnsi" w:hAnsiTheme="minorHAnsi" w:cstheme="minorHAnsi"/>
          <w:lang w:eastAsia="en-AU"/>
        </w:rPr>
      </w:pPr>
      <w:r w:rsidRPr="00967B8E">
        <w:rPr>
          <w:rFonts w:asciiTheme="minorHAnsi" w:hAnsiTheme="minorHAnsi" w:cstheme="minorHAnsi"/>
          <w:lang w:eastAsia="en-AU"/>
        </w:rPr>
        <w:t>Black Dog Institute offers The Essential Network (TEN). This online service is dedicated to health care staff and provides confidential mental health support matched to symptom severity, while also</w:t>
      </w:r>
      <w:r w:rsidRPr="00967B8E">
        <w:rPr>
          <w:lang w:eastAsia="en-AU"/>
        </w:rPr>
        <w:t xml:space="preserve"> </w:t>
      </w:r>
      <w:r w:rsidRPr="00967B8E">
        <w:rPr>
          <w:rFonts w:asciiTheme="minorHAnsi" w:hAnsiTheme="minorHAnsi" w:cstheme="minorHAnsi"/>
          <w:lang w:eastAsia="en-AU"/>
        </w:rPr>
        <w:t xml:space="preserve">delivering up to five free clinical telehealth sessions. Further information is available at </w:t>
      </w:r>
      <w:hyperlink r:id="rId75" w:history="1">
        <w:r w:rsidRPr="00967B8E">
          <w:rPr>
            <w:rFonts w:asciiTheme="minorHAnsi" w:hAnsiTheme="minorHAnsi" w:cstheme="minorHAnsi"/>
            <w:color w:val="007DC3" w:themeColor="hyperlink"/>
            <w:lang w:eastAsia="en-AU"/>
          </w:rPr>
          <w:t>The Essential Network for Health Professionals</w:t>
        </w:r>
      </w:hyperlink>
    </w:p>
    <w:p w14:paraId="59299C70" w14:textId="77777777" w:rsidR="002E5D6B" w:rsidRPr="00967B8E" w:rsidRDefault="002E5D6B" w:rsidP="001707B8">
      <w:pPr>
        <w:pStyle w:val="VACRCbody-landscape"/>
        <w:numPr>
          <w:ilvl w:val="0"/>
          <w:numId w:val="34"/>
        </w:numPr>
        <w:rPr>
          <w:rFonts w:asciiTheme="minorHAnsi" w:hAnsiTheme="minorHAnsi" w:cstheme="minorHAnsi"/>
          <w:lang w:eastAsia="en-AU"/>
        </w:rPr>
      </w:pPr>
      <w:r w:rsidRPr="00967B8E">
        <w:rPr>
          <w:rFonts w:asciiTheme="minorHAnsi" w:hAnsiTheme="minorHAnsi" w:cstheme="minorHAnsi"/>
          <w:lang w:eastAsia="en-AU"/>
        </w:rPr>
        <w:t xml:space="preserve">Head to Health centres </w:t>
      </w:r>
      <w:proofErr w:type="gramStart"/>
      <w:r w:rsidRPr="00967B8E">
        <w:rPr>
          <w:rFonts w:asciiTheme="minorHAnsi" w:hAnsiTheme="minorHAnsi" w:cstheme="minorHAnsi"/>
          <w:lang w:eastAsia="en-AU"/>
        </w:rPr>
        <w:t>are located in</w:t>
      </w:r>
      <w:proofErr w:type="gramEnd"/>
      <w:r w:rsidRPr="00967B8E">
        <w:rPr>
          <w:rFonts w:asciiTheme="minorHAnsi" w:hAnsiTheme="minorHAnsi" w:cstheme="minorHAnsi"/>
          <w:lang w:eastAsia="en-AU"/>
        </w:rPr>
        <w:t xml:space="preserve"> every state and territory and are designed to provide a ‘no wrong door’ entry point for adults to access mental health information, services and supports through a multidisciplinary team operating over extended hours, without needing a prior appointment or paying a fee. Clinic locations can be found at this </w:t>
      </w:r>
      <w:hyperlink r:id="rId76" w:history="1">
        <w:r w:rsidRPr="00967B8E">
          <w:rPr>
            <w:rFonts w:asciiTheme="minorHAnsi" w:hAnsiTheme="minorHAnsi" w:cstheme="minorHAnsi"/>
            <w:color w:val="007DC3" w:themeColor="hyperlink"/>
            <w:lang w:eastAsia="en-AU"/>
          </w:rPr>
          <w:t>webpage</w:t>
        </w:r>
      </w:hyperlink>
      <w:r w:rsidRPr="00967B8E">
        <w:rPr>
          <w:rFonts w:asciiTheme="minorHAnsi" w:hAnsiTheme="minorHAnsi" w:cstheme="minorHAnsi"/>
          <w:lang w:eastAsia="en-AU"/>
        </w:rPr>
        <w:t>.</w:t>
      </w:r>
    </w:p>
    <w:p w14:paraId="26728791" w14:textId="70D6207B" w:rsidR="002E5D6B" w:rsidRPr="00A006F2" w:rsidRDefault="002E5D6B" w:rsidP="00A006F2">
      <w:pPr>
        <w:keepNext/>
        <w:keepLines/>
        <w:spacing w:before="120" w:after="120" w:line="250" w:lineRule="atLeast"/>
        <w:outlineLvl w:val="1"/>
        <w:rPr>
          <w:rFonts w:ascii="Arial Nova" w:hAnsi="Arial Nova"/>
          <w:b/>
          <w:bCs/>
          <w:color w:val="2F5496"/>
          <w:sz w:val="32"/>
          <w:szCs w:val="32"/>
        </w:rPr>
      </w:pPr>
      <w:bookmarkStart w:id="174" w:name="_Toc101419783"/>
      <w:bookmarkStart w:id="175" w:name="_Toc101539860"/>
      <w:bookmarkStart w:id="176" w:name="_Toc102482474"/>
      <w:bookmarkStart w:id="177" w:name="_Toc104459179"/>
      <w:bookmarkStart w:id="178" w:name="_Toc108624596"/>
      <w:r w:rsidRPr="00A006F2">
        <w:rPr>
          <w:rFonts w:ascii="Arial Nova" w:hAnsi="Arial Nova"/>
          <w:b/>
          <w:bCs/>
          <w:color w:val="2F5496"/>
          <w:sz w:val="32"/>
          <w:szCs w:val="32"/>
        </w:rPr>
        <w:lastRenderedPageBreak/>
        <w:t>Supporting staff recovery – post outbreak</w:t>
      </w:r>
      <w:bookmarkEnd w:id="174"/>
      <w:bookmarkEnd w:id="175"/>
      <w:bookmarkEnd w:id="176"/>
      <w:bookmarkEnd w:id="177"/>
      <w:bookmarkEnd w:id="178"/>
    </w:p>
    <w:p w14:paraId="325AFA5F" w14:textId="77777777" w:rsidR="00D37C9A" w:rsidRPr="00A006F2" w:rsidRDefault="00D37C9A" w:rsidP="003E3E13">
      <w:pPr>
        <w:pStyle w:val="VACRCbody-landscape"/>
        <w:shd w:val="clear" w:color="auto" w:fill="DEEAF6"/>
        <w:rPr>
          <w:rFonts w:asciiTheme="minorHAnsi" w:hAnsiTheme="minorHAnsi" w:cstheme="minorHAnsi"/>
          <w:b/>
          <w:bCs/>
          <w:lang w:eastAsia="en-AU"/>
        </w:rPr>
      </w:pPr>
      <w:r w:rsidRPr="00A006F2">
        <w:rPr>
          <w:rFonts w:asciiTheme="minorHAnsi" w:hAnsiTheme="minorHAnsi" w:cstheme="minorHAnsi"/>
          <w:b/>
          <w:bCs/>
          <w:lang w:eastAsia="en-AU"/>
        </w:rPr>
        <w:t>Provider considerations</w:t>
      </w:r>
    </w:p>
    <w:p w14:paraId="3422BBB3" w14:textId="0482B324" w:rsidR="00D37C9A" w:rsidRPr="00A006F2" w:rsidRDefault="00811532" w:rsidP="003E3E13">
      <w:pPr>
        <w:pStyle w:val="VACRCbody-landscape"/>
        <w:shd w:val="clear" w:color="auto" w:fill="DEEAF6"/>
        <w:rPr>
          <w:rFonts w:asciiTheme="minorHAnsi" w:hAnsiTheme="minorHAnsi" w:cstheme="minorHAnsi"/>
          <w:lang w:eastAsia="en-AU"/>
        </w:rPr>
      </w:pPr>
      <w:r>
        <w:rPr>
          <w:rFonts w:asciiTheme="minorHAnsi" w:hAnsiTheme="minorHAnsi" w:cstheme="minorHAnsi"/>
        </w:rPr>
        <w:t>Aged care homes</w:t>
      </w:r>
      <w:r w:rsidRPr="002C6972">
        <w:rPr>
          <w:rFonts w:asciiTheme="minorHAnsi" w:hAnsiTheme="minorHAnsi" w:cstheme="minorHAnsi"/>
        </w:rPr>
        <w:t xml:space="preserve"> </w:t>
      </w:r>
      <w:r w:rsidR="00D37C9A" w:rsidRPr="00A006F2">
        <w:rPr>
          <w:rFonts w:asciiTheme="minorHAnsi" w:hAnsiTheme="minorHAnsi" w:cstheme="minorHAnsi"/>
          <w:lang w:eastAsia="en-AU"/>
        </w:rPr>
        <w:t>leadership are strongly encouraged to undertake a post outbreak de-brief to consider aspects of the response that worked well and those that didn’t. Part of this de</w:t>
      </w:r>
      <w:r w:rsidR="00D37C9A" w:rsidRPr="00A006F2">
        <w:rPr>
          <w:rFonts w:asciiTheme="minorHAnsi" w:hAnsiTheme="minorHAnsi" w:cstheme="minorHAnsi"/>
          <w:lang w:eastAsia="en-AU"/>
        </w:rPr>
        <w:noBreakHyphen/>
        <w:t>brief should identify residents, family or staff that have been particularly affected by the outbreak and associated restrictions imposed by the public health unit.</w:t>
      </w:r>
    </w:p>
    <w:p w14:paraId="613BC623" w14:textId="33878D8E" w:rsidR="00D37C9A" w:rsidRPr="00A006F2" w:rsidRDefault="00D37C9A" w:rsidP="00314A18">
      <w:pPr>
        <w:pStyle w:val="VACRCbody-landscape"/>
        <w:shd w:val="clear" w:color="auto" w:fill="DEEAF6"/>
        <w:spacing w:after="160"/>
        <w:rPr>
          <w:rFonts w:asciiTheme="minorHAnsi" w:eastAsiaTheme="majorEastAsia" w:hAnsiTheme="minorHAnsi" w:cstheme="minorHAnsi"/>
          <w:bCs/>
          <w:i/>
          <w:iCs/>
          <w:color w:val="007DC3" w:themeColor="accent1"/>
          <w:sz w:val="28"/>
          <w:szCs w:val="28"/>
        </w:rPr>
      </w:pPr>
      <w:r w:rsidRPr="00A006F2">
        <w:rPr>
          <w:rFonts w:asciiTheme="minorHAnsi" w:hAnsiTheme="minorHAnsi" w:cstheme="minorHAnsi"/>
          <w:lang w:eastAsia="en-AU"/>
        </w:rPr>
        <w:t>Where appropriate, leadership should assist affected individuals to access any of the supports set out above or enable access to support available from with their own organisation, for example Employee Assistance Program supports set out in Enterprise Agreements. Leadership teams in each facility should also consider whether they too require this support.</w:t>
      </w:r>
    </w:p>
    <w:p w14:paraId="2ABCA3C0" w14:textId="77777777" w:rsidR="00574E03" w:rsidRPr="00574E03" w:rsidRDefault="00574E03" w:rsidP="00A006F2">
      <w:pPr>
        <w:keepNext/>
        <w:keepLines/>
        <w:spacing w:before="120" w:after="120" w:line="250" w:lineRule="atLeast"/>
        <w:outlineLvl w:val="1"/>
        <w:rPr>
          <w:rFonts w:ascii="Arial Nova" w:hAnsi="Arial Nova"/>
          <w:b/>
          <w:bCs/>
          <w:color w:val="2F5496"/>
          <w:sz w:val="32"/>
          <w:szCs w:val="32"/>
        </w:rPr>
      </w:pPr>
      <w:bookmarkStart w:id="179" w:name="_Toc101419789"/>
      <w:bookmarkStart w:id="180" w:name="_Toc101539866"/>
      <w:bookmarkStart w:id="181" w:name="_Toc102482475"/>
      <w:bookmarkStart w:id="182" w:name="_Toc104459180"/>
      <w:bookmarkStart w:id="183" w:name="_Toc108624597"/>
      <w:r w:rsidRPr="00574E03">
        <w:rPr>
          <w:rFonts w:ascii="Arial Nova" w:hAnsi="Arial Nova"/>
          <w:b/>
          <w:bCs/>
          <w:color w:val="2F5496"/>
          <w:sz w:val="32"/>
          <w:szCs w:val="32"/>
        </w:rPr>
        <w:t>Supporting aged care provider recovery</w:t>
      </w:r>
      <w:bookmarkEnd w:id="179"/>
      <w:bookmarkEnd w:id="180"/>
      <w:bookmarkEnd w:id="181"/>
      <w:bookmarkEnd w:id="182"/>
      <w:bookmarkEnd w:id="183"/>
    </w:p>
    <w:p w14:paraId="21E2BE17" w14:textId="459CC51B" w:rsidR="00574E03" w:rsidRPr="00A006F2" w:rsidRDefault="00574E03" w:rsidP="00A006F2">
      <w:pPr>
        <w:keepNext/>
        <w:keepLines/>
        <w:spacing w:before="120" w:after="120" w:line="240" w:lineRule="atLeast"/>
        <w:outlineLvl w:val="2"/>
        <w:rPr>
          <w:rFonts w:ascii="Arial Nova" w:hAnsi="Arial Nova"/>
          <w:i/>
          <w:iCs/>
          <w:color w:val="4472C4"/>
          <w:sz w:val="28"/>
          <w:szCs w:val="28"/>
        </w:rPr>
      </w:pPr>
      <w:bookmarkStart w:id="184" w:name="_Reimbursement_of_costs"/>
      <w:bookmarkStart w:id="185" w:name="_Toc102482476"/>
      <w:bookmarkStart w:id="186" w:name="_Toc104459181"/>
      <w:bookmarkStart w:id="187" w:name="_Toc101419790"/>
      <w:bookmarkStart w:id="188" w:name="_Toc101539867"/>
      <w:bookmarkStart w:id="189" w:name="_Toc108624598"/>
      <w:bookmarkEnd w:id="184"/>
      <w:r w:rsidRPr="00A006F2">
        <w:rPr>
          <w:rFonts w:ascii="Arial Nova" w:hAnsi="Arial Nova"/>
          <w:i/>
          <w:iCs/>
          <w:color w:val="4472C4"/>
          <w:sz w:val="28"/>
          <w:szCs w:val="28"/>
        </w:rPr>
        <w:t>Reimbursement of costs – post outbreak</w:t>
      </w:r>
      <w:bookmarkEnd w:id="185"/>
      <w:bookmarkEnd w:id="186"/>
      <w:bookmarkEnd w:id="187"/>
      <w:bookmarkEnd w:id="188"/>
      <w:bookmarkEnd w:id="189"/>
    </w:p>
    <w:p w14:paraId="12A33AD2" w14:textId="3B8E30AB" w:rsidR="00574E03" w:rsidRPr="00A006F2" w:rsidRDefault="00574E03" w:rsidP="003E3E13">
      <w:pPr>
        <w:pStyle w:val="VACRCbody-landscape"/>
        <w:rPr>
          <w:rFonts w:asciiTheme="minorHAnsi" w:hAnsiTheme="minorHAnsi" w:cstheme="minorHAnsi"/>
        </w:rPr>
      </w:pPr>
      <w:r w:rsidRPr="00A006F2">
        <w:rPr>
          <w:rFonts w:asciiTheme="minorHAnsi" w:hAnsiTheme="minorHAnsi" w:cstheme="minorHAnsi"/>
        </w:rPr>
        <w:t>The COVID-19 Aged Care Support Program Extension Grant will remain open until 31</w:t>
      </w:r>
      <w:r w:rsidR="00660BCA">
        <w:rPr>
          <w:rFonts w:asciiTheme="minorHAnsi" w:hAnsiTheme="minorHAnsi" w:cstheme="minorHAnsi"/>
        </w:rPr>
        <w:t xml:space="preserve"> </w:t>
      </w:r>
      <w:r w:rsidRPr="00A006F2">
        <w:rPr>
          <w:rFonts w:asciiTheme="minorHAnsi" w:hAnsiTheme="minorHAnsi" w:cstheme="minorHAnsi"/>
        </w:rPr>
        <w:t>January 2023 (for providers impacted up to 31</w:t>
      </w:r>
      <w:r w:rsidR="00660BCA">
        <w:rPr>
          <w:rFonts w:asciiTheme="minorHAnsi" w:hAnsiTheme="minorHAnsi" w:cstheme="minorHAnsi"/>
        </w:rPr>
        <w:t xml:space="preserve"> </w:t>
      </w:r>
      <w:r w:rsidRPr="00A006F2">
        <w:rPr>
          <w:rFonts w:asciiTheme="minorHAnsi" w:hAnsiTheme="minorHAnsi" w:cstheme="minorHAnsi"/>
        </w:rPr>
        <w:t>December 2022), meaning providers will be able to continue to seek reimbursement for the direct costs of managing staff isolation or cases of COVID-19 in their facilities.</w:t>
      </w:r>
    </w:p>
    <w:p w14:paraId="1B144230" w14:textId="52DA0F75" w:rsidR="00574E03" w:rsidRPr="00A006F2" w:rsidRDefault="00574E03" w:rsidP="00314A18">
      <w:pPr>
        <w:pStyle w:val="VACRCbody-landscape"/>
        <w:spacing w:after="160"/>
        <w:rPr>
          <w:rFonts w:asciiTheme="minorHAnsi" w:hAnsiTheme="minorHAnsi" w:cstheme="minorHAnsi"/>
        </w:rPr>
      </w:pPr>
      <w:r w:rsidRPr="00A006F2">
        <w:rPr>
          <w:rFonts w:asciiTheme="minorHAnsi" w:hAnsiTheme="minorHAnsi" w:cstheme="minorHAnsi"/>
        </w:rPr>
        <w:t xml:space="preserve">The </w:t>
      </w:r>
      <w:r w:rsidR="00626E0D" w:rsidRPr="00A006F2">
        <w:rPr>
          <w:rFonts w:asciiTheme="minorHAnsi" w:hAnsiTheme="minorHAnsi" w:cstheme="minorHAnsi"/>
        </w:rPr>
        <w:t xml:space="preserve">department </w:t>
      </w:r>
      <w:r w:rsidRPr="00A006F2">
        <w:rPr>
          <w:rFonts w:asciiTheme="minorHAnsi" w:hAnsiTheme="minorHAnsi" w:cstheme="minorHAnsi"/>
        </w:rPr>
        <w:t>has considered the intersection between COVID-19 and influenza and the circumstances under which costs in managing influenza may be claimable where COVID-19 diagnosis is unknown.  The Frequently Asked Questions (FAQs) for this Grant Opportunity have been updated to reflect the new timeframe and any additional intersecting costs between COVID-19 and influenza.</w:t>
      </w:r>
    </w:p>
    <w:p w14:paraId="4773F629" w14:textId="77777777" w:rsidR="00D37C9A" w:rsidRPr="00A006F2" w:rsidRDefault="00D37C9A" w:rsidP="003E3E13">
      <w:pPr>
        <w:pStyle w:val="VACRCbody-landscape"/>
        <w:shd w:val="clear" w:color="auto" w:fill="DEEAF6"/>
        <w:rPr>
          <w:rFonts w:asciiTheme="minorHAnsi" w:hAnsiTheme="minorHAnsi" w:cstheme="minorHAnsi"/>
          <w:b/>
          <w:bCs/>
          <w:lang w:eastAsia="en-AU"/>
        </w:rPr>
      </w:pPr>
      <w:r w:rsidRPr="00A006F2">
        <w:rPr>
          <w:rFonts w:asciiTheme="minorHAnsi" w:hAnsiTheme="minorHAnsi" w:cstheme="minorHAnsi"/>
          <w:b/>
          <w:bCs/>
          <w:lang w:eastAsia="en-AU"/>
        </w:rPr>
        <w:t>Provider considerations</w:t>
      </w:r>
    </w:p>
    <w:p w14:paraId="04FCF7FF" w14:textId="4F4AA16E" w:rsidR="00D37C9A" w:rsidRPr="00A006F2" w:rsidRDefault="00D37C9A" w:rsidP="003E3E13">
      <w:pPr>
        <w:pStyle w:val="VACRCbody-landscape"/>
        <w:shd w:val="clear" w:color="auto" w:fill="DEEAF6"/>
        <w:rPr>
          <w:rFonts w:asciiTheme="minorHAnsi" w:hAnsiTheme="minorHAnsi" w:cstheme="minorHAnsi"/>
          <w:bCs/>
          <w:lang w:eastAsia="en-AU"/>
        </w:rPr>
      </w:pPr>
      <w:r w:rsidRPr="00A006F2">
        <w:rPr>
          <w:rFonts w:asciiTheme="minorHAnsi" w:hAnsiTheme="minorHAnsi" w:cstheme="minorHAnsi"/>
          <w:bCs/>
          <w:lang w:eastAsia="en-AU"/>
        </w:rPr>
        <w:t>Providers that have experienced standalone influenza outbreaks are not eligible to claim reimbursement through this grant opportunity.</w:t>
      </w:r>
    </w:p>
    <w:p w14:paraId="77C2A748" w14:textId="4FA6262B" w:rsidR="00D37C9A" w:rsidRPr="00A006F2" w:rsidRDefault="00D37C9A" w:rsidP="00314A18">
      <w:pPr>
        <w:pStyle w:val="VACRCbody-landscape"/>
        <w:shd w:val="clear" w:color="auto" w:fill="DEEAF6"/>
        <w:spacing w:after="160"/>
        <w:rPr>
          <w:rFonts w:asciiTheme="minorHAnsi" w:hAnsiTheme="minorHAnsi" w:cstheme="minorHAnsi"/>
          <w:bCs/>
        </w:rPr>
      </w:pPr>
      <w:r w:rsidRPr="00A006F2">
        <w:rPr>
          <w:rFonts w:asciiTheme="minorHAnsi" w:hAnsiTheme="minorHAnsi" w:cstheme="minorHAnsi"/>
          <w:bCs/>
          <w:lang w:eastAsia="en-AU"/>
        </w:rPr>
        <w:t xml:space="preserve">Providers impacted in this manner may be eligible to cover periods of impact between a COVID-19 test that was undertaken, on the initial assumption that staff or care recipients may have COVID-19, and any resulting period of isolation required </w:t>
      </w:r>
      <w:r w:rsidR="005F3AA8" w:rsidRPr="00A006F2">
        <w:rPr>
          <w:rFonts w:asciiTheme="minorHAnsi" w:hAnsiTheme="minorHAnsi" w:cstheme="minorHAnsi"/>
          <w:bCs/>
          <w:lang w:eastAsia="en-AU"/>
        </w:rPr>
        <w:t>because of</w:t>
      </w:r>
      <w:r w:rsidRPr="00A006F2">
        <w:rPr>
          <w:rFonts w:asciiTheme="minorHAnsi" w:hAnsiTheme="minorHAnsi" w:cstheme="minorHAnsi"/>
          <w:bCs/>
          <w:lang w:eastAsia="en-AU"/>
        </w:rPr>
        <w:t xml:space="preserve"> that test (</w:t>
      </w:r>
      <w:proofErr w:type="gramStart"/>
      <w:r w:rsidRPr="00A006F2">
        <w:rPr>
          <w:rFonts w:asciiTheme="minorHAnsi" w:hAnsiTheme="minorHAnsi" w:cstheme="minorHAnsi"/>
          <w:bCs/>
          <w:lang w:eastAsia="en-AU"/>
        </w:rPr>
        <w:t>e.g.</w:t>
      </w:r>
      <w:proofErr w:type="gramEnd"/>
      <w:r w:rsidRPr="00A006F2">
        <w:rPr>
          <w:rFonts w:asciiTheme="minorHAnsi" w:hAnsiTheme="minorHAnsi" w:cstheme="minorHAnsi"/>
          <w:bCs/>
          <w:lang w:eastAsia="en-AU"/>
        </w:rPr>
        <w:t xml:space="preserve"> where the staff member / care recipient is symptomatic and a close contact of a suspected COVID-19 positive case).</w:t>
      </w:r>
    </w:p>
    <w:p w14:paraId="1067EB0B" w14:textId="77777777" w:rsidR="0045135B" w:rsidRPr="00A006F2" w:rsidRDefault="0045135B" w:rsidP="00A006F2">
      <w:pPr>
        <w:keepNext/>
        <w:keepLines/>
        <w:spacing w:before="120" w:after="120" w:line="240" w:lineRule="atLeast"/>
        <w:outlineLvl w:val="2"/>
        <w:rPr>
          <w:rFonts w:ascii="Arial Nova" w:hAnsi="Arial Nova"/>
          <w:i/>
          <w:iCs/>
          <w:color w:val="4472C4"/>
          <w:sz w:val="28"/>
          <w:szCs w:val="28"/>
        </w:rPr>
      </w:pPr>
      <w:bookmarkStart w:id="190" w:name="_Toc102482477"/>
      <w:bookmarkStart w:id="191" w:name="_Toc104459182"/>
      <w:bookmarkStart w:id="192" w:name="_Toc108624599"/>
      <w:bookmarkStart w:id="193" w:name="_Toc101419748"/>
      <w:bookmarkStart w:id="194" w:name="_Toc101539824"/>
      <w:r w:rsidRPr="00A006F2">
        <w:rPr>
          <w:rFonts w:ascii="Arial Nova" w:hAnsi="Arial Nova"/>
          <w:i/>
          <w:iCs/>
          <w:color w:val="4472C4"/>
          <w:sz w:val="28"/>
          <w:szCs w:val="28"/>
        </w:rPr>
        <w:t>Financial support for providers</w:t>
      </w:r>
      <w:bookmarkEnd w:id="190"/>
      <w:bookmarkEnd w:id="191"/>
      <w:bookmarkEnd w:id="192"/>
    </w:p>
    <w:p w14:paraId="7DB0C0C9" w14:textId="128FEAC7" w:rsidR="0045135B" w:rsidRPr="00967B8E" w:rsidRDefault="0045135B" w:rsidP="003E3E13">
      <w:pPr>
        <w:pStyle w:val="VACRCbody-landscape"/>
        <w:rPr>
          <w:rFonts w:asciiTheme="minorHAnsi" w:hAnsiTheme="minorHAnsi" w:cstheme="minorHAnsi"/>
        </w:rPr>
      </w:pPr>
      <w:r w:rsidRPr="00967B8E">
        <w:rPr>
          <w:rFonts w:asciiTheme="minorHAnsi" w:hAnsiTheme="minorHAnsi" w:cstheme="minorHAnsi"/>
        </w:rPr>
        <w:t xml:space="preserve">A range of support measures, grants and initiatives are available to providers in need of support in the event of emergency circumstances, including outbreaks of COVID-19 and influenza. </w:t>
      </w:r>
      <w:hyperlink r:id="rId77" w:history="1">
        <w:r w:rsidRPr="00967B8E">
          <w:rPr>
            <w:rFonts w:asciiTheme="minorHAnsi" w:hAnsiTheme="minorHAnsi" w:cstheme="minorHAnsi"/>
            <w:color w:val="0563C1"/>
          </w:rPr>
          <w:t>The Aged Care Financial Monitoring and Business Assistance program</w:t>
        </w:r>
      </w:hyperlink>
      <w:r w:rsidRPr="00967B8E">
        <w:rPr>
          <w:rFonts w:asciiTheme="minorHAnsi" w:hAnsiTheme="minorHAnsi" w:cstheme="minorHAnsi"/>
        </w:rPr>
        <w:t xml:space="preserve"> helps approved residential providers understand and address major financial risks.</w:t>
      </w:r>
    </w:p>
    <w:p w14:paraId="00E0DD47" w14:textId="362E7DA8" w:rsidR="0045135B" w:rsidRPr="00967B8E" w:rsidRDefault="0045135B" w:rsidP="00314A18">
      <w:pPr>
        <w:pStyle w:val="VACRCbody-landscape"/>
        <w:spacing w:after="160"/>
      </w:pPr>
      <w:r w:rsidRPr="00967B8E">
        <w:rPr>
          <w:rFonts w:asciiTheme="minorHAnsi" w:hAnsiTheme="minorHAnsi" w:cstheme="minorHAnsi"/>
        </w:rPr>
        <w:t xml:space="preserve">Residential and Home Care providers can apply for free independent </w:t>
      </w:r>
      <w:hyperlink r:id="rId78" w:history="1">
        <w:r w:rsidRPr="00967B8E">
          <w:rPr>
            <w:rFonts w:asciiTheme="minorHAnsi" w:hAnsiTheme="minorHAnsi" w:cstheme="minorHAnsi"/>
            <w:color w:val="0563C1"/>
          </w:rPr>
          <w:t>Business Advisory Services</w:t>
        </w:r>
      </w:hyperlink>
      <w:r w:rsidRPr="00967B8E">
        <w:rPr>
          <w:rFonts w:asciiTheme="minorHAnsi" w:hAnsiTheme="minorHAnsi" w:cstheme="minorHAnsi"/>
        </w:rPr>
        <w:t xml:space="preserve"> to help them review their operations and provide advice on business</w:t>
      </w:r>
      <w:r w:rsidRPr="00967B8E">
        <w:t xml:space="preserve"> management and financial strategies.</w:t>
      </w:r>
    </w:p>
    <w:p w14:paraId="4D95A2D1" w14:textId="309753B3" w:rsidR="0045135B" w:rsidRPr="00967B8E" w:rsidRDefault="0045135B" w:rsidP="00A006F2">
      <w:pPr>
        <w:keepNext/>
        <w:keepLines/>
        <w:spacing w:before="120" w:after="120" w:line="250" w:lineRule="atLeast"/>
        <w:outlineLvl w:val="1"/>
        <w:rPr>
          <w:rFonts w:ascii="Arial Nova" w:hAnsi="Arial Nova"/>
          <w:b/>
          <w:bCs/>
          <w:color w:val="2F5496"/>
          <w:sz w:val="32"/>
          <w:szCs w:val="32"/>
        </w:rPr>
      </w:pPr>
      <w:bookmarkStart w:id="195" w:name="_Toc102482478"/>
      <w:bookmarkStart w:id="196" w:name="_Toc104459183"/>
      <w:bookmarkStart w:id="197" w:name="_Toc108624600"/>
      <w:r w:rsidRPr="00967B8E">
        <w:rPr>
          <w:rFonts w:ascii="Arial Nova" w:hAnsi="Arial Nova"/>
          <w:b/>
          <w:bCs/>
          <w:color w:val="2F5496"/>
          <w:sz w:val="32"/>
          <w:szCs w:val="32"/>
        </w:rPr>
        <w:t>Infection Prevention and Control – refreshing capability</w:t>
      </w:r>
      <w:bookmarkEnd w:id="195"/>
      <w:bookmarkEnd w:id="196"/>
      <w:bookmarkEnd w:id="197"/>
    </w:p>
    <w:bookmarkEnd w:id="193"/>
    <w:bookmarkEnd w:id="194"/>
    <w:p w14:paraId="00940459" w14:textId="25487F14" w:rsidR="0045135B" w:rsidRPr="00967B8E" w:rsidRDefault="0045135B" w:rsidP="00314A18">
      <w:pPr>
        <w:pStyle w:val="VACRCbody-landscape"/>
        <w:spacing w:after="160"/>
        <w:rPr>
          <w:rFonts w:asciiTheme="minorHAnsi" w:hAnsiTheme="minorHAnsi" w:cstheme="minorHAnsi"/>
        </w:rPr>
      </w:pPr>
      <w:r w:rsidRPr="00967B8E">
        <w:rPr>
          <w:rFonts w:asciiTheme="minorHAnsi" w:hAnsiTheme="minorHAnsi" w:cstheme="minorHAnsi"/>
        </w:rPr>
        <w:t xml:space="preserve">The </w:t>
      </w:r>
      <w:r w:rsidR="00626E0D" w:rsidRPr="00967B8E">
        <w:rPr>
          <w:rFonts w:asciiTheme="minorHAnsi" w:hAnsiTheme="minorHAnsi" w:cstheme="minorHAnsi"/>
        </w:rPr>
        <w:t xml:space="preserve">department </w:t>
      </w:r>
      <w:r w:rsidRPr="00967B8E">
        <w:rPr>
          <w:rFonts w:asciiTheme="minorHAnsi" w:hAnsiTheme="minorHAnsi" w:cstheme="minorHAnsi"/>
        </w:rPr>
        <w:t>is implementing a grant program to support aged care nurses to access critical IPC training. The grant will support providers with the costs associated with training during 2022-23. This commitment to IPC capability recognises the critical role of IPC leads and the need to foster this professional development.</w:t>
      </w:r>
    </w:p>
    <w:p w14:paraId="49776FCC" w14:textId="77777777" w:rsidR="0045135B" w:rsidRPr="00967B8E" w:rsidRDefault="0045135B" w:rsidP="00A006F2">
      <w:pPr>
        <w:keepNext/>
        <w:keepLines/>
        <w:spacing w:before="120" w:after="120" w:line="250" w:lineRule="atLeast"/>
        <w:outlineLvl w:val="1"/>
        <w:rPr>
          <w:rFonts w:ascii="Arial Nova" w:hAnsi="Arial Nova"/>
          <w:b/>
          <w:bCs/>
          <w:color w:val="2F5496"/>
          <w:sz w:val="32"/>
          <w:szCs w:val="32"/>
        </w:rPr>
      </w:pPr>
      <w:bookmarkStart w:id="198" w:name="_Emergency_management_planning"/>
      <w:bookmarkStart w:id="199" w:name="_Integrating_experience_into"/>
      <w:bookmarkStart w:id="200" w:name="_Toc101419762"/>
      <w:bookmarkStart w:id="201" w:name="_Toc101539839"/>
      <w:bookmarkStart w:id="202" w:name="_Toc102482482"/>
      <w:bookmarkStart w:id="203" w:name="_Toc104459184"/>
      <w:bookmarkStart w:id="204" w:name="_Toc108624601"/>
      <w:bookmarkEnd w:id="198"/>
      <w:bookmarkEnd w:id="199"/>
      <w:r w:rsidRPr="00967B8E">
        <w:rPr>
          <w:rFonts w:ascii="Arial Nova" w:hAnsi="Arial Nova"/>
          <w:b/>
          <w:bCs/>
          <w:color w:val="2F5496"/>
          <w:sz w:val="32"/>
          <w:szCs w:val="32"/>
        </w:rPr>
        <w:t>Integrating experience into planning</w:t>
      </w:r>
      <w:bookmarkEnd w:id="200"/>
      <w:bookmarkEnd w:id="201"/>
      <w:bookmarkEnd w:id="202"/>
      <w:bookmarkEnd w:id="203"/>
      <w:bookmarkEnd w:id="204"/>
    </w:p>
    <w:p w14:paraId="0608B80F" w14:textId="04555575" w:rsidR="0045135B" w:rsidRPr="00967B8E" w:rsidRDefault="0045135B" w:rsidP="003E3E13">
      <w:pPr>
        <w:pStyle w:val="VACRCbody-landscape"/>
        <w:rPr>
          <w:rFonts w:asciiTheme="minorHAnsi" w:hAnsiTheme="minorHAnsi" w:cstheme="minorHAnsi"/>
        </w:rPr>
      </w:pPr>
      <w:r w:rsidRPr="00967B8E">
        <w:rPr>
          <w:rFonts w:asciiTheme="minorHAnsi" w:hAnsiTheme="minorHAnsi" w:cstheme="minorHAnsi"/>
        </w:rPr>
        <w:t xml:space="preserve">Collaboration and sharing experience </w:t>
      </w:r>
      <w:r w:rsidR="004300D3" w:rsidRPr="00967B8E">
        <w:rPr>
          <w:rFonts w:asciiTheme="minorHAnsi" w:hAnsiTheme="minorHAnsi" w:cstheme="minorHAnsi"/>
        </w:rPr>
        <w:t>are</w:t>
      </w:r>
      <w:r w:rsidRPr="00967B8E">
        <w:rPr>
          <w:rFonts w:asciiTheme="minorHAnsi" w:hAnsiTheme="minorHAnsi" w:cstheme="minorHAnsi"/>
        </w:rPr>
        <w:t xml:space="preserve"> important in the context of a continuously evolving environment throughout the pandemic and into winter, and the challenges of implementing new guidance, plans and procedures in such an environment.</w:t>
      </w:r>
    </w:p>
    <w:p w14:paraId="1E629EF1" w14:textId="621605A1" w:rsidR="00D37C9A" w:rsidRDefault="0045135B" w:rsidP="003E3E13">
      <w:pPr>
        <w:pStyle w:val="VACRCbody-landscape"/>
      </w:pPr>
      <w:r w:rsidRPr="00967B8E">
        <w:rPr>
          <w:rFonts w:asciiTheme="minorHAnsi" w:eastAsia="Calibri" w:hAnsiTheme="minorHAnsi" w:cstheme="minorHAnsi"/>
          <w:szCs w:val="22"/>
        </w:rPr>
        <w:t xml:space="preserve">Aged care providers are encouraged to share their experiences, resources and learnings where possible. This could be done through existing networks. Opportunities for facilitated cross-sector collaboration exist across jurisdictions. For example, communities of practice exist in </w:t>
      </w:r>
      <w:hyperlink r:id="rId79" w:history="1">
        <w:r w:rsidRPr="00967B8E">
          <w:rPr>
            <w:rFonts w:asciiTheme="minorHAnsi" w:eastAsia="Calibri" w:hAnsiTheme="minorHAnsi" w:cstheme="minorHAnsi"/>
            <w:color w:val="0563C1"/>
            <w:szCs w:val="22"/>
          </w:rPr>
          <w:t>some states</w:t>
        </w:r>
      </w:hyperlink>
      <w:r w:rsidRPr="00967B8E">
        <w:rPr>
          <w:rFonts w:asciiTheme="minorHAnsi" w:eastAsia="Calibri" w:hAnsiTheme="minorHAnsi" w:cstheme="minorHAnsi"/>
          <w:szCs w:val="22"/>
        </w:rPr>
        <w:t xml:space="preserve"> which may support providers in the response to COVID-19 and Influenza throughout winter.</w:t>
      </w:r>
      <w:bookmarkStart w:id="205" w:name="_Financial_support_for"/>
      <w:bookmarkEnd w:id="205"/>
      <w:r w:rsidR="00D37C9A">
        <w:br w:type="page"/>
      </w:r>
    </w:p>
    <w:p w14:paraId="169AA45D" w14:textId="251F0FAC" w:rsidR="0045135B" w:rsidRPr="00562A10" w:rsidRDefault="0045135B" w:rsidP="00314A18">
      <w:pPr>
        <w:keepNext/>
        <w:keepLines/>
        <w:spacing w:before="120" w:after="160" w:line="250" w:lineRule="atLeast"/>
        <w:outlineLvl w:val="1"/>
        <w:rPr>
          <w:rFonts w:ascii="Arial Nova" w:hAnsi="Arial Nova"/>
          <w:b/>
          <w:bCs/>
          <w:color w:val="000000" w:themeColor="text1"/>
          <w:sz w:val="32"/>
          <w:szCs w:val="32"/>
        </w:rPr>
      </w:pPr>
      <w:bookmarkStart w:id="206" w:name="_Toc102482483"/>
      <w:bookmarkStart w:id="207" w:name="_Toc104459185"/>
      <w:bookmarkStart w:id="208" w:name="_Toc108624602"/>
      <w:r w:rsidRPr="00562A10">
        <w:rPr>
          <w:rFonts w:ascii="Arial Nova" w:hAnsi="Arial Nova"/>
          <w:b/>
          <w:bCs/>
          <w:color w:val="000000" w:themeColor="text1"/>
          <w:sz w:val="32"/>
          <w:szCs w:val="32"/>
        </w:rPr>
        <w:lastRenderedPageBreak/>
        <w:t xml:space="preserve">Appendix A – </w:t>
      </w:r>
      <w:r w:rsidR="00060AE4">
        <w:rPr>
          <w:rFonts w:ascii="Arial Nova" w:hAnsi="Arial Nova"/>
          <w:b/>
          <w:bCs/>
          <w:color w:val="000000" w:themeColor="text1"/>
          <w:sz w:val="32"/>
          <w:szCs w:val="32"/>
        </w:rPr>
        <w:t>A</w:t>
      </w:r>
      <w:r w:rsidR="00060AE4" w:rsidRPr="00A30262">
        <w:rPr>
          <w:rFonts w:ascii="Arial Nova" w:hAnsi="Arial Nova"/>
          <w:b/>
          <w:bCs/>
          <w:color w:val="000000" w:themeColor="text1"/>
          <w:sz w:val="32"/>
          <w:szCs w:val="32"/>
        </w:rPr>
        <w:t xml:space="preserve">ged </w:t>
      </w:r>
      <w:r w:rsidR="00060AE4">
        <w:rPr>
          <w:rFonts w:ascii="Arial Nova" w:hAnsi="Arial Nova"/>
          <w:b/>
          <w:bCs/>
          <w:color w:val="000000" w:themeColor="text1"/>
          <w:sz w:val="32"/>
          <w:szCs w:val="32"/>
        </w:rPr>
        <w:t>C</w:t>
      </w:r>
      <w:r w:rsidR="00060AE4" w:rsidRPr="00A30262">
        <w:rPr>
          <w:rFonts w:ascii="Arial Nova" w:hAnsi="Arial Nova"/>
          <w:b/>
          <w:bCs/>
          <w:color w:val="000000" w:themeColor="text1"/>
          <w:sz w:val="32"/>
          <w:szCs w:val="32"/>
        </w:rPr>
        <w:t xml:space="preserve">are </w:t>
      </w:r>
      <w:r w:rsidR="00060AE4">
        <w:rPr>
          <w:rFonts w:ascii="Arial Nova" w:hAnsi="Arial Nova"/>
          <w:b/>
          <w:bCs/>
          <w:color w:val="000000" w:themeColor="text1"/>
          <w:sz w:val="32"/>
          <w:szCs w:val="32"/>
        </w:rPr>
        <w:t>H</w:t>
      </w:r>
      <w:r w:rsidR="00060AE4" w:rsidRPr="00A30262">
        <w:rPr>
          <w:rFonts w:ascii="Arial Nova" w:hAnsi="Arial Nova"/>
          <w:b/>
          <w:bCs/>
          <w:color w:val="000000" w:themeColor="text1"/>
          <w:sz w:val="32"/>
          <w:szCs w:val="32"/>
        </w:rPr>
        <w:t>ome</w:t>
      </w:r>
      <w:r w:rsidR="00060AE4" w:rsidRPr="002C6972">
        <w:rPr>
          <w:rFonts w:asciiTheme="minorHAnsi" w:hAnsiTheme="minorHAnsi" w:cstheme="minorHAnsi"/>
        </w:rPr>
        <w:t xml:space="preserve"> </w:t>
      </w:r>
      <w:r w:rsidRPr="00562A10">
        <w:rPr>
          <w:rFonts w:ascii="Arial Nova" w:hAnsi="Arial Nova"/>
          <w:b/>
          <w:bCs/>
          <w:color w:val="000000" w:themeColor="text1"/>
          <w:sz w:val="32"/>
          <w:szCs w:val="32"/>
        </w:rPr>
        <w:t>Winter Preparedness Checklist</w:t>
      </w:r>
      <w:bookmarkEnd w:id="206"/>
      <w:bookmarkEnd w:id="207"/>
      <w:bookmarkEnd w:id="208"/>
    </w:p>
    <w:p w14:paraId="45A02F48" w14:textId="77777777" w:rsidR="0045135B" w:rsidRPr="00562A10" w:rsidRDefault="0045135B" w:rsidP="00CA41A3">
      <w:pPr>
        <w:pStyle w:val="VACRCbody-landscape"/>
        <w:spacing w:after="160" w:line="240" w:lineRule="atLeast"/>
        <w:rPr>
          <w:rFonts w:asciiTheme="minorHAnsi" w:hAnsiTheme="minorHAnsi" w:cstheme="minorHAnsi"/>
        </w:rPr>
      </w:pPr>
      <w:r w:rsidRPr="00562A10">
        <w:rPr>
          <w:rFonts w:asciiTheme="minorHAnsi" w:hAnsiTheme="minorHAnsi" w:cstheme="minorHAnsi"/>
        </w:rPr>
        <w:t xml:space="preserve">Guided by the three stages outlined in this plan, the Checklist provides examples of practical actions providers should undertake across </w:t>
      </w:r>
      <w:r w:rsidRPr="00562A10">
        <w:rPr>
          <w:rFonts w:asciiTheme="minorHAnsi" w:hAnsiTheme="minorHAnsi" w:cstheme="minorHAnsi"/>
          <w:i/>
          <w:iCs/>
        </w:rPr>
        <w:t>Readiness</w:t>
      </w:r>
      <w:r w:rsidRPr="00562A10">
        <w:rPr>
          <w:rFonts w:asciiTheme="minorHAnsi" w:hAnsiTheme="minorHAnsi" w:cstheme="minorHAnsi"/>
        </w:rPr>
        <w:t xml:space="preserve">, </w:t>
      </w:r>
      <w:r w:rsidRPr="00562A10">
        <w:rPr>
          <w:rFonts w:asciiTheme="minorHAnsi" w:hAnsiTheme="minorHAnsi" w:cstheme="minorHAnsi"/>
          <w:i/>
          <w:iCs/>
        </w:rPr>
        <w:t>Response</w:t>
      </w:r>
      <w:r w:rsidRPr="00562A10">
        <w:rPr>
          <w:rFonts w:asciiTheme="minorHAnsi" w:hAnsiTheme="minorHAnsi" w:cstheme="minorHAnsi"/>
        </w:rPr>
        <w:t xml:space="preserve"> and </w:t>
      </w:r>
      <w:r w:rsidRPr="00562A10">
        <w:rPr>
          <w:rFonts w:asciiTheme="minorHAnsi" w:hAnsiTheme="minorHAnsi" w:cstheme="minorHAnsi"/>
          <w:i/>
          <w:iCs/>
        </w:rPr>
        <w:t>Recovery</w:t>
      </w:r>
      <w:r w:rsidRPr="00562A10">
        <w:rPr>
          <w:rFonts w:asciiTheme="minorHAnsi" w:hAnsiTheme="minorHAnsi" w:cstheme="minorHAnsi"/>
        </w:rPr>
        <w:t>. Whilst the Checklist is not exhaustive, it is intended to support providers’ planning to ensure the continued delivery of safe and quality care for residents ahead of the anticipated co-circulation of both COVID-19 and influenza.</w:t>
      </w:r>
    </w:p>
    <w:p w14:paraId="2D42B4C9" w14:textId="6E621014" w:rsidR="0045135B" w:rsidRPr="00D972B3" w:rsidRDefault="0045135B" w:rsidP="00314A18">
      <w:pPr>
        <w:shd w:val="clear" w:color="auto" w:fill="E2EFD9"/>
        <w:spacing w:after="60" w:line="240" w:lineRule="atLeast"/>
        <w:rPr>
          <w:rFonts w:ascii="Arial Nova" w:eastAsia="MS Gothic" w:hAnsi="Arial Nova" w:cs="Arial"/>
          <w:b/>
          <w:bCs/>
          <w:color w:val="007940"/>
          <w:kern w:val="32"/>
          <w:sz w:val="28"/>
          <w:szCs w:val="28"/>
        </w:rPr>
      </w:pPr>
      <w:r w:rsidRPr="00D972B3">
        <w:rPr>
          <w:rFonts w:ascii="Arial Nova" w:eastAsia="MS Gothic" w:hAnsi="Arial Nova" w:cs="Arial"/>
          <w:b/>
          <w:bCs/>
          <w:color w:val="007940"/>
          <w:kern w:val="32"/>
          <w:sz w:val="28"/>
          <w:szCs w:val="28"/>
        </w:rPr>
        <w:t>Readiness</w:t>
      </w:r>
    </w:p>
    <w:p w14:paraId="731E5A15" w14:textId="77777777" w:rsidR="0045135B" w:rsidRPr="00562A10" w:rsidRDefault="00E35DE8" w:rsidP="003E3E13">
      <w:pPr>
        <w:pStyle w:val="VACRCbody-landscape"/>
        <w:rPr>
          <w:rFonts w:asciiTheme="minorHAnsi" w:hAnsiTheme="minorHAnsi" w:cstheme="minorHAnsi"/>
        </w:rPr>
      </w:pPr>
      <w:sdt>
        <w:sdtPr>
          <w:rPr>
            <w:rFonts w:ascii="MS Gothic" w:eastAsia="MS Gothic" w:hAnsi="MS Gothic"/>
          </w:rPr>
          <w:id w:val="-311722160"/>
          <w14:checkbox>
            <w14:checked w14:val="0"/>
            <w14:checkedState w14:val="2612" w14:font="MS Gothic"/>
            <w14:uncheckedState w14:val="2610" w14:font="MS Gothic"/>
          </w14:checkbox>
        </w:sdtPr>
        <w:sdtEndPr/>
        <w:sdtContent>
          <w:r w:rsidR="0045135B" w:rsidRPr="0045135B">
            <w:rPr>
              <w:rFonts w:ascii="MS Gothic" w:eastAsia="MS Gothic" w:hAnsi="MS Gothic" w:hint="eastAsia"/>
            </w:rPr>
            <w:t>☐</w:t>
          </w:r>
        </w:sdtContent>
      </w:sdt>
      <w:r w:rsidR="0045135B" w:rsidRPr="0045135B">
        <w:rPr>
          <w:rFonts w:ascii="MS Gothic" w:eastAsia="MS Gothic" w:hAnsi="MS Gothic"/>
        </w:rPr>
        <w:t xml:space="preserve"> </w:t>
      </w:r>
      <w:r w:rsidR="0045135B" w:rsidRPr="00562A10">
        <w:rPr>
          <w:rFonts w:asciiTheme="minorHAnsi" w:hAnsiTheme="minorHAnsi" w:cstheme="minorHAnsi"/>
        </w:rPr>
        <w:t>Have you undertaken an updated risk-assessment of the local COVID-19/influenza risk for your service and how this may impact your outbreak management?</w:t>
      </w:r>
    </w:p>
    <w:p w14:paraId="6E72DA60" w14:textId="77777777" w:rsidR="0045135B" w:rsidRPr="00562A10"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1905049771"/>
          <w14:checkbox>
            <w14:checked w14:val="0"/>
            <w14:checkedState w14:val="2612" w14:font="MS Gothic"/>
            <w14:uncheckedState w14:val="2610" w14:font="MS Gothic"/>
          </w14:checkbox>
        </w:sdtPr>
        <w:sdtEndPr/>
        <w:sdtContent>
          <w:r w:rsidR="0045135B" w:rsidRPr="00562A10">
            <w:rPr>
              <w:rFonts w:ascii="Segoe UI Symbol" w:eastAsia="MS Gothic" w:hAnsi="Segoe UI Symbol" w:cs="Segoe UI Symbol"/>
            </w:rPr>
            <w:t>☐</w:t>
          </w:r>
        </w:sdtContent>
      </w:sdt>
      <w:r w:rsidR="0045135B" w:rsidRPr="00562A10">
        <w:rPr>
          <w:rFonts w:asciiTheme="minorHAnsi" w:eastAsia="MS Gothic" w:hAnsiTheme="minorHAnsi" w:cstheme="minorHAnsi"/>
        </w:rPr>
        <w:t xml:space="preserve"> </w:t>
      </w:r>
      <w:r w:rsidR="0045135B" w:rsidRPr="00562A10">
        <w:rPr>
          <w:rFonts w:asciiTheme="minorHAnsi" w:hAnsiTheme="minorHAnsi" w:cstheme="minorHAnsi"/>
        </w:rPr>
        <w:t>Have you recently updated your outbreak management plan and tested it through a series of scenario-based activities?</w:t>
      </w:r>
    </w:p>
    <w:p w14:paraId="473093BA" w14:textId="77777777" w:rsidR="0045135B" w:rsidRPr="00562A10"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697815191"/>
          <w14:checkbox>
            <w14:checked w14:val="0"/>
            <w14:checkedState w14:val="2612" w14:font="MS Gothic"/>
            <w14:uncheckedState w14:val="2610" w14:font="MS Gothic"/>
          </w14:checkbox>
        </w:sdtPr>
        <w:sdtEndPr/>
        <w:sdtContent>
          <w:r w:rsidR="0045135B" w:rsidRPr="00562A10">
            <w:rPr>
              <w:rFonts w:ascii="Segoe UI Symbol" w:eastAsia="MS Gothic" w:hAnsi="Segoe UI Symbol" w:cs="Segoe UI Symbol"/>
            </w:rPr>
            <w:t>☐</w:t>
          </w:r>
        </w:sdtContent>
      </w:sdt>
      <w:r w:rsidR="0045135B" w:rsidRPr="00562A10">
        <w:rPr>
          <w:rFonts w:asciiTheme="minorHAnsi" w:hAnsiTheme="minorHAnsi" w:cstheme="minorHAnsi"/>
        </w:rPr>
        <w:t xml:space="preserve"> Are all staff aware of the plan, how to access it, and their roles and responsibilities?</w:t>
      </w:r>
    </w:p>
    <w:p w14:paraId="7604CB6A" w14:textId="35D123FC" w:rsidR="0045135B" w:rsidRPr="00562A10"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148822426"/>
          <w14:checkbox>
            <w14:checked w14:val="0"/>
            <w14:checkedState w14:val="2612" w14:font="MS Gothic"/>
            <w14:uncheckedState w14:val="2610" w14:font="MS Gothic"/>
          </w14:checkbox>
        </w:sdtPr>
        <w:sdtEndPr/>
        <w:sdtContent>
          <w:r w:rsidR="0045135B" w:rsidRPr="00562A10">
            <w:rPr>
              <w:rFonts w:ascii="Segoe UI Symbol" w:eastAsia="MS Gothic" w:hAnsi="Segoe UI Symbol" w:cs="Segoe UI Symbol"/>
            </w:rPr>
            <w:t>☐</w:t>
          </w:r>
        </w:sdtContent>
      </w:sdt>
      <w:r w:rsidR="0045135B" w:rsidRPr="00562A10">
        <w:rPr>
          <w:rFonts w:asciiTheme="minorHAnsi" w:eastAsia="MS Gothic" w:hAnsiTheme="minorHAnsi" w:cstheme="minorHAnsi"/>
        </w:rPr>
        <w:t xml:space="preserve"> </w:t>
      </w:r>
      <w:r w:rsidR="0045135B" w:rsidRPr="00562A10">
        <w:rPr>
          <w:rFonts w:asciiTheme="minorHAnsi" w:hAnsiTheme="minorHAnsi" w:cstheme="minorHAnsi"/>
        </w:rPr>
        <w:t>Have all staff been trained in all aspects of outbreak identification, management, and IPC, including refresher training if required?</w:t>
      </w:r>
    </w:p>
    <w:p w14:paraId="30FC8B3C" w14:textId="01AAEBE9" w:rsidR="0045135B"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1874419920"/>
          <w14:checkbox>
            <w14:checked w14:val="0"/>
            <w14:checkedState w14:val="2612" w14:font="MS Gothic"/>
            <w14:uncheckedState w14:val="2610" w14:font="MS Gothic"/>
          </w14:checkbox>
        </w:sdtPr>
        <w:sdtEndPr/>
        <w:sdtContent>
          <w:r w:rsidR="00A30262">
            <w:rPr>
              <w:rFonts w:ascii="MS Gothic" w:eastAsia="MS Gothic" w:hAnsi="MS Gothic" w:cstheme="minorHAnsi" w:hint="eastAsia"/>
            </w:rPr>
            <w:t>☐</w:t>
          </w:r>
        </w:sdtContent>
      </w:sdt>
      <w:r w:rsidR="00A30262" w:rsidRPr="00562A10">
        <w:rPr>
          <w:rFonts w:asciiTheme="minorHAnsi" w:hAnsiTheme="minorHAnsi" w:cstheme="minorHAnsi"/>
        </w:rPr>
        <w:t xml:space="preserve"> Have you </w:t>
      </w:r>
      <w:r w:rsidR="0045135B" w:rsidRPr="00562A10">
        <w:rPr>
          <w:rFonts w:asciiTheme="minorHAnsi" w:hAnsiTheme="minorHAnsi" w:cstheme="minorHAnsi"/>
        </w:rPr>
        <w:t>provided resident’s families with information regarding strategies to minimise the risk of introduction and transmission of COVID-19 and influenza?</w:t>
      </w:r>
    </w:p>
    <w:p w14:paraId="743F9039" w14:textId="082DD34A" w:rsidR="00A30262" w:rsidRPr="00562A10"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1083954565"/>
          <w14:checkbox>
            <w14:checked w14:val="0"/>
            <w14:checkedState w14:val="2612" w14:font="MS Gothic"/>
            <w14:uncheckedState w14:val="2610" w14:font="MS Gothic"/>
          </w14:checkbox>
        </w:sdtPr>
        <w:sdtEndPr/>
        <w:sdtContent>
          <w:r w:rsidR="00A30262">
            <w:rPr>
              <w:rFonts w:ascii="MS Gothic" w:eastAsia="MS Gothic" w:hAnsi="MS Gothic" w:cstheme="minorHAnsi" w:hint="eastAsia"/>
            </w:rPr>
            <w:t>☐</w:t>
          </w:r>
        </w:sdtContent>
      </w:sdt>
      <w:r w:rsidR="00A30262" w:rsidRPr="00562A10">
        <w:rPr>
          <w:rFonts w:asciiTheme="minorHAnsi" w:hAnsiTheme="minorHAnsi" w:cstheme="minorHAnsi"/>
        </w:rPr>
        <w:t xml:space="preserve"> Have you</w:t>
      </w:r>
      <w:r w:rsidR="00A30262">
        <w:rPr>
          <w:rFonts w:asciiTheme="minorHAnsi" w:hAnsiTheme="minorHAnsi" w:cstheme="minorHAnsi"/>
        </w:rPr>
        <w:t xml:space="preserve"> organised a COVID-19 vaccination clinic for residents, including winter booster doses? </w:t>
      </w:r>
    </w:p>
    <w:p w14:paraId="63763BA9" w14:textId="44C94912" w:rsidR="0045135B" w:rsidRPr="00562A10"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1436792166"/>
          <w14:checkbox>
            <w14:checked w14:val="0"/>
            <w14:checkedState w14:val="2612" w14:font="MS Gothic"/>
            <w14:uncheckedState w14:val="2610" w14:font="MS Gothic"/>
          </w14:checkbox>
        </w:sdtPr>
        <w:sdtEndPr/>
        <w:sdtContent>
          <w:r w:rsidR="0045135B" w:rsidRPr="00562A10">
            <w:rPr>
              <w:rFonts w:ascii="Segoe UI Symbol" w:eastAsia="MS Gothic" w:hAnsi="Segoe UI Symbol" w:cs="Segoe UI Symbol"/>
            </w:rPr>
            <w:t>☐</w:t>
          </w:r>
        </w:sdtContent>
      </w:sdt>
      <w:r w:rsidR="0045135B" w:rsidRPr="00562A10">
        <w:rPr>
          <w:rFonts w:asciiTheme="minorHAnsi" w:hAnsiTheme="minorHAnsi" w:cstheme="minorHAnsi"/>
        </w:rPr>
        <w:t xml:space="preserve"> Have you offered influenza vaccination to all staff and volunteers and taken steps to encourage vaccination </w:t>
      </w:r>
      <w:r w:rsidR="00A30262">
        <w:rPr>
          <w:rFonts w:asciiTheme="minorHAnsi" w:hAnsiTheme="minorHAnsi" w:cstheme="minorHAnsi"/>
        </w:rPr>
        <w:t xml:space="preserve">(including COVID-19 vaccination) </w:t>
      </w:r>
      <w:r w:rsidR="0045135B" w:rsidRPr="00562A10">
        <w:rPr>
          <w:rFonts w:asciiTheme="minorHAnsi" w:hAnsiTheme="minorHAnsi" w:cstheme="minorHAnsi"/>
        </w:rPr>
        <w:t>as an important protection?</w:t>
      </w:r>
    </w:p>
    <w:p w14:paraId="49DBAB72" w14:textId="450349B2" w:rsidR="0045135B" w:rsidRPr="00562A10"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997806814"/>
          <w14:checkbox>
            <w14:checked w14:val="0"/>
            <w14:checkedState w14:val="2612" w14:font="MS Gothic"/>
            <w14:uncheckedState w14:val="2610" w14:font="MS Gothic"/>
          </w14:checkbox>
        </w:sdtPr>
        <w:sdtEndPr/>
        <w:sdtContent>
          <w:r w:rsidR="0045135B" w:rsidRPr="00562A10">
            <w:rPr>
              <w:rFonts w:ascii="Segoe UI Symbol" w:eastAsia="MS Gothic" w:hAnsi="Segoe UI Symbol" w:cs="Segoe UI Symbol"/>
            </w:rPr>
            <w:t>☐</w:t>
          </w:r>
        </w:sdtContent>
      </w:sdt>
      <w:r w:rsidR="0045135B" w:rsidRPr="00562A10">
        <w:rPr>
          <w:rFonts w:asciiTheme="minorHAnsi" w:hAnsiTheme="minorHAnsi" w:cstheme="minorHAnsi"/>
        </w:rPr>
        <w:t xml:space="preserve"> Do all residents have access to an influenza vaccine through a primary care or other vaccination provider?</w:t>
      </w:r>
    </w:p>
    <w:p w14:paraId="0B4D0138" w14:textId="2A2F19F7" w:rsidR="0045135B" w:rsidRPr="00562A10"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2043859800"/>
          <w14:checkbox>
            <w14:checked w14:val="0"/>
            <w14:checkedState w14:val="2612" w14:font="MS Gothic"/>
            <w14:uncheckedState w14:val="2610" w14:font="MS Gothic"/>
          </w14:checkbox>
        </w:sdtPr>
        <w:sdtEndPr/>
        <w:sdtContent>
          <w:r w:rsidR="0045135B" w:rsidRPr="00562A10">
            <w:rPr>
              <w:rFonts w:ascii="Segoe UI Symbol" w:eastAsia="MS Gothic" w:hAnsi="Segoe UI Symbol" w:cs="Segoe UI Symbol"/>
            </w:rPr>
            <w:t>☐</w:t>
          </w:r>
        </w:sdtContent>
      </w:sdt>
      <w:r w:rsidR="0045135B" w:rsidRPr="00562A10">
        <w:rPr>
          <w:rFonts w:asciiTheme="minorHAnsi" w:hAnsiTheme="minorHAnsi" w:cstheme="minorHAnsi"/>
        </w:rPr>
        <w:t xml:space="preserve"> Do you have an adequate supply of Personal Protective Equipment (PPE) and Rapid Antigen Tests to ensure you can enact a quick and effective response?</w:t>
      </w:r>
    </w:p>
    <w:p w14:paraId="24347BCA" w14:textId="77777777" w:rsidR="0045135B" w:rsidRPr="00562A10"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2017349601"/>
          <w14:checkbox>
            <w14:checked w14:val="0"/>
            <w14:checkedState w14:val="2612" w14:font="MS Gothic"/>
            <w14:uncheckedState w14:val="2610" w14:font="MS Gothic"/>
          </w14:checkbox>
        </w:sdtPr>
        <w:sdtEndPr/>
        <w:sdtContent>
          <w:r w:rsidR="0045135B" w:rsidRPr="00562A10">
            <w:rPr>
              <w:rFonts w:ascii="Segoe UI Symbol" w:eastAsia="MS Gothic" w:hAnsi="Segoe UI Symbol" w:cs="Segoe UI Symbol"/>
            </w:rPr>
            <w:t>☐</w:t>
          </w:r>
        </w:sdtContent>
      </w:sdt>
      <w:r w:rsidR="0045135B" w:rsidRPr="00562A10">
        <w:rPr>
          <w:rFonts w:asciiTheme="minorHAnsi" w:hAnsiTheme="minorHAnsi" w:cstheme="minorHAnsi"/>
        </w:rPr>
        <w:t xml:space="preserve"> Have you received your winter pack of PPE from the National Medical Stockpile?</w:t>
      </w:r>
    </w:p>
    <w:p w14:paraId="0C7DC1F0" w14:textId="77777777" w:rsidR="0045135B" w:rsidRPr="00562A10"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814839364"/>
          <w14:checkbox>
            <w14:checked w14:val="0"/>
            <w14:checkedState w14:val="2612" w14:font="MS Gothic"/>
            <w14:uncheckedState w14:val="2610" w14:font="MS Gothic"/>
          </w14:checkbox>
        </w:sdtPr>
        <w:sdtEndPr/>
        <w:sdtContent>
          <w:r w:rsidR="0045135B" w:rsidRPr="00562A10">
            <w:rPr>
              <w:rFonts w:ascii="Segoe UI Symbol" w:eastAsia="MS Gothic" w:hAnsi="Segoe UI Symbol" w:cs="Segoe UI Symbol"/>
            </w:rPr>
            <w:t>☐</w:t>
          </w:r>
        </w:sdtContent>
      </w:sdt>
      <w:r w:rsidR="0045135B" w:rsidRPr="00562A10">
        <w:rPr>
          <w:rFonts w:asciiTheme="minorHAnsi" w:hAnsiTheme="minorHAnsi" w:cstheme="minorHAnsi"/>
        </w:rPr>
        <w:t xml:space="preserve"> Have you undertaken detailed workforce management planning, including considering how you will source additional workforce (if required)?</w:t>
      </w:r>
    </w:p>
    <w:p w14:paraId="4F85C796" w14:textId="6C03EC93" w:rsidR="0045135B" w:rsidRPr="00562A10"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1565911278"/>
          <w14:checkbox>
            <w14:checked w14:val="0"/>
            <w14:checkedState w14:val="2612" w14:font="MS Gothic"/>
            <w14:uncheckedState w14:val="2610" w14:font="MS Gothic"/>
          </w14:checkbox>
        </w:sdtPr>
        <w:sdtEndPr/>
        <w:sdtContent>
          <w:r w:rsidR="0045135B" w:rsidRPr="00562A10">
            <w:rPr>
              <w:rFonts w:ascii="Segoe UI Symbol" w:eastAsia="MS Gothic" w:hAnsi="Segoe UI Symbol" w:cs="Segoe UI Symbol"/>
            </w:rPr>
            <w:t>☐</w:t>
          </w:r>
        </w:sdtContent>
      </w:sdt>
      <w:r w:rsidR="0045135B" w:rsidRPr="00562A10">
        <w:rPr>
          <w:rFonts w:asciiTheme="minorHAnsi" w:hAnsiTheme="minorHAnsi" w:cstheme="minorHAnsi"/>
        </w:rPr>
        <w:t xml:space="preserve"> Does this include how you will cohort/zone staff (as required)?</w:t>
      </w:r>
    </w:p>
    <w:p w14:paraId="5A46B68F" w14:textId="77777777" w:rsidR="0045135B" w:rsidRPr="00967B8E"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1760938551"/>
          <w14:checkbox>
            <w14:checked w14:val="0"/>
            <w14:checkedState w14:val="2612" w14:font="MS Gothic"/>
            <w14:uncheckedState w14:val="2610" w14:font="MS Gothic"/>
          </w14:checkbox>
        </w:sdtPr>
        <w:sdtEndPr/>
        <w:sdtContent>
          <w:r w:rsidR="0045135B" w:rsidRPr="00562A10">
            <w:rPr>
              <w:rFonts w:ascii="Segoe UI Symbol" w:eastAsia="MS Gothic" w:hAnsi="Segoe UI Symbol" w:cs="Segoe UI Symbol"/>
            </w:rPr>
            <w:t>☐</w:t>
          </w:r>
        </w:sdtContent>
      </w:sdt>
      <w:r w:rsidR="0045135B" w:rsidRPr="00562A10">
        <w:rPr>
          <w:rFonts w:asciiTheme="minorHAnsi" w:hAnsiTheme="minorHAnsi" w:cstheme="minorHAnsi"/>
        </w:rPr>
        <w:t xml:space="preserve"> </w:t>
      </w:r>
      <w:r w:rsidR="0045135B" w:rsidRPr="00967B8E">
        <w:rPr>
          <w:rFonts w:asciiTheme="minorHAnsi" w:hAnsiTheme="minorHAnsi" w:cstheme="minorHAnsi"/>
        </w:rPr>
        <w:t>Do you know the COVID-19 and/or influenza vaccination status of all residents and staff?</w:t>
      </w:r>
    </w:p>
    <w:p w14:paraId="65D66975" w14:textId="2942CB29" w:rsidR="0045135B" w:rsidRPr="00967B8E"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339512054"/>
          <w14:checkbox>
            <w14:checked w14:val="0"/>
            <w14:checkedState w14:val="2612" w14:font="MS Gothic"/>
            <w14:uncheckedState w14:val="2610" w14:font="MS Gothic"/>
          </w14:checkbox>
        </w:sdtPr>
        <w:sdtEndPr/>
        <w:sdtContent>
          <w:r w:rsidR="0045135B" w:rsidRPr="00967B8E">
            <w:rPr>
              <w:rFonts w:ascii="Segoe UI Symbol" w:eastAsia="MS Gothic" w:hAnsi="Segoe UI Symbol" w:cs="Segoe UI Symbol"/>
            </w:rPr>
            <w:t>☐</w:t>
          </w:r>
        </w:sdtContent>
      </w:sdt>
      <w:r w:rsidR="0045135B" w:rsidRPr="00967B8E">
        <w:rPr>
          <w:rFonts w:asciiTheme="minorHAnsi" w:hAnsiTheme="minorHAnsi" w:cstheme="minorHAnsi"/>
        </w:rPr>
        <w:t xml:space="preserve"> Have you undertaken preparatory steps to enable timely access to COVID-19 and/or Influenza antiviral treatments if required and appropriate</w:t>
      </w:r>
      <w:r w:rsidR="00A30262">
        <w:rPr>
          <w:rFonts w:asciiTheme="minorHAnsi" w:hAnsiTheme="minorHAnsi" w:cstheme="minorHAnsi"/>
        </w:rPr>
        <w:t>, including determining resident views on treatments</w:t>
      </w:r>
      <w:r w:rsidR="0045135B" w:rsidRPr="00967B8E">
        <w:rPr>
          <w:rFonts w:asciiTheme="minorHAnsi" w:hAnsiTheme="minorHAnsi" w:cstheme="minorHAnsi"/>
        </w:rPr>
        <w:t>?</w:t>
      </w:r>
    </w:p>
    <w:p w14:paraId="6D98A1B7" w14:textId="77777777"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418916604"/>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Do you have a communication plan in place, informed by </w:t>
      </w:r>
      <w:hyperlink r:id="rId80" w:history="1">
        <w:r w:rsidR="0045135B" w:rsidRPr="00967B8E">
          <w:rPr>
            <w:rFonts w:asciiTheme="minorHAnsi" w:hAnsiTheme="minorHAnsi" w:cstheme="minorHAnsi"/>
            <w:color w:val="0563C1"/>
          </w:rPr>
          <w:t>National COVID-19 Residential Aged Care Emergency Communication Guide</w:t>
        </w:r>
      </w:hyperlink>
      <w:r w:rsidR="0045135B" w:rsidRPr="00967B8E">
        <w:rPr>
          <w:rFonts w:asciiTheme="minorHAnsi" w:hAnsiTheme="minorHAnsi" w:cstheme="minorHAnsi"/>
          <w:color w:val="0563C1"/>
        </w:rPr>
        <w:t>?</w:t>
      </w:r>
    </w:p>
    <w:p w14:paraId="4BB53D18" w14:textId="482D4A7D"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1474670505"/>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Does this include a plan for communicating with staff, residents, volunteers and family members during an outbreak?</w:t>
      </w:r>
    </w:p>
    <w:p w14:paraId="784516E1" w14:textId="7A204D94" w:rsidR="0045135B" w:rsidRPr="00967B8E" w:rsidRDefault="00E35DE8" w:rsidP="003E3E13">
      <w:pPr>
        <w:pStyle w:val="VACRCbody-landscape"/>
        <w:rPr>
          <w:rFonts w:asciiTheme="minorHAnsi" w:hAnsiTheme="minorHAnsi" w:cstheme="minorHAnsi"/>
        </w:rPr>
      </w:pPr>
      <w:sdt>
        <w:sdtPr>
          <w:rPr>
            <w:rFonts w:asciiTheme="minorHAnsi" w:eastAsia="MS Gothic" w:hAnsiTheme="minorHAnsi" w:cstheme="minorHAnsi"/>
          </w:rPr>
          <w:id w:val="-153914743"/>
          <w14:checkbox>
            <w14:checked w14:val="0"/>
            <w14:checkedState w14:val="2612" w14:font="MS Gothic"/>
            <w14:uncheckedState w14:val="2610" w14:font="MS Gothic"/>
          </w14:checkbox>
        </w:sdtPr>
        <w:sdtEndPr/>
        <w:sdtContent>
          <w:r w:rsidR="00D37C9A" w:rsidRPr="00967B8E">
            <w:rPr>
              <w:rFonts w:ascii="Segoe UI Symbol" w:eastAsia="MS Gothic" w:hAnsi="Segoe UI Symbol" w:cs="Segoe UI Symbol"/>
            </w:rPr>
            <w:t>☐</w:t>
          </w:r>
        </w:sdtContent>
      </w:sdt>
      <w:r w:rsidR="0045135B" w:rsidRPr="00967B8E">
        <w:rPr>
          <w:rFonts w:asciiTheme="minorHAnsi" w:hAnsiTheme="minorHAnsi" w:cstheme="minorHAnsi"/>
        </w:rPr>
        <w:t xml:space="preserve"> Have you undertaken steps to ensure visitation can continue to be safely facilitated in the event of an outbreak (</w:t>
      </w:r>
      <w:proofErr w:type="gramStart"/>
      <w:r w:rsidR="0045135B" w:rsidRPr="00967B8E">
        <w:rPr>
          <w:rFonts w:asciiTheme="minorHAnsi" w:hAnsiTheme="minorHAnsi" w:cstheme="minorHAnsi"/>
        </w:rPr>
        <w:t>e.g.</w:t>
      </w:r>
      <w:proofErr w:type="gramEnd"/>
      <w:r w:rsidR="0045135B" w:rsidRPr="00967B8E">
        <w:rPr>
          <w:rFonts w:asciiTheme="minorHAnsi" w:hAnsiTheme="minorHAnsi" w:cstheme="minorHAnsi"/>
        </w:rPr>
        <w:t xml:space="preserve"> establishing Partnerships in Care)?</w:t>
      </w:r>
    </w:p>
    <w:p w14:paraId="0D8BA16A" w14:textId="026D2D2F"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1827944773"/>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Are you routinely assessing </w:t>
      </w:r>
      <w:r w:rsidR="009C15C8">
        <w:rPr>
          <w:rFonts w:asciiTheme="minorHAnsi" w:hAnsiTheme="minorHAnsi" w:cstheme="minorHAnsi"/>
        </w:rPr>
        <w:t xml:space="preserve">and/or </w:t>
      </w:r>
      <w:r w:rsidR="009C15C8" w:rsidRPr="00967B8E">
        <w:rPr>
          <w:rFonts w:asciiTheme="minorHAnsi" w:hAnsiTheme="minorHAnsi" w:cstheme="minorHAnsi"/>
        </w:rPr>
        <w:t xml:space="preserve">testing </w:t>
      </w:r>
      <w:r w:rsidR="0045135B" w:rsidRPr="00967B8E">
        <w:rPr>
          <w:rFonts w:asciiTheme="minorHAnsi" w:hAnsiTheme="minorHAnsi" w:cstheme="minorHAnsi"/>
        </w:rPr>
        <w:t>residents for COVID-19 and influenza symptoms, and documenting as required?</w:t>
      </w:r>
    </w:p>
    <w:p w14:paraId="40BC13BC" w14:textId="0B818237"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1650320365"/>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Do you have pathways for accessing general practitioners and pathology testing if required</w:t>
      </w:r>
      <w:r w:rsidR="00A30262">
        <w:rPr>
          <w:rFonts w:asciiTheme="minorHAnsi" w:hAnsiTheme="minorHAnsi" w:cstheme="minorHAnsi"/>
        </w:rPr>
        <w:t>, including through Primary Health Network or your local Public Health Unit</w:t>
      </w:r>
      <w:r w:rsidR="0045135B" w:rsidRPr="00967B8E">
        <w:rPr>
          <w:rFonts w:asciiTheme="minorHAnsi" w:hAnsiTheme="minorHAnsi" w:cstheme="minorHAnsi"/>
        </w:rPr>
        <w:t>?</w:t>
      </w:r>
    </w:p>
    <w:p w14:paraId="0A4DDDEE" w14:textId="25FDB35B"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1750773289"/>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Have you clearly identified how you will maintain resident physical, social, mental and emotional wellbeing during an outbreak? For example, continued access to visitation, primary care and allied health services?</w:t>
      </w:r>
    </w:p>
    <w:p w14:paraId="1865D235" w14:textId="79867374" w:rsidR="0045135B" w:rsidRPr="00967B8E" w:rsidRDefault="00E35DE8" w:rsidP="003E3E13">
      <w:pPr>
        <w:pStyle w:val="VACRCbody-landscape"/>
      </w:pPr>
      <w:sdt>
        <w:sdtPr>
          <w:id w:val="-858044684"/>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t xml:space="preserve"> Do you understand the different types of supports available for an outbreak of COVID</w:t>
      </w:r>
      <w:r w:rsidR="0045135B" w:rsidRPr="00967B8E">
        <w:noBreakHyphen/>
        <w:t>19 compared to influenza (or both concurrently)?</w:t>
      </w:r>
    </w:p>
    <w:p w14:paraId="153DE8AA" w14:textId="723FA2B4" w:rsidR="0045135B" w:rsidRPr="00967B8E" w:rsidRDefault="0045135B" w:rsidP="00EA135F">
      <w:pPr>
        <w:keepNext/>
        <w:keepLines/>
        <w:shd w:val="clear" w:color="auto" w:fill="FBE4D5"/>
        <w:spacing w:after="60" w:line="240" w:lineRule="atLeast"/>
        <w:rPr>
          <w:rFonts w:ascii="Arial Nova" w:hAnsi="Arial Nova"/>
          <w:b/>
          <w:color w:val="EB701D"/>
          <w:sz w:val="28"/>
          <w:szCs w:val="28"/>
        </w:rPr>
      </w:pPr>
      <w:r w:rsidRPr="00967B8E">
        <w:rPr>
          <w:rFonts w:ascii="Arial Nova" w:hAnsi="Arial Nova"/>
          <w:b/>
          <w:color w:val="EB701D"/>
          <w:sz w:val="28"/>
          <w:szCs w:val="28"/>
        </w:rPr>
        <w:lastRenderedPageBreak/>
        <w:t>Response</w:t>
      </w:r>
    </w:p>
    <w:p w14:paraId="03137816" w14:textId="7905230F" w:rsidR="0045135B" w:rsidRDefault="00E35DE8" w:rsidP="00EA135F">
      <w:pPr>
        <w:pStyle w:val="VACRCbody-landscape"/>
        <w:keepNext/>
        <w:keepLines/>
        <w:rPr>
          <w:rFonts w:asciiTheme="minorHAnsi" w:hAnsiTheme="minorHAnsi" w:cstheme="minorHAnsi"/>
        </w:rPr>
      </w:pPr>
      <w:sdt>
        <w:sdtPr>
          <w:id w:val="-1302767529"/>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t xml:space="preserve"> </w:t>
      </w:r>
      <w:r w:rsidR="0045135B" w:rsidRPr="00967B8E">
        <w:rPr>
          <w:rFonts w:asciiTheme="minorHAnsi" w:hAnsiTheme="minorHAnsi" w:cstheme="minorHAnsi"/>
        </w:rPr>
        <w:t>Are you undertaking testing and isolation for symptomatic residents? How is this different between potential COVID-19 and influenza infection?</w:t>
      </w:r>
    </w:p>
    <w:p w14:paraId="551EE963" w14:textId="5320F0F2" w:rsidR="00A30262" w:rsidRPr="00967B8E" w:rsidRDefault="00E35DE8" w:rsidP="00EA135F">
      <w:pPr>
        <w:pStyle w:val="VACRCbody-landscape"/>
        <w:keepNext/>
        <w:keepLines/>
        <w:rPr>
          <w:rFonts w:asciiTheme="minorHAnsi" w:hAnsiTheme="minorHAnsi" w:cstheme="minorHAnsi"/>
        </w:rPr>
      </w:pPr>
      <w:sdt>
        <w:sdtPr>
          <w:id w:val="-428889874"/>
          <w14:checkbox>
            <w14:checked w14:val="0"/>
            <w14:checkedState w14:val="2612" w14:font="MS Gothic"/>
            <w14:uncheckedState w14:val="2610" w14:font="MS Gothic"/>
          </w14:checkbox>
        </w:sdtPr>
        <w:sdtEndPr/>
        <w:sdtContent>
          <w:r w:rsidR="00A30262" w:rsidRPr="00967B8E">
            <w:rPr>
              <w:rFonts w:ascii="Segoe UI Symbol" w:hAnsi="Segoe UI Symbol" w:cs="Segoe UI Symbol"/>
            </w:rPr>
            <w:t>☐</w:t>
          </w:r>
        </w:sdtContent>
      </w:sdt>
      <w:r w:rsidR="00A30262" w:rsidRPr="00967B8E">
        <w:t xml:space="preserve"> </w:t>
      </w:r>
      <w:r w:rsidR="00A30262" w:rsidRPr="00967B8E">
        <w:rPr>
          <w:rFonts w:asciiTheme="minorHAnsi" w:hAnsiTheme="minorHAnsi" w:cstheme="minorHAnsi"/>
        </w:rPr>
        <w:t>Are you</w:t>
      </w:r>
      <w:r w:rsidR="00A30262">
        <w:rPr>
          <w:rFonts w:asciiTheme="minorHAnsi" w:hAnsiTheme="minorHAnsi" w:cstheme="minorHAnsi"/>
        </w:rPr>
        <w:t xml:space="preserve"> continuing to screen staff and visitors on entry</w:t>
      </w:r>
      <w:r w:rsidR="00E85629">
        <w:rPr>
          <w:rFonts w:asciiTheme="minorHAnsi" w:hAnsiTheme="minorHAnsi" w:cstheme="minorHAnsi"/>
        </w:rPr>
        <w:t xml:space="preserve">, including the use of RATs? </w:t>
      </w:r>
    </w:p>
    <w:p w14:paraId="1CF28B8F" w14:textId="77777777"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1378439414"/>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Is your response tailored to the type of outbreak? (</w:t>
      </w:r>
      <w:proofErr w:type="gramStart"/>
      <w:r w:rsidR="0045135B" w:rsidRPr="00967B8E">
        <w:rPr>
          <w:rFonts w:asciiTheme="minorHAnsi" w:hAnsiTheme="minorHAnsi" w:cstheme="minorHAnsi"/>
        </w:rPr>
        <w:t>i.e.</w:t>
      </w:r>
      <w:proofErr w:type="gramEnd"/>
      <w:r w:rsidR="0045135B" w:rsidRPr="00967B8E">
        <w:rPr>
          <w:rFonts w:asciiTheme="minorHAnsi" w:hAnsiTheme="minorHAnsi" w:cstheme="minorHAnsi"/>
        </w:rPr>
        <w:t xml:space="preserve"> COVID-19, influenza, both or other respiratory viruses)</w:t>
      </w:r>
    </w:p>
    <w:p w14:paraId="1FE09CD5" w14:textId="77777777"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1114644312"/>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Are resources such as PPE, RATs and antivirals (both COVID-19 and influenza) accessible and being used appropriately?</w:t>
      </w:r>
    </w:p>
    <w:p w14:paraId="06ED647C" w14:textId="171B20A0"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1475184447"/>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Are you keeping track of PPE use and placing orders through commercial suppliers to replenish stock?</w:t>
      </w:r>
    </w:p>
    <w:p w14:paraId="5C349900" w14:textId="06BF620F"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1265224065"/>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Are stringent IPC practices in-place, with on-the-ground leadership driven by your facility’s IPC Lead?</w:t>
      </w:r>
    </w:p>
    <w:p w14:paraId="68DE786D" w14:textId="77777777"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299995538"/>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Are back-up supports in place for your IPC Lead (</w:t>
      </w:r>
      <w:proofErr w:type="gramStart"/>
      <w:r w:rsidR="0045135B" w:rsidRPr="00967B8E">
        <w:rPr>
          <w:rFonts w:asciiTheme="minorHAnsi" w:hAnsiTheme="minorHAnsi" w:cstheme="minorHAnsi"/>
        </w:rPr>
        <w:t>e.g.</w:t>
      </w:r>
      <w:proofErr w:type="gramEnd"/>
      <w:r w:rsidR="0045135B" w:rsidRPr="00967B8E">
        <w:rPr>
          <w:rFonts w:asciiTheme="minorHAnsi" w:hAnsiTheme="minorHAnsi" w:cstheme="minorHAnsi"/>
        </w:rPr>
        <w:t xml:space="preserve"> additional staff highly trained in IPC) in case they need to isolate during an outbreak?</w:t>
      </w:r>
    </w:p>
    <w:p w14:paraId="39BEEF39" w14:textId="77777777"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953171053"/>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Have you enacted your communication plan?</w:t>
      </w:r>
    </w:p>
    <w:p w14:paraId="6CEC40AF" w14:textId="77777777"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1456441774"/>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Have you enacted your workforce plan, including zoning of staff and sourcing additional workforce if required?</w:t>
      </w:r>
    </w:p>
    <w:p w14:paraId="3E7A77C1" w14:textId="77219B4F"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847901022"/>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Are you taking steps to ensure that resident physical, social, mental and emotional wellbeing is being maintained? For example, continued access to visitation, primary care and allied health services?</w:t>
      </w:r>
    </w:p>
    <w:p w14:paraId="7B50FC74" w14:textId="1ED9971E"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407812859"/>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Have you considered accessing supports available through the </w:t>
      </w:r>
      <w:r w:rsidR="00626E0D" w:rsidRPr="00967B8E">
        <w:rPr>
          <w:rFonts w:asciiTheme="minorHAnsi" w:hAnsiTheme="minorHAnsi" w:cstheme="minorHAnsi"/>
        </w:rPr>
        <w:t xml:space="preserve">department </w:t>
      </w:r>
      <w:r w:rsidR="0045135B" w:rsidRPr="00967B8E">
        <w:rPr>
          <w:rFonts w:asciiTheme="minorHAnsi" w:hAnsiTheme="minorHAnsi" w:cstheme="minorHAnsi"/>
        </w:rPr>
        <w:t>for an outbreak of COVID</w:t>
      </w:r>
      <w:r w:rsidR="0045135B" w:rsidRPr="00967B8E">
        <w:rPr>
          <w:rFonts w:asciiTheme="minorHAnsi" w:hAnsiTheme="minorHAnsi" w:cstheme="minorHAnsi"/>
        </w:rPr>
        <w:noBreakHyphen/>
        <w:t>19 and/or influenza?</w:t>
      </w:r>
    </w:p>
    <w:p w14:paraId="17AD9F2A" w14:textId="77777777" w:rsidR="0045135B" w:rsidRPr="00967B8E" w:rsidRDefault="0045135B" w:rsidP="00314A18">
      <w:pPr>
        <w:shd w:val="clear" w:color="auto" w:fill="D9E2F3"/>
        <w:spacing w:after="60" w:line="240" w:lineRule="atLeast"/>
        <w:rPr>
          <w:rFonts w:ascii="Arial Nova" w:hAnsi="Arial Nova"/>
          <w:b/>
          <w:bCs/>
          <w:color w:val="2F5496"/>
          <w:sz w:val="28"/>
          <w:szCs w:val="28"/>
        </w:rPr>
      </w:pPr>
      <w:r w:rsidRPr="00967B8E">
        <w:rPr>
          <w:rFonts w:ascii="Arial Nova" w:hAnsi="Arial Nova"/>
          <w:b/>
          <w:bCs/>
          <w:color w:val="2F5496"/>
          <w:sz w:val="28"/>
          <w:szCs w:val="28"/>
        </w:rPr>
        <w:t>Recovery</w:t>
      </w:r>
    </w:p>
    <w:p w14:paraId="25DBB1EA" w14:textId="20676FE3" w:rsidR="0045135B" w:rsidRPr="00967B8E" w:rsidRDefault="00E35DE8" w:rsidP="003E3E13">
      <w:pPr>
        <w:pStyle w:val="VACRCbody-landscape"/>
        <w:rPr>
          <w:rFonts w:asciiTheme="minorHAnsi" w:hAnsiTheme="minorHAnsi" w:cstheme="minorHAnsi"/>
        </w:rPr>
      </w:pPr>
      <w:sdt>
        <w:sdtPr>
          <w:id w:val="-1681807515"/>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t xml:space="preserve"> </w:t>
      </w:r>
      <w:r w:rsidR="0045135B" w:rsidRPr="00967B8E">
        <w:rPr>
          <w:rFonts w:asciiTheme="minorHAnsi" w:hAnsiTheme="minorHAnsi" w:cstheme="minorHAnsi"/>
        </w:rPr>
        <w:t>Do you have a ‘lessons learned’ process in place to review your outbreak response and identify areas for improvement?</w:t>
      </w:r>
    </w:p>
    <w:p w14:paraId="3879CB52" w14:textId="6117D071"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775763723"/>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Have you identified </w:t>
      </w:r>
      <w:hyperlink r:id="rId81" w:history="1">
        <w:r w:rsidR="0045135B" w:rsidRPr="00967B8E">
          <w:rPr>
            <w:rFonts w:asciiTheme="minorHAnsi" w:hAnsiTheme="minorHAnsi" w:cstheme="minorHAnsi"/>
            <w:color w:val="0563C1"/>
          </w:rPr>
          <w:t>grief, trauma and/or mental health supports</w:t>
        </w:r>
      </w:hyperlink>
      <w:r w:rsidR="0045135B" w:rsidRPr="00967B8E">
        <w:rPr>
          <w:rFonts w:asciiTheme="minorHAnsi" w:hAnsiTheme="minorHAnsi" w:cstheme="minorHAnsi"/>
        </w:rPr>
        <w:t xml:space="preserve"> to assist residents and staff to recover from the impacts of outbreaks?</w:t>
      </w:r>
    </w:p>
    <w:p w14:paraId="3379D60B" w14:textId="3614C189"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483008140"/>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Have you got plans in place to enable reablement of any resident experiencing deconditioning following an outbreak?</w:t>
      </w:r>
    </w:p>
    <w:p w14:paraId="641521E3" w14:textId="55516F2C" w:rsidR="0045135B" w:rsidRPr="00967B8E" w:rsidRDefault="00E35DE8" w:rsidP="003E3E13">
      <w:pPr>
        <w:pStyle w:val="VACRCbody-landscape"/>
        <w:rPr>
          <w:rFonts w:asciiTheme="minorHAnsi" w:hAnsiTheme="minorHAnsi" w:cstheme="minorHAnsi"/>
        </w:rPr>
      </w:pPr>
      <w:sdt>
        <w:sdtPr>
          <w:rPr>
            <w:rFonts w:asciiTheme="minorHAnsi" w:hAnsiTheme="minorHAnsi" w:cstheme="minorHAnsi"/>
          </w:rPr>
          <w:id w:val="-1821413465"/>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Do you understand how to seek potential reimbursement of outbreak costs through the </w:t>
      </w:r>
      <w:hyperlink r:id="rId82" w:anchor=":~:text=Description%3A,1%20year%20in%202021%2D22." w:history="1">
        <w:r w:rsidR="0045135B" w:rsidRPr="00967B8E">
          <w:rPr>
            <w:rFonts w:asciiTheme="minorHAnsi" w:hAnsiTheme="minorHAnsi" w:cstheme="minorHAnsi"/>
            <w:color w:val="0563C1"/>
          </w:rPr>
          <w:t>COVID</w:t>
        </w:r>
        <w:r w:rsidR="0045135B" w:rsidRPr="00967B8E">
          <w:rPr>
            <w:rFonts w:asciiTheme="minorHAnsi" w:hAnsiTheme="minorHAnsi" w:cstheme="minorHAnsi"/>
            <w:color w:val="0563C1"/>
          </w:rPr>
          <w:noBreakHyphen/>
          <w:t>19 Aged Care Support Program Extension Grant</w:t>
        </w:r>
      </w:hyperlink>
      <w:r w:rsidR="0045135B" w:rsidRPr="00967B8E">
        <w:rPr>
          <w:rFonts w:asciiTheme="minorHAnsi" w:hAnsiTheme="minorHAnsi" w:cstheme="minorHAnsi"/>
        </w:rPr>
        <w:t>?</w:t>
      </w:r>
    </w:p>
    <w:p w14:paraId="392AC2A3" w14:textId="00EB3CEB" w:rsidR="00F6747B" w:rsidRPr="00967B8E" w:rsidRDefault="00E35DE8" w:rsidP="003E3E13">
      <w:pPr>
        <w:pStyle w:val="VACRCbody-landscape"/>
        <w:rPr>
          <w:rFonts w:asciiTheme="minorHAnsi" w:hAnsiTheme="minorHAnsi" w:cstheme="minorHAnsi"/>
        </w:rPr>
      </w:pPr>
      <w:sdt>
        <w:sdtPr>
          <w:rPr>
            <w:rFonts w:asciiTheme="minorHAnsi" w:hAnsiTheme="minorHAnsi" w:cstheme="minorHAnsi"/>
          </w:rPr>
          <w:id w:val="-1570725136"/>
          <w14:checkbox>
            <w14:checked w14:val="0"/>
            <w14:checkedState w14:val="2612" w14:font="MS Gothic"/>
            <w14:uncheckedState w14:val="2610" w14:font="MS Gothic"/>
          </w14:checkbox>
        </w:sdtPr>
        <w:sdtEndPr/>
        <w:sdtContent>
          <w:r w:rsidR="0045135B" w:rsidRPr="00967B8E">
            <w:rPr>
              <w:rFonts w:ascii="Segoe UI Symbol" w:hAnsi="Segoe UI Symbol" w:cs="Segoe UI Symbol"/>
            </w:rPr>
            <w:t>☐</w:t>
          </w:r>
        </w:sdtContent>
      </w:sdt>
      <w:r w:rsidR="0045135B" w:rsidRPr="00967B8E">
        <w:rPr>
          <w:rFonts w:asciiTheme="minorHAnsi" w:hAnsiTheme="minorHAnsi" w:cstheme="minorHAnsi"/>
        </w:rPr>
        <w:t xml:space="preserve"> Are you facilitating increased re-entry of visitors and volunteers, in-line with the Industry Code for Visiting in Aged Care Homes?</w:t>
      </w:r>
    </w:p>
    <w:p w14:paraId="381E8BF8" w14:textId="77777777" w:rsidR="00F6747B" w:rsidRPr="00967B8E" w:rsidRDefault="00F6747B">
      <w:pPr>
        <w:rPr>
          <w:rFonts w:ascii="Arial Nova" w:eastAsia="Calibri" w:hAnsi="Arial Nova"/>
          <w:sz w:val="22"/>
          <w:szCs w:val="22"/>
        </w:rPr>
      </w:pPr>
      <w:r w:rsidRPr="00967B8E">
        <w:rPr>
          <w:rFonts w:ascii="Arial Nova" w:eastAsia="Calibri" w:hAnsi="Arial Nova"/>
          <w:szCs w:val="22"/>
        </w:rPr>
        <w:br w:type="page"/>
      </w:r>
    </w:p>
    <w:p w14:paraId="349B5220" w14:textId="77777777" w:rsidR="00FA3914" w:rsidRPr="00967B8E" w:rsidRDefault="00FA3914" w:rsidP="00314A18">
      <w:pPr>
        <w:keepNext/>
        <w:keepLines/>
        <w:spacing w:before="120" w:after="160" w:line="250" w:lineRule="atLeast"/>
        <w:outlineLvl w:val="1"/>
        <w:rPr>
          <w:rFonts w:ascii="Arial Nova" w:hAnsi="Arial Nova"/>
          <w:b/>
          <w:bCs/>
          <w:color w:val="000000" w:themeColor="text1"/>
          <w:sz w:val="32"/>
          <w:szCs w:val="32"/>
        </w:rPr>
      </w:pPr>
      <w:bookmarkStart w:id="209" w:name="_Toc104459186"/>
      <w:bookmarkStart w:id="210" w:name="_Toc108624603"/>
      <w:r w:rsidRPr="00967B8E">
        <w:rPr>
          <w:rFonts w:ascii="Arial Nova" w:hAnsi="Arial Nova"/>
          <w:b/>
          <w:bCs/>
          <w:color w:val="000000" w:themeColor="text1"/>
          <w:sz w:val="32"/>
          <w:szCs w:val="32"/>
        </w:rPr>
        <w:lastRenderedPageBreak/>
        <w:t>Appendix B – Guidance and Resources for RACFs</w:t>
      </w:r>
      <w:bookmarkEnd w:id="209"/>
      <w:bookmarkEnd w:id="210"/>
    </w:p>
    <w:p w14:paraId="45AA74DC" w14:textId="5B8CAD8E" w:rsidR="00FA3914" w:rsidRPr="00967B8E" w:rsidRDefault="00FA3914" w:rsidP="00314A18">
      <w:pPr>
        <w:pStyle w:val="VACRCbody-landscape"/>
        <w:spacing w:after="160" w:line="240" w:lineRule="atLeast"/>
        <w:rPr>
          <w:rFonts w:asciiTheme="minorHAnsi" w:hAnsiTheme="minorHAnsi" w:cstheme="minorHAnsi"/>
        </w:rPr>
      </w:pPr>
      <w:r w:rsidRPr="00967B8E">
        <w:rPr>
          <w:rFonts w:asciiTheme="minorHAnsi" w:hAnsiTheme="minorHAnsi" w:cstheme="minorHAnsi"/>
        </w:rPr>
        <w:t>Providers should ensure they keep up to date with any changes in advice and how this may impact management of outbreaks. The list of resources below (whilst not exhaustive) provides links to a range of useful guidance and pathways for providers to seek further information.</w:t>
      </w:r>
    </w:p>
    <w:tbl>
      <w:tblPr>
        <w:tblStyle w:val="TableGrid5"/>
        <w:tblW w:w="0" w:type="auto"/>
        <w:tblLook w:val="04A0" w:firstRow="1" w:lastRow="0" w:firstColumn="1" w:lastColumn="0" w:noHBand="0" w:noVBand="1"/>
        <w:tblCaption w:val="Guidance and resources for RACFs"/>
        <w:tblDescription w:val="Activities (left) for RACFs, links to resources (right)"/>
      </w:tblPr>
      <w:tblGrid>
        <w:gridCol w:w="2972"/>
        <w:gridCol w:w="7371"/>
      </w:tblGrid>
      <w:tr w:rsidR="00D8385D" w:rsidRPr="00967B8E" w14:paraId="449126C2" w14:textId="77777777" w:rsidTr="00FA3914">
        <w:tc>
          <w:tcPr>
            <w:tcW w:w="2972" w:type="dxa"/>
          </w:tcPr>
          <w:p w14:paraId="593C3596" w14:textId="3A1C206E" w:rsidR="00D8385D" w:rsidRPr="00967B8E" w:rsidRDefault="00D8385D" w:rsidP="00D8385D">
            <w:pPr>
              <w:pStyle w:val="VACRCbody-landscape"/>
              <w:rPr>
                <w:rFonts w:asciiTheme="minorHAnsi" w:hAnsiTheme="minorHAnsi" w:cstheme="minorHAnsi"/>
                <w:b/>
                <w:bCs/>
              </w:rPr>
            </w:pPr>
            <w:r w:rsidRPr="00967B8E">
              <w:rPr>
                <w:rFonts w:asciiTheme="minorHAnsi" w:hAnsiTheme="minorHAnsi" w:cstheme="minorHAnsi"/>
                <w:b/>
                <w:bCs/>
              </w:rPr>
              <w:t>Activity</w:t>
            </w:r>
          </w:p>
        </w:tc>
        <w:tc>
          <w:tcPr>
            <w:tcW w:w="7371" w:type="dxa"/>
          </w:tcPr>
          <w:p w14:paraId="75E09A6C" w14:textId="43B3B98D" w:rsidR="00D8385D" w:rsidRPr="00967B8E" w:rsidRDefault="00D8385D" w:rsidP="00D8385D">
            <w:pPr>
              <w:pStyle w:val="VACRCbody-landscape"/>
              <w:rPr>
                <w:rFonts w:asciiTheme="minorHAnsi" w:hAnsiTheme="minorHAnsi" w:cstheme="minorHAnsi"/>
                <w:b/>
                <w:bCs/>
              </w:rPr>
            </w:pPr>
            <w:r w:rsidRPr="00967B8E">
              <w:rPr>
                <w:rFonts w:asciiTheme="minorHAnsi" w:hAnsiTheme="minorHAnsi" w:cstheme="minorHAnsi"/>
                <w:b/>
                <w:bCs/>
              </w:rPr>
              <w:t>Resources</w:t>
            </w:r>
          </w:p>
        </w:tc>
      </w:tr>
      <w:tr w:rsidR="00FA3914" w:rsidRPr="00967B8E" w14:paraId="3A21EF86" w14:textId="77777777" w:rsidTr="00FA3914">
        <w:tc>
          <w:tcPr>
            <w:tcW w:w="2972" w:type="dxa"/>
          </w:tcPr>
          <w:p w14:paraId="3751F097"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Understanding how to manage an outbreak in residential aged care</w:t>
            </w:r>
          </w:p>
        </w:tc>
        <w:tc>
          <w:tcPr>
            <w:tcW w:w="7371" w:type="dxa"/>
          </w:tcPr>
          <w:p w14:paraId="5D87B46F" w14:textId="3EEB048B" w:rsidR="00FA3914" w:rsidRPr="00967B8E" w:rsidRDefault="00E35DE8" w:rsidP="003E3E13">
            <w:pPr>
              <w:pStyle w:val="VACRCbody-landscape"/>
              <w:rPr>
                <w:rFonts w:asciiTheme="minorHAnsi" w:hAnsiTheme="minorHAnsi" w:cstheme="minorHAnsi"/>
              </w:rPr>
            </w:pPr>
            <w:hyperlink r:id="rId83" w:history="1">
              <w:r w:rsidR="00FA3914" w:rsidRPr="00967B8E">
                <w:rPr>
                  <w:rFonts w:asciiTheme="minorHAnsi" w:hAnsiTheme="minorHAnsi" w:cstheme="minorHAnsi"/>
                  <w:color w:val="0563C1"/>
                </w:rPr>
                <w:t>https://www.health.gov.au/node/18602/managing-a-covid-19-outbreak-in-residential-aged-care</w:t>
              </w:r>
            </w:hyperlink>
          </w:p>
        </w:tc>
      </w:tr>
      <w:tr w:rsidR="00FA3914" w:rsidRPr="00967B8E" w14:paraId="4EB1A5FD" w14:textId="77777777" w:rsidTr="00FA3914">
        <w:tc>
          <w:tcPr>
            <w:tcW w:w="2972" w:type="dxa"/>
          </w:tcPr>
          <w:p w14:paraId="42EEC26B"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Staying up to date with newsletters and alerts for the aged care sector</w:t>
            </w:r>
          </w:p>
        </w:tc>
        <w:tc>
          <w:tcPr>
            <w:tcW w:w="7371" w:type="dxa"/>
          </w:tcPr>
          <w:p w14:paraId="5CA55B6F" w14:textId="591A1346" w:rsidR="00FA3914" w:rsidRPr="00967B8E" w:rsidRDefault="00E35DE8" w:rsidP="003E3E13">
            <w:pPr>
              <w:pStyle w:val="VACRCbody-landscape"/>
              <w:rPr>
                <w:rFonts w:asciiTheme="minorHAnsi" w:hAnsiTheme="minorHAnsi" w:cstheme="minorHAnsi"/>
              </w:rPr>
            </w:pPr>
            <w:hyperlink r:id="rId84" w:history="1">
              <w:r w:rsidR="00FA3914" w:rsidRPr="00967B8E">
                <w:rPr>
                  <w:rFonts w:asciiTheme="minorHAnsi" w:hAnsiTheme="minorHAnsi" w:cstheme="minorHAnsi"/>
                  <w:color w:val="0563C1"/>
                </w:rPr>
                <w:t>https://www.health.gov.au/health-topics/aged-care/providing-aged-care-services/newsletters-and-alerts-for-the-aged-care-sector</w:t>
              </w:r>
            </w:hyperlink>
          </w:p>
        </w:tc>
      </w:tr>
      <w:tr w:rsidR="00FA3914" w:rsidRPr="00967B8E" w14:paraId="5F5E6052" w14:textId="77777777" w:rsidTr="00FA3914">
        <w:tc>
          <w:tcPr>
            <w:tcW w:w="2972" w:type="dxa"/>
          </w:tcPr>
          <w:p w14:paraId="1039ADA2" w14:textId="586248E8"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Utilising key resources</w:t>
            </w:r>
          </w:p>
        </w:tc>
        <w:tc>
          <w:tcPr>
            <w:tcW w:w="7371" w:type="dxa"/>
          </w:tcPr>
          <w:p w14:paraId="0FC6E7B6" w14:textId="531B101C" w:rsidR="00FA3914" w:rsidRPr="00967B8E" w:rsidRDefault="00B64C5F" w:rsidP="003E3E13">
            <w:pPr>
              <w:pStyle w:val="VACRCbody-landscape"/>
              <w:rPr>
                <w:rFonts w:asciiTheme="minorHAnsi" w:hAnsiTheme="minorHAnsi" w:cstheme="minorHAnsi"/>
                <w:i/>
              </w:rPr>
            </w:pPr>
            <w:r w:rsidRPr="002C6972">
              <w:rPr>
                <w:rFonts w:asciiTheme="minorHAnsi" w:hAnsiTheme="minorHAnsi" w:cstheme="minorHAnsi"/>
              </w:rPr>
              <w:t>CDNA</w:t>
            </w:r>
            <w:r>
              <w:rPr>
                <w:rFonts w:asciiTheme="minorHAnsi" w:hAnsiTheme="minorHAnsi" w:cstheme="minorHAnsi"/>
              </w:rPr>
              <w:t xml:space="preserve"> </w:t>
            </w:r>
            <w:hyperlink r:id="rId85" w:history="1">
              <w:r w:rsidRPr="00B64C5F">
                <w:rPr>
                  <w:rStyle w:val="Hyperlink"/>
                  <w:rFonts w:asciiTheme="minorHAnsi" w:hAnsiTheme="minorHAnsi" w:cstheme="minorHAnsi"/>
                </w:rPr>
                <w:t>national guidelines for the prevention, control and public health management of COVID-19 outbreaks in residential care facilities in Australia</w:t>
              </w:r>
            </w:hyperlink>
          </w:p>
          <w:p w14:paraId="5CB3EC02" w14:textId="77777777" w:rsidR="00FA3914" w:rsidRPr="00967B8E" w:rsidRDefault="00FA3914" w:rsidP="003E3E13">
            <w:pPr>
              <w:pStyle w:val="VACRCbody-landscape"/>
              <w:rPr>
                <w:rFonts w:asciiTheme="minorHAnsi" w:hAnsiTheme="minorHAnsi" w:cstheme="minorHAnsi"/>
                <w:i/>
              </w:rPr>
            </w:pPr>
            <w:r w:rsidRPr="00967B8E">
              <w:rPr>
                <w:rFonts w:asciiTheme="minorHAnsi" w:hAnsiTheme="minorHAnsi" w:cstheme="minorHAnsi"/>
              </w:rPr>
              <w:t xml:space="preserve">Infection Control Expert Group – </w:t>
            </w:r>
            <w:hyperlink r:id="rId86" w:history="1">
              <w:r w:rsidRPr="00967B8E">
                <w:rPr>
                  <w:rFonts w:asciiTheme="minorHAnsi" w:hAnsiTheme="minorHAnsi" w:cstheme="minorHAnsi"/>
                  <w:color w:val="0563C1"/>
                </w:rPr>
                <w:t>Guidance on infection prevention and control for residential care facilities in the context of COVID-19</w:t>
              </w:r>
            </w:hyperlink>
          </w:p>
          <w:p w14:paraId="7D720015" w14:textId="4007AE2E" w:rsidR="00FA3914" w:rsidRPr="00967B8E" w:rsidRDefault="00E35DE8" w:rsidP="003E3E13">
            <w:pPr>
              <w:pStyle w:val="VACRCbody-landscape"/>
              <w:rPr>
                <w:rFonts w:asciiTheme="minorHAnsi" w:hAnsiTheme="minorHAnsi" w:cstheme="minorHAnsi"/>
                <w:i/>
              </w:rPr>
            </w:pPr>
            <w:hyperlink r:id="rId87" w:history="1">
              <w:r w:rsidR="00FA3914" w:rsidRPr="00967B8E">
                <w:rPr>
                  <w:rFonts w:asciiTheme="minorHAnsi" w:hAnsiTheme="minorHAnsi" w:cstheme="minorHAnsi"/>
                  <w:color w:val="0563C1"/>
                </w:rPr>
                <w:t>Interim Guidance</w:t>
              </w:r>
            </w:hyperlink>
            <w:r w:rsidR="00FA3914" w:rsidRPr="00967B8E">
              <w:rPr>
                <w:rFonts w:asciiTheme="minorHAnsi" w:hAnsiTheme="minorHAnsi" w:cstheme="minorHAnsi"/>
                <w:iCs/>
              </w:rPr>
              <w:t xml:space="preserve"> on managing workforce </w:t>
            </w:r>
            <w:r w:rsidR="004300D3" w:rsidRPr="00967B8E">
              <w:rPr>
                <w:rFonts w:asciiTheme="minorHAnsi" w:hAnsiTheme="minorHAnsi" w:cstheme="minorHAnsi"/>
                <w:iCs/>
              </w:rPr>
              <w:t>regarding</w:t>
            </w:r>
            <w:r w:rsidR="00FA3914" w:rsidRPr="00967B8E">
              <w:rPr>
                <w:rFonts w:asciiTheme="minorHAnsi" w:hAnsiTheme="minorHAnsi" w:cstheme="minorHAnsi"/>
                <w:iCs/>
              </w:rPr>
              <w:t xml:space="preserve"> COVID</w:t>
            </w:r>
            <w:r w:rsidR="00FA3914" w:rsidRPr="00967B8E">
              <w:rPr>
                <w:rFonts w:asciiTheme="minorHAnsi" w:hAnsiTheme="minorHAnsi" w:cstheme="minorHAnsi"/>
                <w:iCs/>
              </w:rPr>
              <w:noBreakHyphen/>
              <w:t>19 in aged care</w:t>
            </w:r>
          </w:p>
          <w:p w14:paraId="197A3365" w14:textId="77777777" w:rsidR="00FA3914" w:rsidRPr="00967B8E" w:rsidRDefault="00E35DE8" w:rsidP="003E3E13">
            <w:pPr>
              <w:pStyle w:val="VACRCbody-landscape"/>
              <w:rPr>
                <w:rFonts w:asciiTheme="minorHAnsi" w:hAnsiTheme="minorHAnsi" w:cstheme="minorHAnsi"/>
                <w:i/>
              </w:rPr>
            </w:pPr>
            <w:hyperlink r:id="rId88" w:history="1">
              <w:r w:rsidR="00FA3914" w:rsidRPr="00967B8E">
                <w:rPr>
                  <w:rFonts w:asciiTheme="minorHAnsi" w:hAnsiTheme="minorHAnsi" w:cstheme="minorHAnsi"/>
                  <w:color w:val="0563C1"/>
                </w:rPr>
                <w:t>Interim Guidance</w:t>
              </w:r>
            </w:hyperlink>
            <w:r w:rsidR="00FA3914" w:rsidRPr="00967B8E">
              <w:rPr>
                <w:rFonts w:asciiTheme="minorHAnsi" w:hAnsiTheme="minorHAnsi" w:cstheme="minorHAnsi"/>
              </w:rPr>
              <w:t xml:space="preserve"> on Managing Public Health Restrictions on Residential Aged Care Facilities</w:t>
            </w:r>
          </w:p>
          <w:p w14:paraId="001276A6" w14:textId="77777777" w:rsidR="00FA3914" w:rsidRPr="00967B8E" w:rsidRDefault="00E35DE8" w:rsidP="003E3E13">
            <w:pPr>
              <w:pStyle w:val="VACRCbody-landscape"/>
              <w:rPr>
                <w:rFonts w:asciiTheme="minorHAnsi" w:hAnsiTheme="minorHAnsi" w:cstheme="minorHAnsi"/>
                <w:i/>
              </w:rPr>
            </w:pPr>
            <w:hyperlink r:id="rId89" w:history="1">
              <w:r w:rsidR="00FA3914" w:rsidRPr="00967B8E">
                <w:rPr>
                  <w:rFonts w:asciiTheme="minorHAnsi" w:hAnsiTheme="minorHAnsi" w:cstheme="minorHAnsi"/>
                  <w:color w:val="0563C1"/>
                </w:rPr>
                <w:t>First 24 Hours</w:t>
              </w:r>
            </w:hyperlink>
            <w:r w:rsidR="00FA3914" w:rsidRPr="00967B8E">
              <w:rPr>
                <w:rFonts w:asciiTheme="minorHAnsi" w:hAnsiTheme="minorHAnsi" w:cstheme="minorHAnsi"/>
              </w:rPr>
              <w:t xml:space="preserve"> – managing COVID-19 in a residential aged care facility </w:t>
            </w:r>
          </w:p>
        </w:tc>
      </w:tr>
      <w:tr w:rsidR="00FA3914" w:rsidRPr="00967B8E" w14:paraId="2557DDBA" w14:textId="77777777" w:rsidTr="00FA3914">
        <w:tc>
          <w:tcPr>
            <w:tcW w:w="2972" w:type="dxa"/>
          </w:tcPr>
          <w:p w14:paraId="42A21576" w14:textId="3C7A1E86"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Understanding what kinds of support are available and how to seek these</w:t>
            </w:r>
          </w:p>
        </w:tc>
        <w:tc>
          <w:tcPr>
            <w:tcW w:w="7371" w:type="dxa"/>
          </w:tcPr>
          <w:p w14:paraId="5F1E3804" w14:textId="33F1D7BE" w:rsidR="00FA3914" w:rsidRPr="00967B8E" w:rsidRDefault="00E35DE8" w:rsidP="003E3E13">
            <w:pPr>
              <w:pStyle w:val="VACRCbody-landscape"/>
              <w:rPr>
                <w:rFonts w:asciiTheme="minorHAnsi" w:hAnsiTheme="minorHAnsi" w:cstheme="minorHAnsi"/>
              </w:rPr>
            </w:pPr>
            <w:hyperlink r:id="rId90" w:history="1">
              <w:r w:rsidR="00FA3914" w:rsidRPr="00967B8E">
                <w:rPr>
                  <w:rFonts w:asciiTheme="minorHAnsi" w:hAnsiTheme="minorHAnsi" w:cstheme="minorHAnsi"/>
                  <w:color w:val="0563C1"/>
                </w:rPr>
                <w:t>https://www.health.gov.au/health-topics/aged-care/advice-on-aged-care-during-covid-19/government-support</w:t>
              </w:r>
            </w:hyperlink>
          </w:p>
        </w:tc>
      </w:tr>
      <w:tr w:rsidR="00FA3914" w:rsidRPr="00967B8E" w14:paraId="653B68B3" w14:textId="77777777" w:rsidTr="00FA3914">
        <w:tc>
          <w:tcPr>
            <w:tcW w:w="2972" w:type="dxa"/>
          </w:tcPr>
          <w:p w14:paraId="36E1EE1B"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Guidance on the use of antiviral treatments in RACFs</w:t>
            </w:r>
          </w:p>
        </w:tc>
        <w:tc>
          <w:tcPr>
            <w:tcW w:w="7371" w:type="dxa"/>
          </w:tcPr>
          <w:p w14:paraId="14784ADE" w14:textId="5FEE5E6D" w:rsidR="00FA3914" w:rsidRPr="00967B8E" w:rsidRDefault="00E35DE8" w:rsidP="003E3E13">
            <w:pPr>
              <w:pStyle w:val="VACRCbody-landscape"/>
              <w:rPr>
                <w:rFonts w:asciiTheme="minorHAnsi" w:hAnsiTheme="minorHAnsi" w:cstheme="minorHAnsi"/>
              </w:rPr>
            </w:pPr>
            <w:hyperlink r:id="rId91" w:history="1">
              <w:proofErr w:type="spellStart"/>
              <w:r w:rsidR="00FA3914" w:rsidRPr="00967B8E">
                <w:rPr>
                  <w:rFonts w:asciiTheme="minorHAnsi" w:hAnsiTheme="minorHAnsi" w:cstheme="minorHAnsi"/>
                  <w:color w:val="0563C1"/>
                </w:rPr>
                <w:t>Lagevrio</w:t>
              </w:r>
              <w:proofErr w:type="spellEnd"/>
            </w:hyperlink>
          </w:p>
          <w:p w14:paraId="65DCDDF2" w14:textId="77777777" w:rsidR="00FA3914" w:rsidRPr="00967B8E" w:rsidRDefault="00E35DE8" w:rsidP="003E3E13">
            <w:pPr>
              <w:pStyle w:val="VACRCbody-landscape"/>
              <w:rPr>
                <w:rFonts w:asciiTheme="minorHAnsi" w:hAnsiTheme="minorHAnsi" w:cstheme="minorHAnsi"/>
              </w:rPr>
            </w:pPr>
            <w:hyperlink r:id="rId92" w:history="1">
              <w:r w:rsidR="00FA3914" w:rsidRPr="00967B8E">
                <w:rPr>
                  <w:rFonts w:asciiTheme="minorHAnsi" w:hAnsiTheme="minorHAnsi" w:cstheme="minorHAnsi"/>
                  <w:color w:val="0563C1"/>
                </w:rPr>
                <w:t>Tamiflu</w:t>
              </w:r>
            </w:hyperlink>
          </w:p>
        </w:tc>
      </w:tr>
      <w:tr w:rsidR="00FA3914" w:rsidRPr="00967B8E" w14:paraId="2920B8DC" w14:textId="77777777" w:rsidTr="00FA3914">
        <w:tc>
          <w:tcPr>
            <w:tcW w:w="2972" w:type="dxa"/>
          </w:tcPr>
          <w:p w14:paraId="332C886C"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 xml:space="preserve">Resources from the Aged Care Quality and Safety Commission </w:t>
            </w:r>
          </w:p>
        </w:tc>
        <w:tc>
          <w:tcPr>
            <w:tcW w:w="7371" w:type="dxa"/>
          </w:tcPr>
          <w:p w14:paraId="4E7A7891" w14:textId="77777777" w:rsidR="00FA3914" w:rsidRPr="00967B8E" w:rsidRDefault="00E35DE8" w:rsidP="003E3E13">
            <w:pPr>
              <w:pStyle w:val="VACRCbody-landscape"/>
              <w:rPr>
                <w:rFonts w:asciiTheme="minorHAnsi" w:hAnsiTheme="minorHAnsi" w:cstheme="minorHAnsi"/>
              </w:rPr>
            </w:pPr>
            <w:hyperlink r:id="rId93" w:history="1">
              <w:r w:rsidR="00FA3914" w:rsidRPr="00967B8E">
                <w:rPr>
                  <w:rFonts w:asciiTheme="minorHAnsi" w:hAnsiTheme="minorHAnsi" w:cstheme="minorHAnsi"/>
                  <w:color w:val="0563C1"/>
                </w:rPr>
                <w:t>COVID-19 Provider Resources</w:t>
              </w:r>
            </w:hyperlink>
          </w:p>
          <w:p w14:paraId="4B702AA4" w14:textId="56A96399" w:rsidR="00FA3914" w:rsidRPr="00967B8E" w:rsidRDefault="00E35DE8" w:rsidP="003E3E13">
            <w:pPr>
              <w:pStyle w:val="VACRCbody-landscape"/>
              <w:rPr>
                <w:rFonts w:asciiTheme="minorHAnsi" w:hAnsiTheme="minorHAnsi" w:cstheme="minorHAnsi"/>
              </w:rPr>
            </w:pPr>
            <w:hyperlink r:id="rId94" w:anchor="preparing-your-aged-care-service-for-winter" w:history="1">
              <w:r w:rsidR="00FA3914" w:rsidRPr="00967B8E">
                <w:rPr>
                  <w:rFonts w:asciiTheme="minorHAnsi" w:hAnsiTheme="minorHAnsi" w:cstheme="minorHAnsi"/>
                  <w:color w:val="0563C1"/>
                </w:rPr>
                <w:t>Preparing your aged care service for winter</w:t>
              </w:r>
            </w:hyperlink>
          </w:p>
        </w:tc>
      </w:tr>
      <w:tr w:rsidR="00FA3914" w:rsidRPr="00967B8E" w14:paraId="659CBA3D" w14:textId="77777777" w:rsidTr="00FA3914">
        <w:tc>
          <w:tcPr>
            <w:tcW w:w="2972" w:type="dxa"/>
          </w:tcPr>
          <w:p w14:paraId="67609D3F"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Further advice regarding public health requirements in your jurisdiction</w:t>
            </w:r>
          </w:p>
        </w:tc>
        <w:tc>
          <w:tcPr>
            <w:tcW w:w="7371" w:type="dxa"/>
          </w:tcPr>
          <w:p w14:paraId="007D651D" w14:textId="3B5EC2EB" w:rsidR="00FA3914" w:rsidRPr="00967B8E" w:rsidRDefault="00E35DE8" w:rsidP="003E3E13">
            <w:pPr>
              <w:pStyle w:val="VACRCbody-landscape"/>
              <w:rPr>
                <w:rFonts w:asciiTheme="minorHAnsi" w:hAnsiTheme="minorHAnsi" w:cstheme="minorHAnsi"/>
              </w:rPr>
            </w:pPr>
            <w:hyperlink r:id="rId95" w:history="1">
              <w:r w:rsidR="00FA3914" w:rsidRPr="00967B8E">
                <w:rPr>
                  <w:rFonts w:asciiTheme="minorHAnsi" w:hAnsiTheme="minorHAnsi" w:cstheme="minorHAnsi"/>
                  <w:color w:val="0563C1"/>
                </w:rPr>
                <w:t>https://www.health.gov.au/about-us/contact-us/local-state-and-territory-health-departments</w:t>
              </w:r>
            </w:hyperlink>
          </w:p>
        </w:tc>
      </w:tr>
    </w:tbl>
    <w:p w14:paraId="797FE8BC" w14:textId="77777777" w:rsidR="00FA3914" w:rsidRPr="00967B8E" w:rsidRDefault="00FA3914" w:rsidP="00314A18">
      <w:pPr>
        <w:pStyle w:val="Heading3"/>
        <w:spacing w:before="240" w:line="240" w:lineRule="atLeast"/>
        <w:rPr>
          <w:rFonts w:ascii="Arial Nova" w:eastAsia="Times New Roman" w:hAnsi="Arial Nova" w:cs="Times New Roman"/>
          <w:color w:val="000000" w:themeColor="text1"/>
          <w:sz w:val="28"/>
          <w:szCs w:val="28"/>
        </w:rPr>
      </w:pPr>
      <w:bookmarkStart w:id="211" w:name="_Toc108624604"/>
      <w:r w:rsidRPr="00967B8E">
        <w:rPr>
          <w:rFonts w:ascii="Arial Nova" w:eastAsia="Times New Roman" w:hAnsi="Arial Nova" w:cs="Times New Roman"/>
          <w:color w:val="000000" w:themeColor="text1"/>
          <w:sz w:val="28"/>
          <w:szCs w:val="28"/>
        </w:rPr>
        <w:t>Department of Health case management contacts in each jurisdiction</w:t>
      </w:r>
      <w:bookmarkEnd w:id="211"/>
    </w:p>
    <w:p w14:paraId="3B10795F" w14:textId="3D687F26" w:rsidR="00FA3914" w:rsidRPr="00967B8E" w:rsidRDefault="00FA3914" w:rsidP="00314A18">
      <w:pPr>
        <w:pStyle w:val="VACRCbody-landscape"/>
        <w:spacing w:after="160"/>
        <w:rPr>
          <w:rFonts w:asciiTheme="minorHAnsi" w:hAnsiTheme="minorHAnsi" w:cstheme="minorHAnsi"/>
        </w:rPr>
      </w:pPr>
      <w:r w:rsidRPr="00967B8E">
        <w:rPr>
          <w:rFonts w:asciiTheme="minorHAnsi" w:hAnsiTheme="minorHAnsi" w:cstheme="minorHAnsi"/>
        </w:rPr>
        <w:t>*Note that case management is only provided for outbreaks of COVID-19 and/or a concurrent outbreak of COVID-19 and influenza.</w:t>
      </w:r>
    </w:p>
    <w:tbl>
      <w:tblPr>
        <w:tblStyle w:val="TableGrid5"/>
        <w:tblW w:w="0" w:type="auto"/>
        <w:tblLook w:val="04A0" w:firstRow="1" w:lastRow="0" w:firstColumn="1" w:lastColumn="0" w:noHBand="0" w:noVBand="1"/>
        <w:tblCaption w:val="Jurisdiction contacts"/>
        <w:tblDescription w:val="Left column jurisdictions listed, right column email addresses"/>
      </w:tblPr>
      <w:tblGrid>
        <w:gridCol w:w="3681"/>
        <w:gridCol w:w="6662"/>
      </w:tblGrid>
      <w:tr w:rsidR="00FA3914" w:rsidRPr="00967B8E" w14:paraId="3463DF49" w14:textId="77777777" w:rsidTr="003E3E13">
        <w:tc>
          <w:tcPr>
            <w:tcW w:w="3681" w:type="dxa"/>
          </w:tcPr>
          <w:p w14:paraId="020CFBC5" w14:textId="77777777" w:rsidR="00FA3914" w:rsidRPr="00967B8E" w:rsidRDefault="00FA3914" w:rsidP="003E3E13">
            <w:pPr>
              <w:pStyle w:val="VACRCbody-landscape"/>
              <w:rPr>
                <w:rFonts w:asciiTheme="minorHAnsi" w:hAnsiTheme="minorHAnsi" w:cstheme="minorHAnsi"/>
                <w:b/>
                <w:bCs/>
              </w:rPr>
            </w:pPr>
            <w:r w:rsidRPr="00967B8E">
              <w:rPr>
                <w:rFonts w:asciiTheme="minorHAnsi" w:hAnsiTheme="minorHAnsi" w:cstheme="minorHAnsi"/>
                <w:b/>
                <w:bCs/>
              </w:rPr>
              <w:t>Jurisdiction</w:t>
            </w:r>
          </w:p>
        </w:tc>
        <w:tc>
          <w:tcPr>
            <w:tcW w:w="6662" w:type="dxa"/>
          </w:tcPr>
          <w:p w14:paraId="47236844" w14:textId="77777777" w:rsidR="00FA3914" w:rsidRPr="00967B8E" w:rsidRDefault="00FA3914" w:rsidP="003E3E13">
            <w:pPr>
              <w:pStyle w:val="VACRCbody-landscape"/>
              <w:rPr>
                <w:rFonts w:asciiTheme="minorHAnsi" w:hAnsiTheme="minorHAnsi" w:cstheme="minorHAnsi"/>
                <w:b/>
                <w:bCs/>
              </w:rPr>
            </w:pPr>
            <w:r w:rsidRPr="00967B8E">
              <w:rPr>
                <w:rFonts w:asciiTheme="minorHAnsi" w:hAnsiTheme="minorHAnsi" w:cstheme="minorHAnsi"/>
                <w:b/>
                <w:bCs/>
              </w:rPr>
              <w:t>Contact</w:t>
            </w:r>
          </w:p>
        </w:tc>
      </w:tr>
      <w:tr w:rsidR="00FA3914" w:rsidRPr="00967B8E" w14:paraId="544C2F5E" w14:textId="77777777" w:rsidTr="003E3E13">
        <w:tc>
          <w:tcPr>
            <w:tcW w:w="3681" w:type="dxa"/>
          </w:tcPr>
          <w:p w14:paraId="7679B12F"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Queensland</w:t>
            </w:r>
          </w:p>
        </w:tc>
        <w:tc>
          <w:tcPr>
            <w:tcW w:w="6662" w:type="dxa"/>
          </w:tcPr>
          <w:p w14:paraId="358F44B9" w14:textId="77777777" w:rsidR="00FA3914" w:rsidRPr="00967B8E" w:rsidRDefault="00E35DE8" w:rsidP="003E3E13">
            <w:pPr>
              <w:pStyle w:val="VACRCbody-landscape"/>
              <w:rPr>
                <w:rFonts w:asciiTheme="minorHAnsi" w:hAnsiTheme="minorHAnsi" w:cstheme="minorHAnsi"/>
              </w:rPr>
            </w:pPr>
            <w:hyperlink r:id="rId96" w:history="1">
              <w:r w:rsidR="00FA3914" w:rsidRPr="00967B8E">
                <w:rPr>
                  <w:rFonts w:asciiTheme="minorHAnsi" w:hAnsiTheme="minorHAnsi" w:cstheme="minorHAnsi"/>
                  <w:color w:val="0563C1"/>
                  <w:shd w:val="clear" w:color="auto" w:fill="FFFFFF"/>
                </w:rPr>
                <w:t>QLDCovidCaseManagement@Health.gov.au</w:t>
              </w:r>
            </w:hyperlink>
          </w:p>
        </w:tc>
      </w:tr>
      <w:tr w:rsidR="00FA3914" w:rsidRPr="00967B8E" w14:paraId="1FDCFEC3" w14:textId="77777777" w:rsidTr="003E3E13">
        <w:tc>
          <w:tcPr>
            <w:tcW w:w="3681" w:type="dxa"/>
          </w:tcPr>
          <w:p w14:paraId="09C211E7"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Northern Territory</w:t>
            </w:r>
          </w:p>
        </w:tc>
        <w:tc>
          <w:tcPr>
            <w:tcW w:w="6662" w:type="dxa"/>
          </w:tcPr>
          <w:p w14:paraId="75357BD8" w14:textId="77777777" w:rsidR="00FA3914" w:rsidRPr="00967B8E" w:rsidRDefault="00E35DE8" w:rsidP="003E3E13">
            <w:pPr>
              <w:pStyle w:val="VACRCbody-landscape"/>
              <w:rPr>
                <w:rFonts w:asciiTheme="minorHAnsi" w:hAnsiTheme="minorHAnsi" w:cstheme="minorHAnsi"/>
              </w:rPr>
            </w:pPr>
            <w:hyperlink r:id="rId97" w:history="1">
              <w:r w:rsidR="00FA3914" w:rsidRPr="00967B8E">
                <w:rPr>
                  <w:rFonts w:asciiTheme="minorHAnsi" w:hAnsiTheme="minorHAnsi" w:cstheme="minorHAnsi"/>
                  <w:color w:val="0563C1"/>
                  <w:shd w:val="clear" w:color="auto" w:fill="FFFFFF"/>
                </w:rPr>
                <w:t>NTCovidCaseManagement@Health.gov.au</w:t>
              </w:r>
            </w:hyperlink>
          </w:p>
        </w:tc>
      </w:tr>
      <w:tr w:rsidR="00FA3914" w:rsidRPr="00967B8E" w14:paraId="6C9E87C2" w14:textId="77777777" w:rsidTr="003E3E13">
        <w:tc>
          <w:tcPr>
            <w:tcW w:w="3681" w:type="dxa"/>
          </w:tcPr>
          <w:p w14:paraId="7C264AE4"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New South Wales</w:t>
            </w:r>
          </w:p>
        </w:tc>
        <w:tc>
          <w:tcPr>
            <w:tcW w:w="6662" w:type="dxa"/>
          </w:tcPr>
          <w:p w14:paraId="6413F4AD" w14:textId="77777777" w:rsidR="00FA3914" w:rsidRPr="00967B8E" w:rsidRDefault="00E35DE8" w:rsidP="003E3E13">
            <w:pPr>
              <w:pStyle w:val="VACRCbody-landscape"/>
              <w:rPr>
                <w:rFonts w:asciiTheme="minorHAnsi" w:hAnsiTheme="minorHAnsi" w:cstheme="minorHAnsi"/>
              </w:rPr>
            </w:pPr>
            <w:hyperlink r:id="rId98" w:history="1">
              <w:r w:rsidR="00FA3914" w:rsidRPr="00967B8E">
                <w:rPr>
                  <w:rFonts w:asciiTheme="minorHAnsi" w:hAnsiTheme="minorHAnsi" w:cstheme="minorHAnsi"/>
                  <w:color w:val="0563C1"/>
                  <w:shd w:val="clear" w:color="auto" w:fill="FFFFFF"/>
                </w:rPr>
                <w:t>NSWCOVIDCaseManagement@Health.gov.au</w:t>
              </w:r>
            </w:hyperlink>
          </w:p>
        </w:tc>
      </w:tr>
      <w:tr w:rsidR="00FA3914" w:rsidRPr="00967B8E" w14:paraId="675E1F73" w14:textId="77777777" w:rsidTr="003E3E13">
        <w:tc>
          <w:tcPr>
            <w:tcW w:w="3681" w:type="dxa"/>
          </w:tcPr>
          <w:p w14:paraId="18CB016F"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Australian Capital Territory</w:t>
            </w:r>
          </w:p>
        </w:tc>
        <w:tc>
          <w:tcPr>
            <w:tcW w:w="6662" w:type="dxa"/>
          </w:tcPr>
          <w:p w14:paraId="3F02BECA" w14:textId="77777777" w:rsidR="00FA3914" w:rsidRPr="00967B8E" w:rsidRDefault="00E35DE8" w:rsidP="003E3E13">
            <w:pPr>
              <w:pStyle w:val="VACRCbody-landscape"/>
              <w:rPr>
                <w:rFonts w:asciiTheme="minorHAnsi" w:hAnsiTheme="minorHAnsi" w:cstheme="minorHAnsi"/>
              </w:rPr>
            </w:pPr>
            <w:hyperlink r:id="rId99" w:history="1">
              <w:r w:rsidR="00FA3914" w:rsidRPr="00967B8E">
                <w:rPr>
                  <w:rFonts w:asciiTheme="minorHAnsi" w:hAnsiTheme="minorHAnsi" w:cstheme="minorHAnsi"/>
                  <w:color w:val="0563C1"/>
                  <w:shd w:val="clear" w:color="auto" w:fill="FFFFFF"/>
                </w:rPr>
                <w:t>ACTCOVIDcasemanagement@Health.gov.au</w:t>
              </w:r>
            </w:hyperlink>
          </w:p>
        </w:tc>
      </w:tr>
      <w:tr w:rsidR="00FA3914" w:rsidRPr="00967B8E" w14:paraId="441F5E1A" w14:textId="77777777" w:rsidTr="003E3E13">
        <w:tc>
          <w:tcPr>
            <w:tcW w:w="3681" w:type="dxa"/>
          </w:tcPr>
          <w:p w14:paraId="20E97757"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 xml:space="preserve">South Australia </w:t>
            </w:r>
          </w:p>
        </w:tc>
        <w:tc>
          <w:tcPr>
            <w:tcW w:w="6662" w:type="dxa"/>
          </w:tcPr>
          <w:p w14:paraId="3794020C" w14:textId="77777777" w:rsidR="00FA3914" w:rsidRPr="00967B8E" w:rsidRDefault="00E35DE8" w:rsidP="003E3E13">
            <w:pPr>
              <w:pStyle w:val="VACRCbody-landscape"/>
              <w:rPr>
                <w:rFonts w:asciiTheme="minorHAnsi" w:hAnsiTheme="minorHAnsi" w:cstheme="minorHAnsi"/>
              </w:rPr>
            </w:pPr>
            <w:hyperlink r:id="rId100" w:history="1">
              <w:r w:rsidR="00FA3914" w:rsidRPr="00967B8E">
                <w:rPr>
                  <w:rFonts w:asciiTheme="minorHAnsi" w:hAnsiTheme="minorHAnsi" w:cstheme="minorHAnsi"/>
                  <w:color w:val="0563C1"/>
                  <w:shd w:val="clear" w:color="auto" w:fill="FFFFFF"/>
                </w:rPr>
                <w:t>SA.COVIDsupport@Health.gov.au</w:t>
              </w:r>
            </w:hyperlink>
          </w:p>
        </w:tc>
      </w:tr>
      <w:tr w:rsidR="00FA3914" w:rsidRPr="00967B8E" w14:paraId="7FA22EEB" w14:textId="77777777" w:rsidTr="003E3E13">
        <w:tc>
          <w:tcPr>
            <w:tcW w:w="3681" w:type="dxa"/>
          </w:tcPr>
          <w:p w14:paraId="0269D9D3"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Western Australia</w:t>
            </w:r>
          </w:p>
        </w:tc>
        <w:tc>
          <w:tcPr>
            <w:tcW w:w="6662" w:type="dxa"/>
          </w:tcPr>
          <w:p w14:paraId="31D626FB" w14:textId="77777777" w:rsidR="00FA3914" w:rsidRPr="00967B8E" w:rsidRDefault="00E35DE8" w:rsidP="003E3E13">
            <w:pPr>
              <w:pStyle w:val="VACRCbody-landscape"/>
              <w:rPr>
                <w:rFonts w:asciiTheme="minorHAnsi" w:hAnsiTheme="minorHAnsi" w:cstheme="minorHAnsi"/>
              </w:rPr>
            </w:pPr>
            <w:hyperlink r:id="rId101" w:history="1">
              <w:r w:rsidR="00FA3914" w:rsidRPr="00967B8E">
                <w:rPr>
                  <w:rFonts w:asciiTheme="minorHAnsi" w:hAnsiTheme="minorHAnsi" w:cstheme="minorHAnsi"/>
                  <w:color w:val="0563C1"/>
                  <w:shd w:val="clear" w:color="auto" w:fill="FFFFFF"/>
                </w:rPr>
                <w:t>WA.COVIDsupport@Health.gov.au</w:t>
              </w:r>
            </w:hyperlink>
          </w:p>
        </w:tc>
      </w:tr>
      <w:tr w:rsidR="00FA3914" w:rsidRPr="00967B8E" w14:paraId="37BD9514" w14:textId="77777777" w:rsidTr="003E3E13">
        <w:tc>
          <w:tcPr>
            <w:tcW w:w="3681" w:type="dxa"/>
          </w:tcPr>
          <w:p w14:paraId="0BEEE602" w14:textId="77777777" w:rsidR="00FA3914" w:rsidRPr="00967B8E" w:rsidRDefault="00FA3914" w:rsidP="003E3E13">
            <w:pPr>
              <w:pStyle w:val="VACRCbody-landscape"/>
              <w:rPr>
                <w:rFonts w:asciiTheme="minorHAnsi" w:hAnsiTheme="minorHAnsi" w:cstheme="minorHAnsi"/>
              </w:rPr>
            </w:pPr>
            <w:r w:rsidRPr="00967B8E">
              <w:rPr>
                <w:rFonts w:asciiTheme="minorHAnsi" w:hAnsiTheme="minorHAnsi" w:cstheme="minorHAnsi"/>
              </w:rPr>
              <w:t>Victoria/Tasmania</w:t>
            </w:r>
          </w:p>
        </w:tc>
        <w:tc>
          <w:tcPr>
            <w:tcW w:w="6662" w:type="dxa"/>
          </w:tcPr>
          <w:p w14:paraId="66FA9F49" w14:textId="77777777" w:rsidR="00FA3914" w:rsidRPr="00967B8E" w:rsidRDefault="00E35DE8" w:rsidP="003E3E13">
            <w:pPr>
              <w:pStyle w:val="VACRCbody-landscape"/>
              <w:rPr>
                <w:rFonts w:asciiTheme="minorHAnsi" w:hAnsiTheme="minorHAnsi" w:cstheme="minorHAnsi"/>
              </w:rPr>
            </w:pPr>
            <w:hyperlink r:id="rId102" w:history="1">
              <w:r w:rsidR="00FA3914" w:rsidRPr="00967B8E">
                <w:rPr>
                  <w:rFonts w:asciiTheme="minorHAnsi" w:hAnsiTheme="minorHAnsi" w:cstheme="minorHAnsi"/>
                  <w:color w:val="0563C1"/>
                  <w:shd w:val="clear" w:color="auto" w:fill="FFFFFF"/>
                </w:rPr>
                <w:t>VICTASCaseManagement@Health.gov.au</w:t>
              </w:r>
            </w:hyperlink>
          </w:p>
        </w:tc>
      </w:tr>
    </w:tbl>
    <w:p w14:paraId="20E2286B" w14:textId="0394A8A7" w:rsidR="00FA3914" w:rsidRPr="00967B8E" w:rsidRDefault="00FA3914" w:rsidP="00314A18">
      <w:pPr>
        <w:keepNext/>
        <w:keepLines/>
        <w:spacing w:after="160" w:line="250" w:lineRule="atLeast"/>
        <w:outlineLvl w:val="1"/>
        <w:rPr>
          <w:rFonts w:ascii="Arial Nova" w:hAnsi="Arial Nova"/>
          <w:b/>
          <w:bCs/>
          <w:color w:val="000000" w:themeColor="text1"/>
          <w:sz w:val="32"/>
          <w:szCs w:val="32"/>
        </w:rPr>
      </w:pPr>
      <w:bookmarkStart w:id="212" w:name="_Toc108624605"/>
      <w:r w:rsidRPr="00967B8E">
        <w:rPr>
          <w:rFonts w:ascii="Arial Nova" w:hAnsi="Arial Nova"/>
          <w:b/>
          <w:bCs/>
          <w:color w:val="000000" w:themeColor="text1"/>
          <w:sz w:val="32"/>
          <w:szCs w:val="32"/>
        </w:rPr>
        <w:lastRenderedPageBreak/>
        <w:t>Appendix C – In-home Aged Care Winter Preparedness Checklist</w:t>
      </w:r>
      <w:bookmarkEnd w:id="212"/>
    </w:p>
    <w:p w14:paraId="1F355BF4" w14:textId="22E897EE" w:rsidR="00FA3914" w:rsidRPr="00967B8E" w:rsidRDefault="00FA3914" w:rsidP="00314A18">
      <w:pPr>
        <w:pStyle w:val="VACRCbody-landscape"/>
        <w:spacing w:after="160" w:line="240" w:lineRule="atLeast"/>
        <w:rPr>
          <w:rFonts w:asciiTheme="minorHAnsi" w:hAnsiTheme="minorHAnsi" w:cstheme="minorHAnsi"/>
          <w:b/>
          <w:bCs/>
          <w:sz w:val="28"/>
          <w:szCs w:val="28"/>
        </w:rPr>
      </w:pPr>
      <w:r w:rsidRPr="00967B8E">
        <w:rPr>
          <w:rFonts w:asciiTheme="minorHAnsi" w:hAnsiTheme="minorHAnsi" w:cstheme="minorHAnsi"/>
        </w:rPr>
        <w:t xml:space="preserve">Whilst </w:t>
      </w:r>
      <w:r w:rsidR="004300D3" w:rsidRPr="00967B8E">
        <w:rPr>
          <w:rFonts w:asciiTheme="minorHAnsi" w:hAnsiTheme="minorHAnsi" w:cstheme="minorHAnsi"/>
        </w:rPr>
        <w:t>most of the</w:t>
      </w:r>
      <w:r w:rsidRPr="00967B8E">
        <w:rPr>
          <w:rFonts w:asciiTheme="minorHAnsi" w:hAnsiTheme="minorHAnsi" w:cstheme="minorHAnsi"/>
        </w:rPr>
        <w:t xml:space="preserve"> content in this document is targeted towards RACFs (acknowledging the increased transmission risk of both COVID-19 and influenza within these co-located living arrangements), in-home care providers also need to respond to changing circumstances to manage risks to their care recipients and staff. The Checklist below provides a range of practical actions which in-home aged care providers can take to ensure the continued delivery of safe and quality care for care recipients this winter.</w:t>
      </w:r>
    </w:p>
    <w:p w14:paraId="5D155344" w14:textId="0140C967" w:rsidR="00FA3914" w:rsidRPr="00967B8E" w:rsidRDefault="00FA3914" w:rsidP="00CA41A3">
      <w:pPr>
        <w:shd w:val="clear" w:color="auto" w:fill="E2EFD9"/>
        <w:spacing w:after="60" w:line="250" w:lineRule="atLeast"/>
        <w:rPr>
          <w:rFonts w:ascii="Arial Nova" w:eastAsia="MS Gothic" w:hAnsi="Arial Nova" w:cs="Arial"/>
          <w:b/>
          <w:bCs/>
          <w:color w:val="007940"/>
          <w:kern w:val="32"/>
          <w:sz w:val="28"/>
          <w:szCs w:val="28"/>
        </w:rPr>
      </w:pPr>
      <w:r w:rsidRPr="00967B8E">
        <w:rPr>
          <w:rFonts w:ascii="Arial Nova" w:eastAsia="MS Gothic" w:hAnsi="Arial Nova" w:cs="Arial"/>
          <w:b/>
          <w:bCs/>
          <w:color w:val="007940"/>
          <w:kern w:val="32"/>
          <w:sz w:val="28"/>
          <w:szCs w:val="28"/>
        </w:rPr>
        <w:t>Readiness</w:t>
      </w:r>
    </w:p>
    <w:p w14:paraId="16283751" w14:textId="77777777"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1363200817"/>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Have you undertaken an updated risk-assessment of the local COVID-19/influenza risk for your service and how this may impact service delivery for care recipients?</w:t>
      </w:r>
    </w:p>
    <w:p w14:paraId="1FDEC936" w14:textId="56B1C2A7"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203646467"/>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Home </w:t>
      </w:r>
      <w:r w:rsidR="009C15C8">
        <w:rPr>
          <w:rFonts w:asciiTheme="minorHAnsi" w:hAnsiTheme="minorHAnsi" w:cstheme="minorHAnsi"/>
        </w:rPr>
        <w:t>c</w:t>
      </w:r>
      <w:r w:rsidR="009C15C8" w:rsidRPr="00967B8E">
        <w:rPr>
          <w:rFonts w:asciiTheme="minorHAnsi" w:hAnsiTheme="minorHAnsi" w:cstheme="minorHAnsi"/>
        </w:rPr>
        <w:t xml:space="preserve">are </w:t>
      </w:r>
      <w:r w:rsidR="009C15C8">
        <w:rPr>
          <w:rFonts w:asciiTheme="minorHAnsi" w:hAnsiTheme="minorHAnsi" w:cstheme="minorHAnsi"/>
        </w:rPr>
        <w:t>–</w:t>
      </w:r>
      <w:r w:rsidR="00FA3914" w:rsidRPr="00967B8E">
        <w:rPr>
          <w:rFonts w:asciiTheme="minorHAnsi" w:hAnsiTheme="minorHAnsi" w:cstheme="minorHAnsi"/>
        </w:rPr>
        <w:t xml:space="preserve"> Has</w:t>
      </w:r>
      <w:r w:rsidR="009C15C8">
        <w:rPr>
          <w:rFonts w:asciiTheme="minorHAnsi" w:hAnsiTheme="minorHAnsi" w:cstheme="minorHAnsi"/>
        </w:rPr>
        <w:t xml:space="preserve"> </w:t>
      </w:r>
      <w:r w:rsidR="00FA3914" w:rsidRPr="00967B8E">
        <w:rPr>
          <w:rFonts w:asciiTheme="minorHAnsi" w:hAnsiTheme="minorHAnsi" w:cstheme="minorHAnsi"/>
        </w:rPr>
        <w:t xml:space="preserve">your </w:t>
      </w:r>
      <w:proofErr w:type="spellStart"/>
      <w:r w:rsidR="00FA3914" w:rsidRPr="00967B8E">
        <w:rPr>
          <w:rFonts w:asciiTheme="minorHAnsi" w:hAnsiTheme="minorHAnsi" w:cstheme="minorHAnsi"/>
        </w:rPr>
        <w:t>COVIDSafe</w:t>
      </w:r>
      <w:proofErr w:type="spellEnd"/>
      <w:r w:rsidR="00FA3914" w:rsidRPr="00967B8E">
        <w:rPr>
          <w:rFonts w:asciiTheme="minorHAnsi" w:hAnsiTheme="minorHAnsi" w:cstheme="minorHAnsi"/>
        </w:rPr>
        <w:t xml:space="preserve"> Plan been reviewed and updated as required? Does each care recipient have an appropriate emergency care plan in place? </w:t>
      </w:r>
    </w:p>
    <w:p w14:paraId="40D9EB98" w14:textId="77777777"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1968495019"/>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Home care &amp; CHSP – Has your activity continuity plan been reviewed and updated as required? </w:t>
      </w:r>
    </w:p>
    <w:p w14:paraId="032FEAEF" w14:textId="77777777"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1614711741"/>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Have you undertaken detailed workforce management planning, including considering how you will source additional workforce (if required)?</w:t>
      </w:r>
    </w:p>
    <w:p w14:paraId="60547597" w14:textId="0AA5FC2C"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296231876"/>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Do you have adequate supplies of PPE/RATs, and established processes to source more</w:t>
      </w:r>
      <w:r w:rsidR="009C15C8">
        <w:rPr>
          <w:rFonts w:asciiTheme="minorHAnsi" w:hAnsiTheme="minorHAnsi" w:cstheme="minorHAnsi"/>
        </w:rPr>
        <w:t>,</w:t>
      </w:r>
      <w:r w:rsidR="00FA3914" w:rsidRPr="00967B8E">
        <w:rPr>
          <w:rFonts w:asciiTheme="minorHAnsi" w:hAnsiTheme="minorHAnsi" w:cstheme="minorHAnsi"/>
        </w:rPr>
        <w:t xml:space="preserve"> if required, for a quick and effective response?</w:t>
      </w:r>
    </w:p>
    <w:p w14:paraId="2330067D" w14:textId="77777777"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148801503"/>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Are stringent IPC processes in place, and have all staff recently refreshed their IPC training?</w:t>
      </w:r>
    </w:p>
    <w:p w14:paraId="0475B1B8" w14:textId="77777777"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609272955"/>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Do you know the COVID-19 and/or influenza vaccination status of all staff?</w:t>
      </w:r>
    </w:p>
    <w:p w14:paraId="322F9E2F" w14:textId="724223BD" w:rsidR="00FA3914" w:rsidRPr="00967B8E" w:rsidRDefault="00FA3914" w:rsidP="00CA41A3">
      <w:pPr>
        <w:shd w:val="clear" w:color="auto" w:fill="FBE4D5"/>
        <w:spacing w:after="60" w:line="240" w:lineRule="atLeast"/>
        <w:rPr>
          <w:rFonts w:ascii="Arial Nova" w:hAnsi="Arial Nova"/>
          <w:b/>
          <w:color w:val="EB701D"/>
          <w:sz w:val="28"/>
          <w:szCs w:val="28"/>
        </w:rPr>
      </w:pPr>
      <w:r w:rsidRPr="00967B8E">
        <w:rPr>
          <w:rFonts w:ascii="Arial Nova" w:hAnsi="Arial Nova"/>
          <w:b/>
          <w:color w:val="EB701D"/>
          <w:sz w:val="28"/>
          <w:szCs w:val="28"/>
        </w:rPr>
        <w:t>Response</w:t>
      </w:r>
    </w:p>
    <w:p w14:paraId="67D44FB5" w14:textId="5CE31B5B"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730282826"/>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Are you ensuring continuity of care when a care recipient tests positive?</w:t>
      </w:r>
    </w:p>
    <w:p w14:paraId="5702BC67" w14:textId="77777777"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361522462"/>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Are you regularly communicating with staff, care recipients, and their family members?</w:t>
      </w:r>
    </w:p>
    <w:p w14:paraId="1F02999B" w14:textId="129B8E21"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1073626873"/>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Are resources such as PPE and RATs easily accessible to staff and clear processes in place to guide their use?</w:t>
      </w:r>
    </w:p>
    <w:p w14:paraId="41CB8F26" w14:textId="77777777"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776536141"/>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Have you considered how you may support care recipients who test positive to continue accessing essential services such as primary care and allied health?</w:t>
      </w:r>
    </w:p>
    <w:p w14:paraId="393F755A" w14:textId="74A83DDC"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903723160"/>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Do clients have access to a GP and community pharmacy to access treatments if needed?</w:t>
      </w:r>
    </w:p>
    <w:p w14:paraId="5285E1A6" w14:textId="77777777" w:rsidR="00FA3914" w:rsidRPr="00967B8E" w:rsidRDefault="00FA3914" w:rsidP="00CA41A3">
      <w:pPr>
        <w:shd w:val="clear" w:color="auto" w:fill="D9E2F3"/>
        <w:spacing w:after="60" w:line="240" w:lineRule="atLeast"/>
        <w:rPr>
          <w:rFonts w:ascii="Arial Nova" w:hAnsi="Arial Nova"/>
          <w:b/>
          <w:bCs/>
          <w:color w:val="2F5496"/>
          <w:sz w:val="28"/>
          <w:szCs w:val="28"/>
        </w:rPr>
      </w:pPr>
      <w:r w:rsidRPr="00967B8E">
        <w:rPr>
          <w:rFonts w:ascii="Arial Nova" w:hAnsi="Arial Nova"/>
          <w:b/>
          <w:bCs/>
          <w:color w:val="2F5496"/>
          <w:sz w:val="28"/>
          <w:szCs w:val="28"/>
        </w:rPr>
        <w:t>Recovery</w:t>
      </w:r>
    </w:p>
    <w:p w14:paraId="752E82FB" w14:textId="3EADE384"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737676313"/>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Do you have a ‘lessons learned’ process in place to review your COVID-19/influenza management processes and identify any areas for improvement?</w:t>
      </w:r>
    </w:p>
    <w:p w14:paraId="1463C3AF" w14:textId="77777777"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1822849489"/>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Have you considered how you may assist care recipients to access any </w:t>
      </w:r>
      <w:hyperlink r:id="rId103" w:history="1">
        <w:r w:rsidR="00FA3914" w:rsidRPr="00967B8E">
          <w:rPr>
            <w:rFonts w:asciiTheme="minorHAnsi" w:hAnsiTheme="minorHAnsi" w:cstheme="minorHAnsi"/>
            <w:color w:val="0563C1"/>
          </w:rPr>
          <w:t>grief, trauma and/or mental health</w:t>
        </w:r>
      </w:hyperlink>
      <w:r w:rsidR="00FA3914" w:rsidRPr="00967B8E">
        <w:rPr>
          <w:rFonts w:asciiTheme="minorHAnsi" w:hAnsiTheme="minorHAnsi" w:cstheme="minorHAnsi"/>
        </w:rPr>
        <w:t xml:space="preserve"> supports if needed?</w:t>
      </w:r>
    </w:p>
    <w:p w14:paraId="5256C4A6" w14:textId="2FFE1BA4" w:rsidR="00FA3914" w:rsidRPr="00967B8E" w:rsidRDefault="00E35DE8" w:rsidP="003E3E13">
      <w:pPr>
        <w:pStyle w:val="VACRCbody-landscape"/>
        <w:rPr>
          <w:rFonts w:asciiTheme="minorHAnsi" w:hAnsiTheme="minorHAnsi" w:cstheme="minorHAnsi"/>
        </w:rPr>
      </w:pPr>
      <w:sdt>
        <w:sdtPr>
          <w:rPr>
            <w:rFonts w:asciiTheme="minorHAnsi" w:hAnsiTheme="minorHAnsi" w:cstheme="minorHAnsi"/>
          </w:rPr>
          <w:id w:val="-1406137517"/>
          <w14:checkbox>
            <w14:checked w14:val="0"/>
            <w14:checkedState w14:val="2612" w14:font="MS Gothic"/>
            <w14:uncheckedState w14:val="2610" w14:font="MS Gothic"/>
          </w14:checkbox>
        </w:sdtPr>
        <w:sdtEndPr/>
        <w:sdtContent>
          <w:r w:rsidR="00FA3914" w:rsidRPr="00967B8E">
            <w:rPr>
              <w:rFonts w:ascii="Segoe UI Symbol" w:hAnsi="Segoe UI Symbol" w:cs="Segoe UI Symbol"/>
            </w:rPr>
            <w:t>☐</w:t>
          </w:r>
        </w:sdtContent>
      </w:sdt>
      <w:r w:rsidR="00FA3914" w:rsidRPr="00967B8E">
        <w:rPr>
          <w:rFonts w:asciiTheme="minorHAnsi" w:hAnsiTheme="minorHAnsi" w:cstheme="minorHAnsi"/>
        </w:rPr>
        <w:t xml:space="preserve"> Have you got plans in place to support reablement of any care recipient experiencing deconditioning?</w:t>
      </w:r>
    </w:p>
    <w:p w14:paraId="1334F12A" w14:textId="266916CF" w:rsidR="00CE0470" w:rsidRPr="00967B8E" w:rsidRDefault="00E35DE8" w:rsidP="003E3E13">
      <w:pPr>
        <w:pStyle w:val="VACRCbody-landscape"/>
        <w:rPr>
          <w:rFonts w:asciiTheme="minorHAnsi" w:hAnsiTheme="minorHAnsi" w:cstheme="minorHAnsi"/>
        </w:rPr>
      </w:pPr>
      <w:sdt>
        <w:sdtPr>
          <w:rPr>
            <w:rFonts w:asciiTheme="minorHAnsi" w:hAnsiTheme="minorHAnsi" w:cstheme="minorHAnsi"/>
          </w:rPr>
          <w:id w:val="-1365279998"/>
          <w14:checkbox>
            <w14:checked w14:val="0"/>
            <w14:checkedState w14:val="2612" w14:font="MS Gothic"/>
            <w14:uncheckedState w14:val="2610" w14:font="MS Gothic"/>
          </w14:checkbox>
        </w:sdtPr>
        <w:sdtEndPr/>
        <w:sdtContent>
          <w:r w:rsidR="00CE0470" w:rsidRPr="00967B8E">
            <w:rPr>
              <w:rFonts w:ascii="Segoe UI Symbol" w:hAnsi="Segoe UI Symbol" w:cs="Segoe UI Symbol"/>
            </w:rPr>
            <w:t>☐</w:t>
          </w:r>
        </w:sdtContent>
      </w:sdt>
      <w:r w:rsidR="00CE0470" w:rsidRPr="00967B8E">
        <w:rPr>
          <w:rFonts w:asciiTheme="minorHAnsi" w:hAnsiTheme="minorHAnsi" w:cstheme="minorHAnsi"/>
        </w:rPr>
        <w:t xml:space="preserve"> Home Care </w:t>
      </w:r>
      <w:r w:rsidR="009C15C8">
        <w:rPr>
          <w:rFonts w:asciiTheme="minorHAnsi" w:hAnsiTheme="minorHAnsi" w:cstheme="minorHAnsi"/>
        </w:rPr>
        <w:t>–</w:t>
      </w:r>
      <w:r w:rsidR="00CE0470" w:rsidRPr="00967B8E">
        <w:rPr>
          <w:rFonts w:asciiTheme="minorHAnsi" w:hAnsiTheme="minorHAnsi" w:cstheme="minorHAnsi"/>
        </w:rPr>
        <w:t xml:space="preserve"> Do</w:t>
      </w:r>
      <w:r w:rsidR="009C15C8">
        <w:rPr>
          <w:rFonts w:asciiTheme="minorHAnsi" w:hAnsiTheme="minorHAnsi" w:cstheme="minorHAnsi"/>
        </w:rPr>
        <w:t xml:space="preserve"> </w:t>
      </w:r>
      <w:r w:rsidR="00CE0470" w:rsidRPr="00967B8E">
        <w:rPr>
          <w:rFonts w:asciiTheme="minorHAnsi" w:hAnsiTheme="minorHAnsi" w:cstheme="minorHAnsi"/>
        </w:rPr>
        <w:t xml:space="preserve">you understand the eligibility criteria and application process for potential reimbursement of impact costs through the </w:t>
      </w:r>
      <w:hyperlink r:id="rId104" w:anchor=":~:text=Description%3A,1%20year%20in%202021%2D22." w:history="1">
        <w:r w:rsidR="00CE0470" w:rsidRPr="00967B8E">
          <w:rPr>
            <w:rFonts w:asciiTheme="minorHAnsi" w:hAnsiTheme="minorHAnsi" w:cstheme="minorHAnsi"/>
            <w:color w:val="0563C1"/>
          </w:rPr>
          <w:t>COVID-19 Aged Care Support Program Extension Grant</w:t>
        </w:r>
      </w:hyperlink>
      <w:r w:rsidR="00CE0470" w:rsidRPr="00967B8E">
        <w:rPr>
          <w:rFonts w:asciiTheme="minorHAnsi" w:hAnsiTheme="minorHAnsi" w:cstheme="minorHAnsi"/>
        </w:rPr>
        <w:t>?</w:t>
      </w:r>
    </w:p>
    <w:p w14:paraId="71148271" w14:textId="230CAF00" w:rsidR="00CE0470" w:rsidRPr="00967B8E" w:rsidRDefault="00E35DE8" w:rsidP="003E3E13">
      <w:pPr>
        <w:pStyle w:val="VACRCbody-landscape"/>
        <w:rPr>
          <w:rFonts w:asciiTheme="minorHAnsi" w:hAnsiTheme="minorHAnsi" w:cstheme="minorHAnsi"/>
          <w:b/>
          <w:bCs/>
          <w:sz w:val="28"/>
          <w:szCs w:val="28"/>
        </w:rPr>
      </w:pPr>
      <w:sdt>
        <w:sdtPr>
          <w:rPr>
            <w:rFonts w:asciiTheme="minorHAnsi" w:hAnsiTheme="minorHAnsi" w:cstheme="minorHAnsi"/>
          </w:rPr>
          <w:id w:val="1401017620"/>
          <w14:checkbox>
            <w14:checked w14:val="0"/>
            <w14:checkedState w14:val="2612" w14:font="MS Gothic"/>
            <w14:uncheckedState w14:val="2610" w14:font="MS Gothic"/>
          </w14:checkbox>
        </w:sdtPr>
        <w:sdtEndPr/>
        <w:sdtContent>
          <w:r w:rsidR="00CE0470" w:rsidRPr="00967B8E">
            <w:rPr>
              <w:rFonts w:ascii="Segoe UI Symbol" w:hAnsi="Segoe UI Symbol" w:cs="Segoe UI Symbol"/>
            </w:rPr>
            <w:t>☐</w:t>
          </w:r>
        </w:sdtContent>
      </w:sdt>
      <w:r w:rsidR="00CE0470" w:rsidRPr="00967B8E">
        <w:rPr>
          <w:rFonts w:asciiTheme="minorHAnsi" w:hAnsiTheme="minorHAnsi" w:cstheme="minorHAnsi"/>
        </w:rPr>
        <w:t xml:space="preserve"> CHSP </w:t>
      </w:r>
      <w:r w:rsidR="009C15C8">
        <w:rPr>
          <w:rFonts w:asciiTheme="minorHAnsi" w:hAnsiTheme="minorHAnsi" w:cstheme="minorHAnsi"/>
        </w:rPr>
        <w:t>–</w:t>
      </w:r>
      <w:r w:rsidR="00CE0470" w:rsidRPr="00967B8E">
        <w:rPr>
          <w:rFonts w:asciiTheme="minorHAnsi" w:hAnsiTheme="minorHAnsi" w:cstheme="minorHAnsi"/>
        </w:rPr>
        <w:t xml:space="preserve"> Do</w:t>
      </w:r>
      <w:r w:rsidR="009C15C8">
        <w:rPr>
          <w:rFonts w:asciiTheme="minorHAnsi" w:hAnsiTheme="minorHAnsi" w:cstheme="minorHAnsi"/>
        </w:rPr>
        <w:t xml:space="preserve"> </w:t>
      </w:r>
      <w:r w:rsidR="00CE0470" w:rsidRPr="00967B8E">
        <w:rPr>
          <w:rFonts w:asciiTheme="minorHAnsi" w:hAnsiTheme="minorHAnsi" w:cstheme="minorHAnsi"/>
        </w:rPr>
        <w:t xml:space="preserve">you understand how to seek potential financial assistance for managing impact costs under the </w:t>
      </w:r>
      <w:hyperlink r:id="rId105" w:anchor=":~:text=The%20objective%20of%20this%20grant,control%20of%20the%20grant%20recipient." w:history="1">
        <w:r w:rsidR="00CE0470" w:rsidRPr="00967B8E">
          <w:rPr>
            <w:rFonts w:asciiTheme="minorHAnsi" w:hAnsiTheme="minorHAnsi" w:cstheme="minorHAnsi"/>
            <w:color w:val="0563C1"/>
          </w:rPr>
          <w:t>CHSP – Emergency support for COVID-19</w:t>
        </w:r>
      </w:hyperlink>
      <w:r w:rsidR="00CE0470" w:rsidRPr="00967B8E">
        <w:rPr>
          <w:rFonts w:asciiTheme="minorHAnsi" w:hAnsiTheme="minorHAnsi" w:cstheme="minorHAnsi"/>
        </w:rPr>
        <w:t xml:space="preserve"> grant?</w:t>
      </w:r>
    </w:p>
    <w:p w14:paraId="4D48C531" w14:textId="6438F193" w:rsidR="00CE0470" w:rsidRPr="00967B8E" w:rsidRDefault="00CE0470" w:rsidP="003E3E13">
      <w:pPr>
        <w:pStyle w:val="VACRCbody-landscape"/>
        <w:rPr>
          <w:rFonts w:asciiTheme="minorHAnsi" w:hAnsiTheme="minorHAnsi" w:cstheme="minorHAnsi"/>
        </w:rPr>
      </w:pPr>
      <w:r w:rsidRPr="00967B8E">
        <w:rPr>
          <w:rFonts w:ascii="Segoe UI Symbol" w:hAnsi="Segoe UI Symbol" w:cs="Segoe UI Symbol"/>
        </w:rPr>
        <w:t>☐</w:t>
      </w:r>
      <w:r w:rsidRPr="00967B8E">
        <w:rPr>
          <w:rFonts w:asciiTheme="minorHAnsi" w:hAnsiTheme="minorHAnsi" w:cstheme="minorHAnsi"/>
        </w:rPr>
        <w:t xml:space="preserve"> Have you identified how you will return to as-usual service delivery for care recipients following a positive case?</w:t>
      </w:r>
    </w:p>
    <w:p w14:paraId="42EA8D0B" w14:textId="31BDE4AC" w:rsidR="00CE0470" w:rsidRPr="00562A10" w:rsidRDefault="00CE0470" w:rsidP="003E3E13">
      <w:pPr>
        <w:pStyle w:val="VACRCbody-landscape"/>
        <w:rPr>
          <w:rFonts w:asciiTheme="minorHAnsi" w:hAnsiTheme="minorHAnsi" w:cstheme="minorHAnsi"/>
        </w:rPr>
      </w:pPr>
      <w:r w:rsidRPr="00967B8E">
        <w:rPr>
          <w:rFonts w:asciiTheme="minorHAnsi" w:hAnsiTheme="minorHAnsi" w:cstheme="minorHAnsi"/>
        </w:rPr>
        <w:t>Further information and links t</w:t>
      </w:r>
      <w:r w:rsidRPr="00562A10">
        <w:rPr>
          <w:rFonts w:asciiTheme="minorHAnsi" w:hAnsiTheme="minorHAnsi" w:cstheme="minorHAnsi"/>
        </w:rPr>
        <w:t xml:space="preserve">o relevant resources are available on the </w:t>
      </w:r>
      <w:r w:rsidR="00626E0D" w:rsidRPr="00562A10">
        <w:rPr>
          <w:rFonts w:asciiTheme="minorHAnsi" w:hAnsiTheme="minorHAnsi" w:cstheme="minorHAnsi"/>
        </w:rPr>
        <w:t xml:space="preserve">department’s </w:t>
      </w:r>
      <w:hyperlink r:id="rId106" w:history="1">
        <w:r w:rsidRPr="00967B8E">
          <w:rPr>
            <w:rFonts w:asciiTheme="minorHAnsi" w:hAnsiTheme="minorHAnsi" w:cstheme="minorHAnsi"/>
            <w:color w:val="0563C1"/>
          </w:rPr>
          <w:t>website</w:t>
        </w:r>
      </w:hyperlink>
      <w:r w:rsidRPr="00562A10">
        <w:rPr>
          <w:rFonts w:asciiTheme="minorHAnsi" w:hAnsiTheme="minorHAnsi" w:cstheme="minorHAnsi"/>
        </w:rPr>
        <w:t>.</w:t>
      </w:r>
    </w:p>
    <w:sectPr w:rsidR="00CE0470" w:rsidRPr="00562A10" w:rsidSect="00D972B3">
      <w:pgSz w:w="11906" w:h="16838" w:code="9"/>
      <w:pgMar w:top="993" w:right="720" w:bottom="720" w:left="720" w:header="401"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B1E3DC" w14:textId="77777777" w:rsidR="008111E9" w:rsidRDefault="008111E9">
      <w:r>
        <w:separator/>
      </w:r>
    </w:p>
    <w:p w14:paraId="7C7F2517" w14:textId="77777777" w:rsidR="008111E9" w:rsidRDefault="008111E9"/>
  </w:endnote>
  <w:endnote w:type="continuationSeparator" w:id="0">
    <w:p w14:paraId="1C0CC12D" w14:textId="77777777" w:rsidR="008111E9" w:rsidRDefault="008111E9">
      <w:r>
        <w:continuationSeparator/>
      </w:r>
    </w:p>
    <w:p w14:paraId="305B9EA2" w14:textId="77777777" w:rsidR="008111E9" w:rsidRDefault="008111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Ɛ"/>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Nova">
    <w:altName w:val="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6EDE0" w14:textId="77777777" w:rsidR="008111E9" w:rsidRDefault="008111E9" w:rsidP="00E8487C">
    <w:pPr>
      <w:pStyle w:val="VACRCfooter"/>
      <w:tabs>
        <w:tab w:val="left" w:pos="567"/>
        <w:tab w:val="left" w:pos="1418"/>
        <w:tab w:val="left" w:pos="439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23F1C" w14:textId="17165F09" w:rsidR="008111E9" w:rsidRDefault="008111E9" w:rsidP="008B0198">
    <w:pPr>
      <w:pStyle w:val="VACRCfooter"/>
      <w:tabs>
        <w:tab w:val="clear" w:pos="9299"/>
        <w:tab w:val="left" w:pos="567"/>
        <w:tab w:val="left" w:pos="1418"/>
        <w:tab w:val="left" w:pos="8472"/>
        <w:tab w:val="left" w:pos="9165"/>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21</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27</w:t>
    </w:r>
    <w:r w:rsidRPr="00424153">
      <w:rPr>
        <w:bCs/>
        <w:sz w:val="24"/>
        <w:szCs w:val="24"/>
      </w:rPr>
      <w:fldChar w:fldCharType="end"/>
    </w:r>
    <w:r>
      <w:tab/>
    </w:r>
    <w:r>
      <w:tab/>
      <w:t>Date: July 2022</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E9FF47" w14:textId="77777777" w:rsidR="008111E9" w:rsidRDefault="008111E9">
      <w:r>
        <w:separator/>
      </w:r>
    </w:p>
    <w:p w14:paraId="03F307E9" w14:textId="77777777" w:rsidR="008111E9" w:rsidRDefault="008111E9"/>
  </w:footnote>
  <w:footnote w:type="continuationSeparator" w:id="0">
    <w:p w14:paraId="4AEA4626" w14:textId="77777777" w:rsidR="008111E9" w:rsidRDefault="008111E9">
      <w:r>
        <w:continuationSeparator/>
      </w:r>
    </w:p>
    <w:p w14:paraId="18920BDB" w14:textId="77777777" w:rsidR="008111E9" w:rsidRDefault="008111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FCA75" w14:textId="77777777" w:rsidR="008111E9" w:rsidRDefault="008111E9" w:rsidP="004B65F7">
    <w:pPr>
      <w:pStyle w:val="VACRCheader"/>
    </w:pPr>
    <w:r>
      <w:t>R Header</w:t>
    </w:r>
  </w:p>
  <w:p w14:paraId="0846E132" w14:textId="77777777" w:rsidR="008111E9" w:rsidRDefault="008111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96F6AD" w14:textId="5EFA82D7" w:rsidR="008111E9" w:rsidRPr="001D0BDC" w:rsidRDefault="008111E9" w:rsidP="008B0198">
    <w:pPr>
      <w:pStyle w:val="VACRCbody-landscape"/>
      <w:rPr>
        <w:szCs w:val="22"/>
      </w:rPr>
    </w:pPr>
    <w:r w:rsidRPr="00BD6454">
      <w:rPr>
        <w:rStyle w:val="Heading1Char"/>
        <w:sz w:val="22"/>
        <w:szCs w:val="22"/>
      </w:rPr>
      <w:t>Winter</w:t>
    </w:r>
    <w:r>
      <w:rPr>
        <w:rStyle w:val="Heading1Char"/>
        <w:sz w:val="22"/>
        <w:szCs w:val="22"/>
      </w:rPr>
      <w:t xml:space="preserve"> Plan</w:t>
    </w:r>
    <w:r w:rsidRPr="00BD6454">
      <w:rPr>
        <w:rStyle w:val="Heading1Char"/>
        <w:sz w:val="22"/>
        <w:szCs w:val="22"/>
      </w:rPr>
      <w:t xml:space="preserve"> – A guide for residential aged care providers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718CD"/>
    <w:multiLevelType w:val="hybridMultilevel"/>
    <w:tmpl w:val="6916D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BC0665"/>
    <w:multiLevelType w:val="hybridMultilevel"/>
    <w:tmpl w:val="158CE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5407C9"/>
    <w:multiLevelType w:val="hybridMultilevel"/>
    <w:tmpl w:val="D8BC5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F64AC"/>
    <w:multiLevelType w:val="hybridMultilevel"/>
    <w:tmpl w:val="CEAAE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AD2E30"/>
    <w:multiLevelType w:val="multilevel"/>
    <w:tmpl w:val="15F6F55C"/>
    <w:styleLink w:val="ZZNumbersloweralpha"/>
    <w:lvl w:ilvl="0">
      <w:start w:val="1"/>
      <w:numFmt w:val="lowerLetter"/>
      <w:pStyle w:val="VACRClist-loweralphalevel1"/>
      <w:lvlText w:val="(%1)"/>
      <w:lvlJc w:val="left"/>
      <w:pPr>
        <w:ind w:left="107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DBB6A7D"/>
    <w:multiLevelType w:val="multilevel"/>
    <w:tmpl w:val="7072468A"/>
    <w:styleLink w:val="zznumberloweralpharoman"/>
    <w:lvl w:ilvl="0">
      <w:start w:val="1"/>
      <w:numFmt w:val="lowerRoman"/>
      <w:pStyle w:val="VACRClist-lowerromanlevel1"/>
      <w:lvlText w:val="(%1)"/>
      <w:lvlJc w:val="left"/>
      <w:pPr>
        <w:ind w:left="107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9D6D96"/>
    <w:multiLevelType w:val="multilevel"/>
    <w:tmpl w:val="AD06323A"/>
    <w:numStyleLink w:val="zzDJRbullets"/>
  </w:abstractNum>
  <w:abstractNum w:abstractNumId="7" w15:restartNumberingAfterBreak="0">
    <w:nsid w:val="1CEB0899"/>
    <w:multiLevelType w:val="hybridMultilevel"/>
    <w:tmpl w:val="2B12C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A1E4D"/>
    <w:multiLevelType w:val="hybridMultilevel"/>
    <w:tmpl w:val="3EB65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49539F"/>
    <w:multiLevelType w:val="multilevel"/>
    <w:tmpl w:val="4EBE2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945D4F"/>
    <w:multiLevelType w:val="hybridMultilevel"/>
    <w:tmpl w:val="19B6D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2465CE"/>
    <w:multiLevelType w:val="hybridMultilevel"/>
    <w:tmpl w:val="AACE250A"/>
    <w:lvl w:ilvl="0" w:tplc="4088119C">
      <w:start w:val="1"/>
      <w:numFmt w:val="bullet"/>
      <w:pStyle w:val="VACRC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CA2283"/>
    <w:multiLevelType w:val="hybridMultilevel"/>
    <w:tmpl w:val="8BDAB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6756AD"/>
    <w:multiLevelType w:val="multilevel"/>
    <w:tmpl w:val="3330239A"/>
    <w:styleLink w:val="ZZNumberslowerromanindent"/>
    <w:lvl w:ilvl="0">
      <w:start w:val="1"/>
      <w:numFmt w:val="lowerRoman"/>
      <w:pStyle w:val="VACRClist-lowerromanlevel2"/>
      <w:lvlText w:val="(%1)"/>
      <w:lvlJc w:val="left"/>
      <w:pPr>
        <w:ind w:left="1474"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3640703E"/>
    <w:multiLevelType w:val="multilevel"/>
    <w:tmpl w:val="B058C1AE"/>
    <w:lvl w:ilvl="0">
      <w:start w:val="1"/>
      <w:numFmt w:val="decimal"/>
      <w:pStyle w:val="Heading2"/>
      <w:lvlText w:val="%1."/>
      <w:lvlJc w:val="left"/>
      <w:pPr>
        <w:ind w:left="-2978" w:hanging="360"/>
      </w:pPr>
    </w:lvl>
    <w:lvl w:ilvl="1">
      <w:start w:val="1"/>
      <w:numFmt w:val="decimal"/>
      <w:lvlText w:val="%1.%2."/>
      <w:lvlJc w:val="left"/>
      <w:pPr>
        <w:ind w:left="-2546" w:hanging="432"/>
      </w:pPr>
    </w:lvl>
    <w:lvl w:ilvl="2">
      <w:start w:val="1"/>
      <w:numFmt w:val="decimal"/>
      <w:lvlText w:val="%1.%2.%3."/>
      <w:lvlJc w:val="left"/>
      <w:pPr>
        <w:ind w:left="-2114" w:hanging="504"/>
      </w:pPr>
    </w:lvl>
    <w:lvl w:ilvl="3">
      <w:start w:val="1"/>
      <w:numFmt w:val="decimal"/>
      <w:lvlText w:val="%1.%2.%3.%4."/>
      <w:lvlJc w:val="left"/>
      <w:pPr>
        <w:ind w:left="-1610" w:hanging="648"/>
      </w:pPr>
    </w:lvl>
    <w:lvl w:ilvl="4">
      <w:start w:val="1"/>
      <w:numFmt w:val="decimal"/>
      <w:lvlText w:val="%1.%2.%3.%4.%5."/>
      <w:lvlJc w:val="left"/>
      <w:pPr>
        <w:ind w:left="-1106" w:hanging="792"/>
      </w:pPr>
    </w:lvl>
    <w:lvl w:ilvl="5">
      <w:start w:val="1"/>
      <w:numFmt w:val="decimal"/>
      <w:lvlText w:val="%1.%2.%3.%4.%5.%6."/>
      <w:lvlJc w:val="left"/>
      <w:pPr>
        <w:ind w:left="-602" w:hanging="936"/>
      </w:pPr>
    </w:lvl>
    <w:lvl w:ilvl="6">
      <w:start w:val="1"/>
      <w:numFmt w:val="decimal"/>
      <w:lvlText w:val="%1.%2.%3.%4.%5.%6.%7."/>
      <w:lvlJc w:val="left"/>
      <w:pPr>
        <w:ind w:left="-98" w:hanging="1080"/>
      </w:pPr>
    </w:lvl>
    <w:lvl w:ilvl="7">
      <w:start w:val="1"/>
      <w:numFmt w:val="decimal"/>
      <w:lvlText w:val="%1.%2.%3.%4.%5.%6.%7.%8."/>
      <w:lvlJc w:val="left"/>
      <w:pPr>
        <w:ind w:left="406" w:hanging="1224"/>
      </w:pPr>
    </w:lvl>
    <w:lvl w:ilvl="8">
      <w:start w:val="1"/>
      <w:numFmt w:val="decimal"/>
      <w:lvlText w:val="%1.%2.%3.%4.%5.%6.%7.%8.%9."/>
      <w:lvlJc w:val="left"/>
      <w:pPr>
        <w:ind w:left="982" w:hanging="1440"/>
      </w:pPr>
    </w:lvl>
  </w:abstractNum>
  <w:abstractNum w:abstractNumId="15" w15:restartNumberingAfterBreak="0">
    <w:nsid w:val="3DB57F54"/>
    <w:multiLevelType w:val="multilevel"/>
    <w:tmpl w:val="416AEF98"/>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E6C68D4"/>
    <w:multiLevelType w:val="multilevel"/>
    <w:tmpl w:val="5DFE3624"/>
    <w:styleLink w:val="ZZNumbersdigit"/>
    <w:lvl w:ilvl="0">
      <w:start w:val="1"/>
      <w:numFmt w:val="bullet"/>
      <w:pStyle w:val="VACRClist-bulletsafterlevel1numberromanoralpha"/>
      <w:lvlText w:val="•"/>
      <w:lvlJc w:val="left"/>
      <w:pPr>
        <w:ind w:left="1361" w:hanging="284"/>
      </w:pPr>
      <w:rPr>
        <w:rFonts w:ascii="Calibri" w:hAnsi="Calibri" w:hint="default"/>
        <w:color w:val="auto"/>
      </w:rPr>
    </w:lvl>
    <w:lvl w:ilvl="1">
      <w:start w:val="1"/>
      <w:numFmt w:val="bullet"/>
      <w:lvlRestart w:val="0"/>
      <w:pStyle w:val="VACRClist-bulletsafterlevel2numberromanoralpha"/>
      <w:lvlText w:val="–"/>
      <w:lvlJc w:val="left"/>
      <w:pPr>
        <w:ind w:left="1701" w:hanging="283"/>
      </w:pPr>
      <w:rPr>
        <w:rFonts w:ascii="Calibri" w:hAnsi="Calibri" w:hint="default"/>
        <w:color w:val="auto"/>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3EE04D5C"/>
    <w:multiLevelType w:val="hybridMultilevel"/>
    <w:tmpl w:val="11624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116657"/>
    <w:multiLevelType w:val="multilevel"/>
    <w:tmpl w:val="2D5C735A"/>
    <w:styleLink w:val="DJRHeading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0DC6191"/>
    <w:multiLevelType w:val="hybridMultilevel"/>
    <w:tmpl w:val="61660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FC485C"/>
    <w:multiLevelType w:val="hybridMultilevel"/>
    <w:tmpl w:val="7E2E2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39258A5"/>
    <w:multiLevelType w:val="hybridMultilevel"/>
    <w:tmpl w:val="86F87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41611C2"/>
    <w:multiLevelType w:val="multilevel"/>
    <w:tmpl w:val="D2ACAA5A"/>
    <w:styleLink w:val="ZZTablebullets"/>
    <w:lvl w:ilvl="0">
      <w:start w:val="1"/>
      <w:numFmt w:val="bullet"/>
      <w:lvlText w:val="•"/>
      <w:lvlJc w:val="left"/>
      <w:pPr>
        <w:ind w:left="227" w:hanging="227"/>
      </w:pPr>
      <w:rPr>
        <w:rFonts w:ascii="Calibri" w:hAnsi="Calibri" w:hint="default"/>
      </w:rPr>
    </w:lvl>
    <w:lvl w:ilvl="1">
      <w:start w:val="1"/>
      <w:numFmt w:val="bullet"/>
      <w:lvlRestart w:val="0"/>
      <w:pStyle w:val="VACRC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4BA1E5A"/>
    <w:multiLevelType w:val="multilevel"/>
    <w:tmpl w:val="21984544"/>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DF7234C"/>
    <w:multiLevelType w:val="hybridMultilevel"/>
    <w:tmpl w:val="AFD88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FF781B"/>
    <w:multiLevelType w:val="hybridMultilevel"/>
    <w:tmpl w:val="DFAC6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9259F"/>
    <w:multiLevelType w:val="multilevel"/>
    <w:tmpl w:val="5A92EA04"/>
    <w:styleLink w:val="ZZQuotebullets"/>
    <w:lvl w:ilvl="0">
      <w:start w:val="1"/>
      <w:numFmt w:val="bullet"/>
      <w:pStyle w:val="VACRCquotebullet1"/>
      <w:lvlText w:val="•"/>
      <w:lvlJc w:val="left"/>
      <w:pPr>
        <w:tabs>
          <w:tab w:val="num" w:pos="1304"/>
        </w:tabs>
        <w:ind w:left="1418" w:hanging="341"/>
      </w:pPr>
      <w:rPr>
        <w:rFonts w:ascii="Calibri" w:hAnsi="Calibri" w:hint="default"/>
        <w:color w:val="auto"/>
      </w:rPr>
    </w:lvl>
    <w:lvl w:ilvl="1">
      <w:start w:val="1"/>
      <w:numFmt w:val="bullet"/>
      <w:lvlRestart w:val="0"/>
      <w:pStyle w:val="VACRCquotebullet2"/>
      <w:lvlText w:val="–"/>
      <w:lvlJc w:val="left"/>
      <w:pPr>
        <w:ind w:left="1758"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64252C40"/>
    <w:multiLevelType w:val="hybridMultilevel"/>
    <w:tmpl w:val="A37A0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4294233"/>
    <w:multiLevelType w:val="hybridMultilevel"/>
    <w:tmpl w:val="A34C0B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BE34FC"/>
    <w:multiLevelType w:val="multilevel"/>
    <w:tmpl w:val="A93E5F58"/>
    <w:styleLink w:val="zzDJRnumberdigit"/>
    <w:lvl w:ilvl="0">
      <w:start w:val="1"/>
      <w:numFmt w:val="decimal"/>
      <w:pStyle w:val="VACRClist-numberdigitlevel1"/>
      <w:lvlText w:val="%1."/>
      <w:lvlJc w:val="left"/>
      <w:pPr>
        <w:tabs>
          <w:tab w:val="num" w:pos="680"/>
        </w:tabs>
        <w:ind w:left="1077" w:hanging="397"/>
      </w:pPr>
      <w:rPr>
        <w:rFonts w:hint="default"/>
      </w:rPr>
    </w:lvl>
    <w:lvl w:ilvl="1">
      <w:start w:val="1"/>
      <w:numFmt w:val="decimal"/>
      <w:lvlRestart w:val="0"/>
      <w:lvlText w:val="%2."/>
      <w:lvlJc w:val="left"/>
      <w:pPr>
        <w:tabs>
          <w:tab w:val="num" w:pos="907"/>
        </w:tabs>
        <w:ind w:left="794" w:firstLine="31975"/>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0" w15:restartNumberingAfterBreak="0">
    <w:nsid w:val="754E10B1"/>
    <w:multiLevelType w:val="multilevel"/>
    <w:tmpl w:val="8462178C"/>
    <w:lvl w:ilvl="0">
      <w:start w:val="1"/>
      <w:numFmt w:val="bullet"/>
      <w:pStyle w:val="BodyText-List"/>
      <w:lvlText w:val=""/>
      <w:lvlJc w:val="left"/>
      <w:pPr>
        <w:tabs>
          <w:tab w:val="num" w:pos="720"/>
        </w:tabs>
        <w:ind w:left="720" w:hanging="360"/>
      </w:pPr>
      <w:rPr>
        <w:rFonts w:ascii="Symbol" w:hAnsi="Symbol" w:hint="default"/>
      </w:rPr>
    </w:lvl>
    <w:lvl w:ilvl="1">
      <w:start w:val="1"/>
      <w:numFmt w:val="decimal"/>
      <w:lvlText w:val="%1.%2"/>
      <w:lvlJc w:val="left"/>
      <w:pPr>
        <w:tabs>
          <w:tab w:val="num" w:pos="794"/>
        </w:tabs>
        <w:ind w:left="794" w:hanging="794"/>
      </w:pPr>
      <w:rPr>
        <w:rFonts w:cs="Times New Roman" w:hint="default"/>
      </w:rPr>
    </w:lvl>
    <w:lvl w:ilvl="2">
      <w:start w:val="1"/>
      <w:numFmt w:val="decimal"/>
      <w:lvlText w:val="%1.%2.%3"/>
      <w:lvlJc w:val="left"/>
      <w:pPr>
        <w:tabs>
          <w:tab w:val="num" w:pos="794"/>
        </w:tabs>
        <w:ind w:left="794" w:hanging="794"/>
      </w:pPr>
      <w:rPr>
        <w:rFonts w:cs="Times New Roman" w:hint="default"/>
      </w:rPr>
    </w:lvl>
    <w:lvl w:ilvl="3">
      <w:start w:val="1"/>
      <w:numFmt w:val="none"/>
      <w:suff w:val="nothing"/>
      <w:lvlText w:val=""/>
      <w:lvlJc w:val="left"/>
      <w:pPr>
        <w:ind w:left="794"/>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none"/>
      <w:lvlText w:val=""/>
      <w:lvlJc w:val="left"/>
      <w:pPr>
        <w:tabs>
          <w:tab w:val="num" w:pos="1152"/>
        </w:tabs>
        <w:ind w:left="1152" w:hanging="1152"/>
      </w:pPr>
      <w:rPr>
        <w:rFonts w:cs="Times New Roman" w:hint="default"/>
      </w:rPr>
    </w:lvl>
    <w:lvl w:ilvl="6">
      <w:start w:val="1"/>
      <w:numFmt w:val="none"/>
      <w:lvlText w:val=""/>
      <w:lvlJc w:val="left"/>
      <w:pPr>
        <w:tabs>
          <w:tab w:val="num" w:pos="1296"/>
        </w:tabs>
        <w:ind w:left="1296" w:hanging="1296"/>
      </w:pPr>
      <w:rPr>
        <w:rFonts w:cs="Times New Roman" w:hint="default"/>
      </w:rPr>
    </w:lvl>
    <w:lvl w:ilvl="7">
      <w:start w:val="1"/>
      <w:numFmt w:val="none"/>
      <w:lvlText w:val=""/>
      <w:lvlJc w:val="left"/>
      <w:pPr>
        <w:tabs>
          <w:tab w:val="num" w:pos="1440"/>
        </w:tabs>
        <w:ind w:left="1440" w:hanging="1440"/>
      </w:pPr>
      <w:rPr>
        <w:rFonts w:cs="Times New Roman" w:hint="default"/>
      </w:rPr>
    </w:lvl>
    <w:lvl w:ilvl="8">
      <w:start w:val="1"/>
      <w:numFmt w:val="none"/>
      <w:lvlText w:val=""/>
      <w:lvlJc w:val="left"/>
      <w:pPr>
        <w:tabs>
          <w:tab w:val="num" w:pos="1584"/>
        </w:tabs>
        <w:ind w:left="1584" w:hanging="1584"/>
      </w:pPr>
      <w:rPr>
        <w:rFonts w:cs="Times New Roman" w:hint="default"/>
      </w:rPr>
    </w:lvl>
  </w:abstractNum>
  <w:abstractNum w:abstractNumId="31" w15:restartNumberingAfterBreak="0">
    <w:nsid w:val="787B53A8"/>
    <w:multiLevelType w:val="multilevel"/>
    <w:tmpl w:val="AD06323A"/>
    <w:styleLink w:val="zzDJRbullets"/>
    <w:lvl w:ilvl="0">
      <w:start w:val="1"/>
      <w:numFmt w:val="bullet"/>
      <w:pStyle w:val="VACRClist-bulletlevel1"/>
      <w:lvlText w:val="•"/>
      <w:lvlJc w:val="left"/>
      <w:pPr>
        <w:tabs>
          <w:tab w:val="num" w:pos="680"/>
        </w:tabs>
        <w:ind w:left="964" w:hanging="284"/>
      </w:pPr>
      <w:rPr>
        <w:rFonts w:ascii="Calibri" w:hAnsi="Calibri" w:hint="default"/>
      </w:rPr>
    </w:lvl>
    <w:lvl w:ilvl="1">
      <w:start w:val="1"/>
      <w:numFmt w:val="bullet"/>
      <w:pStyle w:val="VACRClist-bulletlevel2"/>
      <w:lvlText w:val="–"/>
      <w:lvlJc w:val="left"/>
      <w:pPr>
        <w:ind w:left="1304" w:hanging="340"/>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DAD21FC"/>
    <w:multiLevelType w:val="multilevel"/>
    <w:tmpl w:val="45125736"/>
    <w:styleLink w:val="zzzznumberloweralphaindent"/>
    <w:lvl w:ilvl="0">
      <w:start w:val="1"/>
      <w:numFmt w:val="lowerLetter"/>
      <w:pStyle w:val="VACRClist-loweralphalevel2"/>
      <w:lvlText w:val="%1)"/>
      <w:lvlJc w:val="left"/>
      <w:pPr>
        <w:ind w:left="1474"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3"/>
  </w:num>
  <w:num w:numId="2">
    <w:abstractNumId w:val="16"/>
  </w:num>
  <w:num w:numId="3">
    <w:abstractNumId w:val="4"/>
  </w:num>
  <w:num w:numId="4">
    <w:abstractNumId w:val="13"/>
  </w:num>
  <w:num w:numId="5">
    <w:abstractNumId w:val="26"/>
  </w:num>
  <w:num w:numId="6">
    <w:abstractNumId w:val="22"/>
  </w:num>
  <w:num w:numId="7">
    <w:abstractNumId w:val="18"/>
  </w:num>
  <w:num w:numId="8">
    <w:abstractNumId w:val="15"/>
  </w:num>
  <w:num w:numId="9">
    <w:abstractNumId w:val="32"/>
  </w:num>
  <w:num w:numId="10">
    <w:abstractNumId w:val="31"/>
  </w:num>
  <w:num w:numId="11">
    <w:abstractNumId w:val="5"/>
  </w:num>
  <w:num w:numId="12">
    <w:abstractNumId w:val="29"/>
    <w:lvlOverride w:ilvl="0">
      <w:lvl w:ilvl="0">
        <w:start w:val="1"/>
        <w:numFmt w:val="decimal"/>
        <w:pStyle w:val="VACRClist-numberdigitlevel1"/>
        <w:lvlText w:val="%1."/>
        <w:lvlJc w:val="left"/>
        <w:pPr>
          <w:tabs>
            <w:tab w:val="num" w:pos="680"/>
          </w:tabs>
          <w:ind w:left="1077" w:hanging="397"/>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abstractNumId w:val="29"/>
  </w:num>
  <w:num w:numId="14">
    <w:abstractNumId w:val="22"/>
  </w:num>
  <w:num w:numId="15">
    <w:abstractNumId w:val="6"/>
  </w:num>
  <w:num w:numId="16">
    <w:abstractNumId w:val="11"/>
  </w:num>
  <w:num w:numId="17">
    <w:abstractNumId w:val="30"/>
  </w:num>
  <w:num w:numId="18">
    <w:abstractNumId w:val="14"/>
  </w:num>
  <w:num w:numId="19">
    <w:abstractNumId w:val="3"/>
  </w:num>
  <w:num w:numId="20">
    <w:abstractNumId w:val="21"/>
  </w:num>
  <w:num w:numId="21">
    <w:abstractNumId w:val="24"/>
  </w:num>
  <w:num w:numId="22">
    <w:abstractNumId w:val="0"/>
  </w:num>
  <w:num w:numId="23">
    <w:abstractNumId w:val="10"/>
  </w:num>
  <w:num w:numId="24">
    <w:abstractNumId w:val="25"/>
  </w:num>
  <w:num w:numId="25">
    <w:abstractNumId w:val="20"/>
  </w:num>
  <w:num w:numId="26">
    <w:abstractNumId w:val="19"/>
  </w:num>
  <w:num w:numId="27">
    <w:abstractNumId w:val="9"/>
  </w:num>
  <w:num w:numId="28">
    <w:abstractNumId w:val="17"/>
  </w:num>
  <w:num w:numId="29">
    <w:abstractNumId w:val="1"/>
  </w:num>
  <w:num w:numId="30">
    <w:abstractNumId w:val="28"/>
  </w:num>
  <w:num w:numId="31">
    <w:abstractNumId w:val="12"/>
  </w:num>
  <w:num w:numId="32">
    <w:abstractNumId w:val="2"/>
  </w:num>
  <w:num w:numId="33">
    <w:abstractNumId w:val="27"/>
  </w:num>
  <w:num w:numId="34">
    <w:abstractNumId w:val="8"/>
  </w:num>
  <w:num w:numId="35">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11D"/>
    <w:rsid w:val="00000FF3"/>
    <w:rsid w:val="000010A4"/>
    <w:rsid w:val="00001A0C"/>
    <w:rsid w:val="000024CD"/>
    <w:rsid w:val="00002990"/>
    <w:rsid w:val="000033B3"/>
    <w:rsid w:val="000048AC"/>
    <w:rsid w:val="00007D1F"/>
    <w:rsid w:val="000104C0"/>
    <w:rsid w:val="00012413"/>
    <w:rsid w:val="00012943"/>
    <w:rsid w:val="000140BF"/>
    <w:rsid w:val="00014FC4"/>
    <w:rsid w:val="00015E16"/>
    <w:rsid w:val="00020AAB"/>
    <w:rsid w:val="000223A4"/>
    <w:rsid w:val="00022E60"/>
    <w:rsid w:val="00023F65"/>
    <w:rsid w:val="00024960"/>
    <w:rsid w:val="00024C48"/>
    <w:rsid w:val="00024DF5"/>
    <w:rsid w:val="00025A30"/>
    <w:rsid w:val="00026A2E"/>
    <w:rsid w:val="00026C19"/>
    <w:rsid w:val="0002753E"/>
    <w:rsid w:val="00031263"/>
    <w:rsid w:val="000340D6"/>
    <w:rsid w:val="00035EA8"/>
    <w:rsid w:val="0003682B"/>
    <w:rsid w:val="000368BD"/>
    <w:rsid w:val="00037350"/>
    <w:rsid w:val="00037406"/>
    <w:rsid w:val="00042180"/>
    <w:rsid w:val="00042371"/>
    <w:rsid w:val="00043C76"/>
    <w:rsid w:val="000518FC"/>
    <w:rsid w:val="0005535D"/>
    <w:rsid w:val="00055675"/>
    <w:rsid w:val="0005587D"/>
    <w:rsid w:val="00060AE4"/>
    <w:rsid w:val="00060E93"/>
    <w:rsid w:val="00061393"/>
    <w:rsid w:val="00062A44"/>
    <w:rsid w:val="00064936"/>
    <w:rsid w:val="00065562"/>
    <w:rsid w:val="00067392"/>
    <w:rsid w:val="00073486"/>
    <w:rsid w:val="000734F8"/>
    <w:rsid w:val="000736B8"/>
    <w:rsid w:val="0007404C"/>
    <w:rsid w:val="000748CE"/>
    <w:rsid w:val="00074F97"/>
    <w:rsid w:val="000758B0"/>
    <w:rsid w:val="00076292"/>
    <w:rsid w:val="000817CB"/>
    <w:rsid w:val="00081E45"/>
    <w:rsid w:val="000829C2"/>
    <w:rsid w:val="00085394"/>
    <w:rsid w:val="000873EF"/>
    <w:rsid w:val="00091792"/>
    <w:rsid w:val="00091F17"/>
    <w:rsid w:val="000A0A12"/>
    <w:rsid w:val="000A0CCC"/>
    <w:rsid w:val="000A12D5"/>
    <w:rsid w:val="000A7A24"/>
    <w:rsid w:val="000B1380"/>
    <w:rsid w:val="000B176D"/>
    <w:rsid w:val="000B1B83"/>
    <w:rsid w:val="000B273A"/>
    <w:rsid w:val="000B3792"/>
    <w:rsid w:val="000B4EB4"/>
    <w:rsid w:val="000B629A"/>
    <w:rsid w:val="000B78B9"/>
    <w:rsid w:val="000C041C"/>
    <w:rsid w:val="000C0DE6"/>
    <w:rsid w:val="000C2594"/>
    <w:rsid w:val="000C427B"/>
    <w:rsid w:val="000C6242"/>
    <w:rsid w:val="000C68DB"/>
    <w:rsid w:val="000C6C6C"/>
    <w:rsid w:val="000C7618"/>
    <w:rsid w:val="000D0281"/>
    <w:rsid w:val="000D0562"/>
    <w:rsid w:val="000D1962"/>
    <w:rsid w:val="000D2C32"/>
    <w:rsid w:val="000D7301"/>
    <w:rsid w:val="000E3EDE"/>
    <w:rsid w:val="000E4451"/>
    <w:rsid w:val="000E6448"/>
    <w:rsid w:val="000E6964"/>
    <w:rsid w:val="000E6F72"/>
    <w:rsid w:val="000E7BFA"/>
    <w:rsid w:val="000F0478"/>
    <w:rsid w:val="000F0A50"/>
    <w:rsid w:val="000F25C8"/>
    <w:rsid w:val="000F47A4"/>
    <w:rsid w:val="000F5603"/>
    <w:rsid w:val="000F6399"/>
    <w:rsid w:val="000F6412"/>
    <w:rsid w:val="00102140"/>
    <w:rsid w:val="00103C1C"/>
    <w:rsid w:val="00103D5E"/>
    <w:rsid w:val="00104EA7"/>
    <w:rsid w:val="00105FAD"/>
    <w:rsid w:val="00106890"/>
    <w:rsid w:val="0011155B"/>
    <w:rsid w:val="00111A4A"/>
    <w:rsid w:val="00111A6A"/>
    <w:rsid w:val="00111B59"/>
    <w:rsid w:val="00113069"/>
    <w:rsid w:val="001131D6"/>
    <w:rsid w:val="001165BD"/>
    <w:rsid w:val="00116B1F"/>
    <w:rsid w:val="00121BF1"/>
    <w:rsid w:val="00123422"/>
    <w:rsid w:val="00123D72"/>
    <w:rsid w:val="00123FB6"/>
    <w:rsid w:val="00125B59"/>
    <w:rsid w:val="00126F50"/>
    <w:rsid w:val="001270A5"/>
    <w:rsid w:val="00127342"/>
    <w:rsid w:val="00127A8B"/>
    <w:rsid w:val="00131021"/>
    <w:rsid w:val="00134BE5"/>
    <w:rsid w:val="0013525C"/>
    <w:rsid w:val="00140BA7"/>
    <w:rsid w:val="001412D1"/>
    <w:rsid w:val="001413A0"/>
    <w:rsid w:val="001423E3"/>
    <w:rsid w:val="001475EA"/>
    <w:rsid w:val="00147EE4"/>
    <w:rsid w:val="001504F5"/>
    <w:rsid w:val="001517BD"/>
    <w:rsid w:val="00155109"/>
    <w:rsid w:val="00157602"/>
    <w:rsid w:val="001622AB"/>
    <w:rsid w:val="001625D1"/>
    <w:rsid w:val="00164A13"/>
    <w:rsid w:val="0016626C"/>
    <w:rsid w:val="001707B8"/>
    <w:rsid w:val="0017248D"/>
    <w:rsid w:val="00173626"/>
    <w:rsid w:val="00173A34"/>
    <w:rsid w:val="001751A6"/>
    <w:rsid w:val="0017614A"/>
    <w:rsid w:val="00176991"/>
    <w:rsid w:val="0018177B"/>
    <w:rsid w:val="001817CD"/>
    <w:rsid w:val="0018211D"/>
    <w:rsid w:val="0018235E"/>
    <w:rsid w:val="00186802"/>
    <w:rsid w:val="0018768C"/>
    <w:rsid w:val="0019016C"/>
    <w:rsid w:val="001914FA"/>
    <w:rsid w:val="00192BA0"/>
    <w:rsid w:val="00197303"/>
    <w:rsid w:val="00197EFA"/>
    <w:rsid w:val="001A17EA"/>
    <w:rsid w:val="001A1D17"/>
    <w:rsid w:val="001A22AA"/>
    <w:rsid w:val="001A2863"/>
    <w:rsid w:val="001A2CB0"/>
    <w:rsid w:val="001A6058"/>
    <w:rsid w:val="001A7A18"/>
    <w:rsid w:val="001B1565"/>
    <w:rsid w:val="001B166D"/>
    <w:rsid w:val="001B19CD"/>
    <w:rsid w:val="001B28B5"/>
    <w:rsid w:val="001B2975"/>
    <w:rsid w:val="001B45C3"/>
    <w:rsid w:val="001B5E16"/>
    <w:rsid w:val="001B6398"/>
    <w:rsid w:val="001B6636"/>
    <w:rsid w:val="001B779C"/>
    <w:rsid w:val="001B7DB6"/>
    <w:rsid w:val="001C08A9"/>
    <w:rsid w:val="001C0E31"/>
    <w:rsid w:val="001C122D"/>
    <w:rsid w:val="001C17CA"/>
    <w:rsid w:val="001C2504"/>
    <w:rsid w:val="001C5DD7"/>
    <w:rsid w:val="001C6D15"/>
    <w:rsid w:val="001C752C"/>
    <w:rsid w:val="001D0684"/>
    <w:rsid w:val="001D0BDC"/>
    <w:rsid w:val="001D2A2D"/>
    <w:rsid w:val="001D2A82"/>
    <w:rsid w:val="001D569B"/>
    <w:rsid w:val="001D7143"/>
    <w:rsid w:val="001E0EA3"/>
    <w:rsid w:val="001E2D71"/>
    <w:rsid w:val="001E445D"/>
    <w:rsid w:val="001E4995"/>
    <w:rsid w:val="001E6435"/>
    <w:rsid w:val="001E6A26"/>
    <w:rsid w:val="001E7A42"/>
    <w:rsid w:val="001F09DC"/>
    <w:rsid w:val="001F0A2D"/>
    <w:rsid w:val="001F0BB4"/>
    <w:rsid w:val="001F3FB5"/>
    <w:rsid w:val="001F43E6"/>
    <w:rsid w:val="001F5F6E"/>
    <w:rsid w:val="001F7752"/>
    <w:rsid w:val="00206A05"/>
    <w:rsid w:val="002101E2"/>
    <w:rsid w:val="00213772"/>
    <w:rsid w:val="00215AED"/>
    <w:rsid w:val="00215D68"/>
    <w:rsid w:val="002161E0"/>
    <w:rsid w:val="0021648E"/>
    <w:rsid w:val="002165AD"/>
    <w:rsid w:val="00216CE8"/>
    <w:rsid w:val="00216DFA"/>
    <w:rsid w:val="0021794B"/>
    <w:rsid w:val="00220749"/>
    <w:rsid w:val="00221FDE"/>
    <w:rsid w:val="00223A18"/>
    <w:rsid w:val="0022422C"/>
    <w:rsid w:val="00224BBD"/>
    <w:rsid w:val="00226469"/>
    <w:rsid w:val="00226EE4"/>
    <w:rsid w:val="0022724E"/>
    <w:rsid w:val="00227AD6"/>
    <w:rsid w:val="00230666"/>
    <w:rsid w:val="00230AD8"/>
    <w:rsid w:val="002310FF"/>
    <w:rsid w:val="00231153"/>
    <w:rsid w:val="0023252E"/>
    <w:rsid w:val="002406D8"/>
    <w:rsid w:val="00241C31"/>
    <w:rsid w:val="00242551"/>
    <w:rsid w:val="002426DF"/>
    <w:rsid w:val="002430EB"/>
    <w:rsid w:val="0024336A"/>
    <w:rsid w:val="0024451B"/>
    <w:rsid w:val="002447FF"/>
    <w:rsid w:val="00246AB1"/>
    <w:rsid w:val="00250D70"/>
    <w:rsid w:val="00251803"/>
    <w:rsid w:val="00252793"/>
    <w:rsid w:val="00255BED"/>
    <w:rsid w:val="00256E7C"/>
    <w:rsid w:val="002619D9"/>
    <w:rsid w:val="002645BC"/>
    <w:rsid w:val="00264D6B"/>
    <w:rsid w:val="002659E3"/>
    <w:rsid w:val="00266B64"/>
    <w:rsid w:val="002679D5"/>
    <w:rsid w:val="00270DC8"/>
    <w:rsid w:val="002714FD"/>
    <w:rsid w:val="00272128"/>
    <w:rsid w:val="00273292"/>
    <w:rsid w:val="00275F94"/>
    <w:rsid w:val="00281B9C"/>
    <w:rsid w:val="00284C9B"/>
    <w:rsid w:val="002906E9"/>
    <w:rsid w:val="00290F83"/>
    <w:rsid w:val="00292635"/>
    <w:rsid w:val="00293A77"/>
    <w:rsid w:val="00294ABD"/>
    <w:rsid w:val="00295285"/>
    <w:rsid w:val="002957C1"/>
    <w:rsid w:val="002970E1"/>
    <w:rsid w:val="002974CD"/>
    <w:rsid w:val="002976BB"/>
    <w:rsid w:val="002A03AB"/>
    <w:rsid w:val="002A0DBB"/>
    <w:rsid w:val="002A141B"/>
    <w:rsid w:val="002A26B6"/>
    <w:rsid w:val="002A2E05"/>
    <w:rsid w:val="002A2EBB"/>
    <w:rsid w:val="002A3423"/>
    <w:rsid w:val="002A5D94"/>
    <w:rsid w:val="002A6A4E"/>
    <w:rsid w:val="002A724D"/>
    <w:rsid w:val="002A7E46"/>
    <w:rsid w:val="002B06F4"/>
    <w:rsid w:val="002B0AFB"/>
    <w:rsid w:val="002B124B"/>
    <w:rsid w:val="002B1C8F"/>
    <w:rsid w:val="002B2622"/>
    <w:rsid w:val="002B271E"/>
    <w:rsid w:val="002B34CA"/>
    <w:rsid w:val="002B391E"/>
    <w:rsid w:val="002B3C95"/>
    <w:rsid w:val="002B55C8"/>
    <w:rsid w:val="002B5A85"/>
    <w:rsid w:val="002B5D95"/>
    <w:rsid w:val="002B63A7"/>
    <w:rsid w:val="002C0CF0"/>
    <w:rsid w:val="002C22E6"/>
    <w:rsid w:val="002C2583"/>
    <w:rsid w:val="002C3BBB"/>
    <w:rsid w:val="002C42BA"/>
    <w:rsid w:val="002C5543"/>
    <w:rsid w:val="002C687D"/>
    <w:rsid w:val="002C6972"/>
    <w:rsid w:val="002D0529"/>
    <w:rsid w:val="002D0F7F"/>
    <w:rsid w:val="002D1AC8"/>
    <w:rsid w:val="002D2D7E"/>
    <w:rsid w:val="002D3A97"/>
    <w:rsid w:val="002D3BC7"/>
    <w:rsid w:val="002D4CA8"/>
    <w:rsid w:val="002D7CBC"/>
    <w:rsid w:val="002E0198"/>
    <w:rsid w:val="002E0219"/>
    <w:rsid w:val="002E1D7C"/>
    <w:rsid w:val="002E4A35"/>
    <w:rsid w:val="002E5BEA"/>
    <w:rsid w:val="002E5D6B"/>
    <w:rsid w:val="002E6159"/>
    <w:rsid w:val="002E67AA"/>
    <w:rsid w:val="002E6BC7"/>
    <w:rsid w:val="002E6FFB"/>
    <w:rsid w:val="002E70CA"/>
    <w:rsid w:val="002F1F5B"/>
    <w:rsid w:val="002F21E2"/>
    <w:rsid w:val="002F449B"/>
    <w:rsid w:val="002F4D86"/>
    <w:rsid w:val="002F50D3"/>
    <w:rsid w:val="002F5D69"/>
    <w:rsid w:val="002F66D4"/>
    <w:rsid w:val="002F7B35"/>
    <w:rsid w:val="002F7C77"/>
    <w:rsid w:val="00300C38"/>
    <w:rsid w:val="00300CB3"/>
    <w:rsid w:val="003011F8"/>
    <w:rsid w:val="00303475"/>
    <w:rsid w:val="0030394B"/>
    <w:rsid w:val="003039F9"/>
    <w:rsid w:val="00304110"/>
    <w:rsid w:val="003072C6"/>
    <w:rsid w:val="00310D8E"/>
    <w:rsid w:val="00311009"/>
    <w:rsid w:val="0031189E"/>
    <w:rsid w:val="00311A99"/>
    <w:rsid w:val="00314A18"/>
    <w:rsid w:val="00315BBD"/>
    <w:rsid w:val="00316AB8"/>
    <w:rsid w:val="003170B9"/>
    <w:rsid w:val="00317505"/>
    <w:rsid w:val="0031753A"/>
    <w:rsid w:val="003201DA"/>
    <w:rsid w:val="00320293"/>
    <w:rsid w:val="00322CC2"/>
    <w:rsid w:val="00324D53"/>
    <w:rsid w:val="00326B0C"/>
    <w:rsid w:val="003271DC"/>
    <w:rsid w:val="0032722F"/>
    <w:rsid w:val="00327ED2"/>
    <w:rsid w:val="00330F36"/>
    <w:rsid w:val="00332D8C"/>
    <w:rsid w:val="00334B54"/>
    <w:rsid w:val="0033503B"/>
    <w:rsid w:val="00335EE3"/>
    <w:rsid w:val="00336339"/>
    <w:rsid w:val="0033718D"/>
    <w:rsid w:val="0033739E"/>
    <w:rsid w:val="0034082B"/>
    <w:rsid w:val="00340934"/>
    <w:rsid w:val="00341DA2"/>
    <w:rsid w:val="00342142"/>
    <w:rsid w:val="00343078"/>
    <w:rsid w:val="00343733"/>
    <w:rsid w:val="00344C58"/>
    <w:rsid w:val="00346ABE"/>
    <w:rsid w:val="003505DC"/>
    <w:rsid w:val="00355886"/>
    <w:rsid w:val="00355D66"/>
    <w:rsid w:val="00356769"/>
    <w:rsid w:val="00356814"/>
    <w:rsid w:val="0037100E"/>
    <w:rsid w:val="003741AD"/>
    <w:rsid w:val="00374F85"/>
    <w:rsid w:val="0038019F"/>
    <w:rsid w:val="0038082D"/>
    <w:rsid w:val="003810B5"/>
    <w:rsid w:val="00381454"/>
    <w:rsid w:val="00382071"/>
    <w:rsid w:val="003823AE"/>
    <w:rsid w:val="00382402"/>
    <w:rsid w:val="003850EC"/>
    <w:rsid w:val="00390EC2"/>
    <w:rsid w:val="003927F6"/>
    <w:rsid w:val="0039384C"/>
    <w:rsid w:val="003A2F25"/>
    <w:rsid w:val="003A4130"/>
    <w:rsid w:val="003A5380"/>
    <w:rsid w:val="003A5FFB"/>
    <w:rsid w:val="003A6604"/>
    <w:rsid w:val="003B2807"/>
    <w:rsid w:val="003B292E"/>
    <w:rsid w:val="003B4011"/>
    <w:rsid w:val="003B4F9B"/>
    <w:rsid w:val="003C1B2B"/>
    <w:rsid w:val="003C3583"/>
    <w:rsid w:val="003C58CB"/>
    <w:rsid w:val="003C627E"/>
    <w:rsid w:val="003C68F2"/>
    <w:rsid w:val="003C7284"/>
    <w:rsid w:val="003C79F0"/>
    <w:rsid w:val="003C7C61"/>
    <w:rsid w:val="003D1044"/>
    <w:rsid w:val="003D12C5"/>
    <w:rsid w:val="003D16DF"/>
    <w:rsid w:val="003D302E"/>
    <w:rsid w:val="003D491D"/>
    <w:rsid w:val="003D4A27"/>
    <w:rsid w:val="003D58B8"/>
    <w:rsid w:val="003D5CFB"/>
    <w:rsid w:val="003D6EE1"/>
    <w:rsid w:val="003E11A1"/>
    <w:rsid w:val="003E2636"/>
    <w:rsid w:val="003E2E12"/>
    <w:rsid w:val="003E2EDB"/>
    <w:rsid w:val="003E3E13"/>
    <w:rsid w:val="003E574D"/>
    <w:rsid w:val="003E7A1A"/>
    <w:rsid w:val="003F39CE"/>
    <w:rsid w:val="0040078E"/>
    <w:rsid w:val="00400BA3"/>
    <w:rsid w:val="00401108"/>
    <w:rsid w:val="00402488"/>
    <w:rsid w:val="00402927"/>
    <w:rsid w:val="00402C7D"/>
    <w:rsid w:val="00402DC2"/>
    <w:rsid w:val="00402E0C"/>
    <w:rsid w:val="00406382"/>
    <w:rsid w:val="00406A19"/>
    <w:rsid w:val="00407993"/>
    <w:rsid w:val="00410AFD"/>
    <w:rsid w:val="00411833"/>
    <w:rsid w:val="00412F64"/>
    <w:rsid w:val="00413E67"/>
    <w:rsid w:val="004149B4"/>
    <w:rsid w:val="00417BEB"/>
    <w:rsid w:val="00417CC6"/>
    <w:rsid w:val="004251B0"/>
    <w:rsid w:val="004300D3"/>
    <w:rsid w:val="0043130E"/>
    <w:rsid w:val="004324FF"/>
    <w:rsid w:val="00432A55"/>
    <w:rsid w:val="00432D53"/>
    <w:rsid w:val="0043383B"/>
    <w:rsid w:val="00434920"/>
    <w:rsid w:val="0043579D"/>
    <w:rsid w:val="00435BEF"/>
    <w:rsid w:val="004372B7"/>
    <w:rsid w:val="004374CA"/>
    <w:rsid w:val="00440533"/>
    <w:rsid w:val="00440684"/>
    <w:rsid w:val="00440704"/>
    <w:rsid w:val="004424B2"/>
    <w:rsid w:val="0044260A"/>
    <w:rsid w:val="00442939"/>
    <w:rsid w:val="00442A6C"/>
    <w:rsid w:val="00444B07"/>
    <w:rsid w:val="00444D82"/>
    <w:rsid w:val="0045135B"/>
    <w:rsid w:val="00452768"/>
    <w:rsid w:val="00454418"/>
    <w:rsid w:val="004564C6"/>
    <w:rsid w:val="004603F2"/>
    <w:rsid w:val="004605BB"/>
    <w:rsid w:val="004610CC"/>
    <w:rsid w:val="00461C14"/>
    <w:rsid w:val="0046504D"/>
    <w:rsid w:val="00465464"/>
    <w:rsid w:val="00465E87"/>
    <w:rsid w:val="00465F1A"/>
    <w:rsid w:val="00466422"/>
    <w:rsid w:val="00466EF4"/>
    <w:rsid w:val="0046742B"/>
    <w:rsid w:val="00472A1D"/>
    <w:rsid w:val="00473C7D"/>
    <w:rsid w:val="004740F8"/>
    <w:rsid w:val="00474642"/>
    <w:rsid w:val="0047786A"/>
    <w:rsid w:val="00477A65"/>
    <w:rsid w:val="0048121A"/>
    <w:rsid w:val="00482DB3"/>
    <w:rsid w:val="00483387"/>
    <w:rsid w:val="0048597C"/>
    <w:rsid w:val="00485D9E"/>
    <w:rsid w:val="00497CF2"/>
    <w:rsid w:val="00497E6F"/>
    <w:rsid w:val="004A0236"/>
    <w:rsid w:val="004A0D35"/>
    <w:rsid w:val="004A2DA3"/>
    <w:rsid w:val="004A369A"/>
    <w:rsid w:val="004A3B3E"/>
    <w:rsid w:val="004A4C95"/>
    <w:rsid w:val="004A6967"/>
    <w:rsid w:val="004A6F7B"/>
    <w:rsid w:val="004A7217"/>
    <w:rsid w:val="004B1CFF"/>
    <w:rsid w:val="004B2729"/>
    <w:rsid w:val="004B2F32"/>
    <w:rsid w:val="004B65F7"/>
    <w:rsid w:val="004B67A5"/>
    <w:rsid w:val="004C07D1"/>
    <w:rsid w:val="004C1361"/>
    <w:rsid w:val="004C309C"/>
    <w:rsid w:val="004C5777"/>
    <w:rsid w:val="004C5DAE"/>
    <w:rsid w:val="004C7E2C"/>
    <w:rsid w:val="004D0173"/>
    <w:rsid w:val="004D1056"/>
    <w:rsid w:val="004D2B7B"/>
    <w:rsid w:val="004D3577"/>
    <w:rsid w:val="004D6F07"/>
    <w:rsid w:val="004E1EDE"/>
    <w:rsid w:val="004E21E2"/>
    <w:rsid w:val="004E293F"/>
    <w:rsid w:val="004E2BBA"/>
    <w:rsid w:val="004E3250"/>
    <w:rsid w:val="004E380D"/>
    <w:rsid w:val="004E5A07"/>
    <w:rsid w:val="004E634F"/>
    <w:rsid w:val="004E7922"/>
    <w:rsid w:val="004E7D1E"/>
    <w:rsid w:val="004F0155"/>
    <w:rsid w:val="004F0DFC"/>
    <w:rsid w:val="004F1F09"/>
    <w:rsid w:val="004F3441"/>
    <w:rsid w:val="004F41B2"/>
    <w:rsid w:val="004F4AFC"/>
    <w:rsid w:val="004F52A5"/>
    <w:rsid w:val="004F771D"/>
    <w:rsid w:val="00500C8C"/>
    <w:rsid w:val="00501375"/>
    <w:rsid w:val="00501D3B"/>
    <w:rsid w:val="005022C9"/>
    <w:rsid w:val="00502B8F"/>
    <w:rsid w:val="0050779D"/>
    <w:rsid w:val="005105CC"/>
    <w:rsid w:val="00511B7D"/>
    <w:rsid w:val="005139EA"/>
    <w:rsid w:val="00520BBB"/>
    <w:rsid w:val="00520C72"/>
    <w:rsid w:val="00521BAD"/>
    <w:rsid w:val="00524310"/>
    <w:rsid w:val="00525456"/>
    <w:rsid w:val="005257D4"/>
    <w:rsid w:val="00525F0E"/>
    <w:rsid w:val="00527634"/>
    <w:rsid w:val="00527A64"/>
    <w:rsid w:val="00530548"/>
    <w:rsid w:val="00530F09"/>
    <w:rsid w:val="00531328"/>
    <w:rsid w:val="00532236"/>
    <w:rsid w:val="0053279D"/>
    <w:rsid w:val="005338EA"/>
    <w:rsid w:val="00540763"/>
    <w:rsid w:val="00541DFE"/>
    <w:rsid w:val="00542A18"/>
    <w:rsid w:val="00543E6C"/>
    <w:rsid w:val="00544184"/>
    <w:rsid w:val="00547A8B"/>
    <w:rsid w:val="00550740"/>
    <w:rsid w:val="00551789"/>
    <w:rsid w:val="00553F68"/>
    <w:rsid w:val="005552FD"/>
    <w:rsid w:val="005600E5"/>
    <w:rsid w:val="005617DC"/>
    <w:rsid w:val="00561E65"/>
    <w:rsid w:val="00561FC2"/>
    <w:rsid w:val="005623AE"/>
    <w:rsid w:val="00562A10"/>
    <w:rsid w:val="00564760"/>
    <w:rsid w:val="00564B26"/>
    <w:rsid w:val="00564E8F"/>
    <w:rsid w:val="00565F69"/>
    <w:rsid w:val="00566080"/>
    <w:rsid w:val="005664DC"/>
    <w:rsid w:val="00572089"/>
    <w:rsid w:val="005728A4"/>
    <w:rsid w:val="00573629"/>
    <w:rsid w:val="005739DB"/>
    <w:rsid w:val="00573F2C"/>
    <w:rsid w:val="00574310"/>
    <w:rsid w:val="00574E03"/>
    <w:rsid w:val="00575097"/>
    <w:rsid w:val="005763FC"/>
    <w:rsid w:val="00576EB4"/>
    <w:rsid w:val="00577B30"/>
    <w:rsid w:val="005800E6"/>
    <w:rsid w:val="00582768"/>
    <w:rsid w:val="00583461"/>
    <w:rsid w:val="005856A4"/>
    <w:rsid w:val="00585C87"/>
    <w:rsid w:val="00586AAC"/>
    <w:rsid w:val="00586AFC"/>
    <w:rsid w:val="00587164"/>
    <w:rsid w:val="00590730"/>
    <w:rsid w:val="00593F09"/>
    <w:rsid w:val="00596D79"/>
    <w:rsid w:val="0059732A"/>
    <w:rsid w:val="005A11C9"/>
    <w:rsid w:val="005A3051"/>
    <w:rsid w:val="005A30DF"/>
    <w:rsid w:val="005A53FE"/>
    <w:rsid w:val="005A5A82"/>
    <w:rsid w:val="005A74C7"/>
    <w:rsid w:val="005B1804"/>
    <w:rsid w:val="005B41B6"/>
    <w:rsid w:val="005B6447"/>
    <w:rsid w:val="005B7D22"/>
    <w:rsid w:val="005C029E"/>
    <w:rsid w:val="005C3025"/>
    <w:rsid w:val="005C492D"/>
    <w:rsid w:val="005C509C"/>
    <w:rsid w:val="005C5592"/>
    <w:rsid w:val="005C57D5"/>
    <w:rsid w:val="005C5E06"/>
    <w:rsid w:val="005D1823"/>
    <w:rsid w:val="005D2879"/>
    <w:rsid w:val="005D2EED"/>
    <w:rsid w:val="005D4D7C"/>
    <w:rsid w:val="005E085D"/>
    <w:rsid w:val="005E0C0A"/>
    <w:rsid w:val="005E36D8"/>
    <w:rsid w:val="005E3877"/>
    <w:rsid w:val="005E3DFD"/>
    <w:rsid w:val="005E3FA7"/>
    <w:rsid w:val="005E4B20"/>
    <w:rsid w:val="005E794E"/>
    <w:rsid w:val="005E7963"/>
    <w:rsid w:val="005F01D1"/>
    <w:rsid w:val="005F133C"/>
    <w:rsid w:val="005F218C"/>
    <w:rsid w:val="005F3080"/>
    <w:rsid w:val="005F3544"/>
    <w:rsid w:val="005F3AA8"/>
    <w:rsid w:val="005F4523"/>
    <w:rsid w:val="005F692A"/>
    <w:rsid w:val="005F6D5C"/>
    <w:rsid w:val="005F6FE0"/>
    <w:rsid w:val="00600583"/>
    <w:rsid w:val="00600FCE"/>
    <w:rsid w:val="00601227"/>
    <w:rsid w:val="00601460"/>
    <w:rsid w:val="00601C26"/>
    <w:rsid w:val="00601D4D"/>
    <w:rsid w:val="006021B4"/>
    <w:rsid w:val="00604B8A"/>
    <w:rsid w:val="00605B5B"/>
    <w:rsid w:val="006062D8"/>
    <w:rsid w:val="00606827"/>
    <w:rsid w:val="00615622"/>
    <w:rsid w:val="00616BBE"/>
    <w:rsid w:val="00616D3D"/>
    <w:rsid w:val="00616F25"/>
    <w:rsid w:val="00620262"/>
    <w:rsid w:val="00621361"/>
    <w:rsid w:val="00621B4C"/>
    <w:rsid w:val="00621B9D"/>
    <w:rsid w:val="0062265D"/>
    <w:rsid w:val="006266B9"/>
    <w:rsid w:val="00626E0D"/>
    <w:rsid w:val="00627501"/>
    <w:rsid w:val="00627A4F"/>
    <w:rsid w:val="00627C52"/>
    <w:rsid w:val="00630937"/>
    <w:rsid w:val="0063310A"/>
    <w:rsid w:val="00634974"/>
    <w:rsid w:val="006433E1"/>
    <w:rsid w:val="0064477E"/>
    <w:rsid w:val="00644842"/>
    <w:rsid w:val="00645191"/>
    <w:rsid w:val="00645985"/>
    <w:rsid w:val="00646D9B"/>
    <w:rsid w:val="006473BB"/>
    <w:rsid w:val="0065263F"/>
    <w:rsid w:val="00653B84"/>
    <w:rsid w:val="00653E0D"/>
    <w:rsid w:val="006556A0"/>
    <w:rsid w:val="006562EB"/>
    <w:rsid w:val="00657DB5"/>
    <w:rsid w:val="006601AF"/>
    <w:rsid w:val="006602B6"/>
    <w:rsid w:val="00660BCA"/>
    <w:rsid w:val="00660CED"/>
    <w:rsid w:val="0066110D"/>
    <w:rsid w:val="006616E5"/>
    <w:rsid w:val="006627F7"/>
    <w:rsid w:val="006658D5"/>
    <w:rsid w:val="00667854"/>
    <w:rsid w:val="0066794F"/>
    <w:rsid w:val="00667AD7"/>
    <w:rsid w:val="00670BD8"/>
    <w:rsid w:val="00673B3F"/>
    <w:rsid w:val="00674448"/>
    <w:rsid w:val="00675069"/>
    <w:rsid w:val="0067587A"/>
    <w:rsid w:val="006805A4"/>
    <w:rsid w:val="00681EC2"/>
    <w:rsid w:val="00681F9C"/>
    <w:rsid w:val="00685366"/>
    <w:rsid w:val="006865C8"/>
    <w:rsid w:val="00686B48"/>
    <w:rsid w:val="00687038"/>
    <w:rsid w:val="0068714E"/>
    <w:rsid w:val="006872F5"/>
    <w:rsid w:val="006873FD"/>
    <w:rsid w:val="0069161A"/>
    <w:rsid w:val="00691F41"/>
    <w:rsid w:val="006929F7"/>
    <w:rsid w:val="00693556"/>
    <w:rsid w:val="0069374A"/>
    <w:rsid w:val="00694AB8"/>
    <w:rsid w:val="00695EF7"/>
    <w:rsid w:val="0069699D"/>
    <w:rsid w:val="00697F57"/>
    <w:rsid w:val="006A2DB2"/>
    <w:rsid w:val="006A38CF"/>
    <w:rsid w:val="006A673F"/>
    <w:rsid w:val="006A6E4C"/>
    <w:rsid w:val="006A7445"/>
    <w:rsid w:val="006B21C0"/>
    <w:rsid w:val="006B2C51"/>
    <w:rsid w:val="006B4C43"/>
    <w:rsid w:val="006B6231"/>
    <w:rsid w:val="006B6361"/>
    <w:rsid w:val="006C069D"/>
    <w:rsid w:val="006C1825"/>
    <w:rsid w:val="006C2658"/>
    <w:rsid w:val="006C5977"/>
    <w:rsid w:val="006D07D6"/>
    <w:rsid w:val="006D0D40"/>
    <w:rsid w:val="006D16D3"/>
    <w:rsid w:val="006D24CE"/>
    <w:rsid w:val="006D360C"/>
    <w:rsid w:val="006D59DD"/>
    <w:rsid w:val="006D5AC9"/>
    <w:rsid w:val="006D66ED"/>
    <w:rsid w:val="006E003D"/>
    <w:rsid w:val="006E15C9"/>
    <w:rsid w:val="006E4B97"/>
    <w:rsid w:val="006E5DBA"/>
    <w:rsid w:val="006E754D"/>
    <w:rsid w:val="006E786B"/>
    <w:rsid w:val="006E7C59"/>
    <w:rsid w:val="006F1EF7"/>
    <w:rsid w:val="006F2E59"/>
    <w:rsid w:val="006F3CF2"/>
    <w:rsid w:val="006F3E0E"/>
    <w:rsid w:val="007002B1"/>
    <w:rsid w:val="0070031A"/>
    <w:rsid w:val="00702F29"/>
    <w:rsid w:val="00704EB7"/>
    <w:rsid w:val="00705742"/>
    <w:rsid w:val="00705C12"/>
    <w:rsid w:val="007104FE"/>
    <w:rsid w:val="00711B0C"/>
    <w:rsid w:val="00712081"/>
    <w:rsid w:val="007121A2"/>
    <w:rsid w:val="00713981"/>
    <w:rsid w:val="00713E79"/>
    <w:rsid w:val="00716968"/>
    <w:rsid w:val="007175FA"/>
    <w:rsid w:val="007176D6"/>
    <w:rsid w:val="00717E8B"/>
    <w:rsid w:val="00721B52"/>
    <w:rsid w:val="007245CC"/>
    <w:rsid w:val="007259E2"/>
    <w:rsid w:val="00725A8B"/>
    <w:rsid w:val="00727D54"/>
    <w:rsid w:val="00730644"/>
    <w:rsid w:val="0073083A"/>
    <w:rsid w:val="00731EF2"/>
    <w:rsid w:val="00731EF4"/>
    <w:rsid w:val="00732B86"/>
    <w:rsid w:val="00733869"/>
    <w:rsid w:val="007344C5"/>
    <w:rsid w:val="007348C1"/>
    <w:rsid w:val="00734959"/>
    <w:rsid w:val="00735137"/>
    <w:rsid w:val="0073520D"/>
    <w:rsid w:val="00735CF5"/>
    <w:rsid w:val="0073602B"/>
    <w:rsid w:val="007400BC"/>
    <w:rsid w:val="00740A8B"/>
    <w:rsid w:val="007428BC"/>
    <w:rsid w:val="007443E8"/>
    <w:rsid w:val="00744DB1"/>
    <w:rsid w:val="00747AA3"/>
    <w:rsid w:val="0075168A"/>
    <w:rsid w:val="00751ECC"/>
    <w:rsid w:val="0075283C"/>
    <w:rsid w:val="00761334"/>
    <w:rsid w:val="007617CF"/>
    <w:rsid w:val="00766A17"/>
    <w:rsid w:val="007722AD"/>
    <w:rsid w:val="00773747"/>
    <w:rsid w:val="007758C1"/>
    <w:rsid w:val="00776111"/>
    <w:rsid w:val="00780226"/>
    <w:rsid w:val="00780D17"/>
    <w:rsid w:val="00780E67"/>
    <w:rsid w:val="00781AB4"/>
    <w:rsid w:val="00781B59"/>
    <w:rsid w:val="00782117"/>
    <w:rsid w:val="0078746D"/>
    <w:rsid w:val="00787751"/>
    <w:rsid w:val="007910BF"/>
    <w:rsid w:val="007923B7"/>
    <w:rsid w:val="00792451"/>
    <w:rsid w:val="00792616"/>
    <w:rsid w:val="007926BB"/>
    <w:rsid w:val="0079344C"/>
    <w:rsid w:val="00795D5E"/>
    <w:rsid w:val="007968AE"/>
    <w:rsid w:val="00796CDC"/>
    <w:rsid w:val="00797416"/>
    <w:rsid w:val="00797C96"/>
    <w:rsid w:val="007A0283"/>
    <w:rsid w:val="007A2C14"/>
    <w:rsid w:val="007A3279"/>
    <w:rsid w:val="007A3566"/>
    <w:rsid w:val="007A3BBD"/>
    <w:rsid w:val="007A6C16"/>
    <w:rsid w:val="007A7342"/>
    <w:rsid w:val="007B2B6C"/>
    <w:rsid w:val="007B7239"/>
    <w:rsid w:val="007B7846"/>
    <w:rsid w:val="007C02C7"/>
    <w:rsid w:val="007C184A"/>
    <w:rsid w:val="007C1F7A"/>
    <w:rsid w:val="007C21EE"/>
    <w:rsid w:val="007C34CF"/>
    <w:rsid w:val="007C3962"/>
    <w:rsid w:val="007C486B"/>
    <w:rsid w:val="007C7EE6"/>
    <w:rsid w:val="007D3A2E"/>
    <w:rsid w:val="007D3EE9"/>
    <w:rsid w:val="007D6652"/>
    <w:rsid w:val="007D7B83"/>
    <w:rsid w:val="007E0020"/>
    <w:rsid w:val="007E15B9"/>
    <w:rsid w:val="007E343D"/>
    <w:rsid w:val="007E61CA"/>
    <w:rsid w:val="007E66FC"/>
    <w:rsid w:val="007E7B21"/>
    <w:rsid w:val="007F0A3B"/>
    <w:rsid w:val="007F0F77"/>
    <w:rsid w:val="007F13A6"/>
    <w:rsid w:val="007F25BC"/>
    <w:rsid w:val="007F330B"/>
    <w:rsid w:val="007F4383"/>
    <w:rsid w:val="007F5858"/>
    <w:rsid w:val="007F6862"/>
    <w:rsid w:val="007F732B"/>
    <w:rsid w:val="00801601"/>
    <w:rsid w:val="0080169A"/>
    <w:rsid w:val="00801951"/>
    <w:rsid w:val="00801D26"/>
    <w:rsid w:val="0080202F"/>
    <w:rsid w:val="00802168"/>
    <w:rsid w:val="00802E19"/>
    <w:rsid w:val="0080338F"/>
    <w:rsid w:val="008036A7"/>
    <w:rsid w:val="00803F30"/>
    <w:rsid w:val="00804961"/>
    <w:rsid w:val="00804D50"/>
    <w:rsid w:val="00810991"/>
    <w:rsid w:val="008111E9"/>
    <w:rsid w:val="00811532"/>
    <w:rsid w:val="00811FF0"/>
    <w:rsid w:val="00812060"/>
    <w:rsid w:val="008121FA"/>
    <w:rsid w:val="008127AF"/>
    <w:rsid w:val="0081410E"/>
    <w:rsid w:val="00814A9B"/>
    <w:rsid w:val="00814F66"/>
    <w:rsid w:val="00817C9E"/>
    <w:rsid w:val="008205AF"/>
    <w:rsid w:val="008225E5"/>
    <w:rsid w:val="008243C4"/>
    <w:rsid w:val="00824973"/>
    <w:rsid w:val="00826215"/>
    <w:rsid w:val="00831053"/>
    <w:rsid w:val="008314D2"/>
    <w:rsid w:val="008324A7"/>
    <w:rsid w:val="0083254D"/>
    <w:rsid w:val="008343E6"/>
    <w:rsid w:val="00835762"/>
    <w:rsid w:val="00836249"/>
    <w:rsid w:val="0083689C"/>
    <w:rsid w:val="00836D08"/>
    <w:rsid w:val="00836F00"/>
    <w:rsid w:val="0083710D"/>
    <w:rsid w:val="00840B9F"/>
    <w:rsid w:val="00846192"/>
    <w:rsid w:val="0084633D"/>
    <w:rsid w:val="0084768A"/>
    <w:rsid w:val="00850806"/>
    <w:rsid w:val="00854669"/>
    <w:rsid w:val="008553C8"/>
    <w:rsid w:val="0085615D"/>
    <w:rsid w:val="00856569"/>
    <w:rsid w:val="00856A1B"/>
    <w:rsid w:val="00856CBC"/>
    <w:rsid w:val="008605E0"/>
    <w:rsid w:val="00860B50"/>
    <w:rsid w:val="008621C3"/>
    <w:rsid w:val="00862F1E"/>
    <w:rsid w:val="00865486"/>
    <w:rsid w:val="008669BE"/>
    <w:rsid w:val="00872E1A"/>
    <w:rsid w:val="008730D9"/>
    <w:rsid w:val="00876275"/>
    <w:rsid w:val="00881B41"/>
    <w:rsid w:val="00882B30"/>
    <w:rsid w:val="00882B99"/>
    <w:rsid w:val="00886121"/>
    <w:rsid w:val="0088645B"/>
    <w:rsid w:val="00887489"/>
    <w:rsid w:val="00890A16"/>
    <w:rsid w:val="00891325"/>
    <w:rsid w:val="00893E37"/>
    <w:rsid w:val="00894371"/>
    <w:rsid w:val="008A295B"/>
    <w:rsid w:val="008A390A"/>
    <w:rsid w:val="008A5B97"/>
    <w:rsid w:val="008A6604"/>
    <w:rsid w:val="008A6B5B"/>
    <w:rsid w:val="008B0198"/>
    <w:rsid w:val="008B105B"/>
    <w:rsid w:val="008B1C73"/>
    <w:rsid w:val="008B2209"/>
    <w:rsid w:val="008B38B6"/>
    <w:rsid w:val="008B48B1"/>
    <w:rsid w:val="008B5482"/>
    <w:rsid w:val="008B6317"/>
    <w:rsid w:val="008B7009"/>
    <w:rsid w:val="008C11F4"/>
    <w:rsid w:val="008C2BEC"/>
    <w:rsid w:val="008C33D6"/>
    <w:rsid w:val="008C616E"/>
    <w:rsid w:val="008C6523"/>
    <w:rsid w:val="008C6D0E"/>
    <w:rsid w:val="008D09D2"/>
    <w:rsid w:val="008D1DFC"/>
    <w:rsid w:val="008D39C5"/>
    <w:rsid w:val="008E0D26"/>
    <w:rsid w:val="008E1D89"/>
    <w:rsid w:val="008E3E3E"/>
    <w:rsid w:val="008E5250"/>
    <w:rsid w:val="008E6189"/>
    <w:rsid w:val="008F1474"/>
    <w:rsid w:val="008F234A"/>
    <w:rsid w:val="008F2624"/>
    <w:rsid w:val="008F5F87"/>
    <w:rsid w:val="008F6FB4"/>
    <w:rsid w:val="009002DD"/>
    <w:rsid w:val="00900A34"/>
    <w:rsid w:val="00900E2F"/>
    <w:rsid w:val="009038A5"/>
    <w:rsid w:val="00903A94"/>
    <w:rsid w:val="00906132"/>
    <w:rsid w:val="00907073"/>
    <w:rsid w:val="0090748D"/>
    <w:rsid w:val="00907ED4"/>
    <w:rsid w:val="00911976"/>
    <w:rsid w:val="00912929"/>
    <w:rsid w:val="009146FB"/>
    <w:rsid w:val="00916EDA"/>
    <w:rsid w:val="0091717F"/>
    <w:rsid w:val="009208F5"/>
    <w:rsid w:val="0092109A"/>
    <w:rsid w:val="0092506C"/>
    <w:rsid w:val="00927D51"/>
    <w:rsid w:val="009303F7"/>
    <w:rsid w:val="00932272"/>
    <w:rsid w:val="00932311"/>
    <w:rsid w:val="00932862"/>
    <w:rsid w:val="0093554C"/>
    <w:rsid w:val="00935BC3"/>
    <w:rsid w:val="00935D60"/>
    <w:rsid w:val="00940848"/>
    <w:rsid w:val="009419AF"/>
    <w:rsid w:val="00943E7A"/>
    <w:rsid w:val="009447BB"/>
    <w:rsid w:val="00944C48"/>
    <w:rsid w:val="00946335"/>
    <w:rsid w:val="0094637C"/>
    <w:rsid w:val="009464C5"/>
    <w:rsid w:val="00947FEF"/>
    <w:rsid w:val="00950912"/>
    <w:rsid w:val="009513C4"/>
    <w:rsid w:val="009518B4"/>
    <w:rsid w:val="00951A85"/>
    <w:rsid w:val="00952D29"/>
    <w:rsid w:val="009541AC"/>
    <w:rsid w:val="00955E55"/>
    <w:rsid w:val="00962200"/>
    <w:rsid w:val="00962D9A"/>
    <w:rsid w:val="009636D8"/>
    <w:rsid w:val="00963855"/>
    <w:rsid w:val="009642AD"/>
    <w:rsid w:val="00964A9B"/>
    <w:rsid w:val="009656CD"/>
    <w:rsid w:val="009665B7"/>
    <w:rsid w:val="00966F54"/>
    <w:rsid w:val="00967B8E"/>
    <w:rsid w:val="0097071D"/>
    <w:rsid w:val="009715A2"/>
    <w:rsid w:val="00973242"/>
    <w:rsid w:val="00975E61"/>
    <w:rsid w:val="00976E31"/>
    <w:rsid w:val="0097739C"/>
    <w:rsid w:val="00977C63"/>
    <w:rsid w:val="00977C76"/>
    <w:rsid w:val="00980087"/>
    <w:rsid w:val="00980478"/>
    <w:rsid w:val="00980C0B"/>
    <w:rsid w:val="00981730"/>
    <w:rsid w:val="009849F9"/>
    <w:rsid w:val="0098524F"/>
    <w:rsid w:val="00985E92"/>
    <w:rsid w:val="0098658A"/>
    <w:rsid w:val="00987ABE"/>
    <w:rsid w:val="00990183"/>
    <w:rsid w:val="009906C7"/>
    <w:rsid w:val="00991AE9"/>
    <w:rsid w:val="00993B77"/>
    <w:rsid w:val="009963CD"/>
    <w:rsid w:val="00997FFE"/>
    <w:rsid w:val="009A3F63"/>
    <w:rsid w:val="009B0435"/>
    <w:rsid w:val="009B0A8B"/>
    <w:rsid w:val="009B266D"/>
    <w:rsid w:val="009B423A"/>
    <w:rsid w:val="009B4D01"/>
    <w:rsid w:val="009B5CBF"/>
    <w:rsid w:val="009B6B65"/>
    <w:rsid w:val="009B7411"/>
    <w:rsid w:val="009C03B0"/>
    <w:rsid w:val="009C15C8"/>
    <w:rsid w:val="009C184A"/>
    <w:rsid w:val="009C2CA5"/>
    <w:rsid w:val="009C3BD1"/>
    <w:rsid w:val="009D0487"/>
    <w:rsid w:val="009D0CDA"/>
    <w:rsid w:val="009D3E45"/>
    <w:rsid w:val="009D4788"/>
    <w:rsid w:val="009E49C0"/>
    <w:rsid w:val="009E4FAE"/>
    <w:rsid w:val="009E5612"/>
    <w:rsid w:val="009E5A41"/>
    <w:rsid w:val="009E7876"/>
    <w:rsid w:val="009E7B87"/>
    <w:rsid w:val="009E7D9E"/>
    <w:rsid w:val="009F080B"/>
    <w:rsid w:val="009F351F"/>
    <w:rsid w:val="009F3F89"/>
    <w:rsid w:val="009F480E"/>
    <w:rsid w:val="009F73A5"/>
    <w:rsid w:val="00A006F2"/>
    <w:rsid w:val="00A022A2"/>
    <w:rsid w:val="00A02D15"/>
    <w:rsid w:val="00A062B1"/>
    <w:rsid w:val="00A0671A"/>
    <w:rsid w:val="00A11403"/>
    <w:rsid w:val="00A12231"/>
    <w:rsid w:val="00A12925"/>
    <w:rsid w:val="00A139E3"/>
    <w:rsid w:val="00A144E8"/>
    <w:rsid w:val="00A14773"/>
    <w:rsid w:val="00A15993"/>
    <w:rsid w:val="00A15E86"/>
    <w:rsid w:val="00A229C1"/>
    <w:rsid w:val="00A242EC"/>
    <w:rsid w:val="00A249B4"/>
    <w:rsid w:val="00A26B0D"/>
    <w:rsid w:val="00A30262"/>
    <w:rsid w:val="00A34527"/>
    <w:rsid w:val="00A3735A"/>
    <w:rsid w:val="00A41FD9"/>
    <w:rsid w:val="00A42F1B"/>
    <w:rsid w:val="00A44EBE"/>
    <w:rsid w:val="00A5038B"/>
    <w:rsid w:val="00A510C8"/>
    <w:rsid w:val="00A546BC"/>
    <w:rsid w:val="00A55989"/>
    <w:rsid w:val="00A5694A"/>
    <w:rsid w:val="00A6021D"/>
    <w:rsid w:val="00A60A81"/>
    <w:rsid w:val="00A60D30"/>
    <w:rsid w:val="00A62D7F"/>
    <w:rsid w:val="00A62FB6"/>
    <w:rsid w:val="00A63DA4"/>
    <w:rsid w:val="00A64035"/>
    <w:rsid w:val="00A65D9E"/>
    <w:rsid w:val="00A6633A"/>
    <w:rsid w:val="00A6707A"/>
    <w:rsid w:val="00A67D59"/>
    <w:rsid w:val="00A710B8"/>
    <w:rsid w:val="00A7381E"/>
    <w:rsid w:val="00A74108"/>
    <w:rsid w:val="00A74495"/>
    <w:rsid w:val="00A74E07"/>
    <w:rsid w:val="00A752BE"/>
    <w:rsid w:val="00A75CD5"/>
    <w:rsid w:val="00A7630E"/>
    <w:rsid w:val="00A763D5"/>
    <w:rsid w:val="00A7790B"/>
    <w:rsid w:val="00A830CC"/>
    <w:rsid w:val="00A832BA"/>
    <w:rsid w:val="00A83DF3"/>
    <w:rsid w:val="00A85195"/>
    <w:rsid w:val="00A85915"/>
    <w:rsid w:val="00A86270"/>
    <w:rsid w:val="00A86485"/>
    <w:rsid w:val="00A8692F"/>
    <w:rsid w:val="00A87C54"/>
    <w:rsid w:val="00A911E9"/>
    <w:rsid w:val="00A91F10"/>
    <w:rsid w:val="00A938FD"/>
    <w:rsid w:val="00A943FB"/>
    <w:rsid w:val="00A952AB"/>
    <w:rsid w:val="00A974F0"/>
    <w:rsid w:val="00A9783D"/>
    <w:rsid w:val="00A97EE6"/>
    <w:rsid w:val="00AA06E7"/>
    <w:rsid w:val="00AA2D35"/>
    <w:rsid w:val="00AA3955"/>
    <w:rsid w:val="00AA45E6"/>
    <w:rsid w:val="00AA474F"/>
    <w:rsid w:val="00AA5A37"/>
    <w:rsid w:val="00AA7421"/>
    <w:rsid w:val="00AA7BC7"/>
    <w:rsid w:val="00AB0BB6"/>
    <w:rsid w:val="00AB2281"/>
    <w:rsid w:val="00AB3B21"/>
    <w:rsid w:val="00AB489C"/>
    <w:rsid w:val="00AB4BDC"/>
    <w:rsid w:val="00AB50C1"/>
    <w:rsid w:val="00AB6337"/>
    <w:rsid w:val="00AB6936"/>
    <w:rsid w:val="00AC0C3B"/>
    <w:rsid w:val="00AC232F"/>
    <w:rsid w:val="00AC2B20"/>
    <w:rsid w:val="00AC2D63"/>
    <w:rsid w:val="00AC48A4"/>
    <w:rsid w:val="00AC4C07"/>
    <w:rsid w:val="00AC4D20"/>
    <w:rsid w:val="00AC5983"/>
    <w:rsid w:val="00AC5B17"/>
    <w:rsid w:val="00AC5EE6"/>
    <w:rsid w:val="00AC6CE4"/>
    <w:rsid w:val="00AD00BB"/>
    <w:rsid w:val="00AD03D8"/>
    <w:rsid w:val="00AD0711"/>
    <w:rsid w:val="00AD198C"/>
    <w:rsid w:val="00AD576F"/>
    <w:rsid w:val="00AD607D"/>
    <w:rsid w:val="00AD704E"/>
    <w:rsid w:val="00AD7AE6"/>
    <w:rsid w:val="00AE1913"/>
    <w:rsid w:val="00AE3C47"/>
    <w:rsid w:val="00AE5FE0"/>
    <w:rsid w:val="00AE60B7"/>
    <w:rsid w:val="00AE649B"/>
    <w:rsid w:val="00AE73AC"/>
    <w:rsid w:val="00AF1DDA"/>
    <w:rsid w:val="00AF2AB7"/>
    <w:rsid w:val="00AF2B1C"/>
    <w:rsid w:val="00AF4D3F"/>
    <w:rsid w:val="00AF4FE5"/>
    <w:rsid w:val="00AF529F"/>
    <w:rsid w:val="00AF5978"/>
    <w:rsid w:val="00AF6031"/>
    <w:rsid w:val="00AF755F"/>
    <w:rsid w:val="00B0078A"/>
    <w:rsid w:val="00B00C75"/>
    <w:rsid w:val="00B00D9E"/>
    <w:rsid w:val="00B02352"/>
    <w:rsid w:val="00B024C5"/>
    <w:rsid w:val="00B0300B"/>
    <w:rsid w:val="00B04468"/>
    <w:rsid w:val="00B05159"/>
    <w:rsid w:val="00B0517C"/>
    <w:rsid w:val="00B05457"/>
    <w:rsid w:val="00B057F5"/>
    <w:rsid w:val="00B05AA2"/>
    <w:rsid w:val="00B062D3"/>
    <w:rsid w:val="00B1270A"/>
    <w:rsid w:val="00B128A0"/>
    <w:rsid w:val="00B1331D"/>
    <w:rsid w:val="00B15D5E"/>
    <w:rsid w:val="00B15D79"/>
    <w:rsid w:val="00B169FF"/>
    <w:rsid w:val="00B1785D"/>
    <w:rsid w:val="00B20240"/>
    <w:rsid w:val="00B23172"/>
    <w:rsid w:val="00B23281"/>
    <w:rsid w:val="00B25622"/>
    <w:rsid w:val="00B27571"/>
    <w:rsid w:val="00B318E9"/>
    <w:rsid w:val="00B32B63"/>
    <w:rsid w:val="00B34825"/>
    <w:rsid w:val="00B36570"/>
    <w:rsid w:val="00B40AC4"/>
    <w:rsid w:val="00B4164B"/>
    <w:rsid w:val="00B44CED"/>
    <w:rsid w:val="00B454D1"/>
    <w:rsid w:val="00B45707"/>
    <w:rsid w:val="00B46E5F"/>
    <w:rsid w:val="00B5319E"/>
    <w:rsid w:val="00B53730"/>
    <w:rsid w:val="00B53B9B"/>
    <w:rsid w:val="00B5409A"/>
    <w:rsid w:val="00B55574"/>
    <w:rsid w:val="00B62006"/>
    <w:rsid w:val="00B6254B"/>
    <w:rsid w:val="00B649F3"/>
    <w:rsid w:val="00B64C5F"/>
    <w:rsid w:val="00B6525D"/>
    <w:rsid w:val="00B65ABA"/>
    <w:rsid w:val="00B67097"/>
    <w:rsid w:val="00B6790F"/>
    <w:rsid w:val="00B70DBF"/>
    <w:rsid w:val="00B71B3B"/>
    <w:rsid w:val="00B808C4"/>
    <w:rsid w:val="00B81695"/>
    <w:rsid w:val="00B840B0"/>
    <w:rsid w:val="00B850FF"/>
    <w:rsid w:val="00B853DB"/>
    <w:rsid w:val="00B857CA"/>
    <w:rsid w:val="00B86295"/>
    <w:rsid w:val="00B876F2"/>
    <w:rsid w:val="00B87D61"/>
    <w:rsid w:val="00B92F42"/>
    <w:rsid w:val="00B93948"/>
    <w:rsid w:val="00B96656"/>
    <w:rsid w:val="00BA17F1"/>
    <w:rsid w:val="00BA4BC7"/>
    <w:rsid w:val="00BA55B7"/>
    <w:rsid w:val="00BA5E47"/>
    <w:rsid w:val="00BA7D57"/>
    <w:rsid w:val="00BA7E79"/>
    <w:rsid w:val="00BB156E"/>
    <w:rsid w:val="00BB3330"/>
    <w:rsid w:val="00BB47D7"/>
    <w:rsid w:val="00BB4A62"/>
    <w:rsid w:val="00BB72CE"/>
    <w:rsid w:val="00BB7A9B"/>
    <w:rsid w:val="00BC01C1"/>
    <w:rsid w:val="00BC028E"/>
    <w:rsid w:val="00BC05C6"/>
    <w:rsid w:val="00BC0AD6"/>
    <w:rsid w:val="00BC1C29"/>
    <w:rsid w:val="00BC3D8E"/>
    <w:rsid w:val="00BC42D4"/>
    <w:rsid w:val="00BC45A1"/>
    <w:rsid w:val="00BC5A34"/>
    <w:rsid w:val="00BC5CF7"/>
    <w:rsid w:val="00BD1590"/>
    <w:rsid w:val="00BD17F5"/>
    <w:rsid w:val="00BD1AA4"/>
    <w:rsid w:val="00BD1F7A"/>
    <w:rsid w:val="00BD2EDB"/>
    <w:rsid w:val="00BD4B76"/>
    <w:rsid w:val="00BD5543"/>
    <w:rsid w:val="00BD6454"/>
    <w:rsid w:val="00BD6E05"/>
    <w:rsid w:val="00BE261A"/>
    <w:rsid w:val="00BE2EC1"/>
    <w:rsid w:val="00BE31B5"/>
    <w:rsid w:val="00BE519A"/>
    <w:rsid w:val="00BE54D0"/>
    <w:rsid w:val="00BE6A62"/>
    <w:rsid w:val="00BE7B36"/>
    <w:rsid w:val="00BF5212"/>
    <w:rsid w:val="00BF6B6C"/>
    <w:rsid w:val="00BF6D23"/>
    <w:rsid w:val="00BF7251"/>
    <w:rsid w:val="00BF7F28"/>
    <w:rsid w:val="00C01909"/>
    <w:rsid w:val="00C04F70"/>
    <w:rsid w:val="00C05787"/>
    <w:rsid w:val="00C064BD"/>
    <w:rsid w:val="00C11729"/>
    <w:rsid w:val="00C11871"/>
    <w:rsid w:val="00C12D2F"/>
    <w:rsid w:val="00C13059"/>
    <w:rsid w:val="00C14159"/>
    <w:rsid w:val="00C14527"/>
    <w:rsid w:val="00C152C6"/>
    <w:rsid w:val="00C156D4"/>
    <w:rsid w:val="00C163C6"/>
    <w:rsid w:val="00C167A3"/>
    <w:rsid w:val="00C2062C"/>
    <w:rsid w:val="00C2181C"/>
    <w:rsid w:val="00C2297D"/>
    <w:rsid w:val="00C2657D"/>
    <w:rsid w:val="00C26A87"/>
    <w:rsid w:val="00C26A99"/>
    <w:rsid w:val="00C274D0"/>
    <w:rsid w:val="00C3745D"/>
    <w:rsid w:val="00C40BFD"/>
    <w:rsid w:val="00C4159C"/>
    <w:rsid w:val="00C416E1"/>
    <w:rsid w:val="00C41AD7"/>
    <w:rsid w:val="00C428F1"/>
    <w:rsid w:val="00C42A0B"/>
    <w:rsid w:val="00C45AFC"/>
    <w:rsid w:val="00C45F23"/>
    <w:rsid w:val="00C471F6"/>
    <w:rsid w:val="00C47BF8"/>
    <w:rsid w:val="00C500BC"/>
    <w:rsid w:val="00C5136C"/>
    <w:rsid w:val="00C51B1C"/>
    <w:rsid w:val="00C5224D"/>
    <w:rsid w:val="00C53DCE"/>
    <w:rsid w:val="00C547CA"/>
    <w:rsid w:val="00C655F2"/>
    <w:rsid w:val="00C65B4C"/>
    <w:rsid w:val="00C65B61"/>
    <w:rsid w:val="00C67C3D"/>
    <w:rsid w:val="00C70B98"/>
    <w:rsid w:val="00C70E53"/>
    <w:rsid w:val="00C72979"/>
    <w:rsid w:val="00C729BB"/>
    <w:rsid w:val="00C741E0"/>
    <w:rsid w:val="00C74528"/>
    <w:rsid w:val="00C74E6B"/>
    <w:rsid w:val="00C74EB4"/>
    <w:rsid w:val="00C75883"/>
    <w:rsid w:val="00C76B8C"/>
    <w:rsid w:val="00C80F4D"/>
    <w:rsid w:val="00C81456"/>
    <w:rsid w:val="00C81529"/>
    <w:rsid w:val="00C81BA6"/>
    <w:rsid w:val="00C82ACA"/>
    <w:rsid w:val="00C82EB0"/>
    <w:rsid w:val="00C8377C"/>
    <w:rsid w:val="00C85ED8"/>
    <w:rsid w:val="00C877CD"/>
    <w:rsid w:val="00C902E9"/>
    <w:rsid w:val="00C908B7"/>
    <w:rsid w:val="00C91D81"/>
    <w:rsid w:val="00C92A42"/>
    <w:rsid w:val="00C9384B"/>
    <w:rsid w:val="00C968B9"/>
    <w:rsid w:val="00C97C44"/>
    <w:rsid w:val="00CA0905"/>
    <w:rsid w:val="00CA18F2"/>
    <w:rsid w:val="00CA41A3"/>
    <w:rsid w:val="00CA4285"/>
    <w:rsid w:val="00CA4871"/>
    <w:rsid w:val="00CA5C41"/>
    <w:rsid w:val="00CA6722"/>
    <w:rsid w:val="00CA6D4E"/>
    <w:rsid w:val="00CA7B4B"/>
    <w:rsid w:val="00CB36A8"/>
    <w:rsid w:val="00CB3AB5"/>
    <w:rsid w:val="00CB43F7"/>
    <w:rsid w:val="00CB4FC7"/>
    <w:rsid w:val="00CB54A5"/>
    <w:rsid w:val="00CC02DC"/>
    <w:rsid w:val="00CC0F15"/>
    <w:rsid w:val="00CC139A"/>
    <w:rsid w:val="00CC1E7A"/>
    <w:rsid w:val="00CC2923"/>
    <w:rsid w:val="00CC3398"/>
    <w:rsid w:val="00CC4F64"/>
    <w:rsid w:val="00CC5051"/>
    <w:rsid w:val="00CC65A4"/>
    <w:rsid w:val="00CC7361"/>
    <w:rsid w:val="00CC73F7"/>
    <w:rsid w:val="00CD058C"/>
    <w:rsid w:val="00CD2F4F"/>
    <w:rsid w:val="00CD37B2"/>
    <w:rsid w:val="00CD39C6"/>
    <w:rsid w:val="00CD3B98"/>
    <w:rsid w:val="00CD405D"/>
    <w:rsid w:val="00CD4216"/>
    <w:rsid w:val="00CD518C"/>
    <w:rsid w:val="00CD6AE7"/>
    <w:rsid w:val="00CD733F"/>
    <w:rsid w:val="00CD7C65"/>
    <w:rsid w:val="00CE0470"/>
    <w:rsid w:val="00CE0942"/>
    <w:rsid w:val="00CE17C7"/>
    <w:rsid w:val="00CE2276"/>
    <w:rsid w:val="00CE6326"/>
    <w:rsid w:val="00CE640F"/>
    <w:rsid w:val="00CE7745"/>
    <w:rsid w:val="00CE7868"/>
    <w:rsid w:val="00CE7CA5"/>
    <w:rsid w:val="00CF0CB2"/>
    <w:rsid w:val="00CF1539"/>
    <w:rsid w:val="00CF1D81"/>
    <w:rsid w:val="00CF1F92"/>
    <w:rsid w:val="00CF2DC9"/>
    <w:rsid w:val="00CF3649"/>
    <w:rsid w:val="00CF4E5C"/>
    <w:rsid w:val="00CF5005"/>
    <w:rsid w:val="00CF7CB6"/>
    <w:rsid w:val="00D012E0"/>
    <w:rsid w:val="00D02750"/>
    <w:rsid w:val="00D03540"/>
    <w:rsid w:val="00D0612D"/>
    <w:rsid w:val="00D12CAC"/>
    <w:rsid w:val="00D137B0"/>
    <w:rsid w:val="00D15BB2"/>
    <w:rsid w:val="00D160BA"/>
    <w:rsid w:val="00D17321"/>
    <w:rsid w:val="00D1762D"/>
    <w:rsid w:val="00D17923"/>
    <w:rsid w:val="00D20090"/>
    <w:rsid w:val="00D258F9"/>
    <w:rsid w:val="00D272BF"/>
    <w:rsid w:val="00D30B5C"/>
    <w:rsid w:val="00D30F57"/>
    <w:rsid w:val="00D311AB"/>
    <w:rsid w:val="00D3143F"/>
    <w:rsid w:val="00D32290"/>
    <w:rsid w:val="00D323E2"/>
    <w:rsid w:val="00D325A8"/>
    <w:rsid w:val="00D33760"/>
    <w:rsid w:val="00D34416"/>
    <w:rsid w:val="00D37C9A"/>
    <w:rsid w:val="00D4007C"/>
    <w:rsid w:val="00D442AD"/>
    <w:rsid w:val="00D521A7"/>
    <w:rsid w:val="00D54BDD"/>
    <w:rsid w:val="00D55041"/>
    <w:rsid w:val="00D5618A"/>
    <w:rsid w:val="00D565B4"/>
    <w:rsid w:val="00D5784B"/>
    <w:rsid w:val="00D6244B"/>
    <w:rsid w:val="00D63EFB"/>
    <w:rsid w:val="00D658AF"/>
    <w:rsid w:val="00D70289"/>
    <w:rsid w:val="00D70A79"/>
    <w:rsid w:val="00D7267F"/>
    <w:rsid w:val="00D7417E"/>
    <w:rsid w:val="00D74F49"/>
    <w:rsid w:val="00D77F0F"/>
    <w:rsid w:val="00D80F73"/>
    <w:rsid w:val="00D8385D"/>
    <w:rsid w:val="00D83DE9"/>
    <w:rsid w:val="00D8450D"/>
    <w:rsid w:val="00D8504B"/>
    <w:rsid w:val="00D91477"/>
    <w:rsid w:val="00D92018"/>
    <w:rsid w:val="00D9237A"/>
    <w:rsid w:val="00D94DBF"/>
    <w:rsid w:val="00D95AF9"/>
    <w:rsid w:val="00D95C0C"/>
    <w:rsid w:val="00D964A7"/>
    <w:rsid w:val="00D972B3"/>
    <w:rsid w:val="00D972E1"/>
    <w:rsid w:val="00D9746C"/>
    <w:rsid w:val="00D97A74"/>
    <w:rsid w:val="00DA09C9"/>
    <w:rsid w:val="00DA0D92"/>
    <w:rsid w:val="00DA1822"/>
    <w:rsid w:val="00DA2A7C"/>
    <w:rsid w:val="00DA7CC1"/>
    <w:rsid w:val="00DB1AD1"/>
    <w:rsid w:val="00DB5147"/>
    <w:rsid w:val="00DB51DB"/>
    <w:rsid w:val="00DB5E1F"/>
    <w:rsid w:val="00DB6EBB"/>
    <w:rsid w:val="00DB703B"/>
    <w:rsid w:val="00DB76D3"/>
    <w:rsid w:val="00DC19D8"/>
    <w:rsid w:val="00DC238E"/>
    <w:rsid w:val="00DC2613"/>
    <w:rsid w:val="00DC375A"/>
    <w:rsid w:val="00DC4512"/>
    <w:rsid w:val="00DC6466"/>
    <w:rsid w:val="00DC6646"/>
    <w:rsid w:val="00DD3691"/>
    <w:rsid w:val="00DD42CB"/>
    <w:rsid w:val="00DD4B55"/>
    <w:rsid w:val="00DE1E90"/>
    <w:rsid w:val="00DE24E6"/>
    <w:rsid w:val="00DE2896"/>
    <w:rsid w:val="00DE3603"/>
    <w:rsid w:val="00DE44A8"/>
    <w:rsid w:val="00DE5064"/>
    <w:rsid w:val="00DE5C8A"/>
    <w:rsid w:val="00DF07AD"/>
    <w:rsid w:val="00DF07C4"/>
    <w:rsid w:val="00DF1922"/>
    <w:rsid w:val="00DF3364"/>
    <w:rsid w:val="00DF4C50"/>
    <w:rsid w:val="00DF504C"/>
    <w:rsid w:val="00DF71EE"/>
    <w:rsid w:val="00E00D45"/>
    <w:rsid w:val="00E021A3"/>
    <w:rsid w:val="00E03330"/>
    <w:rsid w:val="00E055BB"/>
    <w:rsid w:val="00E05F3E"/>
    <w:rsid w:val="00E11988"/>
    <w:rsid w:val="00E12E25"/>
    <w:rsid w:val="00E1405C"/>
    <w:rsid w:val="00E1421F"/>
    <w:rsid w:val="00E1559E"/>
    <w:rsid w:val="00E15DA9"/>
    <w:rsid w:val="00E17427"/>
    <w:rsid w:val="00E2095D"/>
    <w:rsid w:val="00E226F3"/>
    <w:rsid w:val="00E23C3D"/>
    <w:rsid w:val="00E24013"/>
    <w:rsid w:val="00E2546B"/>
    <w:rsid w:val="00E26B5D"/>
    <w:rsid w:val="00E26C00"/>
    <w:rsid w:val="00E26F24"/>
    <w:rsid w:val="00E30414"/>
    <w:rsid w:val="00E34615"/>
    <w:rsid w:val="00E35DE8"/>
    <w:rsid w:val="00E366E2"/>
    <w:rsid w:val="00E36B4F"/>
    <w:rsid w:val="00E379AE"/>
    <w:rsid w:val="00E402BA"/>
    <w:rsid w:val="00E40769"/>
    <w:rsid w:val="00E42BE4"/>
    <w:rsid w:val="00E42C90"/>
    <w:rsid w:val="00E42E8B"/>
    <w:rsid w:val="00E45EE4"/>
    <w:rsid w:val="00E50028"/>
    <w:rsid w:val="00E57CEA"/>
    <w:rsid w:val="00E6002C"/>
    <w:rsid w:val="00E60F12"/>
    <w:rsid w:val="00E64BB7"/>
    <w:rsid w:val="00E652FB"/>
    <w:rsid w:val="00E66C20"/>
    <w:rsid w:val="00E7146A"/>
    <w:rsid w:val="00E71C46"/>
    <w:rsid w:val="00E724BA"/>
    <w:rsid w:val="00E731B7"/>
    <w:rsid w:val="00E75ED2"/>
    <w:rsid w:val="00E76499"/>
    <w:rsid w:val="00E80ED4"/>
    <w:rsid w:val="00E8280C"/>
    <w:rsid w:val="00E83E4C"/>
    <w:rsid w:val="00E8487C"/>
    <w:rsid w:val="00E85629"/>
    <w:rsid w:val="00E8662D"/>
    <w:rsid w:val="00E91492"/>
    <w:rsid w:val="00E91933"/>
    <w:rsid w:val="00E92A81"/>
    <w:rsid w:val="00E95CCA"/>
    <w:rsid w:val="00E969B1"/>
    <w:rsid w:val="00EA135F"/>
    <w:rsid w:val="00EA1660"/>
    <w:rsid w:val="00EA1B3C"/>
    <w:rsid w:val="00EA2EF1"/>
    <w:rsid w:val="00EB09FF"/>
    <w:rsid w:val="00EB0E44"/>
    <w:rsid w:val="00EB190C"/>
    <w:rsid w:val="00EB2749"/>
    <w:rsid w:val="00EB2E19"/>
    <w:rsid w:val="00EB300B"/>
    <w:rsid w:val="00EB445A"/>
    <w:rsid w:val="00EB501B"/>
    <w:rsid w:val="00EB57C1"/>
    <w:rsid w:val="00EB5CF5"/>
    <w:rsid w:val="00EB6552"/>
    <w:rsid w:val="00EB7530"/>
    <w:rsid w:val="00EC05A2"/>
    <w:rsid w:val="00EC18E6"/>
    <w:rsid w:val="00EC1984"/>
    <w:rsid w:val="00EC234C"/>
    <w:rsid w:val="00EC2AE9"/>
    <w:rsid w:val="00EC48B7"/>
    <w:rsid w:val="00EC70C1"/>
    <w:rsid w:val="00ED2D3A"/>
    <w:rsid w:val="00ED3529"/>
    <w:rsid w:val="00ED4362"/>
    <w:rsid w:val="00ED4D17"/>
    <w:rsid w:val="00ED5AD6"/>
    <w:rsid w:val="00ED7615"/>
    <w:rsid w:val="00EE0473"/>
    <w:rsid w:val="00EE1122"/>
    <w:rsid w:val="00EE1756"/>
    <w:rsid w:val="00EE23F7"/>
    <w:rsid w:val="00EE3E2D"/>
    <w:rsid w:val="00EE47D5"/>
    <w:rsid w:val="00EE6CD3"/>
    <w:rsid w:val="00EE79A1"/>
    <w:rsid w:val="00EF20D7"/>
    <w:rsid w:val="00EF2AC5"/>
    <w:rsid w:val="00EF3419"/>
    <w:rsid w:val="00EF5AD7"/>
    <w:rsid w:val="00EF60C6"/>
    <w:rsid w:val="00EF76EE"/>
    <w:rsid w:val="00F0119C"/>
    <w:rsid w:val="00F01884"/>
    <w:rsid w:val="00F02BDB"/>
    <w:rsid w:val="00F03B78"/>
    <w:rsid w:val="00F03D93"/>
    <w:rsid w:val="00F0441B"/>
    <w:rsid w:val="00F04B3C"/>
    <w:rsid w:val="00F04C80"/>
    <w:rsid w:val="00F05A7C"/>
    <w:rsid w:val="00F06376"/>
    <w:rsid w:val="00F06C0F"/>
    <w:rsid w:val="00F06C80"/>
    <w:rsid w:val="00F06C98"/>
    <w:rsid w:val="00F070E5"/>
    <w:rsid w:val="00F07623"/>
    <w:rsid w:val="00F07D0B"/>
    <w:rsid w:val="00F121EA"/>
    <w:rsid w:val="00F149A3"/>
    <w:rsid w:val="00F15688"/>
    <w:rsid w:val="00F2073E"/>
    <w:rsid w:val="00F208FB"/>
    <w:rsid w:val="00F21528"/>
    <w:rsid w:val="00F21A20"/>
    <w:rsid w:val="00F21AAF"/>
    <w:rsid w:val="00F2482A"/>
    <w:rsid w:val="00F2552C"/>
    <w:rsid w:val="00F30116"/>
    <w:rsid w:val="00F3136B"/>
    <w:rsid w:val="00F314F1"/>
    <w:rsid w:val="00F31DFE"/>
    <w:rsid w:val="00F327EA"/>
    <w:rsid w:val="00F33641"/>
    <w:rsid w:val="00F33E3A"/>
    <w:rsid w:val="00F33EE4"/>
    <w:rsid w:val="00F36307"/>
    <w:rsid w:val="00F41B13"/>
    <w:rsid w:val="00F42842"/>
    <w:rsid w:val="00F428C1"/>
    <w:rsid w:val="00F43EE0"/>
    <w:rsid w:val="00F44DC1"/>
    <w:rsid w:val="00F452EE"/>
    <w:rsid w:val="00F45BE5"/>
    <w:rsid w:val="00F45CB3"/>
    <w:rsid w:val="00F4637C"/>
    <w:rsid w:val="00F46E40"/>
    <w:rsid w:val="00F4760A"/>
    <w:rsid w:val="00F529FE"/>
    <w:rsid w:val="00F52B8E"/>
    <w:rsid w:val="00F52B9F"/>
    <w:rsid w:val="00F53CFD"/>
    <w:rsid w:val="00F54904"/>
    <w:rsid w:val="00F54AF5"/>
    <w:rsid w:val="00F557E3"/>
    <w:rsid w:val="00F6074F"/>
    <w:rsid w:val="00F61564"/>
    <w:rsid w:val="00F61A60"/>
    <w:rsid w:val="00F61A6C"/>
    <w:rsid w:val="00F61E78"/>
    <w:rsid w:val="00F62353"/>
    <w:rsid w:val="00F635C5"/>
    <w:rsid w:val="00F648B1"/>
    <w:rsid w:val="00F6747B"/>
    <w:rsid w:val="00F736E3"/>
    <w:rsid w:val="00F75F82"/>
    <w:rsid w:val="00F767E8"/>
    <w:rsid w:val="00F807FF"/>
    <w:rsid w:val="00F80D6F"/>
    <w:rsid w:val="00F8443A"/>
    <w:rsid w:val="00F85023"/>
    <w:rsid w:val="00F851C7"/>
    <w:rsid w:val="00F863B6"/>
    <w:rsid w:val="00F866E6"/>
    <w:rsid w:val="00F86A3F"/>
    <w:rsid w:val="00F91297"/>
    <w:rsid w:val="00F9133B"/>
    <w:rsid w:val="00F921F3"/>
    <w:rsid w:val="00F9359A"/>
    <w:rsid w:val="00F9433A"/>
    <w:rsid w:val="00F95057"/>
    <w:rsid w:val="00F97730"/>
    <w:rsid w:val="00F97F01"/>
    <w:rsid w:val="00FA1792"/>
    <w:rsid w:val="00FA3914"/>
    <w:rsid w:val="00FA458A"/>
    <w:rsid w:val="00FA550C"/>
    <w:rsid w:val="00FA6C45"/>
    <w:rsid w:val="00FB26CA"/>
    <w:rsid w:val="00FB32A4"/>
    <w:rsid w:val="00FB4A22"/>
    <w:rsid w:val="00FB4A8D"/>
    <w:rsid w:val="00FB594D"/>
    <w:rsid w:val="00FC32C0"/>
    <w:rsid w:val="00FC415A"/>
    <w:rsid w:val="00FC49BB"/>
    <w:rsid w:val="00FC4EFB"/>
    <w:rsid w:val="00FC67D2"/>
    <w:rsid w:val="00FC7718"/>
    <w:rsid w:val="00FD24FB"/>
    <w:rsid w:val="00FD28D8"/>
    <w:rsid w:val="00FD47EC"/>
    <w:rsid w:val="00FD4C3A"/>
    <w:rsid w:val="00FD544D"/>
    <w:rsid w:val="00FD616B"/>
    <w:rsid w:val="00FE07C2"/>
    <w:rsid w:val="00FE10B9"/>
    <w:rsid w:val="00FE1D5D"/>
    <w:rsid w:val="00FE23CB"/>
    <w:rsid w:val="00FE2774"/>
    <w:rsid w:val="00FE279F"/>
    <w:rsid w:val="00FE367F"/>
    <w:rsid w:val="00FE6A13"/>
    <w:rsid w:val="00FF0DAE"/>
    <w:rsid w:val="00FF25B6"/>
    <w:rsid w:val="00FF29DC"/>
    <w:rsid w:val="00FF2B52"/>
    <w:rsid w:val="00FF3859"/>
    <w:rsid w:val="00FF4560"/>
    <w:rsid w:val="00FF6631"/>
    <w:rsid w:val="00FF788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26CDAE28"/>
  <w15:docId w15:val="{E1F02930-3C28-4F41-985E-5D2D32416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12413"/>
    <w:rPr>
      <w:rFonts w:ascii="Cambria" w:hAnsi="Cambria"/>
      <w:lang w:eastAsia="en-US"/>
    </w:rPr>
  </w:style>
  <w:style w:type="paragraph" w:styleId="Heading1">
    <w:name w:val="heading 1"/>
    <w:next w:val="VACRCbody"/>
    <w:link w:val="Heading1Char"/>
    <w:uiPriority w:val="1"/>
    <w:qFormat/>
    <w:rsid w:val="003D1044"/>
    <w:pPr>
      <w:keepNext/>
      <w:keepLines/>
      <w:spacing w:before="360" w:after="240" w:line="260" w:lineRule="atLeast"/>
      <w:outlineLvl w:val="0"/>
    </w:pPr>
    <w:rPr>
      <w:rFonts w:ascii="Arial" w:eastAsia="MS Gothic" w:hAnsi="Arial" w:cs="Arial"/>
      <w:b/>
      <w:bCs/>
      <w:color w:val="007940"/>
      <w:kern w:val="32"/>
      <w:sz w:val="32"/>
      <w:szCs w:val="40"/>
      <w:lang w:eastAsia="en-US"/>
    </w:rPr>
  </w:style>
  <w:style w:type="paragraph" w:styleId="Heading2">
    <w:name w:val="heading 2"/>
    <w:basedOn w:val="Heading1"/>
    <w:next w:val="VACRCbody"/>
    <w:link w:val="Heading2Char"/>
    <w:uiPriority w:val="1"/>
    <w:qFormat/>
    <w:rsid w:val="00CF4E5C"/>
    <w:pPr>
      <w:numPr>
        <w:numId w:val="18"/>
      </w:numPr>
      <w:spacing w:before="240" w:after="120" w:line="320" w:lineRule="atLeast"/>
      <w:ind w:left="1800"/>
      <w:outlineLvl w:val="1"/>
    </w:pPr>
    <w:rPr>
      <w:rFonts w:eastAsiaTheme="majorEastAsia" w:cstheme="majorBidi"/>
      <w:b w:val="0"/>
      <w:sz w:val="28"/>
      <w:szCs w:val="28"/>
    </w:rPr>
  </w:style>
  <w:style w:type="paragraph" w:styleId="Heading3">
    <w:name w:val="heading 3"/>
    <w:next w:val="VACRCbody"/>
    <w:link w:val="Heading3Char"/>
    <w:uiPriority w:val="1"/>
    <w:unhideWhenUsed/>
    <w:qFormat/>
    <w:rsid w:val="00773747"/>
    <w:pPr>
      <w:keepNext/>
      <w:keepLines/>
      <w:spacing w:before="280" w:after="120" w:line="200" w:lineRule="atLeast"/>
      <w:outlineLvl w:val="2"/>
    </w:pPr>
    <w:rPr>
      <w:rFonts w:ascii="Arial" w:eastAsia="MS Gothic" w:hAnsi="Arial" w:cstheme="majorBidi"/>
      <w:b/>
      <w:bCs/>
      <w:color w:val="007940"/>
      <w:sz w:val="24"/>
      <w:szCs w:val="26"/>
      <w:lang w:eastAsia="en-US"/>
    </w:rPr>
  </w:style>
  <w:style w:type="paragraph" w:styleId="Heading4">
    <w:name w:val="heading 4"/>
    <w:next w:val="VACRCbody"/>
    <w:link w:val="Heading4Char"/>
    <w:uiPriority w:val="1"/>
    <w:unhideWhenUsed/>
    <w:qFormat/>
    <w:rsid w:val="00773747"/>
    <w:pPr>
      <w:keepNext/>
      <w:keepLines/>
      <w:spacing w:before="240" w:after="120" w:line="240" w:lineRule="atLeast"/>
      <w:ind w:left="851"/>
      <w:outlineLvl w:val="3"/>
    </w:pPr>
    <w:rPr>
      <w:rFonts w:ascii="Arial" w:eastAsia="MS Mincho" w:hAnsi="Arial" w:cstheme="majorBidi"/>
      <w:b/>
      <w:bCs/>
      <w:color w:val="007940"/>
      <w:sz w:val="22"/>
      <w:lang w:eastAsia="en-US"/>
    </w:rPr>
  </w:style>
  <w:style w:type="paragraph" w:styleId="Heading5">
    <w:name w:val="heading 5"/>
    <w:basedOn w:val="Normal"/>
    <w:next w:val="Normal"/>
    <w:link w:val="Heading5Char"/>
    <w:uiPriority w:val="9"/>
    <w:semiHidden/>
    <w:rsid w:val="00A062B1"/>
    <w:pPr>
      <w:spacing w:before="240" w:after="60"/>
      <w:ind w:left="68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iPriority w:val="9"/>
    <w:semiHidden/>
    <w:unhideWhenUsed/>
    <w:qFormat/>
    <w:rsid w:val="00C40BFD"/>
    <w:pPr>
      <w:keepNext/>
      <w:keepLines/>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
    <w:semiHidden/>
    <w:unhideWhenUsed/>
    <w:qFormat/>
    <w:rsid w:val="00C40BFD"/>
    <w:pPr>
      <w:keepNext/>
      <w:keepLines/>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
    <w:semiHidden/>
    <w:unhideWhenUsed/>
    <w:qFormat/>
    <w:rsid w:val="00C40B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0B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D1044"/>
    <w:rPr>
      <w:rFonts w:ascii="Arial" w:eastAsia="MS Gothic" w:hAnsi="Arial" w:cs="Arial"/>
      <w:b/>
      <w:bCs/>
      <w:color w:val="007940"/>
      <w:kern w:val="32"/>
      <w:sz w:val="32"/>
      <w:szCs w:val="40"/>
      <w:lang w:eastAsia="en-US"/>
    </w:rPr>
  </w:style>
  <w:style w:type="character" w:customStyle="1" w:styleId="Heading2Char">
    <w:name w:val="Heading 2 Char"/>
    <w:link w:val="Heading2"/>
    <w:uiPriority w:val="1"/>
    <w:rsid w:val="00CF4E5C"/>
    <w:rPr>
      <w:rFonts w:ascii="Arial" w:eastAsiaTheme="majorEastAsia" w:hAnsi="Arial" w:cstheme="majorBidi"/>
      <w:bCs/>
      <w:color w:val="007940"/>
      <w:kern w:val="32"/>
      <w:sz w:val="28"/>
      <w:szCs w:val="28"/>
      <w:lang w:eastAsia="en-US"/>
    </w:rPr>
  </w:style>
  <w:style w:type="character" w:customStyle="1" w:styleId="Heading3Char">
    <w:name w:val="Heading 3 Char"/>
    <w:link w:val="Heading3"/>
    <w:uiPriority w:val="1"/>
    <w:rsid w:val="00773747"/>
    <w:rPr>
      <w:rFonts w:ascii="Arial" w:eastAsia="MS Gothic" w:hAnsi="Arial" w:cstheme="majorBidi"/>
      <w:b/>
      <w:bCs/>
      <w:color w:val="007940"/>
      <w:sz w:val="24"/>
      <w:szCs w:val="26"/>
      <w:lang w:eastAsia="en-US"/>
    </w:rPr>
  </w:style>
  <w:style w:type="character" w:customStyle="1" w:styleId="Heading4Char">
    <w:name w:val="Heading 4 Char"/>
    <w:link w:val="Heading4"/>
    <w:uiPriority w:val="1"/>
    <w:rsid w:val="00773747"/>
    <w:rPr>
      <w:rFonts w:ascii="Arial" w:eastAsia="MS Mincho" w:hAnsi="Arial" w:cstheme="majorBidi"/>
      <w:b/>
      <w:bCs/>
      <w:color w:val="007940"/>
      <w:sz w:val="22"/>
      <w:lang w:eastAsia="en-US"/>
    </w:rPr>
  </w:style>
  <w:style w:type="paragraph" w:customStyle="1" w:styleId="VACRCbodynospace">
    <w:name w:val="VACRC body no space"/>
    <w:basedOn w:val="VACRC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Title"/>
    <w:next w:val="Normal"/>
    <w:link w:val="SubtitleChar"/>
    <w:uiPriority w:val="11"/>
    <w:semiHidden/>
    <w:rsid w:val="00D565B4"/>
    <w:pPr>
      <w:spacing w:before="240" w:after="120"/>
    </w:pPr>
    <w:rPr>
      <w:rFonts w:ascii="Arial" w:hAnsi="Arial"/>
      <w:sz w:val="28"/>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VACRCreportsubtitlecover">
    <w:name w:val="VACRC report subtitle cover"/>
    <w:basedOn w:val="Normal"/>
    <w:uiPriority w:val="4"/>
    <w:rsid w:val="009038A5"/>
    <w:pPr>
      <w:spacing w:after="120" w:line="380" w:lineRule="atLeast"/>
      <w:ind w:left="720"/>
    </w:pPr>
    <w:rPr>
      <w:rFonts w:ascii="Arial" w:hAnsi="Arial"/>
      <w:color w:val="000000" w:themeColor="text1"/>
      <w:sz w:val="32"/>
      <w:szCs w:val="30"/>
    </w:rPr>
  </w:style>
  <w:style w:type="paragraph" w:styleId="FootnoteText">
    <w:name w:val="footnote text"/>
    <w:basedOn w:val="Normal"/>
    <w:link w:val="FootnoteTextChar"/>
    <w:uiPriority w:val="99"/>
    <w:qFormat/>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keepNext/>
      <w:keepLines/>
      <w:tabs>
        <w:tab w:val="left" w:pos="567"/>
        <w:tab w:val="right" w:leader="dot" w:pos="10204"/>
      </w:tabs>
      <w:spacing w:before="160" w:after="60" w:line="270" w:lineRule="atLeast"/>
    </w:pPr>
    <w:rPr>
      <w:rFonts w:ascii="Arial" w:hAnsi="Arial"/>
      <w:b/>
      <w:noProof/>
      <w:color w:val="000000" w:themeColor="text1"/>
    </w:rPr>
  </w:style>
  <w:style w:type="paragraph" w:styleId="TOC2">
    <w:name w:val="toc 2"/>
    <w:basedOn w:val="Normal"/>
    <w:next w:val="Normal"/>
    <w:uiPriority w:val="39"/>
    <w:rsid w:val="00BE6A62"/>
    <w:pPr>
      <w:keepNext/>
      <w:keepLines/>
      <w:tabs>
        <w:tab w:val="left" w:pos="567"/>
        <w:tab w:val="right" w:leader="dot" w:pos="10204"/>
      </w:tabs>
      <w:spacing w:after="60" w:line="270" w:lineRule="atLeast"/>
    </w:pPr>
    <w:rPr>
      <w:rFonts w:ascii="Arial" w:hAnsi="Arial"/>
      <w:noProof/>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VACRCreportmaintitlecover">
    <w:name w:val="VACRC report main title cover"/>
    <w:uiPriority w:val="4"/>
    <w:rsid w:val="009038A5"/>
    <w:pPr>
      <w:keepLines/>
      <w:spacing w:after="240" w:line="580" w:lineRule="atLeast"/>
      <w:ind w:left="720"/>
    </w:pPr>
    <w:rPr>
      <w:rFonts w:ascii="Arial" w:hAnsi="Arial"/>
      <w:b/>
      <w:bCs/>
      <w:color w:val="000000" w:themeColor="text1"/>
      <w:sz w:val="52"/>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semiHidden/>
    <w:unhideWhenUsed/>
    <w:qFormat/>
    <w:rsid w:val="00C40BFD"/>
    <w:pPr>
      <w:spacing w:after="120"/>
    </w:pPr>
  </w:style>
  <w:style w:type="character" w:customStyle="1" w:styleId="BodyTextChar">
    <w:name w:val="Body Text Char"/>
    <w:basedOn w:val="DefaultParagraphFont"/>
    <w:link w:val="BodyText"/>
    <w:uiPriority w:val="1"/>
    <w:semiHidden/>
    <w:rsid w:val="00C40BFD"/>
    <w:rPr>
      <w:rFonts w:ascii="Cambria" w:hAnsi="Cambria"/>
      <w:lang w:eastAsia="en-US"/>
    </w:rPr>
  </w:style>
  <w:style w:type="paragraph" w:customStyle="1" w:styleId="VACRCfooter">
    <w:name w:val="VACRC footer"/>
    <w:uiPriority w:val="11"/>
    <w:rsid w:val="00140BA7"/>
    <w:pPr>
      <w:tabs>
        <w:tab w:val="right" w:pos="9299"/>
      </w:tabs>
      <w:spacing w:after="40"/>
    </w:pPr>
    <w:rPr>
      <w:rFonts w:ascii="Arial" w:hAnsi="Arial"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VACRCheader">
    <w:name w:val="VACRC header"/>
    <w:basedOn w:val="VACRCfooter"/>
    <w:uiPriority w:val="11"/>
    <w:rsid w:val="004B65F7"/>
    <w:pPr>
      <w:tabs>
        <w:tab w:val="clear" w:pos="9299"/>
        <w:tab w:val="right" w:pos="8505"/>
      </w:tabs>
      <w:ind w:left="284"/>
    </w:pPr>
    <w:rPr>
      <w:color w:val="FFFFFF" w:themeColor="background1"/>
    </w:rPr>
  </w:style>
  <w:style w:type="character" w:styleId="Strong">
    <w:name w:val="Strong"/>
    <w:uiPriority w:val="22"/>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VACTOCheadingreport">
    <w:name w:val="VAC TOC heading report"/>
    <w:link w:val="VACTOCheadingreportChar"/>
    <w:uiPriority w:val="5"/>
    <w:rsid w:val="00DB51DB"/>
    <w:rPr>
      <w:rFonts w:ascii="Arial" w:eastAsia="MS Gothic" w:hAnsi="Arial" w:cs="Arial"/>
      <w:b/>
      <w:bCs/>
      <w:color w:val="007940"/>
      <w:kern w:val="32"/>
      <w:sz w:val="40"/>
      <w:szCs w:val="40"/>
      <w:lang w:eastAsia="en-US"/>
    </w:rPr>
  </w:style>
  <w:style w:type="character" w:customStyle="1" w:styleId="VACTOCheadingreportChar">
    <w:name w:val="VAC TOC heading report Char"/>
    <w:link w:val="VACTOCheadingreport"/>
    <w:uiPriority w:val="5"/>
    <w:rsid w:val="00DB51DB"/>
    <w:rPr>
      <w:rFonts w:ascii="Arial" w:eastAsia="MS Gothic" w:hAnsi="Arial" w:cs="Arial"/>
      <w:b/>
      <w:bCs/>
      <w:color w:val="007940"/>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semiHidden/>
    <w:rsid w:val="00D565B4"/>
    <w:rPr>
      <w:rFonts w:ascii="Arial" w:eastAsiaTheme="majorEastAsia" w:hAnsi="Arial" w:cstheme="majorBidi"/>
      <w:b/>
      <w:spacing w:val="-10"/>
      <w:kern w:val="28"/>
      <w:sz w:val="28"/>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3"/>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4"/>
      </w:numPr>
    </w:pPr>
  </w:style>
  <w:style w:type="numbering" w:customStyle="1" w:styleId="ZZTablebullets">
    <w:name w:val="ZZ Table bullets"/>
    <w:basedOn w:val="NoList"/>
    <w:rsid w:val="008669BE"/>
    <w:pPr>
      <w:numPr>
        <w:numId w:val="6"/>
      </w:numPr>
    </w:pPr>
  </w:style>
  <w:style w:type="paragraph" w:customStyle="1" w:styleId="VACRCbody">
    <w:name w:val="VACRC body"/>
    <w:link w:val="VACRCbodyChar"/>
    <w:qFormat/>
    <w:rsid w:val="00BE6A62"/>
    <w:pPr>
      <w:spacing w:after="120" w:line="250" w:lineRule="atLeast"/>
      <w:ind w:left="851"/>
    </w:pPr>
    <w:rPr>
      <w:rFonts w:ascii="Arial" w:eastAsia="Times" w:hAnsi="Arial"/>
      <w:sz w:val="22"/>
      <w:lang w:eastAsia="en-US"/>
    </w:rPr>
  </w:style>
  <w:style w:type="paragraph" w:customStyle="1" w:styleId="VACRClist-bulletlevel1">
    <w:name w:val="VACRC list - bullet level 1"/>
    <w:basedOn w:val="VACRCbody"/>
    <w:qFormat/>
    <w:rsid w:val="00BE6A62"/>
    <w:pPr>
      <w:numPr>
        <w:numId w:val="15"/>
      </w:numPr>
      <w:tabs>
        <w:tab w:val="clear" w:pos="680"/>
        <w:tab w:val="num" w:pos="1134"/>
      </w:tabs>
      <w:spacing w:after="40"/>
      <w:ind w:left="1134"/>
    </w:pPr>
  </w:style>
  <w:style w:type="paragraph" w:customStyle="1" w:styleId="VACRCtabletext">
    <w:name w:val="VACRC table text"/>
    <w:uiPriority w:val="3"/>
    <w:qFormat/>
    <w:rsid w:val="00C40BFD"/>
    <w:pPr>
      <w:spacing w:before="80" w:after="60"/>
    </w:pPr>
    <w:rPr>
      <w:rFonts w:ascii="Arial" w:hAnsi="Arial"/>
      <w:sz w:val="22"/>
      <w:lang w:eastAsia="en-US"/>
    </w:rPr>
  </w:style>
  <w:style w:type="paragraph" w:customStyle="1" w:styleId="VACRCtablecaption">
    <w:name w:val="VACRC table caption"/>
    <w:next w:val="VACRC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VACRCbody-introbold115">
    <w:name w:val="VACRC body - intro bold 11.5"/>
    <w:basedOn w:val="VACRCbody"/>
    <w:uiPriority w:val="11"/>
    <w:rsid w:val="00BE6A62"/>
    <w:pPr>
      <w:spacing w:after="240"/>
    </w:pPr>
    <w:rPr>
      <w:b/>
      <w:sz w:val="23"/>
    </w:rPr>
  </w:style>
  <w:style w:type="paragraph" w:customStyle="1" w:styleId="VACRCfigurecaption">
    <w:name w:val="VACRC figure caption"/>
    <w:next w:val="VACRCbody"/>
    <w:rsid w:val="00BE6A62"/>
    <w:pPr>
      <w:keepNext/>
      <w:keepLines/>
      <w:spacing w:before="240" w:after="120"/>
      <w:ind w:left="851"/>
    </w:pPr>
    <w:rPr>
      <w:rFonts w:ascii="Arial" w:hAnsi="Arial"/>
      <w:i/>
      <w:color w:val="000000" w:themeColor="text1"/>
      <w:sz w:val="22"/>
      <w:lang w:eastAsia="en-US"/>
    </w:rPr>
  </w:style>
  <w:style w:type="paragraph" w:customStyle="1" w:styleId="VACRClist-bulletlevel2">
    <w:name w:val="VACRC list - bullet level 2"/>
    <w:basedOn w:val="VACRCbody"/>
    <w:uiPriority w:val="2"/>
    <w:qFormat/>
    <w:rsid w:val="00BE6A62"/>
    <w:pPr>
      <w:numPr>
        <w:ilvl w:val="1"/>
        <w:numId w:val="15"/>
      </w:numPr>
      <w:spacing w:after="40"/>
      <w:ind w:left="1701"/>
    </w:pPr>
  </w:style>
  <w:style w:type="paragraph" w:customStyle="1" w:styleId="VACRCbodyafterbullets">
    <w:name w:val="VACRC body after bullets"/>
    <w:basedOn w:val="VACRCbody"/>
    <w:uiPriority w:val="11"/>
    <w:rsid w:val="00BE6A62"/>
    <w:pPr>
      <w:spacing w:before="120"/>
    </w:pPr>
  </w:style>
  <w:style w:type="paragraph" w:customStyle="1" w:styleId="VACRCtablebullet2">
    <w:name w:val="VACRC table bullet 2"/>
    <w:basedOn w:val="VACRCtabletext"/>
    <w:uiPriority w:val="11"/>
    <w:rsid w:val="00BE6A62"/>
    <w:pPr>
      <w:numPr>
        <w:ilvl w:val="1"/>
        <w:numId w:val="14"/>
      </w:numPr>
      <w:tabs>
        <w:tab w:val="clear" w:pos="227"/>
        <w:tab w:val="num" w:pos="369"/>
      </w:tabs>
      <w:ind w:left="596"/>
    </w:pPr>
  </w:style>
  <w:style w:type="paragraph" w:customStyle="1" w:styleId="VACRCtablebullet1">
    <w:name w:val="VACRC table bullet 1"/>
    <w:basedOn w:val="VACRCtabletext"/>
    <w:uiPriority w:val="3"/>
    <w:qFormat/>
    <w:rsid w:val="00BE6A62"/>
    <w:pPr>
      <w:numPr>
        <w:numId w:val="16"/>
      </w:numPr>
      <w:ind w:left="312" w:hanging="283"/>
    </w:pPr>
  </w:style>
  <w:style w:type="paragraph" w:customStyle="1" w:styleId="VACRClist-bulletsafterlevel1numberromanoralpha">
    <w:name w:val="VACRC list - bullets after level 1 number roman or alpha"/>
    <w:basedOn w:val="VACRCbody"/>
    <w:uiPriority w:val="4"/>
    <w:rsid w:val="00BE6A62"/>
    <w:pPr>
      <w:numPr>
        <w:numId w:val="2"/>
      </w:numPr>
      <w:ind w:left="1560"/>
    </w:pPr>
  </w:style>
  <w:style w:type="character" w:customStyle="1" w:styleId="FootnoteTextChar">
    <w:name w:val="Footnote Text Char"/>
    <w:link w:val="FootnoteText"/>
    <w:uiPriority w:val="99"/>
    <w:qFormat/>
    <w:rsid w:val="00F95057"/>
    <w:rPr>
      <w:rFonts w:ascii="Arial" w:eastAsia="MS Gothic" w:hAnsi="Arial" w:cs="Arial"/>
      <w:sz w:val="16"/>
      <w:szCs w:val="16"/>
      <w:lang w:eastAsia="en-US"/>
    </w:rPr>
  </w:style>
  <w:style w:type="paragraph" w:customStyle="1" w:styleId="VACRClist-numberdigitlevel1">
    <w:name w:val="VACRC list - number digit level 1"/>
    <w:basedOn w:val="VACRCbody"/>
    <w:uiPriority w:val="2"/>
    <w:rsid w:val="00BE6A62"/>
    <w:pPr>
      <w:numPr>
        <w:numId w:val="12"/>
      </w:numPr>
      <w:tabs>
        <w:tab w:val="clear" w:pos="680"/>
        <w:tab w:val="num" w:pos="1276"/>
      </w:tabs>
      <w:ind w:left="1276"/>
    </w:pPr>
  </w:style>
  <w:style w:type="paragraph" w:customStyle="1" w:styleId="VACRClist-loweralphalevel2">
    <w:name w:val="VACRC list - lower alpha level 2"/>
    <w:basedOn w:val="VACRCbody"/>
    <w:uiPriority w:val="3"/>
    <w:rsid w:val="00BE6A62"/>
    <w:pPr>
      <w:numPr>
        <w:numId w:val="9"/>
      </w:numPr>
      <w:ind w:left="1701"/>
    </w:pPr>
  </w:style>
  <w:style w:type="paragraph" w:customStyle="1" w:styleId="VACRClist-numberdigitlevel2">
    <w:name w:val="VACRC list - number digit level 2"/>
    <w:basedOn w:val="VACRClist-loweralphalevel2"/>
    <w:uiPriority w:val="3"/>
    <w:rsid w:val="00BE6A62"/>
  </w:style>
  <w:style w:type="paragraph" w:customStyle="1" w:styleId="VACRClist-loweralphalevel1">
    <w:name w:val="VACRC list - lower alpha level 1"/>
    <w:basedOn w:val="VACRCbody"/>
    <w:uiPriority w:val="3"/>
    <w:rsid w:val="00BE6A62"/>
    <w:pPr>
      <w:numPr>
        <w:numId w:val="3"/>
      </w:numPr>
      <w:tabs>
        <w:tab w:val="num" w:pos="1276"/>
      </w:tabs>
      <w:ind w:left="1276"/>
    </w:pPr>
  </w:style>
  <w:style w:type="paragraph" w:customStyle="1" w:styleId="VACRClist-lowerromanlevel1">
    <w:name w:val="VACRC list - lower roman level 1"/>
    <w:basedOn w:val="VACRCbody"/>
    <w:uiPriority w:val="3"/>
    <w:rsid w:val="00BE6A62"/>
    <w:pPr>
      <w:numPr>
        <w:numId w:val="11"/>
      </w:numPr>
      <w:ind w:left="1276"/>
    </w:pPr>
  </w:style>
  <w:style w:type="paragraph" w:customStyle="1" w:styleId="VACRClist-lowerromanlevel2">
    <w:name w:val="VACRC list - lower roman level 2"/>
    <w:basedOn w:val="VACRCbody"/>
    <w:uiPriority w:val="3"/>
    <w:rsid w:val="00BE6A62"/>
    <w:pPr>
      <w:numPr>
        <w:numId w:val="4"/>
      </w:numPr>
      <w:ind w:left="1701"/>
    </w:pPr>
  </w:style>
  <w:style w:type="paragraph" w:customStyle="1" w:styleId="VACRCquote">
    <w:name w:val="VACRC quote"/>
    <w:basedOn w:val="VACRCbody"/>
    <w:uiPriority w:val="4"/>
    <w:rsid w:val="00BE6A62"/>
    <w:pPr>
      <w:ind w:left="1276"/>
    </w:pPr>
    <w:rPr>
      <w:i/>
      <w:szCs w:val="18"/>
    </w:rPr>
  </w:style>
  <w:style w:type="paragraph" w:customStyle="1" w:styleId="VACRCtablefigurenote">
    <w:name w:val="VACRC table/figure note"/>
    <w:uiPriority w:val="4"/>
    <w:rsid w:val="00BE6A62"/>
    <w:pPr>
      <w:spacing w:before="60" w:after="60" w:line="220" w:lineRule="exact"/>
      <w:ind w:left="851"/>
    </w:pPr>
    <w:rPr>
      <w:rFonts w:ascii="Arial" w:hAnsi="Arial"/>
      <w:sz w:val="18"/>
      <w:lang w:eastAsia="en-US"/>
    </w:rPr>
  </w:style>
  <w:style w:type="paragraph" w:customStyle="1" w:styleId="VACRCbodyaftertablefigure">
    <w:name w:val="VACRC body after table/figure"/>
    <w:basedOn w:val="VACRCbody"/>
    <w:next w:val="VACRCbody"/>
    <w:uiPriority w:val="1"/>
    <w:rsid w:val="00BE6A62"/>
    <w:pPr>
      <w:spacing w:before="240"/>
    </w:pPr>
  </w:style>
  <w:style w:type="paragraph" w:customStyle="1" w:styleId="VACRClist-bulletsafterlevel2numberromanoralpha">
    <w:name w:val="VACRC list - bullets after level 2 number roman or alpha"/>
    <w:basedOn w:val="VACRCbody"/>
    <w:rsid w:val="00BE6A62"/>
    <w:pPr>
      <w:numPr>
        <w:ilvl w:val="1"/>
        <w:numId w:val="2"/>
      </w:numPr>
      <w:ind w:left="1985"/>
    </w:pPr>
  </w:style>
  <w:style w:type="paragraph" w:customStyle="1" w:styleId="VACRCquotebullet1">
    <w:name w:val="VACRC quote bullet 1"/>
    <w:basedOn w:val="VACRCquote"/>
    <w:rsid w:val="00BE6A62"/>
    <w:pPr>
      <w:numPr>
        <w:numId w:val="5"/>
      </w:numPr>
      <w:tabs>
        <w:tab w:val="clear" w:pos="1304"/>
        <w:tab w:val="num" w:pos="1701"/>
      </w:tabs>
      <w:ind w:left="1701"/>
    </w:pPr>
  </w:style>
  <w:style w:type="paragraph" w:customStyle="1" w:styleId="VACRCquotebullet2">
    <w:name w:val="VACRC quote bullet 2"/>
    <w:basedOn w:val="VACRCquote"/>
    <w:rsid w:val="00BE6A62"/>
    <w:pPr>
      <w:numPr>
        <w:ilvl w:val="1"/>
        <w:numId w:val="5"/>
      </w:numPr>
      <w:ind w:left="2127"/>
    </w:pPr>
  </w:style>
  <w:style w:type="paragraph" w:customStyle="1" w:styleId="VACRCtablecolumnheadwhite">
    <w:name w:val="VACRC table column head white"/>
    <w:basedOn w:val="Normal"/>
    <w:uiPriority w:val="11"/>
    <w:qFormat/>
    <w:rsid w:val="00BE6A62"/>
    <w:pPr>
      <w:spacing w:before="80" w:after="60"/>
    </w:pPr>
    <w:rPr>
      <w:rFonts w:ascii="Arial" w:hAnsi="Arial"/>
      <w:color w:val="FFFFFF" w:themeColor="background1"/>
      <w:sz w:val="22"/>
    </w:rPr>
  </w:style>
  <w:style w:type="table" w:customStyle="1" w:styleId="DJRtablestyleNavy">
    <w:name w:val="DJR table style Navy"/>
    <w:basedOn w:val="TableNormal"/>
    <w:uiPriority w:val="99"/>
    <w:rsid w:val="00B70DBF"/>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table" w:customStyle="1" w:styleId="DJRReporttablestyleNavy">
    <w:name w:val="DJR Report table style Navy"/>
    <w:basedOn w:val="TableNormal"/>
    <w:uiPriority w:val="99"/>
    <w:rsid w:val="00BE6A62"/>
    <w:pPr>
      <w:spacing w:before="80" w:after="60"/>
    </w:pPr>
    <w:rPr>
      <w:rFonts w:ascii="Arial" w:hAnsi="Arial"/>
    </w:rPr>
    <w:tblPr>
      <w:tblInd w:w="680" w:type="dxa"/>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blStylePr w:type="firstRow">
      <w:rPr>
        <w:rFonts w:ascii="Arial" w:hAnsi="Arial"/>
        <w:b/>
        <w:sz w:val="22"/>
      </w:rPr>
      <w:tblPr/>
      <w:tcPr>
        <w:tcBorders>
          <w:insideV w:val="single" w:sz="4" w:space="0" w:color="FFFFFF" w:themeColor="background1"/>
        </w:tcBorders>
        <w:shd w:val="clear" w:color="auto" w:fill="16145F" w:themeFill="text2"/>
      </w:tcPr>
    </w:tblStylePr>
  </w:style>
  <w:style w:type="numbering" w:customStyle="1" w:styleId="zzzznumberloweralphaindent">
    <w:name w:val="zzzz number lower alpha indent"/>
    <w:uiPriority w:val="99"/>
    <w:rsid w:val="008E5250"/>
    <w:pPr>
      <w:numPr>
        <w:numId w:val="9"/>
      </w:numPr>
    </w:pPr>
  </w:style>
  <w:style w:type="paragraph" w:customStyle="1" w:styleId="VACRCsmallgapbetweentables">
    <w:name w:val="VACRC small gap between tables"/>
    <w:basedOn w:val="VACRCbodynospace"/>
    <w:rsid w:val="002E4A35"/>
    <w:pPr>
      <w:spacing w:line="120" w:lineRule="atLeast"/>
    </w:pPr>
    <w:rPr>
      <w:sz w:val="12"/>
    </w:rPr>
  </w:style>
  <w:style w:type="numbering" w:customStyle="1" w:styleId="zzDJRbullets">
    <w:name w:val="zz DJR bullets"/>
    <w:uiPriority w:val="99"/>
    <w:rsid w:val="00246AB1"/>
    <w:pPr>
      <w:numPr>
        <w:numId w:val="10"/>
      </w:numPr>
    </w:pPr>
  </w:style>
  <w:style w:type="numbering" w:customStyle="1" w:styleId="zznumberloweralpharoman">
    <w:name w:val="zz number lower alpha roman"/>
    <w:uiPriority w:val="99"/>
    <w:rsid w:val="00BD1590"/>
    <w:pPr>
      <w:numPr>
        <w:numId w:val="11"/>
      </w:numPr>
    </w:pPr>
  </w:style>
  <w:style w:type="numbering" w:customStyle="1" w:styleId="zzDJRnumberdigit">
    <w:name w:val="zz DJR number digit"/>
    <w:uiPriority w:val="99"/>
    <w:rsid w:val="0092109A"/>
    <w:pPr>
      <w:numPr>
        <w:numId w:val="13"/>
      </w:numPr>
    </w:pPr>
  </w:style>
  <w:style w:type="character" w:customStyle="1" w:styleId="VACRCbodyincontentcontrolbox">
    <w:name w:val="VACRC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Normal"/>
    <w:next w:val="Normal"/>
    <w:uiPriority w:val="35"/>
    <w:semiHidden/>
    <w:unhideWhenUsed/>
    <w:qFormat/>
    <w:rsid w:val="00C40BFD"/>
    <w:pPr>
      <w:spacing w:after="200"/>
    </w:pPr>
    <w:rPr>
      <w:i/>
      <w:iCs/>
      <w:color w:val="16145F" w:themeColor="text2"/>
      <w:sz w:val="18"/>
      <w:szCs w:val="18"/>
    </w:rPr>
  </w:style>
  <w:style w:type="paragraph" w:styleId="IntenseQuote">
    <w:name w:val="Intense Quote"/>
    <w:basedOn w:val="Normal"/>
    <w:next w:val="Normal"/>
    <w:link w:val="IntenseQuoteChar"/>
    <w:uiPriority w:val="60"/>
    <w:semiHidden/>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semiHidden/>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19"/>
    <w:qFormat/>
    <w:rsid w:val="004E634F"/>
    <w:rPr>
      <w:i/>
      <w:iCs/>
      <w:color w:val="404040" w:themeColor="text1" w:themeTint="BF"/>
    </w:rPr>
  </w:style>
  <w:style w:type="character" w:styleId="IntenseEmphasis">
    <w:name w:val="Intense Emphasis"/>
    <w:basedOn w:val="DefaultParagraphFont"/>
    <w:uiPriority w:val="66"/>
    <w:semiHidden/>
    <w:rsid w:val="004E634F"/>
    <w:rPr>
      <w:i/>
      <w:iCs/>
      <w:color w:val="007DC3" w:themeColor="accent1"/>
    </w:rPr>
  </w:style>
  <w:style w:type="character" w:styleId="SubtleReference">
    <w:name w:val="Subtle Reference"/>
    <w:basedOn w:val="DefaultParagraphFont"/>
    <w:uiPriority w:val="67"/>
    <w:semiHidden/>
    <w:rsid w:val="004E634F"/>
    <w:rPr>
      <w:smallCaps/>
      <w:color w:val="5A5A5A" w:themeColor="text1" w:themeTint="A5"/>
    </w:rPr>
  </w:style>
  <w:style w:type="character" w:styleId="IntenseReference">
    <w:name w:val="Intense Reference"/>
    <w:basedOn w:val="DefaultParagraphFont"/>
    <w:uiPriority w:val="68"/>
    <w:semiHidden/>
    <w:qFormat/>
    <w:rsid w:val="00C40BFD"/>
    <w:rPr>
      <w:b/>
      <w:bCs/>
      <w:smallCaps/>
      <w:color w:val="007DC3" w:themeColor="accent1"/>
      <w:spacing w:val="5"/>
    </w:rPr>
  </w:style>
  <w:style w:type="character" w:styleId="BookTitle">
    <w:name w:val="Book Title"/>
    <w:basedOn w:val="DefaultParagraphFont"/>
    <w:uiPriority w:val="69"/>
    <w:semiHidden/>
    <w:qFormat/>
    <w:rsid w:val="00C40BFD"/>
    <w:rPr>
      <w:b/>
      <w:bCs/>
      <w:i/>
      <w:iCs/>
      <w:spacing w:val="5"/>
    </w:rPr>
  </w:style>
  <w:style w:type="paragraph" w:styleId="TOCHeading">
    <w:name w:val="TOC Heading"/>
    <w:basedOn w:val="Heading1"/>
    <w:next w:val="Normal"/>
    <w:uiPriority w:val="39"/>
    <w:unhideWhenUsed/>
    <w:qFormat/>
    <w:rsid w:val="00C40BFD"/>
    <w:pPr>
      <w:spacing w:before="240" w:after="0" w:line="240" w:lineRule="auto"/>
      <w:outlineLvl w:val="9"/>
    </w:pPr>
    <w:rPr>
      <w:rFonts w:asciiTheme="majorHAnsi" w:eastAsiaTheme="majorEastAsia" w:hAnsiTheme="majorHAnsi" w:cstheme="majorBidi"/>
      <w:b w:val="0"/>
      <w:bCs w:val="0"/>
      <w:color w:val="005D92" w:themeColor="accent1" w:themeShade="BF"/>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basedOn w:val="DefaultParagraphFont"/>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E724BA"/>
    <w:pPr>
      <w:tabs>
        <w:tab w:val="left" w:pos="567"/>
        <w:tab w:val="right" w:leader="dot" w:pos="10206"/>
      </w:tabs>
      <w:spacing w:after="100"/>
      <w:ind w:left="567" w:right="142"/>
    </w:pPr>
    <w:rPr>
      <w:rFonts w:ascii="Arial Nova" w:hAnsi="Arial Nova" w:cs="Arial"/>
      <w:i/>
      <w:iCs/>
      <w:noProof/>
    </w:rPr>
  </w:style>
  <w:style w:type="paragraph" w:customStyle="1" w:styleId="VACRCguidancetext">
    <w:name w:val="VACRC guidance text"/>
    <w:basedOn w:val="VACRCbody"/>
    <w:link w:val="VACRCguidancetextChar"/>
    <w:qFormat/>
    <w:rsid w:val="00DB51DB"/>
    <w:pPr>
      <w:spacing w:before="60" w:after="60"/>
    </w:pPr>
    <w:rPr>
      <w:i/>
      <w:vanish/>
      <w:color w:val="007940"/>
      <w:sz w:val="20"/>
    </w:rPr>
  </w:style>
  <w:style w:type="paragraph" w:customStyle="1" w:styleId="VACtablebullet2">
    <w:name w:val="VAC table bullet 2"/>
    <w:basedOn w:val="VACRCtabletext"/>
    <w:uiPriority w:val="11"/>
    <w:rsid w:val="00216CE8"/>
    <w:pPr>
      <w:tabs>
        <w:tab w:val="num" w:pos="227"/>
      </w:tabs>
      <w:ind w:left="454" w:hanging="227"/>
    </w:pPr>
  </w:style>
  <w:style w:type="character" w:customStyle="1" w:styleId="VACRCbodyChar">
    <w:name w:val="VACRC body Char"/>
    <w:basedOn w:val="DefaultParagraphFont"/>
    <w:link w:val="VACRCbody"/>
    <w:rsid w:val="00216CE8"/>
    <w:rPr>
      <w:rFonts w:ascii="Arial" w:eastAsia="Times" w:hAnsi="Arial"/>
      <w:sz w:val="22"/>
      <w:lang w:eastAsia="en-US"/>
    </w:rPr>
  </w:style>
  <w:style w:type="character" w:customStyle="1" w:styleId="VACRCguidancetextChar">
    <w:name w:val="VACRC guidance text Char"/>
    <w:basedOn w:val="VACRCbodyChar"/>
    <w:link w:val="VACRCguidancetext"/>
    <w:rsid w:val="00DB51DB"/>
    <w:rPr>
      <w:rFonts w:ascii="Arial" w:eastAsia="Times" w:hAnsi="Arial"/>
      <w:i/>
      <w:vanish/>
      <w:color w:val="007940"/>
      <w:sz w:val="22"/>
      <w:lang w:eastAsia="en-US"/>
    </w:rPr>
  </w:style>
  <w:style w:type="paragraph" w:customStyle="1" w:styleId="VACRCbody-landscape">
    <w:name w:val="VACRC body - landscape"/>
    <w:basedOn w:val="VACRCbody"/>
    <w:link w:val="VACRCbody-landscapeChar"/>
    <w:qFormat/>
    <w:rsid w:val="00705C12"/>
    <w:pPr>
      <w:ind w:left="0"/>
    </w:pPr>
  </w:style>
  <w:style w:type="character" w:customStyle="1" w:styleId="VACRCbody-landscapeChar">
    <w:name w:val="VACRC body - landscape Char"/>
    <w:basedOn w:val="VACRCbodyChar"/>
    <w:link w:val="VACRCbody-landscape"/>
    <w:rsid w:val="00705C12"/>
    <w:rPr>
      <w:rFonts w:ascii="Arial" w:eastAsia="Times" w:hAnsi="Arial"/>
      <w:sz w:val="22"/>
      <w:lang w:eastAsia="en-US"/>
    </w:rPr>
  </w:style>
  <w:style w:type="paragraph" w:styleId="BodyTextIndent3">
    <w:name w:val="Body Text Indent 3"/>
    <w:basedOn w:val="Normal"/>
    <w:link w:val="BodyTextIndent3Char"/>
    <w:uiPriority w:val="99"/>
    <w:semiHidden/>
    <w:unhideWhenUsed/>
    <w:rsid w:val="00D30B5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30B5C"/>
    <w:rPr>
      <w:rFonts w:ascii="Cambria" w:hAnsi="Cambria"/>
      <w:sz w:val="16"/>
      <w:szCs w:val="16"/>
      <w:lang w:eastAsia="en-US"/>
    </w:rPr>
  </w:style>
  <w:style w:type="paragraph" w:customStyle="1" w:styleId="FigureLabel">
    <w:name w:val="Figure Label"/>
    <w:next w:val="BodyText"/>
    <w:uiPriority w:val="99"/>
    <w:rsid w:val="00D30B5C"/>
    <w:pPr>
      <w:keepNext/>
      <w:keepLines/>
      <w:tabs>
        <w:tab w:val="left" w:pos="1064"/>
      </w:tabs>
      <w:spacing w:before="240" w:after="240"/>
    </w:pPr>
    <w:rPr>
      <w:rFonts w:ascii="Arial" w:hAnsi="Arial"/>
      <w:b/>
      <w:iCs/>
      <w:lang w:eastAsia="en-US"/>
    </w:rPr>
  </w:style>
  <w:style w:type="paragraph" w:customStyle="1" w:styleId="BodyText-List">
    <w:name w:val="Body Text - List"/>
    <w:link w:val="BodyText-ListChar"/>
    <w:uiPriority w:val="99"/>
    <w:rsid w:val="00D30B5C"/>
    <w:pPr>
      <w:numPr>
        <w:numId w:val="17"/>
      </w:numPr>
      <w:tabs>
        <w:tab w:val="clear" w:pos="720"/>
      </w:tabs>
      <w:spacing w:after="120"/>
      <w:ind w:left="851" w:hanging="284"/>
      <w:jc w:val="both"/>
    </w:pPr>
    <w:rPr>
      <w:rFonts w:ascii="Arial" w:hAnsi="Arial"/>
      <w:lang w:eastAsia="en-US"/>
    </w:rPr>
  </w:style>
  <w:style w:type="character" w:customStyle="1" w:styleId="BodyText-ListChar">
    <w:name w:val="Body Text - List Char"/>
    <w:link w:val="BodyText-List"/>
    <w:uiPriority w:val="99"/>
    <w:locked/>
    <w:rsid w:val="00D30B5C"/>
    <w:rPr>
      <w:rFonts w:ascii="Arial" w:hAnsi="Arial"/>
      <w:lang w:eastAsia="en-US"/>
    </w:rPr>
  </w:style>
  <w:style w:type="paragraph" w:customStyle="1" w:styleId="paragraph">
    <w:name w:val="paragraph"/>
    <w:basedOn w:val="Normal"/>
    <w:rsid w:val="00497E6F"/>
    <w:pPr>
      <w:spacing w:before="100" w:beforeAutospacing="1" w:after="100" w:afterAutospacing="1"/>
    </w:pPr>
    <w:rPr>
      <w:rFonts w:ascii="Times New Roman" w:hAnsi="Times New Roman"/>
      <w:sz w:val="24"/>
      <w:szCs w:val="24"/>
      <w:lang w:eastAsia="en-AU"/>
    </w:rPr>
  </w:style>
  <w:style w:type="character" w:customStyle="1" w:styleId="normaltextrun">
    <w:name w:val="normaltextrun"/>
    <w:basedOn w:val="DefaultParagraphFont"/>
    <w:rsid w:val="00497E6F"/>
  </w:style>
  <w:style w:type="character" w:customStyle="1" w:styleId="eop">
    <w:name w:val="eop"/>
    <w:basedOn w:val="DefaultParagraphFont"/>
    <w:rsid w:val="00497E6F"/>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B44CED"/>
    <w:pPr>
      <w:spacing w:after="160" w:line="259" w:lineRule="auto"/>
      <w:ind w:left="720"/>
      <w:contextualSpacing/>
    </w:pPr>
    <w:rPr>
      <w:rFonts w:ascii="Times New Roman" w:eastAsiaTheme="minorHAnsi" w:hAnsi="Times New Roman"/>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44CED"/>
    <w:rPr>
      <w:rFonts w:eastAsiaTheme="minorHAnsi"/>
      <w:sz w:val="24"/>
      <w:szCs w:val="24"/>
      <w:lang w:eastAsia="en-US"/>
    </w:rPr>
  </w:style>
  <w:style w:type="character" w:styleId="FootnoteReference">
    <w:name w:val="footnote reference"/>
    <w:basedOn w:val="DefaultParagraphFont"/>
    <w:uiPriority w:val="99"/>
    <w:unhideWhenUsed/>
    <w:rsid w:val="0048121A"/>
    <w:rPr>
      <w:vertAlign w:val="superscript"/>
    </w:rPr>
  </w:style>
  <w:style w:type="paragraph" w:styleId="CommentText">
    <w:name w:val="annotation text"/>
    <w:basedOn w:val="Normal"/>
    <w:link w:val="CommentTextChar"/>
    <w:uiPriority w:val="99"/>
    <w:unhideWhenUsed/>
    <w:rsid w:val="0048121A"/>
    <w:pPr>
      <w:spacing w:after="160"/>
    </w:pPr>
    <w:rPr>
      <w:rFonts w:ascii="Times New Roman" w:eastAsiaTheme="minorHAnsi" w:hAnsi="Times New Roman"/>
    </w:rPr>
  </w:style>
  <w:style w:type="character" w:customStyle="1" w:styleId="CommentTextChar">
    <w:name w:val="Comment Text Char"/>
    <w:basedOn w:val="DefaultParagraphFont"/>
    <w:link w:val="CommentText"/>
    <w:uiPriority w:val="99"/>
    <w:rsid w:val="0048121A"/>
    <w:rPr>
      <w:rFonts w:eastAsiaTheme="minorHAnsi"/>
      <w:lang w:eastAsia="en-US"/>
    </w:rPr>
  </w:style>
  <w:style w:type="table" w:customStyle="1" w:styleId="TableGrid1">
    <w:name w:val="Table Grid1"/>
    <w:basedOn w:val="TableNormal"/>
    <w:next w:val="TableGrid"/>
    <w:uiPriority w:val="39"/>
    <w:rsid w:val="001E2D71"/>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60A81"/>
    <w:rPr>
      <w:sz w:val="16"/>
      <w:szCs w:val="16"/>
    </w:rPr>
  </w:style>
  <w:style w:type="paragraph" w:styleId="CommentSubject">
    <w:name w:val="annotation subject"/>
    <w:basedOn w:val="CommentText"/>
    <w:next w:val="CommentText"/>
    <w:link w:val="CommentSubjectChar"/>
    <w:uiPriority w:val="99"/>
    <w:semiHidden/>
    <w:unhideWhenUsed/>
    <w:rsid w:val="00A60A81"/>
    <w:pPr>
      <w:spacing w:after="0"/>
    </w:pPr>
    <w:rPr>
      <w:rFonts w:ascii="Cambria" w:eastAsia="Times New Roman" w:hAnsi="Cambria"/>
      <w:b/>
      <w:bCs/>
    </w:rPr>
  </w:style>
  <w:style w:type="character" w:customStyle="1" w:styleId="CommentSubjectChar">
    <w:name w:val="Comment Subject Char"/>
    <w:basedOn w:val="CommentTextChar"/>
    <w:link w:val="CommentSubject"/>
    <w:uiPriority w:val="99"/>
    <w:semiHidden/>
    <w:rsid w:val="00A60A81"/>
    <w:rPr>
      <w:rFonts w:ascii="Cambria" w:eastAsiaTheme="minorHAnsi" w:hAnsi="Cambria"/>
      <w:b/>
      <w:bCs/>
      <w:lang w:eastAsia="en-US"/>
    </w:rPr>
  </w:style>
  <w:style w:type="table" w:customStyle="1" w:styleId="17">
    <w:name w:val="17"/>
    <w:basedOn w:val="TableNormal"/>
    <w:rsid w:val="00311009"/>
    <w:pPr>
      <w:spacing w:line="276" w:lineRule="auto"/>
    </w:pPr>
    <w:rPr>
      <w:rFonts w:ascii="Arial" w:eastAsia="Arial" w:hAnsi="Arial" w:cs="Arial"/>
      <w:sz w:val="22"/>
      <w:szCs w:val="22"/>
      <w:lang w:val="en" w:eastAsia="en-GB"/>
    </w:rPr>
    <w:tblPr>
      <w:tblStyleRowBandSize w:val="1"/>
      <w:tblStyleColBandSize w:val="1"/>
      <w:tblCellMar>
        <w:top w:w="100" w:type="dxa"/>
        <w:left w:w="100" w:type="dxa"/>
        <w:bottom w:w="100" w:type="dxa"/>
        <w:right w:w="100" w:type="dxa"/>
      </w:tblCellMar>
    </w:tblPr>
  </w:style>
  <w:style w:type="table" w:customStyle="1" w:styleId="15">
    <w:name w:val="15"/>
    <w:basedOn w:val="TableNormal"/>
    <w:rsid w:val="00F41B13"/>
    <w:pPr>
      <w:spacing w:line="276" w:lineRule="auto"/>
    </w:pPr>
    <w:rPr>
      <w:rFonts w:ascii="Arial" w:eastAsia="Arial" w:hAnsi="Arial" w:cs="Arial"/>
      <w:sz w:val="22"/>
      <w:szCs w:val="22"/>
      <w:lang w:val="en" w:eastAsia="en-GB"/>
    </w:rPr>
    <w:tblPr>
      <w:tblStyleRowBandSize w:val="1"/>
      <w:tblStyleColBandSize w:val="1"/>
      <w:tblCellMar>
        <w:top w:w="100" w:type="dxa"/>
        <w:left w:w="100" w:type="dxa"/>
        <w:bottom w:w="100" w:type="dxa"/>
        <w:right w:w="100" w:type="dxa"/>
      </w:tblCellMar>
    </w:tblPr>
  </w:style>
  <w:style w:type="table" w:customStyle="1" w:styleId="151">
    <w:name w:val="151"/>
    <w:basedOn w:val="TableNormal"/>
    <w:rsid w:val="00AB3B21"/>
    <w:pPr>
      <w:spacing w:line="276" w:lineRule="auto"/>
    </w:pPr>
    <w:rPr>
      <w:rFonts w:ascii="Arial" w:eastAsia="Arial" w:hAnsi="Arial" w:cs="Arial"/>
      <w:sz w:val="22"/>
      <w:szCs w:val="22"/>
      <w:lang w:val="en" w:eastAsia="en-GB"/>
    </w:rPr>
    <w:tblPr>
      <w:tblStyleRowBandSize w:val="1"/>
      <w:tblStyleColBandSize w:val="1"/>
      <w:tblCellMar>
        <w:top w:w="100" w:type="dxa"/>
        <w:left w:w="100" w:type="dxa"/>
        <w:bottom w:w="100" w:type="dxa"/>
        <w:right w:w="100" w:type="dxa"/>
      </w:tblCellMar>
    </w:tblPr>
  </w:style>
  <w:style w:type="table" w:customStyle="1" w:styleId="14">
    <w:name w:val="14"/>
    <w:basedOn w:val="TableNormal"/>
    <w:rsid w:val="00E36B4F"/>
    <w:pPr>
      <w:spacing w:line="276" w:lineRule="auto"/>
    </w:pPr>
    <w:rPr>
      <w:rFonts w:ascii="Arial" w:eastAsia="Arial" w:hAnsi="Arial" w:cs="Arial"/>
      <w:sz w:val="22"/>
      <w:szCs w:val="22"/>
      <w:lang w:val="en" w:eastAsia="en-GB"/>
    </w:rPr>
    <w:tblPr>
      <w:tblStyleRowBandSize w:val="1"/>
      <w:tblStyleColBandSize w:val="1"/>
      <w:tblCellMar>
        <w:top w:w="100" w:type="dxa"/>
        <w:left w:w="100" w:type="dxa"/>
        <w:bottom w:w="100" w:type="dxa"/>
        <w:right w:w="100" w:type="dxa"/>
      </w:tblCellMar>
    </w:tblPr>
  </w:style>
  <w:style w:type="table" w:customStyle="1" w:styleId="13">
    <w:name w:val="13"/>
    <w:basedOn w:val="TableNormal"/>
    <w:rsid w:val="00E36B4F"/>
    <w:pPr>
      <w:spacing w:line="276" w:lineRule="auto"/>
    </w:pPr>
    <w:rPr>
      <w:rFonts w:ascii="Arial" w:eastAsia="Arial" w:hAnsi="Arial" w:cs="Arial"/>
      <w:sz w:val="22"/>
      <w:szCs w:val="22"/>
      <w:lang w:val="en" w:eastAsia="en-GB"/>
    </w:rPr>
    <w:tblPr>
      <w:tblStyleRowBandSize w:val="1"/>
      <w:tblStyleColBandSize w:val="1"/>
      <w:tblCellMar>
        <w:top w:w="100" w:type="dxa"/>
        <w:left w:w="100" w:type="dxa"/>
        <w:bottom w:w="100" w:type="dxa"/>
        <w:right w:w="100" w:type="dxa"/>
      </w:tblCellMar>
    </w:tblPr>
  </w:style>
  <w:style w:type="table" w:customStyle="1" w:styleId="12">
    <w:name w:val="12"/>
    <w:basedOn w:val="TableNormal"/>
    <w:rsid w:val="00E23C3D"/>
    <w:pPr>
      <w:spacing w:line="276" w:lineRule="auto"/>
    </w:pPr>
    <w:rPr>
      <w:rFonts w:ascii="Arial" w:eastAsia="Arial" w:hAnsi="Arial" w:cs="Arial"/>
      <w:sz w:val="22"/>
      <w:szCs w:val="22"/>
      <w:lang w:val="en" w:eastAsia="en-GB"/>
    </w:rPr>
    <w:tblPr>
      <w:tblStyleRowBandSize w:val="1"/>
      <w:tblStyleColBandSize w:val="1"/>
      <w:tblCellMar>
        <w:top w:w="100" w:type="dxa"/>
        <w:left w:w="100" w:type="dxa"/>
        <w:bottom w:w="100" w:type="dxa"/>
        <w:right w:w="100" w:type="dxa"/>
      </w:tblCellMar>
    </w:tblPr>
  </w:style>
  <w:style w:type="table" w:customStyle="1" w:styleId="11">
    <w:name w:val="11"/>
    <w:basedOn w:val="TableNormal"/>
    <w:rsid w:val="00E23C3D"/>
    <w:pPr>
      <w:spacing w:line="276" w:lineRule="auto"/>
    </w:pPr>
    <w:rPr>
      <w:rFonts w:ascii="Arial" w:eastAsia="Arial" w:hAnsi="Arial" w:cs="Arial"/>
      <w:sz w:val="22"/>
      <w:szCs w:val="22"/>
      <w:lang w:val="en" w:eastAsia="en-GB"/>
    </w:rPr>
    <w:tblPr>
      <w:tblStyleRowBandSize w:val="1"/>
      <w:tblStyleColBandSize w:val="1"/>
      <w:tblCellMar>
        <w:top w:w="100" w:type="dxa"/>
        <w:left w:w="100" w:type="dxa"/>
        <w:bottom w:w="100" w:type="dxa"/>
        <w:right w:w="100" w:type="dxa"/>
      </w:tblCellMar>
    </w:tblPr>
  </w:style>
  <w:style w:type="table" w:customStyle="1" w:styleId="10">
    <w:name w:val="10"/>
    <w:basedOn w:val="TableNormal"/>
    <w:rsid w:val="00AC4D20"/>
    <w:pPr>
      <w:spacing w:line="276" w:lineRule="auto"/>
    </w:pPr>
    <w:rPr>
      <w:rFonts w:ascii="Arial" w:eastAsia="Arial" w:hAnsi="Arial" w:cs="Arial"/>
      <w:sz w:val="22"/>
      <w:szCs w:val="22"/>
      <w:lang w:val="en" w:eastAsia="en-GB"/>
    </w:rPr>
    <w:tblPr>
      <w:tblStyleRowBandSize w:val="1"/>
      <w:tblStyleColBandSize w:val="1"/>
      <w:tblCellMar>
        <w:top w:w="100" w:type="dxa"/>
        <w:left w:w="100" w:type="dxa"/>
        <w:bottom w:w="100" w:type="dxa"/>
        <w:right w:w="100" w:type="dxa"/>
      </w:tblCellMar>
    </w:tblPr>
  </w:style>
  <w:style w:type="table" w:customStyle="1" w:styleId="9">
    <w:name w:val="9"/>
    <w:basedOn w:val="TableNormal"/>
    <w:rsid w:val="00390EC2"/>
    <w:pPr>
      <w:spacing w:line="276" w:lineRule="auto"/>
    </w:pPr>
    <w:rPr>
      <w:rFonts w:ascii="Arial" w:eastAsia="Arial" w:hAnsi="Arial" w:cs="Arial"/>
      <w:sz w:val="22"/>
      <w:szCs w:val="22"/>
      <w:lang w:val="en" w:eastAsia="en-GB"/>
    </w:rPr>
    <w:tblPr>
      <w:tblStyleRowBandSize w:val="1"/>
      <w:tblStyleColBandSize w:val="1"/>
      <w:tblCellMar>
        <w:top w:w="100" w:type="dxa"/>
        <w:left w:w="100" w:type="dxa"/>
        <w:bottom w:w="100" w:type="dxa"/>
        <w:right w:w="100" w:type="dxa"/>
      </w:tblCellMar>
    </w:tblPr>
  </w:style>
  <w:style w:type="character" w:styleId="Emphasis">
    <w:name w:val="Emphasis"/>
    <w:basedOn w:val="DefaultParagraphFont"/>
    <w:uiPriority w:val="20"/>
    <w:qFormat/>
    <w:rsid w:val="00BB7A9B"/>
    <w:rPr>
      <w:i/>
      <w:iCs/>
    </w:rPr>
  </w:style>
  <w:style w:type="paragraph" w:styleId="Revision">
    <w:name w:val="Revision"/>
    <w:hidden/>
    <w:uiPriority w:val="71"/>
    <w:semiHidden/>
    <w:rsid w:val="008B6317"/>
    <w:rPr>
      <w:rFonts w:ascii="Cambria" w:hAnsi="Cambria"/>
      <w:lang w:eastAsia="en-US"/>
    </w:rPr>
  </w:style>
  <w:style w:type="character" w:customStyle="1" w:styleId="UnresolvedMention1">
    <w:name w:val="Unresolved Mention1"/>
    <w:basedOn w:val="DefaultParagraphFont"/>
    <w:uiPriority w:val="99"/>
    <w:semiHidden/>
    <w:unhideWhenUsed/>
    <w:rsid w:val="00B5319E"/>
    <w:rPr>
      <w:color w:val="605E5C"/>
      <w:shd w:val="clear" w:color="auto" w:fill="E1DFDD"/>
    </w:rPr>
  </w:style>
  <w:style w:type="character" w:customStyle="1" w:styleId="apple-converted-space">
    <w:name w:val="apple-converted-space"/>
    <w:basedOn w:val="DefaultParagraphFont"/>
    <w:rsid w:val="008343E6"/>
  </w:style>
  <w:style w:type="paragraph" w:styleId="NormalWeb">
    <w:name w:val="Normal (Web)"/>
    <w:basedOn w:val="Normal"/>
    <w:uiPriority w:val="99"/>
    <w:semiHidden/>
    <w:unhideWhenUsed/>
    <w:rsid w:val="008343E6"/>
    <w:pPr>
      <w:spacing w:before="100" w:beforeAutospacing="1" w:after="100" w:afterAutospacing="1"/>
    </w:pPr>
    <w:rPr>
      <w:rFonts w:ascii="Times New Roman" w:hAnsi="Times New Roman"/>
      <w:sz w:val="24"/>
      <w:szCs w:val="24"/>
      <w:lang w:eastAsia="en-GB"/>
    </w:rPr>
  </w:style>
  <w:style w:type="character" w:styleId="UnresolvedMention">
    <w:name w:val="Unresolved Mention"/>
    <w:basedOn w:val="DefaultParagraphFont"/>
    <w:uiPriority w:val="99"/>
    <w:semiHidden/>
    <w:unhideWhenUsed/>
    <w:rsid w:val="004A0D35"/>
    <w:rPr>
      <w:color w:val="605E5C"/>
      <w:shd w:val="clear" w:color="auto" w:fill="E1DFDD"/>
    </w:rPr>
  </w:style>
  <w:style w:type="paragraph" w:styleId="Title">
    <w:name w:val="Title"/>
    <w:basedOn w:val="Normal"/>
    <w:next w:val="Normal"/>
    <w:link w:val="TitleChar"/>
    <w:uiPriority w:val="10"/>
    <w:semiHidden/>
    <w:qFormat/>
    <w:rsid w:val="00D565B4"/>
    <w:pPr>
      <w:spacing w:before="3000"/>
    </w:pPr>
    <w:rPr>
      <w:rFonts w:asciiTheme="majorHAnsi" w:eastAsiaTheme="majorEastAsia" w:hAnsiTheme="majorHAnsi" w:cstheme="majorBidi"/>
      <w:b/>
      <w:spacing w:val="-10"/>
      <w:kern w:val="28"/>
      <w:sz w:val="44"/>
      <w:szCs w:val="56"/>
    </w:rPr>
  </w:style>
  <w:style w:type="character" w:customStyle="1" w:styleId="TitleChar">
    <w:name w:val="Title Char"/>
    <w:basedOn w:val="DefaultParagraphFont"/>
    <w:link w:val="Title"/>
    <w:uiPriority w:val="10"/>
    <w:semiHidden/>
    <w:rsid w:val="00D565B4"/>
    <w:rPr>
      <w:rFonts w:asciiTheme="majorHAnsi" w:eastAsiaTheme="majorEastAsia" w:hAnsiTheme="majorHAnsi" w:cstheme="majorBidi"/>
      <w:b/>
      <w:spacing w:val="-10"/>
      <w:kern w:val="28"/>
      <w:sz w:val="44"/>
      <w:szCs w:val="56"/>
      <w:lang w:eastAsia="en-US"/>
    </w:rPr>
  </w:style>
  <w:style w:type="table" w:customStyle="1" w:styleId="TableGrid6">
    <w:name w:val="Table Grid6"/>
    <w:basedOn w:val="TableNormal"/>
    <w:next w:val="TableGrid"/>
    <w:uiPriority w:val="39"/>
    <w:rsid w:val="001622A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2562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E67A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01A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9323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646D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C7C6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4B1C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556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A391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20509">
      <w:bodyDiv w:val="1"/>
      <w:marLeft w:val="0"/>
      <w:marRight w:val="0"/>
      <w:marTop w:val="0"/>
      <w:marBottom w:val="0"/>
      <w:divBdr>
        <w:top w:val="none" w:sz="0" w:space="0" w:color="auto"/>
        <w:left w:val="none" w:sz="0" w:space="0" w:color="auto"/>
        <w:bottom w:val="none" w:sz="0" w:space="0" w:color="auto"/>
        <w:right w:val="none" w:sz="0" w:space="0" w:color="auto"/>
      </w:divBdr>
    </w:div>
    <w:div w:id="475757842">
      <w:bodyDiv w:val="1"/>
      <w:marLeft w:val="0"/>
      <w:marRight w:val="0"/>
      <w:marTop w:val="0"/>
      <w:marBottom w:val="0"/>
      <w:divBdr>
        <w:top w:val="none" w:sz="0" w:space="0" w:color="auto"/>
        <w:left w:val="none" w:sz="0" w:space="0" w:color="auto"/>
        <w:bottom w:val="none" w:sz="0" w:space="0" w:color="auto"/>
        <w:right w:val="none" w:sz="0" w:space="0" w:color="auto"/>
      </w:divBdr>
      <w:divsChild>
        <w:div w:id="782648876">
          <w:marLeft w:val="547"/>
          <w:marRight w:val="0"/>
          <w:marTop w:val="0"/>
          <w:marBottom w:val="0"/>
          <w:divBdr>
            <w:top w:val="none" w:sz="0" w:space="0" w:color="auto"/>
            <w:left w:val="none" w:sz="0" w:space="0" w:color="auto"/>
            <w:bottom w:val="none" w:sz="0" w:space="0" w:color="auto"/>
            <w:right w:val="none" w:sz="0" w:space="0" w:color="auto"/>
          </w:divBdr>
        </w:div>
      </w:divsChild>
    </w:div>
    <w:div w:id="565142786">
      <w:bodyDiv w:val="1"/>
      <w:marLeft w:val="0"/>
      <w:marRight w:val="0"/>
      <w:marTop w:val="0"/>
      <w:marBottom w:val="0"/>
      <w:divBdr>
        <w:top w:val="none" w:sz="0" w:space="0" w:color="auto"/>
        <w:left w:val="none" w:sz="0" w:space="0" w:color="auto"/>
        <w:bottom w:val="none" w:sz="0" w:space="0" w:color="auto"/>
        <w:right w:val="none" w:sz="0" w:space="0" w:color="auto"/>
      </w:divBdr>
    </w:div>
    <w:div w:id="714623878">
      <w:bodyDiv w:val="1"/>
      <w:marLeft w:val="0"/>
      <w:marRight w:val="0"/>
      <w:marTop w:val="0"/>
      <w:marBottom w:val="0"/>
      <w:divBdr>
        <w:top w:val="none" w:sz="0" w:space="0" w:color="auto"/>
        <w:left w:val="none" w:sz="0" w:space="0" w:color="auto"/>
        <w:bottom w:val="none" w:sz="0" w:space="0" w:color="auto"/>
        <w:right w:val="none" w:sz="0" w:space="0" w:color="auto"/>
      </w:divBdr>
    </w:div>
    <w:div w:id="785004562">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199391614">
      <w:bodyDiv w:val="1"/>
      <w:marLeft w:val="0"/>
      <w:marRight w:val="0"/>
      <w:marTop w:val="0"/>
      <w:marBottom w:val="0"/>
      <w:divBdr>
        <w:top w:val="none" w:sz="0" w:space="0" w:color="auto"/>
        <w:left w:val="none" w:sz="0" w:space="0" w:color="auto"/>
        <w:bottom w:val="none" w:sz="0" w:space="0" w:color="auto"/>
        <w:right w:val="none" w:sz="0" w:space="0" w:color="auto"/>
      </w:divBdr>
    </w:div>
    <w:div w:id="1481459085">
      <w:bodyDiv w:val="1"/>
      <w:marLeft w:val="0"/>
      <w:marRight w:val="0"/>
      <w:marTop w:val="0"/>
      <w:marBottom w:val="0"/>
      <w:divBdr>
        <w:top w:val="none" w:sz="0" w:space="0" w:color="auto"/>
        <w:left w:val="none" w:sz="0" w:space="0" w:color="auto"/>
        <w:bottom w:val="none" w:sz="0" w:space="0" w:color="auto"/>
        <w:right w:val="none" w:sz="0" w:space="0" w:color="auto"/>
      </w:divBdr>
      <w:divsChild>
        <w:div w:id="1603030023">
          <w:marLeft w:val="547"/>
          <w:marRight w:val="0"/>
          <w:marTop w:val="0"/>
          <w:marBottom w:val="0"/>
          <w:divBdr>
            <w:top w:val="none" w:sz="0" w:space="0" w:color="auto"/>
            <w:left w:val="none" w:sz="0" w:space="0" w:color="auto"/>
            <w:bottom w:val="none" w:sz="0" w:space="0" w:color="auto"/>
            <w:right w:val="none" w:sz="0" w:space="0" w:color="auto"/>
          </w:divBdr>
        </w:div>
      </w:divsChild>
    </w:div>
    <w:div w:id="1481577174">
      <w:bodyDiv w:val="1"/>
      <w:marLeft w:val="0"/>
      <w:marRight w:val="0"/>
      <w:marTop w:val="0"/>
      <w:marBottom w:val="0"/>
      <w:divBdr>
        <w:top w:val="none" w:sz="0" w:space="0" w:color="auto"/>
        <w:left w:val="none" w:sz="0" w:space="0" w:color="auto"/>
        <w:bottom w:val="none" w:sz="0" w:space="0" w:color="auto"/>
        <w:right w:val="none" w:sz="0" w:space="0" w:color="auto"/>
      </w:divBdr>
      <w:divsChild>
        <w:div w:id="1888375436">
          <w:marLeft w:val="547"/>
          <w:marRight w:val="0"/>
          <w:marTop w:val="0"/>
          <w:marBottom w:val="0"/>
          <w:divBdr>
            <w:top w:val="none" w:sz="0" w:space="0" w:color="auto"/>
            <w:left w:val="none" w:sz="0" w:space="0" w:color="auto"/>
            <w:bottom w:val="none" w:sz="0" w:space="0" w:color="auto"/>
            <w:right w:val="none" w:sz="0" w:space="0" w:color="auto"/>
          </w:divBdr>
        </w:div>
      </w:divsChild>
    </w:div>
    <w:div w:id="1604025417">
      <w:bodyDiv w:val="1"/>
      <w:marLeft w:val="0"/>
      <w:marRight w:val="0"/>
      <w:marTop w:val="0"/>
      <w:marBottom w:val="0"/>
      <w:divBdr>
        <w:top w:val="none" w:sz="0" w:space="0" w:color="auto"/>
        <w:left w:val="none" w:sz="0" w:space="0" w:color="auto"/>
        <w:bottom w:val="none" w:sz="0" w:space="0" w:color="auto"/>
        <w:right w:val="none" w:sz="0" w:space="0" w:color="auto"/>
      </w:divBdr>
    </w:div>
    <w:div w:id="1717657512">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91798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health.gov.au/resources/publications/interim-guidance-on-managing-workforce-in-regards-to-covid-19-in-aged-care" TargetMode="External"/><Relationship Id="rId21" Type="http://schemas.openxmlformats.org/officeDocument/2006/relationships/hyperlink" Target="https://www.agedcarequality.gov.au/resources/what-we-learned-covid-19-outbreaks-2021-fact-sheet" TargetMode="External"/><Relationship Id="rId42" Type="http://schemas.openxmlformats.org/officeDocument/2006/relationships/hyperlink" Target="https://www.health.gov.au/resources/publications/interim-guidance-on-managing-public-health-restrictions-on-residential-aged-care-facilities" TargetMode="External"/><Relationship Id="rId47" Type="http://schemas.openxmlformats.org/officeDocument/2006/relationships/hyperlink" Target="https://www.health.gov.au/sites/default/files/documents/2022/05/aged-care-treatment-for-influenza-aged-care-treatment-for-influenza-fact-sheet.pdf" TargetMode="External"/><Relationship Id="rId63" Type="http://schemas.openxmlformats.org/officeDocument/2006/relationships/hyperlink" Target="https://www.health.gov.au/initiatives-and-programs/better-access-initiative" TargetMode="External"/><Relationship Id="rId68" Type="http://schemas.openxmlformats.org/officeDocument/2006/relationships/hyperlink" Target="https://www.health.gov.au/news/new-program-makes-access-to-residential-aged-care-volunteers-easier-than-ever" TargetMode="External"/><Relationship Id="rId84" Type="http://schemas.openxmlformats.org/officeDocument/2006/relationships/hyperlink" Target="https://www.health.gov.au/health-topics/aged-care/providing-aged-care-services/newsletters-and-alerts-for-the-aged-care-sector" TargetMode="External"/><Relationship Id="rId89" Type="http://schemas.openxmlformats.org/officeDocument/2006/relationships/hyperlink" Target="https://www.health.gov.au/resources/publications/first-24-hours-managing-covid-19-in-a-residential-aged-care-facility" TargetMode="External"/><Relationship Id="rId7" Type="http://schemas.openxmlformats.org/officeDocument/2006/relationships/settings" Target="settings.xml"/><Relationship Id="rId71" Type="http://schemas.openxmlformats.org/officeDocument/2006/relationships/hyperlink" Target="https://headtohealth.gov.au/" TargetMode="External"/><Relationship Id="rId92" Type="http://schemas.openxmlformats.org/officeDocument/2006/relationships/hyperlink" Target="https://www.health.gov.au/resources/publications/aged-care-treatment-for-influenza"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health.gov.au/initiatives-and-programs/aged-care-registered-nurses-payment-to-reward-clinical-skills-and-leadership" TargetMode="External"/><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hyperlink" Target="https://www.health.gov.au/resources/publications/cdna-national-guidelines-for-the-prevention-control-and-public-health-management-of-covid-19-outbreaks-in-residential-care-facilities-in-australia" TargetMode="External"/><Relationship Id="rId32" Type="http://schemas.openxmlformats.org/officeDocument/2006/relationships/hyperlink" Target="https://www.legislation.gov.au/Latest/F2019C00613" TargetMode="External"/><Relationship Id="rId37" Type="http://schemas.openxmlformats.org/officeDocument/2006/relationships/hyperlink" Target="https://www.health.gov.au/resources/publications/interim-guidance-on-managing-workforce-in-regards-to-covid-19-in-aged-care" TargetMode="External"/><Relationship Id="rId40" Type="http://schemas.openxmlformats.org/officeDocument/2006/relationships/hyperlink" Target="https://www.agedcarequality.gov.au/resources/partnerships-in-care" TargetMode="External"/><Relationship Id="rId45" Type="http://schemas.openxmlformats.org/officeDocument/2006/relationships/hyperlink" Target="https://www.health.gov.au/sites/default/files/documents/2022/02/first-24-hours-managing-covid-19-in-a-residential-aged-care-facility-first-24-hours-managing-covid-19-in-a-residential-aged-care-facility_0.pdf" TargetMode="External"/><Relationship Id="rId53" Type="http://schemas.openxmlformats.org/officeDocument/2006/relationships/hyperlink" Target="https://www.health.gov.au/resources/publications/national-covid-19-residential-aged-care-emergency-communication-guide" TargetMode="External"/><Relationship Id="rId58" Type="http://schemas.openxmlformats.org/officeDocument/2006/relationships/hyperlink" Target="https://www.health.gov.au/health-topics/aged-care/advice-on-aged-care-during-covid-19/managing-home-care" TargetMode="External"/><Relationship Id="rId66" Type="http://schemas.openxmlformats.org/officeDocument/2006/relationships/hyperlink" Target="https://www.health.gov.au/resources/publications/cdna-national-guidelines-for-the-prevention-control-and-public-health-management-of-covid-19-outbreaks-in-residential-care-facilities-in-australia" TargetMode="External"/><Relationship Id="rId74" Type="http://schemas.openxmlformats.org/officeDocument/2006/relationships/hyperlink" Target="https://coronavirus.beyondblue.org.au/" TargetMode="External"/><Relationship Id="rId79" Type="http://schemas.openxmlformats.org/officeDocument/2006/relationships/hyperlink" Target="https://www.health.nsw.gov.au/Infectious/covid-19/communities-of-practice/Pages/default.aspx" TargetMode="External"/><Relationship Id="rId87" Type="http://schemas.openxmlformats.org/officeDocument/2006/relationships/hyperlink" Target="https://www.health.gov.au/resources/publications/interim-guidance-on-managing-workforce-in-regards-to-covid-19-in-aged-care" TargetMode="External"/><Relationship Id="rId102" Type="http://schemas.openxmlformats.org/officeDocument/2006/relationships/hyperlink" Target="mailto:VICTASCaseManagement@Health.gov.au" TargetMode="External"/><Relationship Id="rId5" Type="http://schemas.openxmlformats.org/officeDocument/2006/relationships/numbering" Target="numbering.xml"/><Relationship Id="rId61" Type="http://schemas.openxmlformats.org/officeDocument/2006/relationships/hyperlink" Target="https://www.agedcarequality.gov.au/resources/ensuring-safe-visitor-access-residential-aged-care" TargetMode="External"/><Relationship Id="rId82" Type="http://schemas.openxmlformats.org/officeDocument/2006/relationships/hyperlink" Target="https://www.grants.gov.au/Go/Show?GoUuid=410cfd78-dacf-4668-a14c-d4f25d4a410d" TargetMode="External"/><Relationship Id="rId90" Type="http://schemas.openxmlformats.org/officeDocument/2006/relationships/hyperlink" Target="https://www.health.gov.au/health-topics/aged-care/advice-on-aged-care-during-covid-19/government-support" TargetMode="External"/><Relationship Id="rId95" Type="http://schemas.openxmlformats.org/officeDocument/2006/relationships/hyperlink" Target="https://www.health.gov.au/about-us/contact-us/local-state-and-territory-health-departments" TargetMode="External"/><Relationship Id="rId19" Type="http://schemas.openxmlformats.org/officeDocument/2006/relationships/hyperlink" Target="https://www.health.gov.au/resources/publications/cdna-national-guidelines-for-the-prevention-control-and-public-health-management-of-covid-19-outbreaks-in-residential-care-facilities-in-australia" TargetMode="External"/><Relationship Id="rId14" Type="http://schemas.openxmlformats.org/officeDocument/2006/relationships/hyperlink" Target="https://www.health.gov.au/health-topics/aged-care/advice-on-aged-care-during-covid-19/managing-home-care" TargetMode="External"/><Relationship Id="rId22" Type="http://schemas.openxmlformats.org/officeDocument/2006/relationships/hyperlink" Target="https://www.health.gov.au/resources/publications/aged-care-covid-19-lowering-transmission-risk-in-residential-aged-care" TargetMode="External"/><Relationship Id="rId27" Type="http://schemas.openxmlformats.org/officeDocument/2006/relationships/hyperlink" Target="https://www.health.gov.au/node/18602/managing-home-care-through-covid-19" TargetMode="External"/><Relationship Id="rId30" Type="http://schemas.openxmlformats.org/officeDocument/2006/relationships/hyperlink" Target="https://www.health.gov.au/committees-and-groups/infection-control-expert-group-iceg" TargetMode="External"/><Relationship Id="rId35" Type="http://schemas.openxmlformats.org/officeDocument/2006/relationships/hyperlink" Target="https://www.health.gov.au/health-alerts/covid-19/treatments/oral" TargetMode="External"/><Relationship Id="rId43" Type="http://schemas.openxmlformats.org/officeDocument/2006/relationships/hyperlink" Target="https://www.cota.org.au/policy/aged-care-reform/agedcarevisitors/" TargetMode="External"/><Relationship Id="rId48" Type="http://schemas.openxmlformats.org/officeDocument/2006/relationships/hyperlink" Target="https://www.health.gov.au/resources/publications/aged-care-treatment-for-influenza" TargetMode="External"/><Relationship Id="rId56" Type="http://schemas.openxmlformats.org/officeDocument/2006/relationships/hyperlink" Target="https://www.health.gov.au/about-us/contact-us/local-state-and-territory-health-departments" TargetMode="External"/><Relationship Id="rId64" Type="http://schemas.openxmlformats.org/officeDocument/2006/relationships/hyperlink" Target="https://www.health.gov.au/resources/apps-and-tools/primary-health-network-phn-locator-map?msclkid=fd819904a3fc11eca39aa35c02b48687" TargetMode="External"/><Relationship Id="rId69" Type="http://schemas.openxmlformats.org/officeDocument/2006/relationships/hyperlink" Target="https://www.health.gov.au/resources/publications/coronavirus-covid-19-national-aged-care-guidance-aged-care-visitation-guidelines" TargetMode="External"/><Relationship Id="rId77" Type="http://schemas.openxmlformats.org/officeDocument/2006/relationships/hyperlink" Target="https://www.health.gov.au/initiatives-and-programs/aged-care-financial-monitoring-and-business-assistance" TargetMode="External"/><Relationship Id="rId100" Type="http://schemas.openxmlformats.org/officeDocument/2006/relationships/hyperlink" Target="mailto:SA.COVIDsupport@Health.gov.au" TargetMode="External"/><Relationship Id="rId105" Type="http://schemas.openxmlformats.org/officeDocument/2006/relationships/hyperlink" Target="https://www.grants.gov.au/Go/Show?GoUuid=6c903322-0521-8405-245c-dd56c93b7960" TargetMode="External"/><Relationship Id="rId8" Type="http://schemas.openxmlformats.org/officeDocument/2006/relationships/webSettings" Target="webSettings.xml"/><Relationship Id="rId51" Type="http://schemas.openxmlformats.org/officeDocument/2006/relationships/hyperlink" Target="https://www.health.gov.au/resources/publications/interim-guidance-on-managing-workforce-in-regards-to-covid-19-in-aged-care" TargetMode="External"/><Relationship Id="rId72" Type="http://schemas.openxmlformats.org/officeDocument/2006/relationships/hyperlink" Target="http://www.health.gov.au/sites/default/files/documents/2020/10/additional-10-mbs-mental-health-sessions-during-covid-19-faqs-for-consumers-additional-10-mbs-mental-health-sessions-during-covid-19-faqs-for-consumers.pdf?msclkid=2b02f110a3fe11ec81dadc42e2314b0f" TargetMode="External"/><Relationship Id="rId80" Type="http://schemas.openxmlformats.org/officeDocument/2006/relationships/hyperlink" Target="https://www.health.gov.au/resources/publications/national-covid-19-residential-aged-care-emergency-communication-guide" TargetMode="External"/><Relationship Id="rId85" Type="http://schemas.openxmlformats.org/officeDocument/2006/relationships/hyperlink" Target="https://www.health.gov.au/resources/publications/cdna-national-guidelines-for-the-prevention-control-and-public-health-management-of-covid-19-outbreaks-in-residential-care-facilities-in-australia" TargetMode="External"/><Relationship Id="rId93" Type="http://schemas.openxmlformats.org/officeDocument/2006/relationships/hyperlink" Target="https://www.agedcarequality.gov.au/providers/covid-19-resources" TargetMode="External"/><Relationship Id="rId98" Type="http://schemas.openxmlformats.org/officeDocument/2006/relationships/hyperlink" Target="mailto:NSWCOVIDCaseManagement@Health.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s://www.health.gov.au/resources/publications/interim-guidance-on-managing-public-health-restrictions-on-residential-aged-care-facilities" TargetMode="External"/><Relationship Id="rId33" Type="http://schemas.openxmlformats.org/officeDocument/2006/relationships/hyperlink" Target="https://www.legislation.gov.au/Latest/F2019C00610" TargetMode="External"/><Relationship Id="rId38" Type="http://schemas.openxmlformats.org/officeDocument/2006/relationships/hyperlink" Target="https://www.health.gov.au/resources/publications/interim-guidance-on-managing-workforce-in-regards-to-covid-19-in-aged-care" TargetMode="External"/><Relationship Id="rId46" Type="http://schemas.openxmlformats.org/officeDocument/2006/relationships/hyperlink" Target="https://www.health.gov.au/sites/default/files/documents/2022/03/coronavirus-covid-19-use-of-lagevrio-molnupiravir-in-residential-aged-care.pdf" TargetMode="External"/><Relationship Id="rId59" Type="http://schemas.openxmlformats.org/officeDocument/2006/relationships/hyperlink" Target="https://www.health.gov.au/resources/publications/interim-guidance-on-managing-public-health-restrictions-on-residential-aged-care-facilities" TargetMode="External"/><Relationship Id="rId67" Type="http://schemas.openxmlformats.org/officeDocument/2006/relationships/hyperlink" Target="https://www.health.gov.au/initiatives-and-programs/re-engaging-volunteers-into-residential-aged-care-facilities-program" TargetMode="External"/><Relationship Id="rId103" Type="http://schemas.openxmlformats.org/officeDocument/2006/relationships/hyperlink" Target="https://www.health.gov.au/health-topics/aged-care/advice-on-aged-care-during-covid-19/grief-and-trauma-support-services" TargetMode="External"/><Relationship Id="rId108" Type="http://schemas.openxmlformats.org/officeDocument/2006/relationships/theme" Target="theme/theme1.xml"/><Relationship Id="rId20" Type="http://schemas.openxmlformats.org/officeDocument/2006/relationships/hyperlink" Target="https://www.health.gov.au/resources/publications/coronavirus-covid-19-independent-review-of-covid-19-outbreaks-in-australian-residential-aged-care-facilities" TargetMode="External"/><Relationship Id="rId41" Type="http://schemas.openxmlformats.org/officeDocument/2006/relationships/hyperlink" Target="https://www.health.gov.au/about-us/contact-us/local-state-and-territory-health-departments" TargetMode="External"/><Relationship Id="rId54" Type="http://schemas.openxmlformats.org/officeDocument/2006/relationships/hyperlink" Target="https://www.health.gov.au/resources/publications/national-covid-19-residential-aged-care-emergency-communication-guide" TargetMode="External"/><Relationship Id="rId62" Type="http://schemas.openxmlformats.org/officeDocument/2006/relationships/hyperlink" Target="https://www.agedcarequality.gov.au/resources/partnerships-in-care" TargetMode="External"/><Relationship Id="rId70" Type="http://schemas.openxmlformats.org/officeDocument/2006/relationships/hyperlink" Target="https://www.health.gov.au/health-topics/aged-care/advice-on-aged-care-during-covid-19/grief-and-trauma-support-services" TargetMode="External"/><Relationship Id="rId75" Type="http://schemas.openxmlformats.org/officeDocument/2006/relationships/hyperlink" Target="https://www.blackdoginstitute.org.au/the-essential-network/" TargetMode="External"/><Relationship Id="rId83" Type="http://schemas.openxmlformats.org/officeDocument/2006/relationships/hyperlink" Target="https://www.health.gov.au/node/18602/managing-a-covid-19-outbreak-in-residential-aged-care" TargetMode="External"/><Relationship Id="rId88" Type="http://schemas.openxmlformats.org/officeDocument/2006/relationships/hyperlink" Target="https://www.health.gov.au/sites/default/files/documents/2022/02/interim-guidance-on-managing-public-health-restrictions-on-residential-aged-care-facilities-managing-public-health-restrictions-on-residential-aged-care-facilities-interim-guidance.pdf" TargetMode="External"/><Relationship Id="rId91" Type="http://schemas.openxmlformats.org/officeDocument/2006/relationships/hyperlink" Target="https://www.health.gov.au/resources/publications/coronavirus-covid-19-use-of-lagevrio-molnupiravir-in-residential-aged-care" TargetMode="External"/><Relationship Id="rId96" Type="http://schemas.openxmlformats.org/officeDocument/2006/relationships/hyperlink" Target="mailto:QLDCovidCaseManagement@Health.gov.a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ealth.gov.au/resources/publications/coronavirus-covid-19-independent-review-of-covid-19-outbreaks-in-australian-residential-aged-care-facilities" TargetMode="External"/><Relationship Id="rId23" Type="http://schemas.openxmlformats.org/officeDocument/2006/relationships/hyperlink" Target="https://www.health.gov.au/about-us/contact-us/local-state-and-territory-health-departments" TargetMode="External"/><Relationship Id="rId28" Type="http://schemas.openxmlformats.org/officeDocument/2006/relationships/hyperlink" Target="https://www.health.gov.au/initiatives-and-programs/infection-prevention-and-control-leads" TargetMode="External"/><Relationship Id="rId36" Type="http://schemas.openxmlformats.org/officeDocument/2006/relationships/hyperlink" Target="https://www.healthdirect.gov.au/medicines/brand/amt,39602011000036100/tamiflu" TargetMode="External"/><Relationship Id="rId49" Type="http://schemas.openxmlformats.org/officeDocument/2006/relationships/hyperlink" Target="https://www.health.gov.au/resources/publications/cdna-national-guidelines-for-the-prevention-control-and-public-health-management-of-covid-19-outbreaks-in-residential-care-facilities-in-australia" TargetMode="External"/><Relationship Id="rId57" Type="http://schemas.openxmlformats.org/officeDocument/2006/relationships/hyperlink" Target="https://www.australia.gov.au/states" TargetMode="External"/><Relationship Id="rId106" Type="http://schemas.openxmlformats.org/officeDocument/2006/relationships/hyperlink" Target="https://www.health.gov.au/health-topics/aged-care/advice-on-aged-care-during-covid-19/managing-home-care" TargetMode="External"/><Relationship Id="rId10" Type="http://schemas.openxmlformats.org/officeDocument/2006/relationships/endnotes" Target="endnotes.xml"/><Relationship Id="rId31" Type="http://schemas.openxmlformats.org/officeDocument/2006/relationships/hyperlink" Target="https://www.health.gov.au/resources/publications/cdna-national-guidelines-for-the-prevention-control-and-public-health-management-of-covid-19-outbreaks-in-residential-care-facilities-in-australia" TargetMode="External"/><Relationship Id="rId44" Type="http://schemas.openxmlformats.org/officeDocument/2006/relationships/hyperlink" Target="https://www.health.gov.au/resources/publications/cdna-national-guidelines-for-the-prevention-control-and-public-health-management-of-covid-19-outbreaks-in-residential-care-facilities-in-australia" TargetMode="External"/><Relationship Id="rId52" Type="http://schemas.openxmlformats.org/officeDocument/2006/relationships/hyperlink" Target="https://opan.org.au/" TargetMode="External"/><Relationship Id="rId60" Type="http://schemas.openxmlformats.org/officeDocument/2006/relationships/hyperlink" Target="https://www.cota.org.au/policy/aged-care-reform/agedcarevisitors/" TargetMode="External"/><Relationship Id="rId65" Type="http://schemas.openxmlformats.org/officeDocument/2006/relationships/hyperlink" Target="https://psychology.org.au/event/21983" TargetMode="External"/><Relationship Id="rId73" Type="http://schemas.openxmlformats.org/officeDocument/2006/relationships/hyperlink" Target="http://www.health.gov.au/resources/apps-and-tools/primary-health-network-phn-locator-map?msclkid=fd819904a3fc11eca39aa35c02b48687" TargetMode="External"/><Relationship Id="rId78" Type="http://schemas.openxmlformats.org/officeDocument/2006/relationships/hyperlink" Target="https://www.health.gov.au/initiatives-and-programs/business-advisory-service" TargetMode="External"/><Relationship Id="rId81" Type="http://schemas.openxmlformats.org/officeDocument/2006/relationships/hyperlink" Target="https://www.health.gov.au/health-topics/aged-care/advice-on-aged-care-during-covid-19/grief-and-trauma-support-services" TargetMode="External"/><Relationship Id="rId86" Type="http://schemas.openxmlformats.org/officeDocument/2006/relationships/hyperlink" Target="https://www.health.gov.au/sites/default/files/documents/2021/06/coronavirus-covid-19-guidelines-for-infection-prevention-and-control-in-residential-care-facilities.pdf" TargetMode="External"/><Relationship Id="rId94" Type="http://schemas.openxmlformats.org/officeDocument/2006/relationships/hyperlink" Target="https://www.agedcarequality.gov.au/news-centre/newsletter/quality-bulletin-40-april-2022" TargetMode="External"/><Relationship Id="rId99" Type="http://schemas.openxmlformats.org/officeDocument/2006/relationships/hyperlink" Target="mailto:ACTCOVIDcasemanagement@Health.gov.au" TargetMode="External"/><Relationship Id="rId101" Type="http://schemas.openxmlformats.org/officeDocument/2006/relationships/hyperlink" Target="mailto:WA.COVIDsupport@Health.gov.a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_READINESS_1"/><Relationship Id="rId39" Type="http://schemas.openxmlformats.org/officeDocument/2006/relationships/hyperlink" Target="https://www.health.gov.au/resources/publications/national-covid-19-residential-aged-care-emergency-communication-guide" TargetMode="External"/><Relationship Id="rId34" Type="http://schemas.openxmlformats.org/officeDocument/2006/relationships/hyperlink" Target="https://www.health.gov.au/news/announcements/winter-preparedness-ppe-packs" TargetMode="External"/><Relationship Id="rId50" Type="http://schemas.openxmlformats.org/officeDocument/2006/relationships/hyperlink" Target="https://www.health.gov.au/resources/publications/coronavirus-covid-19-aged-care-workforce-measures-frequently-asked-questions" TargetMode="External"/><Relationship Id="rId55" Type="http://schemas.openxmlformats.org/officeDocument/2006/relationships/hyperlink" Target="https://www.health.gov.au/node/18602/managing-a-covid-19-outbreak-in-residential-aged-care" TargetMode="External"/><Relationship Id="rId76" Type="http://schemas.openxmlformats.org/officeDocument/2006/relationships/hyperlink" Target="https://www.headtohealth.gov.au/" TargetMode="External"/><Relationship Id="rId97" Type="http://schemas.openxmlformats.org/officeDocument/2006/relationships/hyperlink" Target="mailto:NTCovidCaseManagement@Health.gov.au" TargetMode="External"/><Relationship Id="rId104" Type="http://schemas.openxmlformats.org/officeDocument/2006/relationships/hyperlink" Target="https://www.grants.gov.au/Go/Show?GoUuid=410cfd78-dacf-4668-a14c-d4f25d4a410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S:\Design%20Files\WIPs\JODI\00_WIP\DT000786_VICTORIA_AGED_CARE_RESPONSE_CENTRE\FINALS\DT000786_VACRC_REPORT_TEMPLATE\DT000786_VACRC_REPORT_TEMPLATE.dotx" TargetMode="External"/></Relationships>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DDAC48E5846941AAB32DB2460346AD" ma:contentTypeVersion="0" ma:contentTypeDescription="Create a new document." ma:contentTypeScope="" ma:versionID="cc6494df36e5112aa1247c6c15876933">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78916F-538A-4A35-8D6B-F790DFF132FD}">
  <ds:schemaRefs>
    <ds:schemaRef ds:uri="http://schemas.microsoft.com/sharepoint/v3/contenttype/forms"/>
  </ds:schemaRefs>
</ds:datastoreItem>
</file>

<file path=customXml/itemProps2.xml><?xml version="1.0" encoding="utf-8"?>
<ds:datastoreItem xmlns:ds="http://schemas.openxmlformats.org/officeDocument/2006/customXml" ds:itemID="{3C83661B-E713-46EB-9A24-63B3D26D5D23}">
  <ds:schemaRefs>
    <ds:schemaRef ds:uri="http://schemas.openxmlformats.org/officeDocument/2006/bibliography"/>
  </ds:schemaRefs>
</ds:datastoreItem>
</file>

<file path=customXml/itemProps3.xml><?xml version="1.0" encoding="utf-8"?>
<ds:datastoreItem xmlns:ds="http://schemas.openxmlformats.org/officeDocument/2006/customXml" ds:itemID="{BA862887-0F19-4E4F-946C-B663BAC8FA5E}">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82D5D716-3537-4009-8BA0-BA4627A1AC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DT000786_VACRC_REPORT_TEMPLATE.dotx</Template>
  <TotalTime>2</TotalTime>
  <Pages>27</Pages>
  <Words>10620</Words>
  <Characters>76933</Characters>
  <Application>Microsoft Office Word</Application>
  <DocSecurity>4</DocSecurity>
  <Lines>641</Lines>
  <Paragraphs>174</Paragraphs>
  <ScaleCrop>false</ScaleCrop>
  <HeadingPairs>
    <vt:vector size="2" baseType="variant">
      <vt:variant>
        <vt:lpstr>Title</vt:lpstr>
      </vt:variant>
      <vt:variant>
        <vt:i4>1</vt:i4>
      </vt:variant>
    </vt:vector>
  </HeadingPairs>
  <TitlesOfParts>
    <vt:vector size="1" baseType="lpstr">
      <vt:lpstr>PREPARING FOR WINTER – A GUIDE FOR RESIDENTIAL AGED CARE PROVIDERS</vt:lpstr>
    </vt:vector>
  </TitlesOfParts>
  <Company/>
  <LinksUpToDate>false</LinksUpToDate>
  <CharactersWithSpaces>87379</CharactersWithSpaces>
  <SharedDoc>false</SharedDoc>
  <HyperlinkBase/>
  <HLinks>
    <vt:vector size="60" baseType="variant">
      <vt:variant>
        <vt:i4>7864376</vt:i4>
      </vt:variant>
      <vt:variant>
        <vt:i4>51</vt:i4>
      </vt:variant>
      <vt:variant>
        <vt:i4>0</vt:i4>
      </vt:variant>
      <vt:variant>
        <vt:i4>5</vt:i4>
      </vt:variant>
      <vt:variant>
        <vt:lpwstr>https://intranet.dhhs.vic.gov.au/templates-our-visual-style</vt:lpwstr>
      </vt:variant>
      <vt:variant>
        <vt:lpwstr/>
      </vt:variant>
      <vt:variant>
        <vt:i4>1048626</vt:i4>
      </vt:variant>
      <vt:variant>
        <vt:i4>44</vt:i4>
      </vt:variant>
      <vt:variant>
        <vt:i4>0</vt:i4>
      </vt:variant>
      <vt:variant>
        <vt:i4>5</vt:i4>
      </vt:variant>
      <vt:variant>
        <vt:lpwstr/>
      </vt:variant>
      <vt:variant>
        <vt:lpwstr>_Toc442704404</vt:lpwstr>
      </vt:variant>
      <vt:variant>
        <vt:i4>1048626</vt:i4>
      </vt:variant>
      <vt:variant>
        <vt:i4>38</vt:i4>
      </vt:variant>
      <vt:variant>
        <vt:i4>0</vt:i4>
      </vt:variant>
      <vt:variant>
        <vt:i4>5</vt:i4>
      </vt:variant>
      <vt:variant>
        <vt:lpwstr/>
      </vt:variant>
      <vt:variant>
        <vt:lpwstr>_Toc442704403</vt:lpwstr>
      </vt:variant>
      <vt:variant>
        <vt:i4>1048626</vt:i4>
      </vt:variant>
      <vt:variant>
        <vt:i4>32</vt:i4>
      </vt:variant>
      <vt:variant>
        <vt:i4>0</vt:i4>
      </vt:variant>
      <vt:variant>
        <vt:i4>5</vt:i4>
      </vt:variant>
      <vt:variant>
        <vt:lpwstr/>
      </vt:variant>
      <vt:variant>
        <vt:lpwstr>_Toc442704402</vt:lpwstr>
      </vt:variant>
      <vt:variant>
        <vt:i4>1048626</vt:i4>
      </vt:variant>
      <vt:variant>
        <vt:i4>26</vt:i4>
      </vt:variant>
      <vt:variant>
        <vt:i4>0</vt:i4>
      </vt:variant>
      <vt:variant>
        <vt:i4>5</vt:i4>
      </vt:variant>
      <vt:variant>
        <vt:lpwstr/>
      </vt:variant>
      <vt:variant>
        <vt:lpwstr>_Toc442704401</vt:lpwstr>
      </vt:variant>
      <vt:variant>
        <vt:i4>1048626</vt:i4>
      </vt:variant>
      <vt:variant>
        <vt:i4>20</vt:i4>
      </vt:variant>
      <vt:variant>
        <vt:i4>0</vt:i4>
      </vt:variant>
      <vt:variant>
        <vt:i4>5</vt:i4>
      </vt:variant>
      <vt:variant>
        <vt:lpwstr/>
      </vt:variant>
      <vt:variant>
        <vt:lpwstr>_Toc442704400</vt:lpwstr>
      </vt:variant>
      <vt:variant>
        <vt:i4>1638453</vt:i4>
      </vt:variant>
      <vt:variant>
        <vt:i4>14</vt:i4>
      </vt:variant>
      <vt:variant>
        <vt:i4>0</vt:i4>
      </vt:variant>
      <vt:variant>
        <vt:i4>5</vt:i4>
      </vt:variant>
      <vt:variant>
        <vt:lpwstr/>
      </vt:variant>
      <vt:variant>
        <vt:lpwstr>_Toc442704399</vt:lpwstr>
      </vt:variant>
      <vt:variant>
        <vt:i4>1638453</vt:i4>
      </vt:variant>
      <vt:variant>
        <vt:i4>8</vt:i4>
      </vt:variant>
      <vt:variant>
        <vt:i4>0</vt:i4>
      </vt:variant>
      <vt:variant>
        <vt:i4>5</vt:i4>
      </vt:variant>
      <vt:variant>
        <vt:lpwstr/>
      </vt:variant>
      <vt:variant>
        <vt:lpwstr>_Toc442704398</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Preparing for winter – A guide for residential aged cae providers</dc:title>
  <dc:subject>Aged care</dc:subject>
  <dc:creator>Australian Government Department of Health and Aged Care</dc:creator>
  <cp:keywords>residential aged care, COVID-19, communications</cp:keywords>
  <cp:lastModifiedBy>JACOB, Reuben</cp:lastModifiedBy>
  <cp:revision>2</cp:revision>
  <cp:lastPrinted>2021-08-26T07:47:00Z</cp:lastPrinted>
  <dcterms:created xsi:type="dcterms:W3CDTF">2022-07-13T23:29:00Z</dcterms:created>
  <dcterms:modified xsi:type="dcterms:W3CDTF">2022-07-13T23:29:00Z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0x01010046DDAC48E5846941AAB32DB2460346AD</vt:lpwstr>
  </property>
  <property fmtid="{D5CDD505-2E9C-101B-9397-08002B2CF9AE}" pid="4" name="_dlc_DocIdItemGuid">
    <vt:lpwstr>942d3f31-2267-4432-bd16-fa4f59bf4bc8</vt:lpwstr>
  </property>
</Properties>
</file>