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DA2DE0" w14:textId="77777777" w:rsidR="00D96296" w:rsidRDefault="00242572" w:rsidP="002E6435">
      <w:r>
        <w:rPr>
          <w:noProof/>
          <w:lang w:eastAsia="en-AU"/>
        </w:rPr>
        <w:drawing>
          <wp:inline distT="0" distB="0" distL="0" distR="0" wp14:anchorId="213777EB" wp14:editId="5DCD1EA1">
            <wp:extent cx="6105525" cy="6105525"/>
            <wp:effectExtent l="0" t="0" r="9525" b="9525"/>
            <wp:docPr id="1489793614" name="Picture 14897936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793614" name="Picture 1489793614">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5525" cy="6105525"/>
                    </a:xfrm>
                    <a:prstGeom prst="rect">
                      <a:avLst/>
                    </a:prstGeom>
                  </pic:spPr>
                </pic:pic>
              </a:graphicData>
            </a:graphic>
          </wp:inline>
        </w:drawing>
      </w:r>
    </w:p>
    <w:p w14:paraId="37A8B9B6" w14:textId="0E1DEA5D" w:rsidR="00242572" w:rsidRDefault="00242572" w:rsidP="00242572">
      <w:pPr>
        <w:pStyle w:val="Title"/>
      </w:pPr>
      <w:r w:rsidRPr="00242572">
        <w:t>Review of Phase Four of the National Bowel Cancer Screening Program</w:t>
      </w:r>
    </w:p>
    <w:p w14:paraId="4816F616" w14:textId="77777777" w:rsidR="00242572" w:rsidRDefault="00242572" w:rsidP="00242572">
      <w:pPr>
        <w:pStyle w:val="Subtitle"/>
      </w:pPr>
      <w:r>
        <w:t>Evaluation Report</w:t>
      </w:r>
    </w:p>
    <w:p w14:paraId="32C63991" w14:textId="33EB7D8A" w:rsidR="00242572" w:rsidRDefault="00242572" w:rsidP="00242572">
      <w:pPr>
        <w:pStyle w:val="Subtitle"/>
      </w:pPr>
      <w:r>
        <w:t>September 2021</w:t>
      </w:r>
    </w:p>
    <w:p w14:paraId="5FE728D2" w14:textId="2DC9D391" w:rsidR="00242572" w:rsidRPr="002E6435" w:rsidRDefault="00242572" w:rsidP="002E6435">
      <w:pPr>
        <w:sectPr w:rsidR="00242572" w:rsidRPr="002E6435" w:rsidSect="00242572">
          <w:headerReference w:type="default" r:id="rId12"/>
          <w:footerReference w:type="default" r:id="rId13"/>
          <w:pgSz w:w="11906" w:h="16838" w:code="9"/>
          <w:pgMar w:top="1440" w:right="991" w:bottom="1440" w:left="1440" w:header="680" w:footer="425" w:gutter="0"/>
          <w:cols w:space="284"/>
          <w:docGrid w:linePitch="360"/>
        </w:sectPr>
      </w:pPr>
    </w:p>
    <w:p w14:paraId="59EF958A" w14:textId="77777777" w:rsidR="002268CC" w:rsidRDefault="002268CC" w:rsidP="002268CC">
      <w:pPr>
        <w:pStyle w:val="TOCHeading"/>
      </w:pPr>
      <w:bookmarkStart w:id="0" w:name="LAN_ContentsRP"/>
      <w:r>
        <w:lastRenderedPageBreak/>
        <w:t>Contents</w:t>
      </w:r>
      <w:bookmarkEnd w:id="0"/>
    </w:p>
    <w:p w14:paraId="5DE08D55" w14:textId="68D42338" w:rsidR="00242572" w:rsidRDefault="00F73E6D">
      <w:pPr>
        <w:pStyle w:val="TOC1"/>
        <w:rPr>
          <w:rFonts w:asciiTheme="minorHAnsi" w:eastAsiaTheme="minorEastAsia" w:hAnsiTheme="minorHAnsi"/>
          <w:noProof/>
          <w:sz w:val="22"/>
          <w:szCs w:val="22"/>
          <w:lang w:eastAsia="en-AU"/>
        </w:rPr>
      </w:pPr>
      <w:r>
        <w:fldChar w:fldCharType="begin"/>
      </w:r>
      <w:r>
        <w:instrText xml:space="preserve"> TOC \o "1-2" \h \z \u </w:instrText>
      </w:r>
      <w:r>
        <w:fldChar w:fldCharType="separate"/>
      </w:r>
      <w:hyperlink w:anchor="_Toc107837491" w:history="1">
        <w:r w:rsidR="00242572" w:rsidRPr="00AB3C2A">
          <w:rPr>
            <w:rStyle w:val="Hyperlink"/>
            <w:noProof/>
          </w:rPr>
          <w:t>Acronyms</w:t>
        </w:r>
        <w:r w:rsidR="00242572">
          <w:rPr>
            <w:noProof/>
            <w:webHidden/>
          </w:rPr>
          <w:tab/>
        </w:r>
        <w:r w:rsidR="00242572">
          <w:rPr>
            <w:noProof/>
            <w:webHidden/>
          </w:rPr>
          <w:fldChar w:fldCharType="begin"/>
        </w:r>
        <w:r w:rsidR="00242572">
          <w:rPr>
            <w:noProof/>
            <w:webHidden/>
          </w:rPr>
          <w:instrText xml:space="preserve"> PAGEREF _Toc107837491 \h </w:instrText>
        </w:r>
        <w:r w:rsidR="00242572">
          <w:rPr>
            <w:noProof/>
            <w:webHidden/>
          </w:rPr>
        </w:r>
        <w:r w:rsidR="00242572">
          <w:rPr>
            <w:noProof/>
            <w:webHidden/>
          </w:rPr>
          <w:fldChar w:fldCharType="separate"/>
        </w:r>
        <w:r w:rsidR="00242572">
          <w:rPr>
            <w:noProof/>
            <w:webHidden/>
          </w:rPr>
          <w:t>i</w:t>
        </w:r>
        <w:r w:rsidR="00242572">
          <w:rPr>
            <w:noProof/>
            <w:webHidden/>
          </w:rPr>
          <w:fldChar w:fldCharType="end"/>
        </w:r>
      </w:hyperlink>
    </w:p>
    <w:p w14:paraId="0A9AD052" w14:textId="204E0792" w:rsidR="00242572" w:rsidRDefault="000C02F8">
      <w:pPr>
        <w:pStyle w:val="TOC1"/>
        <w:rPr>
          <w:rFonts w:asciiTheme="minorHAnsi" w:eastAsiaTheme="minorEastAsia" w:hAnsiTheme="minorHAnsi"/>
          <w:noProof/>
          <w:sz w:val="22"/>
          <w:szCs w:val="22"/>
          <w:lang w:eastAsia="en-AU"/>
        </w:rPr>
      </w:pPr>
      <w:hyperlink w:anchor="_Toc107837492" w:history="1">
        <w:r w:rsidR="00242572" w:rsidRPr="00AB3C2A">
          <w:rPr>
            <w:rStyle w:val="Hyperlink"/>
            <w:noProof/>
          </w:rPr>
          <w:t>Glossary</w:t>
        </w:r>
        <w:r w:rsidR="00242572">
          <w:rPr>
            <w:noProof/>
            <w:webHidden/>
          </w:rPr>
          <w:tab/>
        </w:r>
        <w:r w:rsidR="00242572">
          <w:rPr>
            <w:noProof/>
            <w:webHidden/>
          </w:rPr>
          <w:fldChar w:fldCharType="begin"/>
        </w:r>
        <w:r w:rsidR="00242572">
          <w:rPr>
            <w:noProof/>
            <w:webHidden/>
          </w:rPr>
          <w:instrText xml:space="preserve"> PAGEREF _Toc107837492 \h </w:instrText>
        </w:r>
        <w:r w:rsidR="00242572">
          <w:rPr>
            <w:noProof/>
            <w:webHidden/>
          </w:rPr>
        </w:r>
        <w:r w:rsidR="00242572">
          <w:rPr>
            <w:noProof/>
            <w:webHidden/>
          </w:rPr>
          <w:fldChar w:fldCharType="separate"/>
        </w:r>
        <w:r w:rsidR="00242572">
          <w:rPr>
            <w:noProof/>
            <w:webHidden/>
          </w:rPr>
          <w:t>ii</w:t>
        </w:r>
        <w:r w:rsidR="00242572">
          <w:rPr>
            <w:noProof/>
            <w:webHidden/>
          </w:rPr>
          <w:fldChar w:fldCharType="end"/>
        </w:r>
      </w:hyperlink>
    </w:p>
    <w:p w14:paraId="7036967A" w14:textId="667BBC38" w:rsidR="00242572" w:rsidRDefault="000C02F8">
      <w:pPr>
        <w:pStyle w:val="TOC1"/>
        <w:rPr>
          <w:rFonts w:asciiTheme="minorHAnsi" w:eastAsiaTheme="minorEastAsia" w:hAnsiTheme="minorHAnsi"/>
          <w:noProof/>
          <w:sz w:val="22"/>
          <w:szCs w:val="22"/>
          <w:lang w:eastAsia="en-AU"/>
        </w:rPr>
      </w:pPr>
      <w:hyperlink w:anchor="_Toc107837493" w:history="1">
        <w:r w:rsidR="00242572" w:rsidRPr="00AB3C2A">
          <w:rPr>
            <w:rStyle w:val="Hyperlink"/>
            <w:noProof/>
          </w:rPr>
          <w:t>Executive summary</w:t>
        </w:r>
        <w:r w:rsidR="00242572">
          <w:rPr>
            <w:noProof/>
            <w:webHidden/>
          </w:rPr>
          <w:tab/>
        </w:r>
        <w:r w:rsidR="00242572">
          <w:rPr>
            <w:noProof/>
            <w:webHidden/>
          </w:rPr>
          <w:fldChar w:fldCharType="begin"/>
        </w:r>
        <w:r w:rsidR="00242572">
          <w:rPr>
            <w:noProof/>
            <w:webHidden/>
          </w:rPr>
          <w:instrText xml:space="preserve"> PAGEREF _Toc107837493 \h </w:instrText>
        </w:r>
        <w:r w:rsidR="00242572">
          <w:rPr>
            <w:noProof/>
            <w:webHidden/>
          </w:rPr>
        </w:r>
        <w:r w:rsidR="00242572">
          <w:rPr>
            <w:noProof/>
            <w:webHidden/>
          </w:rPr>
          <w:fldChar w:fldCharType="separate"/>
        </w:r>
        <w:r w:rsidR="00242572">
          <w:rPr>
            <w:noProof/>
            <w:webHidden/>
          </w:rPr>
          <w:t>3</w:t>
        </w:r>
        <w:r w:rsidR="00242572">
          <w:rPr>
            <w:noProof/>
            <w:webHidden/>
          </w:rPr>
          <w:fldChar w:fldCharType="end"/>
        </w:r>
      </w:hyperlink>
    </w:p>
    <w:p w14:paraId="7937CB77" w14:textId="687C1D7E" w:rsidR="00242572" w:rsidRDefault="000C02F8" w:rsidP="00242572">
      <w:pPr>
        <w:pStyle w:val="TOC2"/>
        <w:rPr>
          <w:rFonts w:asciiTheme="minorHAnsi" w:eastAsiaTheme="minorEastAsia" w:hAnsiTheme="minorHAnsi"/>
          <w:sz w:val="22"/>
          <w:szCs w:val="22"/>
          <w:lang w:eastAsia="en-AU"/>
        </w:rPr>
      </w:pPr>
      <w:hyperlink w:anchor="_Toc107837494" w:history="1">
        <w:r w:rsidR="00242572" w:rsidRPr="00242572">
          <w:rPr>
            <w:rStyle w:val="Hyperlink"/>
            <w:color w:val="auto"/>
            <w:u w:val="none"/>
          </w:rPr>
          <w:t>Background</w:t>
        </w:r>
        <w:r w:rsidR="00242572">
          <w:rPr>
            <w:webHidden/>
          </w:rPr>
          <w:tab/>
        </w:r>
        <w:r w:rsidR="00242572">
          <w:rPr>
            <w:webHidden/>
          </w:rPr>
          <w:fldChar w:fldCharType="begin"/>
        </w:r>
        <w:r w:rsidR="00242572">
          <w:rPr>
            <w:webHidden/>
          </w:rPr>
          <w:instrText xml:space="preserve"> PAGEREF _Toc107837494 \h </w:instrText>
        </w:r>
        <w:r w:rsidR="00242572">
          <w:rPr>
            <w:webHidden/>
          </w:rPr>
        </w:r>
        <w:r w:rsidR="00242572">
          <w:rPr>
            <w:webHidden/>
          </w:rPr>
          <w:fldChar w:fldCharType="separate"/>
        </w:r>
        <w:r w:rsidR="00242572">
          <w:rPr>
            <w:webHidden/>
          </w:rPr>
          <w:t>3</w:t>
        </w:r>
        <w:r w:rsidR="00242572">
          <w:rPr>
            <w:webHidden/>
          </w:rPr>
          <w:fldChar w:fldCharType="end"/>
        </w:r>
      </w:hyperlink>
    </w:p>
    <w:p w14:paraId="6C858BE3" w14:textId="0AE0A01E" w:rsidR="00242572" w:rsidRDefault="000C02F8" w:rsidP="00242572">
      <w:pPr>
        <w:pStyle w:val="TOC2"/>
        <w:rPr>
          <w:rFonts w:asciiTheme="minorHAnsi" w:eastAsiaTheme="minorEastAsia" w:hAnsiTheme="minorHAnsi"/>
          <w:sz w:val="22"/>
          <w:szCs w:val="22"/>
          <w:lang w:eastAsia="en-AU"/>
        </w:rPr>
      </w:pPr>
      <w:hyperlink w:anchor="_Toc107837495" w:history="1">
        <w:r w:rsidR="00242572" w:rsidRPr="00AB3C2A">
          <w:rPr>
            <w:rStyle w:val="Hyperlink"/>
          </w:rPr>
          <w:t>Scope of the review</w:t>
        </w:r>
        <w:r w:rsidR="00242572">
          <w:rPr>
            <w:webHidden/>
          </w:rPr>
          <w:tab/>
        </w:r>
        <w:r w:rsidR="00242572">
          <w:rPr>
            <w:webHidden/>
          </w:rPr>
          <w:fldChar w:fldCharType="begin"/>
        </w:r>
        <w:r w:rsidR="00242572">
          <w:rPr>
            <w:webHidden/>
          </w:rPr>
          <w:instrText xml:space="preserve"> PAGEREF _Toc107837495 \h </w:instrText>
        </w:r>
        <w:r w:rsidR="00242572">
          <w:rPr>
            <w:webHidden/>
          </w:rPr>
        </w:r>
        <w:r w:rsidR="00242572">
          <w:rPr>
            <w:webHidden/>
          </w:rPr>
          <w:fldChar w:fldCharType="separate"/>
        </w:r>
        <w:r w:rsidR="00242572">
          <w:rPr>
            <w:webHidden/>
          </w:rPr>
          <w:t>3</w:t>
        </w:r>
        <w:r w:rsidR="00242572">
          <w:rPr>
            <w:webHidden/>
          </w:rPr>
          <w:fldChar w:fldCharType="end"/>
        </w:r>
      </w:hyperlink>
    </w:p>
    <w:p w14:paraId="5A5486D0" w14:textId="4E517374" w:rsidR="00242572" w:rsidRDefault="000C02F8" w:rsidP="00242572">
      <w:pPr>
        <w:pStyle w:val="TOC2"/>
        <w:rPr>
          <w:rFonts w:asciiTheme="minorHAnsi" w:eastAsiaTheme="minorEastAsia" w:hAnsiTheme="minorHAnsi"/>
          <w:sz w:val="22"/>
          <w:szCs w:val="22"/>
          <w:lang w:eastAsia="en-AU"/>
        </w:rPr>
      </w:pPr>
      <w:hyperlink w:anchor="_Toc107837496" w:history="1">
        <w:r w:rsidR="00242572" w:rsidRPr="00AB3C2A">
          <w:rPr>
            <w:rStyle w:val="Hyperlink"/>
          </w:rPr>
          <w:t>Methodology</w:t>
        </w:r>
        <w:r w:rsidR="00242572">
          <w:rPr>
            <w:webHidden/>
          </w:rPr>
          <w:tab/>
        </w:r>
        <w:r w:rsidR="00242572">
          <w:rPr>
            <w:webHidden/>
          </w:rPr>
          <w:fldChar w:fldCharType="begin"/>
        </w:r>
        <w:r w:rsidR="00242572">
          <w:rPr>
            <w:webHidden/>
          </w:rPr>
          <w:instrText xml:space="preserve"> PAGEREF _Toc107837496 \h </w:instrText>
        </w:r>
        <w:r w:rsidR="00242572">
          <w:rPr>
            <w:webHidden/>
          </w:rPr>
        </w:r>
        <w:r w:rsidR="00242572">
          <w:rPr>
            <w:webHidden/>
          </w:rPr>
          <w:fldChar w:fldCharType="separate"/>
        </w:r>
        <w:r w:rsidR="00242572">
          <w:rPr>
            <w:webHidden/>
          </w:rPr>
          <w:t>4</w:t>
        </w:r>
        <w:r w:rsidR="00242572">
          <w:rPr>
            <w:webHidden/>
          </w:rPr>
          <w:fldChar w:fldCharType="end"/>
        </w:r>
      </w:hyperlink>
    </w:p>
    <w:p w14:paraId="77C4C36F" w14:textId="4BD076CD" w:rsidR="00242572" w:rsidRDefault="000C02F8" w:rsidP="00242572">
      <w:pPr>
        <w:pStyle w:val="TOC2"/>
        <w:rPr>
          <w:rFonts w:asciiTheme="minorHAnsi" w:eastAsiaTheme="minorEastAsia" w:hAnsiTheme="minorHAnsi"/>
          <w:sz w:val="22"/>
          <w:szCs w:val="22"/>
          <w:lang w:eastAsia="en-AU"/>
        </w:rPr>
      </w:pPr>
      <w:hyperlink w:anchor="_Toc107837497" w:history="1">
        <w:r w:rsidR="00242572" w:rsidRPr="00AB3C2A">
          <w:rPr>
            <w:rStyle w:val="Hyperlink"/>
          </w:rPr>
          <w:t>Limitations</w:t>
        </w:r>
        <w:r w:rsidR="00242572">
          <w:rPr>
            <w:webHidden/>
          </w:rPr>
          <w:tab/>
        </w:r>
        <w:r w:rsidR="00242572">
          <w:rPr>
            <w:webHidden/>
          </w:rPr>
          <w:fldChar w:fldCharType="begin"/>
        </w:r>
        <w:r w:rsidR="00242572">
          <w:rPr>
            <w:webHidden/>
          </w:rPr>
          <w:instrText xml:space="preserve"> PAGEREF _Toc107837497 \h </w:instrText>
        </w:r>
        <w:r w:rsidR="00242572">
          <w:rPr>
            <w:webHidden/>
          </w:rPr>
        </w:r>
        <w:r w:rsidR="00242572">
          <w:rPr>
            <w:webHidden/>
          </w:rPr>
          <w:fldChar w:fldCharType="separate"/>
        </w:r>
        <w:r w:rsidR="00242572">
          <w:rPr>
            <w:webHidden/>
          </w:rPr>
          <w:t>4</w:t>
        </w:r>
        <w:r w:rsidR="00242572">
          <w:rPr>
            <w:webHidden/>
          </w:rPr>
          <w:fldChar w:fldCharType="end"/>
        </w:r>
      </w:hyperlink>
    </w:p>
    <w:p w14:paraId="528A6C6A" w14:textId="55AD7D87" w:rsidR="00242572" w:rsidRDefault="000C02F8" w:rsidP="00242572">
      <w:pPr>
        <w:pStyle w:val="TOC2"/>
        <w:rPr>
          <w:rFonts w:asciiTheme="minorHAnsi" w:eastAsiaTheme="minorEastAsia" w:hAnsiTheme="minorHAnsi"/>
          <w:sz w:val="22"/>
          <w:szCs w:val="22"/>
          <w:lang w:eastAsia="en-AU"/>
        </w:rPr>
      </w:pPr>
      <w:hyperlink w:anchor="_Toc107837498" w:history="1">
        <w:r w:rsidR="00242572" w:rsidRPr="00AB3C2A">
          <w:rPr>
            <w:rStyle w:val="Hyperlink"/>
          </w:rPr>
          <w:t>Summary of findings</w:t>
        </w:r>
        <w:r w:rsidR="00242572">
          <w:rPr>
            <w:webHidden/>
          </w:rPr>
          <w:tab/>
        </w:r>
        <w:r w:rsidR="00242572">
          <w:rPr>
            <w:webHidden/>
          </w:rPr>
          <w:fldChar w:fldCharType="begin"/>
        </w:r>
        <w:r w:rsidR="00242572">
          <w:rPr>
            <w:webHidden/>
          </w:rPr>
          <w:instrText xml:space="preserve"> PAGEREF _Toc107837498 \h </w:instrText>
        </w:r>
        <w:r w:rsidR="00242572">
          <w:rPr>
            <w:webHidden/>
          </w:rPr>
        </w:r>
        <w:r w:rsidR="00242572">
          <w:rPr>
            <w:webHidden/>
          </w:rPr>
          <w:fldChar w:fldCharType="separate"/>
        </w:r>
        <w:r w:rsidR="00242572">
          <w:rPr>
            <w:webHidden/>
          </w:rPr>
          <w:t>5</w:t>
        </w:r>
        <w:r w:rsidR="00242572">
          <w:rPr>
            <w:webHidden/>
          </w:rPr>
          <w:fldChar w:fldCharType="end"/>
        </w:r>
      </w:hyperlink>
    </w:p>
    <w:p w14:paraId="236DF859" w14:textId="522D072A" w:rsidR="00242572" w:rsidRDefault="000C02F8">
      <w:pPr>
        <w:pStyle w:val="TOC1"/>
        <w:rPr>
          <w:rFonts w:asciiTheme="minorHAnsi" w:eastAsiaTheme="minorEastAsia" w:hAnsiTheme="minorHAnsi"/>
          <w:noProof/>
          <w:sz w:val="22"/>
          <w:szCs w:val="22"/>
          <w:lang w:eastAsia="en-AU"/>
        </w:rPr>
      </w:pPr>
      <w:hyperlink w:anchor="_Toc107837499" w:history="1">
        <w:r w:rsidR="00242572" w:rsidRPr="00AB3C2A">
          <w:rPr>
            <w:rStyle w:val="Hyperlink"/>
            <w:noProof/>
          </w:rPr>
          <w:t>1</w:t>
        </w:r>
        <w:r w:rsidR="00242572">
          <w:rPr>
            <w:rFonts w:asciiTheme="minorHAnsi" w:eastAsiaTheme="minorEastAsia" w:hAnsiTheme="minorHAnsi"/>
            <w:noProof/>
            <w:sz w:val="22"/>
            <w:szCs w:val="22"/>
            <w:lang w:eastAsia="en-AU"/>
          </w:rPr>
          <w:tab/>
        </w:r>
        <w:r w:rsidR="00242572" w:rsidRPr="00AB3C2A">
          <w:rPr>
            <w:rStyle w:val="Hyperlink"/>
            <w:noProof/>
          </w:rPr>
          <w:t>Introduction</w:t>
        </w:r>
        <w:r w:rsidR="00242572">
          <w:rPr>
            <w:noProof/>
            <w:webHidden/>
          </w:rPr>
          <w:tab/>
        </w:r>
        <w:r w:rsidR="00242572">
          <w:rPr>
            <w:noProof/>
            <w:webHidden/>
          </w:rPr>
          <w:fldChar w:fldCharType="begin"/>
        </w:r>
        <w:r w:rsidR="00242572">
          <w:rPr>
            <w:noProof/>
            <w:webHidden/>
          </w:rPr>
          <w:instrText xml:space="preserve"> PAGEREF _Toc107837499 \h </w:instrText>
        </w:r>
        <w:r w:rsidR="00242572">
          <w:rPr>
            <w:noProof/>
            <w:webHidden/>
          </w:rPr>
        </w:r>
        <w:r w:rsidR="00242572">
          <w:rPr>
            <w:noProof/>
            <w:webHidden/>
          </w:rPr>
          <w:fldChar w:fldCharType="separate"/>
        </w:r>
        <w:r w:rsidR="00242572">
          <w:rPr>
            <w:noProof/>
            <w:webHidden/>
          </w:rPr>
          <w:t>17</w:t>
        </w:r>
        <w:r w:rsidR="00242572">
          <w:rPr>
            <w:noProof/>
            <w:webHidden/>
          </w:rPr>
          <w:fldChar w:fldCharType="end"/>
        </w:r>
      </w:hyperlink>
    </w:p>
    <w:p w14:paraId="4CDD4001" w14:textId="7F22ED74" w:rsidR="00242572" w:rsidRDefault="000C02F8" w:rsidP="00242572">
      <w:pPr>
        <w:pStyle w:val="TOC2"/>
        <w:rPr>
          <w:rFonts w:asciiTheme="minorHAnsi" w:eastAsiaTheme="minorEastAsia" w:hAnsiTheme="minorHAnsi"/>
          <w:sz w:val="22"/>
          <w:szCs w:val="22"/>
          <w:lang w:eastAsia="en-AU"/>
        </w:rPr>
      </w:pPr>
      <w:hyperlink w:anchor="_Toc107837500" w:history="1">
        <w:r w:rsidR="00242572" w:rsidRPr="00AB3C2A">
          <w:rPr>
            <w:rStyle w:val="Hyperlink"/>
            <w:lang w:val="da-DK"/>
          </w:rPr>
          <w:t>1.1</w:t>
        </w:r>
        <w:r w:rsidR="00242572">
          <w:rPr>
            <w:rFonts w:asciiTheme="minorHAnsi" w:eastAsiaTheme="minorEastAsia" w:hAnsiTheme="minorHAnsi"/>
            <w:sz w:val="22"/>
            <w:szCs w:val="22"/>
            <w:lang w:eastAsia="en-AU"/>
          </w:rPr>
          <w:t xml:space="preserve"> </w:t>
        </w:r>
        <w:r w:rsidR="00242572" w:rsidRPr="00AB3C2A">
          <w:rPr>
            <w:rStyle w:val="Hyperlink"/>
          </w:rPr>
          <w:t>Background</w:t>
        </w:r>
        <w:r w:rsidR="00242572">
          <w:rPr>
            <w:webHidden/>
          </w:rPr>
          <w:tab/>
        </w:r>
        <w:r w:rsidR="00242572">
          <w:rPr>
            <w:webHidden/>
          </w:rPr>
          <w:fldChar w:fldCharType="begin"/>
        </w:r>
        <w:r w:rsidR="00242572">
          <w:rPr>
            <w:webHidden/>
          </w:rPr>
          <w:instrText xml:space="preserve"> PAGEREF _Toc107837500 \h </w:instrText>
        </w:r>
        <w:r w:rsidR="00242572">
          <w:rPr>
            <w:webHidden/>
          </w:rPr>
        </w:r>
        <w:r w:rsidR="00242572">
          <w:rPr>
            <w:webHidden/>
          </w:rPr>
          <w:fldChar w:fldCharType="separate"/>
        </w:r>
        <w:r w:rsidR="00242572">
          <w:rPr>
            <w:webHidden/>
          </w:rPr>
          <w:t>17</w:t>
        </w:r>
        <w:r w:rsidR="00242572">
          <w:rPr>
            <w:webHidden/>
          </w:rPr>
          <w:fldChar w:fldCharType="end"/>
        </w:r>
      </w:hyperlink>
    </w:p>
    <w:p w14:paraId="5EED3FC0" w14:textId="675F41EA" w:rsidR="00242572" w:rsidRDefault="000C02F8" w:rsidP="00242572">
      <w:pPr>
        <w:pStyle w:val="TOC2"/>
        <w:rPr>
          <w:rFonts w:asciiTheme="minorHAnsi" w:eastAsiaTheme="minorEastAsia" w:hAnsiTheme="minorHAnsi"/>
          <w:sz w:val="22"/>
          <w:szCs w:val="22"/>
          <w:lang w:eastAsia="en-AU"/>
        </w:rPr>
      </w:pPr>
      <w:hyperlink w:anchor="_Toc107837501" w:history="1">
        <w:r w:rsidR="00242572" w:rsidRPr="00AB3C2A">
          <w:rPr>
            <w:rStyle w:val="Hyperlink"/>
          </w:rPr>
          <w:t>1.2</w:t>
        </w:r>
        <w:r w:rsidR="00242572">
          <w:rPr>
            <w:rFonts w:asciiTheme="minorHAnsi" w:eastAsiaTheme="minorEastAsia" w:hAnsiTheme="minorHAnsi"/>
            <w:sz w:val="22"/>
            <w:szCs w:val="22"/>
            <w:lang w:eastAsia="en-AU"/>
          </w:rPr>
          <w:t xml:space="preserve"> </w:t>
        </w:r>
        <w:r w:rsidR="00242572" w:rsidRPr="00AB3C2A">
          <w:rPr>
            <w:rStyle w:val="Hyperlink"/>
          </w:rPr>
          <w:t>Review of the NBCSP</w:t>
        </w:r>
        <w:r w:rsidR="00242572">
          <w:rPr>
            <w:webHidden/>
          </w:rPr>
          <w:tab/>
        </w:r>
        <w:r w:rsidR="00242572">
          <w:rPr>
            <w:webHidden/>
          </w:rPr>
          <w:fldChar w:fldCharType="begin"/>
        </w:r>
        <w:r w:rsidR="00242572">
          <w:rPr>
            <w:webHidden/>
          </w:rPr>
          <w:instrText xml:space="preserve"> PAGEREF _Toc107837501 \h </w:instrText>
        </w:r>
        <w:r w:rsidR="00242572">
          <w:rPr>
            <w:webHidden/>
          </w:rPr>
        </w:r>
        <w:r w:rsidR="00242572">
          <w:rPr>
            <w:webHidden/>
          </w:rPr>
          <w:fldChar w:fldCharType="separate"/>
        </w:r>
        <w:r w:rsidR="00242572">
          <w:rPr>
            <w:webHidden/>
          </w:rPr>
          <w:t>18</w:t>
        </w:r>
        <w:r w:rsidR="00242572">
          <w:rPr>
            <w:webHidden/>
          </w:rPr>
          <w:fldChar w:fldCharType="end"/>
        </w:r>
      </w:hyperlink>
    </w:p>
    <w:p w14:paraId="4EB39D56" w14:textId="19D81F4B" w:rsidR="00242572" w:rsidRDefault="000C02F8" w:rsidP="00242572">
      <w:pPr>
        <w:pStyle w:val="TOC2"/>
        <w:rPr>
          <w:rFonts w:asciiTheme="minorHAnsi" w:eastAsiaTheme="minorEastAsia" w:hAnsiTheme="minorHAnsi"/>
          <w:sz w:val="22"/>
          <w:szCs w:val="22"/>
          <w:lang w:eastAsia="en-AU"/>
        </w:rPr>
      </w:pPr>
      <w:hyperlink w:anchor="_Toc107837502" w:history="1">
        <w:r w:rsidR="00242572" w:rsidRPr="00AB3C2A">
          <w:rPr>
            <w:rStyle w:val="Hyperlink"/>
          </w:rPr>
          <w:t>1.3</w:t>
        </w:r>
        <w:r w:rsidR="00242572">
          <w:rPr>
            <w:rStyle w:val="Hyperlink"/>
          </w:rPr>
          <w:t xml:space="preserve"> </w:t>
        </w:r>
        <w:r w:rsidR="00242572" w:rsidRPr="00AB3C2A">
          <w:rPr>
            <w:rStyle w:val="Hyperlink"/>
          </w:rPr>
          <w:t>NBCSP participant clinical pathway</w:t>
        </w:r>
        <w:r w:rsidR="00242572">
          <w:rPr>
            <w:webHidden/>
          </w:rPr>
          <w:tab/>
        </w:r>
        <w:r w:rsidR="00242572">
          <w:rPr>
            <w:webHidden/>
          </w:rPr>
          <w:fldChar w:fldCharType="begin"/>
        </w:r>
        <w:r w:rsidR="00242572">
          <w:rPr>
            <w:webHidden/>
          </w:rPr>
          <w:instrText xml:space="preserve"> PAGEREF _Toc107837502 \h </w:instrText>
        </w:r>
        <w:r w:rsidR="00242572">
          <w:rPr>
            <w:webHidden/>
          </w:rPr>
        </w:r>
        <w:r w:rsidR="00242572">
          <w:rPr>
            <w:webHidden/>
          </w:rPr>
          <w:fldChar w:fldCharType="separate"/>
        </w:r>
        <w:r w:rsidR="00242572">
          <w:rPr>
            <w:webHidden/>
          </w:rPr>
          <w:t>18</w:t>
        </w:r>
        <w:r w:rsidR="00242572">
          <w:rPr>
            <w:webHidden/>
          </w:rPr>
          <w:fldChar w:fldCharType="end"/>
        </w:r>
      </w:hyperlink>
    </w:p>
    <w:p w14:paraId="5BA7DE5B" w14:textId="7AFCD2A7" w:rsidR="00242572" w:rsidRDefault="000C02F8" w:rsidP="00242572">
      <w:pPr>
        <w:pStyle w:val="TOC2"/>
        <w:rPr>
          <w:rFonts w:asciiTheme="minorHAnsi" w:eastAsiaTheme="minorEastAsia" w:hAnsiTheme="minorHAnsi"/>
          <w:sz w:val="22"/>
          <w:szCs w:val="22"/>
          <w:lang w:eastAsia="en-AU"/>
        </w:rPr>
      </w:pPr>
      <w:hyperlink w:anchor="_Toc107837503" w:history="1">
        <w:r w:rsidR="00242572" w:rsidRPr="00AB3C2A">
          <w:rPr>
            <w:rStyle w:val="Hyperlink"/>
          </w:rPr>
          <w:t>1.4</w:t>
        </w:r>
        <w:r w:rsidR="00242572">
          <w:rPr>
            <w:rStyle w:val="Hyperlink"/>
          </w:rPr>
          <w:t xml:space="preserve"> </w:t>
        </w:r>
        <w:r w:rsidR="00242572" w:rsidRPr="00AB3C2A">
          <w:rPr>
            <w:rStyle w:val="Hyperlink"/>
          </w:rPr>
          <w:t>Methodology</w:t>
        </w:r>
        <w:r w:rsidR="00242572">
          <w:rPr>
            <w:webHidden/>
          </w:rPr>
          <w:tab/>
        </w:r>
        <w:r w:rsidR="00242572">
          <w:rPr>
            <w:webHidden/>
          </w:rPr>
          <w:fldChar w:fldCharType="begin"/>
        </w:r>
        <w:r w:rsidR="00242572">
          <w:rPr>
            <w:webHidden/>
          </w:rPr>
          <w:instrText xml:space="preserve"> PAGEREF _Toc107837503 \h </w:instrText>
        </w:r>
        <w:r w:rsidR="00242572">
          <w:rPr>
            <w:webHidden/>
          </w:rPr>
        </w:r>
        <w:r w:rsidR="00242572">
          <w:rPr>
            <w:webHidden/>
          </w:rPr>
          <w:fldChar w:fldCharType="separate"/>
        </w:r>
        <w:r w:rsidR="00242572">
          <w:rPr>
            <w:webHidden/>
          </w:rPr>
          <w:t>19</w:t>
        </w:r>
        <w:r w:rsidR="00242572">
          <w:rPr>
            <w:webHidden/>
          </w:rPr>
          <w:fldChar w:fldCharType="end"/>
        </w:r>
      </w:hyperlink>
    </w:p>
    <w:p w14:paraId="520A3B66" w14:textId="0050E513" w:rsidR="00242572" w:rsidRDefault="000C02F8" w:rsidP="00242572">
      <w:pPr>
        <w:pStyle w:val="TOC2"/>
        <w:rPr>
          <w:rFonts w:asciiTheme="minorHAnsi" w:eastAsiaTheme="minorEastAsia" w:hAnsiTheme="minorHAnsi"/>
          <w:sz w:val="22"/>
          <w:szCs w:val="22"/>
          <w:lang w:eastAsia="en-AU"/>
        </w:rPr>
      </w:pPr>
      <w:hyperlink w:anchor="_Toc107837504" w:history="1">
        <w:r w:rsidR="00242572" w:rsidRPr="00AB3C2A">
          <w:rPr>
            <w:rStyle w:val="Hyperlink"/>
          </w:rPr>
          <w:t>1.5</w:t>
        </w:r>
        <w:r w:rsidR="00242572">
          <w:rPr>
            <w:rStyle w:val="Hyperlink"/>
          </w:rPr>
          <w:t xml:space="preserve"> </w:t>
        </w:r>
        <w:r w:rsidR="00242572" w:rsidRPr="00AB3C2A">
          <w:rPr>
            <w:rStyle w:val="Hyperlink"/>
          </w:rPr>
          <w:t>Limitations of the review</w:t>
        </w:r>
        <w:r w:rsidR="00242572">
          <w:rPr>
            <w:webHidden/>
          </w:rPr>
          <w:tab/>
        </w:r>
        <w:r w:rsidR="00242572">
          <w:rPr>
            <w:webHidden/>
          </w:rPr>
          <w:fldChar w:fldCharType="begin"/>
        </w:r>
        <w:r w:rsidR="00242572">
          <w:rPr>
            <w:webHidden/>
          </w:rPr>
          <w:instrText xml:space="preserve"> PAGEREF _Toc107837504 \h </w:instrText>
        </w:r>
        <w:r w:rsidR="00242572">
          <w:rPr>
            <w:webHidden/>
          </w:rPr>
        </w:r>
        <w:r w:rsidR="00242572">
          <w:rPr>
            <w:webHidden/>
          </w:rPr>
          <w:fldChar w:fldCharType="separate"/>
        </w:r>
        <w:r w:rsidR="00242572">
          <w:rPr>
            <w:webHidden/>
          </w:rPr>
          <w:t>23</w:t>
        </w:r>
        <w:r w:rsidR="00242572">
          <w:rPr>
            <w:webHidden/>
          </w:rPr>
          <w:fldChar w:fldCharType="end"/>
        </w:r>
      </w:hyperlink>
    </w:p>
    <w:p w14:paraId="6D9598EF" w14:textId="14378BBB" w:rsidR="00242572" w:rsidRDefault="000C02F8" w:rsidP="00242572">
      <w:pPr>
        <w:pStyle w:val="TOC2"/>
        <w:rPr>
          <w:rFonts w:asciiTheme="minorHAnsi" w:eastAsiaTheme="minorEastAsia" w:hAnsiTheme="minorHAnsi"/>
          <w:sz w:val="22"/>
          <w:szCs w:val="22"/>
          <w:lang w:eastAsia="en-AU"/>
        </w:rPr>
      </w:pPr>
      <w:hyperlink w:anchor="_Toc107837505" w:history="1">
        <w:r w:rsidR="00242572" w:rsidRPr="00AB3C2A">
          <w:rPr>
            <w:rStyle w:val="Hyperlink"/>
          </w:rPr>
          <w:t>1.6</w:t>
        </w:r>
        <w:r w:rsidR="00242572">
          <w:rPr>
            <w:rStyle w:val="Hyperlink"/>
          </w:rPr>
          <w:t xml:space="preserve"> </w:t>
        </w:r>
        <w:r w:rsidR="00242572" w:rsidRPr="00AB3C2A">
          <w:rPr>
            <w:rStyle w:val="Hyperlink"/>
          </w:rPr>
          <w:t>Structure of this report</w:t>
        </w:r>
        <w:r w:rsidR="00242572">
          <w:rPr>
            <w:webHidden/>
          </w:rPr>
          <w:tab/>
        </w:r>
        <w:r w:rsidR="00242572">
          <w:rPr>
            <w:webHidden/>
          </w:rPr>
          <w:fldChar w:fldCharType="begin"/>
        </w:r>
        <w:r w:rsidR="00242572">
          <w:rPr>
            <w:webHidden/>
          </w:rPr>
          <w:instrText xml:space="preserve"> PAGEREF _Toc107837505 \h </w:instrText>
        </w:r>
        <w:r w:rsidR="00242572">
          <w:rPr>
            <w:webHidden/>
          </w:rPr>
        </w:r>
        <w:r w:rsidR="00242572">
          <w:rPr>
            <w:webHidden/>
          </w:rPr>
          <w:fldChar w:fldCharType="separate"/>
        </w:r>
        <w:r w:rsidR="00242572">
          <w:rPr>
            <w:webHidden/>
          </w:rPr>
          <w:t>23</w:t>
        </w:r>
        <w:r w:rsidR="00242572">
          <w:rPr>
            <w:webHidden/>
          </w:rPr>
          <w:fldChar w:fldCharType="end"/>
        </w:r>
      </w:hyperlink>
    </w:p>
    <w:p w14:paraId="1F1903B5" w14:textId="7E08D2BB" w:rsidR="00242572" w:rsidRDefault="000C02F8">
      <w:pPr>
        <w:pStyle w:val="TOC1"/>
        <w:rPr>
          <w:rFonts w:asciiTheme="minorHAnsi" w:eastAsiaTheme="minorEastAsia" w:hAnsiTheme="minorHAnsi"/>
          <w:noProof/>
          <w:sz w:val="22"/>
          <w:szCs w:val="22"/>
          <w:lang w:eastAsia="en-AU"/>
        </w:rPr>
      </w:pPr>
      <w:hyperlink w:anchor="_Toc107837506" w:history="1">
        <w:r w:rsidR="00242572" w:rsidRPr="00AB3C2A">
          <w:rPr>
            <w:rStyle w:val="Hyperlink"/>
            <w:noProof/>
          </w:rPr>
          <w:t>2</w:t>
        </w:r>
        <w:r w:rsidR="00242572">
          <w:rPr>
            <w:rFonts w:asciiTheme="minorHAnsi" w:eastAsiaTheme="minorEastAsia" w:hAnsiTheme="minorHAnsi"/>
            <w:noProof/>
            <w:sz w:val="22"/>
            <w:szCs w:val="22"/>
            <w:lang w:eastAsia="en-AU"/>
          </w:rPr>
          <w:tab/>
        </w:r>
        <w:r w:rsidR="00242572" w:rsidRPr="00AB3C2A">
          <w:rPr>
            <w:rStyle w:val="Hyperlink"/>
            <w:noProof/>
          </w:rPr>
          <w:t>Appropriateness</w:t>
        </w:r>
        <w:r w:rsidR="00242572">
          <w:rPr>
            <w:noProof/>
            <w:webHidden/>
          </w:rPr>
          <w:tab/>
        </w:r>
        <w:r w:rsidR="00242572">
          <w:rPr>
            <w:noProof/>
            <w:webHidden/>
          </w:rPr>
          <w:fldChar w:fldCharType="begin"/>
        </w:r>
        <w:r w:rsidR="00242572">
          <w:rPr>
            <w:noProof/>
            <w:webHidden/>
          </w:rPr>
          <w:instrText xml:space="preserve"> PAGEREF _Toc107837506 \h </w:instrText>
        </w:r>
        <w:r w:rsidR="00242572">
          <w:rPr>
            <w:noProof/>
            <w:webHidden/>
          </w:rPr>
        </w:r>
        <w:r w:rsidR="00242572">
          <w:rPr>
            <w:noProof/>
            <w:webHidden/>
          </w:rPr>
          <w:fldChar w:fldCharType="separate"/>
        </w:r>
        <w:r w:rsidR="00242572">
          <w:rPr>
            <w:noProof/>
            <w:webHidden/>
          </w:rPr>
          <w:t>24</w:t>
        </w:r>
        <w:r w:rsidR="00242572">
          <w:rPr>
            <w:noProof/>
            <w:webHidden/>
          </w:rPr>
          <w:fldChar w:fldCharType="end"/>
        </w:r>
      </w:hyperlink>
    </w:p>
    <w:p w14:paraId="1DB00C66" w14:textId="02FCA5D8" w:rsidR="00242572" w:rsidRDefault="000C02F8" w:rsidP="00242572">
      <w:pPr>
        <w:pStyle w:val="TOC2"/>
        <w:rPr>
          <w:rFonts w:asciiTheme="minorHAnsi" w:eastAsiaTheme="minorEastAsia" w:hAnsiTheme="minorHAnsi"/>
          <w:sz w:val="22"/>
          <w:szCs w:val="22"/>
          <w:lang w:eastAsia="en-AU"/>
        </w:rPr>
      </w:pPr>
      <w:hyperlink w:anchor="_Toc107837507" w:history="1">
        <w:r w:rsidR="00242572" w:rsidRPr="00AB3C2A">
          <w:rPr>
            <w:rStyle w:val="Hyperlink"/>
          </w:rPr>
          <w:t>2.1</w:t>
        </w:r>
        <w:r w:rsidR="00242572">
          <w:rPr>
            <w:rFonts w:asciiTheme="minorHAnsi" w:eastAsiaTheme="minorEastAsia" w:hAnsiTheme="minorHAnsi"/>
            <w:sz w:val="22"/>
            <w:szCs w:val="22"/>
            <w:lang w:eastAsia="en-AU"/>
          </w:rPr>
          <w:tab/>
        </w:r>
        <w:r w:rsidR="00242572" w:rsidRPr="00AB3C2A">
          <w:rPr>
            <w:rStyle w:val="Hyperlink"/>
          </w:rPr>
          <w:t>To what extent is the Program facilitating the provision of timely, appropriate, high-quality, and safe diagnostic assessment services for Program participants?</w:t>
        </w:r>
        <w:r w:rsidR="00242572">
          <w:rPr>
            <w:webHidden/>
          </w:rPr>
          <w:tab/>
        </w:r>
        <w:r w:rsidR="00242572">
          <w:rPr>
            <w:webHidden/>
          </w:rPr>
          <w:fldChar w:fldCharType="begin"/>
        </w:r>
        <w:r w:rsidR="00242572">
          <w:rPr>
            <w:webHidden/>
          </w:rPr>
          <w:instrText xml:space="preserve"> PAGEREF _Toc107837507 \h </w:instrText>
        </w:r>
        <w:r w:rsidR="00242572">
          <w:rPr>
            <w:webHidden/>
          </w:rPr>
        </w:r>
        <w:r w:rsidR="00242572">
          <w:rPr>
            <w:webHidden/>
          </w:rPr>
          <w:fldChar w:fldCharType="separate"/>
        </w:r>
        <w:r w:rsidR="00242572">
          <w:rPr>
            <w:webHidden/>
          </w:rPr>
          <w:t>24</w:t>
        </w:r>
        <w:r w:rsidR="00242572">
          <w:rPr>
            <w:webHidden/>
          </w:rPr>
          <w:fldChar w:fldCharType="end"/>
        </w:r>
      </w:hyperlink>
    </w:p>
    <w:p w14:paraId="05D87023" w14:textId="7F9B8F91" w:rsidR="00242572" w:rsidRDefault="000C02F8" w:rsidP="00242572">
      <w:pPr>
        <w:pStyle w:val="TOC2"/>
        <w:rPr>
          <w:rFonts w:asciiTheme="minorHAnsi" w:eastAsiaTheme="minorEastAsia" w:hAnsiTheme="minorHAnsi"/>
          <w:sz w:val="22"/>
          <w:szCs w:val="22"/>
          <w:lang w:eastAsia="en-AU"/>
        </w:rPr>
      </w:pPr>
      <w:hyperlink w:anchor="_Toc107837508" w:history="1">
        <w:r w:rsidR="00242572" w:rsidRPr="00AB3C2A">
          <w:rPr>
            <w:rStyle w:val="Hyperlink"/>
          </w:rPr>
          <w:t>2.2</w:t>
        </w:r>
        <w:r w:rsidR="00242572">
          <w:rPr>
            <w:rFonts w:asciiTheme="minorHAnsi" w:eastAsiaTheme="minorEastAsia" w:hAnsiTheme="minorHAnsi"/>
            <w:sz w:val="22"/>
            <w:szCs w:val="22"/>
            <w:lang w:eastAsia="en-AU"/>
          </w:rPr>
          <w:tab/>
        </w:r>
        <w:r w:rsidR="00242572" w:rsidRPr="00AB3C2A">
          <w:rPr>
            <w:rStyle w:val="Hyperlink"/>
          </w:rPr>
          <w:t>What are the key identified opportunities to improve the appropriateness of the Program?</w:t>
        </w:r>
        <w:r w:rsidR="00242572">
          <w:rPr>
            <w:webHidden/>
          </w:rPr>
          <w:tab/>
        </w:r>
        <w:r w:rsidR="00242572">
          <w:rPr>
            <w:webHidden/>
          </w:rPr>
          <w:fldChar w:fldCharType="begin"/>
        </w:r>
        <w:r w:rsidR="00242572">
          <w:rPr>
            <w:webHidden/>
          </w:rPr>
          <w:instrText xml:space="preserve"> PAGEREF _Toc107837508 \h </w:instrText>
        </w:r>
        <w:r w:rsidR="00242572">
          <w:rPr>
            <w:webHidden/>
          </w:rPr>
        </w:r>
        <w:r w:rsidR="00242572">
          <w:rPr>
            <w:webHidden/>
          </w:rPr>
          <w:fldChar w:fldCharType="separate"/>
        </w:r>
        <w:r w:rsidR="00242572">
          <w:rPr>
            <w:webHidden/>
          </w:rPr>
          <w:t>45</w:t>
        </w:r>
        <w:r w:rsidR="00242572">
          <w:rPr>
            <w:webHidden/>
          </w:rPr>
          <w:fldChar w:fldCharType="end"/>
        </w:r>
      </w:hyperlink>
    </w:p>
    <w:p w14:paraId="5B52A257" w14:textId="137ED9C8" w:rsidR="00242572" w:rsidRDefault="000C02F8">
      <w:pPr>
        <w:pStyle w:val="TOC1"/>
        <w:rPr>
          <w:rFonts w:asciiTheme="minorHAnsi" w:eastAsiaTheme="minorEastAsia" w:hAnsiTheme="minorHAnsi"/>
          <w:noProof/>
          <w:sz w:val="22"/>
          <w:szCs w:val="22"/>
          <w:lang w:eastAsia="en-AU"/>
        </w:rPr>
      </w:pPr>
      <w:hyperlink w:anchor="_Toc107837509" w:history="1">
        <w:r w:rsidR="00242572" w:rsidRPr="00AB3C2A">
          <w:rPr>
            <w:rStyle w:val="Hyperlink"/>
            <w:noProof/>
          </w:rPr>
          <w:t>3</w:t>
        </w:r>
        <w:r w:rsidR="00242572">
          <w:rPr>
            <w:rFonts w:asciiTheme="minorHAnsi" w:eastAsiaTheme="minorEastAsia" w:hAnsiTheme="minorHAnsi"/>
            <w:noProof/>
            <w:sz w:val="22"/>
            <w:szCs w:val="22"/>
            <w:lang w:eastAsia="en-AU"/>
          </w:rPr>
          <w:tab/>
        </w:r>
        <w:r w:rsidR="00242572" w:rsidRPr="00AB3C2A">
          <w:rPr>
            <w:rStyle w:val="Hyperlink"/>
            <w:noProof/>
          </w:rPr>
          <w:t>Fidelity</w:t>
        </w:r>
        <w:r w:rsidR="00242572">
          <w:rPr>
            <w:noProof/>
            <w:webHidden/>
          </w:rPr>
          <w:tab/>
        </w:r>
        <w:r w:rsidR="00242572">
          <w:rPr>
            <w:noProof/>
            <w:webHidden/>
          </w:rPr>
          <w:fldChar w:fldCharType="begin"/>
        </w:r>
        <w:r w:rsidR="00242572">
          <w:rPr>
            <w:noProof/>
            <w:webHidden/>
          </w:rPr>
          <w:instrText xml:space="preserve"> PAGEREF _Toc107837509 \h </w:instrText>
        </w:r>
        <w:r w:rsidR="00242572">
          <w:rPr>
            <w:noProof/>
            <w:webHidden/>
          </w:rPr>
        </w:r>
        <w:r w:rsidR="00242572">
          <w:rPr>
            <w:noProof/>
            <w:webHidden/>
          </w:rPr>
          <w:fldChar w:fldCharType="separate"/>
        </w:r>
        <w:r w:rsidR="00242572">
          <w:rPr>
            <w:noProof/>
            <w:webHidden/>
          </w:rPr>
          <w:t>48</w:t>
        </w:r>
        <w:r w:rsidR="00242572">
          <w:rPr>
            <w:noProof/>
            <w:webHidden/>
          </w:rPr>
          <w:fldChar w:fldCharType="end"/>
        </w:r>
      </w:hyperlink>
    </w:p>
    <w:p w14:paraId="0C2AC338" w14:textId="1C2E3395" w:rsidR="00242572" w:rsidRDefault="000C02F8" w:rsidP="00242572">
      <w:pPr>
        <w:pStyle w:val="TOC2"/>
        <w:rPr>
          <w:rFonts w:asciiTheme="minorHAnsi" w:eastAsiaTheme="minorEastAsia" w:hAnsiTheme="minorHAnsi"/>
          <w:sz w:val="22"/>
          <w:szCs w:val="22"/>
          <w:lang w:eastAsia="en-AU"/>
        </w:rPr>
      </w:pPr>
      <w:hyperlink w:anchor="_Toc107837510" w:history="1">
        <w:r w:rsidR="00242572" w:rsidRPr="00AB3C2A">
          <w:rPr>
            <w:rStyle w:val="Hyperlink"/>
          </w:rPr>
          <w:t>3.1</w:t>
        </w:r>
        <w:r w:rsidR="00242572">
          <w:rPr>
            <w:rStyle w:val="Hyperlink"/>
          </w:rPr>
          <w:t xml:space="preserve"> </w:t>
        </w:r>
        <w:r w:rsidR="00242572" w:rsidRPr="00AB3C2A">
          <w:rPr>
            <w:rStyle w:val="Hyperlink"/>
          </w:rPr>
          <w:t>Was the Program delivered as intended?</w:t>
        </w:r>
        <w:r w:rsidR="00242572">
          <w:rPr>
            <w:webHidden/>
          </w:rPr>
          <w:tab/>
        </w:r>
        <w:r w:rsidR="00242572">
          <w:rPr>
            <w:webHidden/>
          </w:rPr>
          <w:fldChar w:fldCharType="begin"/>
        </w:r>
        <w:r w:rsidR="00242572">
          <w:rPr>
            <w:webHidden/>
          </w:rPr>
          <w:instrText xml:space="preserve"> PAGEREF _Toc107837510 \h </w:instrText>
        </w:r>
        <w:r w:rsidR="00242572">
          <w:rPr>
            <w:webHidden/>
          </w:rPr>
        </w:r>
        <w:r w:rsidR="00242572">
          <w:rPr>
            <w:webHidden/>
          </w:rPr>
          <w:fldChar w:fldCharType="separate"/>
        </w:r>
        <w:r w:rsidR="00242572">
          <w:rPr>
            <w:webHidden/>
          </w:rPr>
          <w:t>48</w:t>
        </w:r>
        <w:r w:rsidR="00242572">
          <w:rPr>
            <w:webHidden/>
          </w:rPr>
          <w:fldChar w:fldCharType="end"/>
        </w:r>
      </w:hyperlink>
    </w:p>
    <w:p w14:paraId="5F8FE620" w14:textId="77AB8A3D" w:rsidR="00242572" w:rsidRDefault="000C02F8" w:rsidP="00242572">
      <w:pPr>
        <w:pStyle w:val="TOC2"/>
        <w:rPr>
          <w:rFonts w:asciiTheme="minorHAnsi" w:eastAsiaTheme="minorEastAsia" w:hAnsiTheme="minorHAnsi"/>
          <w:sz w:val="22"/>
          <w:szCs w:val="22"/>
          <w:lang w:eastAsia="en-AU"/>
        </w:rPr>
      </w:pPr>
      <w:hyperlink w:anchor="_Toc107837511" w:history="1">
        <w:r w:rsidR="00242572" w:rsidRPr="00AB3C2A">
          <w:rPr>
            <w:rStyle w:val="Hyperlink"/>
          </w:rPr>
          <w:t>3.2</w:t>
        </w:r>
        <w:r w:rsidR="00242572">
          <w:rPr>
            <w:rStyle w:val="Hyperlink"/>
          </w:rPr>
          <w:t xml:space="preserve"> </w:t>
        </w:r>
        <w:r w:rsidR="00242572" w:rsidRPr="00AB3C2A">
          <w:rPr>
            <w:rStyle w:val="Hyperlink"/>
          </w:rPr>
          <w:t>To what extent did Phase Four address the recommendations of the previous evaluation?</w:t>
        </w:r>
        <w:r w:rsidR="00242572">
          <w:rPr>
            <w:webHidden/>
          </w:rPr>
          <w:tab/>
        </w:r>
        <w:r w:rsidR="00242572">
          <w:rPr>
            <w:webHidden/>
          </w:rPr>
          <w:fldChar w:fldCharType="begin"/>
        </w:r>
        <w:r w:rsidR="00242572">
          <w:rPr>
            <w:webHidden/>
          </w:rPr>
          <w:instrText xml:space="preserve"> PAGEREF _Toc107837511 \h </w:instrText>
        </w:r>
        <w:r w:rsidR="00242572">
          <w:rPr>
            <w:webHidden/>
          </w:rPr>
        </w:r>
        <w:r w:rsidR="00242572">
          <w:rPr>
            <w:webHidden/>
          </w:rPr>
          <w:fldChar w:fldCharType="separate"/>
        </w:r>
        <w:r w:rsidR="00242572">
          <w:rPr>
            <w:webHidden/>
          </w:rPr>
          <w:t>53</w:t>
        </w:r>
        <w:r w:rsidR="00242572">
          <w:rPr>
            <w:webHidden/>
          </w:rPr>
          <w:fldChar w:fldCharType="end"/>
        </w:r>
      </w:hyperlink>
    </w:p>
    <w:p w14:paraId="2E7C4EF7" w14:textId="4A462405" w:rsidR="00242572" w:rsidRDefault="000C02F8" w:rsidP="00242572">
      <w:pPr>
        <w:pStyle w:val="TOC2"/>
        <w:rPr>
          <w:rFonts w:asciiTheme="minorHAnsi" w:eastAsiaTheme="minorEastAsia" w:hAnsiTheme="minorHAnsi"/>
          <w:sz w:val="22"/>
          <w:szCs w:val="22"/>
          <w:lang w:eastAsia="en-AU"/>
        </w:rPr>
      </w:pPr>
      <w:hyperlink w:anchor="_Toc107837512" w:history="1">
        <w:r w:rsidR="00242572" w:rsidRPr="00AB3C2A">
          <w:rPr>
            <w:rStyle w:val="Hyperlink"/>
          </w:rPr>
          <w:t>3.3</w:t>
        </w:r>
        <w:r w:rsidR="00242572">
          <w:rPr>
            <w:rStyle w:val="Hyperlink"/>
          </w:rPr>
          <w:t xml:space="preserve"> </w:t>
        </w:r>
        <w:r w:rsidR="00242572" w:rsidRPr="00AB3C2A">
          <w:rPr>
            <w:rStyle w:val="Hyperlink"/>
          </w:rPr>
          <w:t>To what extent are governance structures operating effectively?</w:t>
        </w:r>
        <w:r w:rsidR="00242572">
          <w:rPr>
            <w:webHidden/>
          </w:rPr>
          <w:tab/>
        </w:r>
        <w:r w:rsidR="00242572">
          <w:rPr>
            <w:webHidden/>
          </w:rPr>
          <w:fldChar w:fldCharType="begin"/>
        </w:r>
        <w:r w:rsidR="00242572">
          <w:rPr>
            <w:webHidden/>
          </w:rPr>
          <w:instrText xml:space="preserve"> PAGEREF _Toc107837512 \h </w:instrText>
        </w:r>
        <w:r w:rsidR="00242572">
          <w:rPr>
            <w:webHidden/>
          </w:rPr>
        </w:r>
        <w:r w:rsidR="00242572">
          <w:rPr>
            <w:webHidden/>
          </w:rPr>
          <w:fldChar w:fldCharType="separate"/>
        </w:r>
        <w:r w:rsidR="00242572">
          <w:rPr>
            <w:webHidden/>
          </w:rPr>
          <w:t>55</w:t>
        </w:r>
        <w:r w:rsidR="00242572">
          <w:rPr>
            <w:webHidden/>
          </w:rPr>
          <w:fldChar w:fldCharType="end"/>
        </w:r>
      </w:hyperlink>
    </w:p>
    <w:p w14:paraId="71EE1E70" w14:textId="69D7732D" w:rsidR="00242572" w:rsidRDefault="000C02F8" w:rsidP="00242572">
      <w:pPr>
        <w:pStyle w:val="TOC2"/>
        <w:rPr>
          <w:rFonts w:asciiTheme="minorHAnsi" w:eastAsiaTheme="minorEastAsia" w:hAnsiTheme="minorHAnsi"/>
          <w:sz w:val="22"/>
          <w:szCs w:val="22"/>
          <w:lang w:eastAsia="en-AU"/>
        </w:rPr>
      </w:pPr>
      <w:hyperlink w:anchor="_Toc107837513" w:history="1">
        <w:r w:rsidR="00242572" w:rsidRPr="00AB3C2A">
          <w:rPr>
            <w:rStyle w:val="Hyperlink"/>
          </w:rPr>
          <w:t>3.4</w:t>
        </w:r>
        <w:r w:rsidR="00242572">
          <w:rPr>
            <w:rStyle w:val="Hyperlink"/>
          </w:rPr>
          <w:t xml:space="preserve"> </w:t>
        </w:r>
        <w:r w:rsidR="00242572" w:rsidRPr="00AB3C2A">
          <w:rPr>
            <w:rStyle w:val="Hyperlink"/>
          </w:rPr>
          <w:t>What are the key identified opportunities to improve governance and data collection?</w:t>
        </w:r>
        <w:r w:rsidR="00242572">
          <w:rPr>
            <w:webHidden/>
          </w:rPr>
          <w:tab/>
        </w:r>
        <w:r w:rsidR="00242572">
          <w:rPr>
            <w:webHidden/>
          </w:rPr>
          <w:fldChar w:fldCharType="begin"/>
        </w:r>
        <w:r w:rsidR="00242572">
          <w:rPr>
            <w:webHidden/>
          </w:rPr>
          <w:instrText xml:space="preserve"> PAGEREF _Toc107837513 \h </w:instrText>
        </w:r>
        <w:r w:rsidR="00242572">
          <w:rPr>
            <w:webHidden/>
          </w:rPr>
        </w:r>
        <w:r w:rsidR="00242572">
          <w:rPr>
            <w:webHidden/>
          </w:rPr>
          <w:fldChar w:fldCharType="separate"/>
        </w:r>
        <w:r w:rsidR="00242572">
          <w:rPr>
            <w:webHidden/>
          </w:rPr>
          <w:t>58</w:t>
        </w:r>
        <w:r w:rsidR="00242572">
          <w:rPr>
            <w:webHidden/>
          </w:rPr>
          <w:fldChar w:fldCharType="end"/>
        </w:r>
      </w:hyperlink>
    </w:p>
    <w:p w14:paraId="57129E2E" w14:textId="0ACFD24F" w:rsidR="00242572" w:rsidRDefault="000C02F8">
      <w:pPr>
        <w:pStyle w:val="TOC1"/>
        <w:rPr>
          <w:rFonts w:asciiTheme="minorHAnsi" w:eastAsiaTheme="minorEastAsia" w:hAnsiTheme="minorHAnsi"/>
          <w:noProof/>
          <w:sz w:val="22"/>
          <w:szCs w:val="22"/>
          <w:lang w:eastAsia="en-AU"/>
        </w:rPr>
      </w:pPr>
      <w:hyperlink w:anchor="_Toc107837514" w:history="1">
        <w:r w:rsidR="00242572" w:rsidRPr="00AB3C2A">
          <w:rPr>
            <w:rStyle w:val="Hyperlink"/>
            <w:noProof/>
          </w:rPr>
          <w:t>4</w:t>
        </w:r>
        <w:r w:rsidR="00242572">
          <w:rPr>
            <w:rFonts w:asciiTheme="minorHAnsi" w:eastAsiaTheme="minorEastAsia" w:hAnsiTheme="minorHAnsi"/>
            <w:noProof/>
            <w:sz w:val="22"/>
            <w:szCs w:val="22"/>
            <w:lang w:eastAsia="en-AU"/>
          </w:rPr>
          <w:tab/>
        </w:r>
        <w:r w:rsidR="00242572" w:rsidRPr="00AB3C2A">
          <w:rPr>
            <w:rStyle w:val="Hyperlink"/>
            <w:noProof/>
          </w:rPr>
          <w:t>Awareness and adoption</w:t>
        </w:r>
        <w:r w:rsidR="00242572">
          <w:rPr>
            <w:noProof/>
            <w:webHidden/>
          </w:rPr>
          <w:tab/>
        </w:r>
        <w:r w:rsidR="00242572">
          <w:rPr>
            <w:noProof/>
            <w:webHidden/>
          </w:rPr>
          <w:fldChar w:fldCharType="begin"/>
        </w:r>
        <w:r w:rsidR="00242572">
          <w:rPr>
            <w:noProof/>
            <w:webHidden/>
          </w:rPr>
          <w:instrText xml:space="preserve"> PAGEREF _Toc107837514 \h </w:instrText>
        </w:r>
        <w:r w:rsidR="00242572">
          <w:rPr>
            <w:noProof/>
            <w:webHidden/>
          </w:rPr>
        </w:r>
        <w:r w:rsidR="00242572">
          <w:rPr>
            <w:noProof/>
            <w:webHidden/>
          </w:rPr>
          <w:fldChar w:fldCharType="separate"/>
        </w:r>
        <w:r w:rsidR="00242572">
          <w:rPr>
            <w:noProof/>
            <w:webHidden/>
          </w:rPr>
          <w:t>60</w:t>
        </w:r>
        <w:r w:rsidR="00242572">
          <w:rPr>
            <w:noProof/>
            <w:webHidden/>
          </w:rPr>
          <w:fldChar w:fldCharType="end"/>
        </w:r>
      </w:hyperlink>
    </w:p>
    <w:p w14:paraId="004B2F58" w14:textId="5225B6D9" w:rsidR="00242572" w:rsidRDefault="000C02F8" w:rsidP="00242572">
      <w:pPr>
        <w:pStyle w:val="TOC2"/>
        <w:rPr>
          <w:rFonts w:asciiTheme="minorHAnsi" w:eastAsiaTheme="minorEastAsia" w:hAnsiTheme="minorHAnsi"/>
          <w:sz w:val="22"/>
          <w:szCs w:val="22"/>
          <w:lang w:eastAsia="en-AU"/>
        </w:rPr>
      </w:pPr>
      <w:hyperlink w:anchor="_Toc107837515" w:history="1">
        <w:r w:rsidR="00242572" w:rsidRPr="00AB3C2A">
          <w:rPr>
            <w:rStyle w:val="Hyperlink"/>
          </w:rPr>
          <w:t>4.1</w:t>
        </w:r>
        <w:r w:rsidR="00242572">
          <w:rPr>
            <w:rFonts w:asciiTheme="minorHAnsi" w:eastAsiaTheme="minorEastAsia" w:hAnsiTheme="minorHAnsi"/>
            <w:sz w:val="22"/>
            <w:szCs w:val="22"/>
            <w:lang w:eastAsia="en-AU"/>
          </w:rPr>
          <w:t xml:space="preserve"> </w:t>
        </w:r>
        <w:r w:rsidR="00242572" w:rsidRPr="00AB3C2A">
          <w:rPr>
            <w:rStyle w:val="Hyperlink"/>
          </w:rPr>
          <w:t>To what extent is the Program achieving participation levels that maximise the population benefit of early detection of bowel cancer in the target population (50 to 74-year olds)?</w:t>
        </w:r>
        <w:r w:rsidR="00242572">
          <w:rPr>
            <w:webHidden/>
          </w:rPr>
          <w:tab/>
        </w:r>
        <w:r w:rsidR="00242572">
          <w:rPr>
            <w:webHidden/>
          </w:rPr>
          <w:fldChar w:fldCharType="begin"/>
        </w:r>
        <w:r w:rsidR="00242572">
          <w:rPr>
            <w:webHidden/>
          </w:rPr>
          <w:instrText xml:space="preserve"> PAGEREF _Toc107837515 \h </w:instrText>
        </w:r>
        <w:r w:rsidR="00242572">
          <w:rPr>
            <w:webHidden/>
          </w:rPr>
        </w:r>
        <w:r w:rsidR="00242572">
          <w:rPr>
            <w:webHidden/>
          </w:rPr>
          <w:fldChar w:fldCharType="separate"/>
        </w:r>
        <w:r w:rsidR="00242572">
          <w:rPr>
            <w:webHidden/>
          </w:rPr>
          <w:t>60</w:t>
        </w:r>
        <w:r w:rsidR="00242572">
          <w:rPr>
            <w:webHidden/>
          </w:rPr>
          <w:fldChar w:fldCharType="end"/>
        </w:r>
      </w:hyperlink>
    </w:p>
    <w:p w14:paraId="5F63F445" w14:textId="595B8F76" w:rsidR="00242572" w:rsidRDefault="000C02F8" w:rsidP="00242572">
      <w:pPr>
        <w:pStyle w:val="TOC2"/>
        <w:rPr>
          <w:rFonts w:asciiTheme="minorHAnsi" w:eastAsiaTheme="minorEastAsia" w:hAnsiTheme="minorHAnsi"/>
          <w:sz w:val="22"/>
          <w:szCs w:val="22"/>
          <w:lang w:eastAsia="en-AU"/>
        </w:rPr>
      </w:pPr>
      <w:hyperlink w:anchor="_Toc107837516" w:history="1">
        <w:r w:rsidR="00242572" w:rsidRPr="00AB3C2A">
          <w:rPr>
            <w:rStyle w:val="Hyperlink"/>
          </w:rPr>
          <w:t>4.2</w:t>
        </w:r>
        <w:r w:rsidR="00242572">
          <w:rPr>
            <w:rFonts w:asciiTheme="minorHAnsi" w:eastAsiaTheme="minorEastAsia" w:hAnsiTheme="minorHAnsi"/>
            <w:sz w:val="22"/>
            <w:szCs w:val="22"/>
            <w:lang w:eastAsia="en-AU"/>
          </w:rPr>
          <w:t xml:space="preserve"> </w:t>
        </w:r>
        <w:r w:rsidR="00242572" w:rsidRPr="00AB3C2A">
          <w:rPr>
            <w:rStyle w:val="Hyperlink"/>
          </w:rPr>
          <w:t>What are the key identified opportunities to improve Program participation?</w:t>
        </w:r>
        <w:r w:rsidR="00242572">
          <w:rPr>
            <w:webHidden/>
          </w:rPr>
          <w:tab/>
        </w:r>
        <w:r w:rsidR="00242572">
          <w:rPr>
            <w:webHidden/>
          </w:rPr>
          <w:fldChar w:fldCharType="begin"/>
        </w:r>
        <w:r w:rsidR="00242572">
          <w:rPr>
            <w:webHidden/>
          </w:rPr>
          <w:instrText xml:space="preserve"> PAGEREF _Toc107837516 \h </w:instrText>
        </w:r>
        <w:r w:rsidR="00242572">
          <w:rPr>
            <w:webHidden/>
          </w:rPr>
        </w:r>
        <w:r w:rsidR="00242572">
          <w:rPr>
            <w:webHidden/>
          </w:rPr>
          <w:fldChar w:fldCharType="separate"/>
        </w:r>
        <w:r w:rsidR="00242572">
          <w:rPr>
            <w:webHidden/>
          </w:rPr>
          <w:t>72</w:t>
        </w:r>
        <w:r w:rsidR="00242572">
          <w:rPr>
            <w:webHidden/>
          </w:rPr>
          <w:fldChar w:fldCharType="end"/>
        </w:r>
      </w:hyperlink>
    </w:p>
    <w:p w14:paraId="189EE8D7" w14:textId="080F261A" w:rsidR="00242572" w:rsidRDefault="000C02F8">
      <w:pPr>
        <w:pStyle w:val="TOC1"/>
        <w:rPr>
          <w:rFonts w:asciiTheme="minorHAnsi" w:eastAsiaTheme="minorEastAsia" w:hAnsiTheme="minorHAnsi"/>
          <w:noProof/>
          <w:sz w:val="22"/>
          <w:szCs w:val="22"/>
          <w:lang w:eastAsia="en-AU"/>
        </w:rPr>
      </w:pPr>
      <w:hyperlink w:anchor="_Toc107837517" w:history="1">
        <w:r w:rsidR="00242572" w:rsidRPr="00AB3C2A">
          <w:rPr>
            <w:rStyle w:val="Hyperlink"/>
            <w:noProof/>
          </w:rPr>
          <w:t>5</w:t>
        </w:r>
        <w:r w:rsidR="00242572">
          <w:rPr>
            <w:rFonts w:asciiTheme="minorHAnsi" w:eastAsiaTheme="minorEastAsia" w:hAnsiTheme="minorHAnsi"/>
            <w:noProof/>
            <w:sz w:val="22"/>
            <w:szCs w:val="22"/>
            <w:lang w:eastAsia="en-AU"/>
          </w:rPr>
          <w:tab/>
        </w:r>
        <w:r w:rsidR="00242572" w:rsidRPr="00AB3C2A">
          <w:rPr>
            <w:rStyle w:val="Hyperlink"/>
            <w:noProof/>
          </w:rPr>
          <w:t>Effectiveness</w:t>
        </w:r>
        <w:r w:rsidR="00242572">
          <w:rPr>
            <w:noProof/>
            <w:webHidden/>
          </w:rPr>
          <w:tab/>
        </w:r>
        <w:r w:rsidR="00242572">
          <w:rPr>
            <w:noProof/>
            <w:webHidden/>
          </w:rPr>
          <w:fldChar w:fldCharType="begin"/>
        </w:r>
        <w:r w:rsidR="00242572">
          <w:rPr>
            <w:noProof/>
            <w:webHidden/>
          </w:rPr>
          <w:instrText xml:space="preserve"> PAGEREF _Toc107837517 \h </w:instrText>
        </w:r>
        <w:r w:rsidR="00242572">
          <w:rPr>
            <w:noProof/>
            <w:webHidden/>
          </w:rPr>
        </w:r>
        <w:r w:rsidR="00242572">
          <w:rPr>
            <w:noProof/>
            <w:webHidden/>
          </w:rPr>
          <w:fldChar w:fldCharType="separate"/>
        </w:r>
        <w:r w:rsidR="00242572">
          <w:rPr>
            <w:noProof/>
            <w:webHidden/>
          </w:rPr>
          <w:t>74</w:t>
        </w:r>
        <w:r w:rsidR="00242572">
          <w:rPr>
            <w:noProof/>
            <w:webHidden/>
          </w:rPr>
          <w:fldChar w:fldCharType="end"/>
        </w:r>
      </w:hyperlink>
    </w:p>
    <w:p w14:paraId="235745F1" w14:textId="7647C43F" w:rsidR="00242572" w:rsidRDefault="000C02F8" w:rsidP="00242572">
      <w:pPr>
        <w:pStyle w:val="TOC2"/>
        <w:rPr>
          <w:rFonts w:asciiTheme="minorHAnsi" w:eastAsiaTheme="minorEastAsia" w:hAnsiTheme="minorHAnsi"/>
          <w:sz w:val="22"/>
          <w:szCs w:val="22"/>
          <w:lang w:eastAsia="en-AU"/>
        </w:rPr>
      </w:pPr>
      <w:hyperlink w:anchor="_Toc107837518" w:history="1">
        <w:r w:rsidR="00242572" w:rsidRPr="00AB3C2A">
          <w:rPr>
            <w:rStyle w:val="Hyperlink"/>
            <w:bCs/>
          </w:rPr>
          <w:t>5.1</w:t>
        </w:r>
        <w:r w:rsidR="00242572">
          <w:rPr>
            <w:rFonts w:asciiTheme="minorHAnsi" w:eastAsiaTheme="minorEastAsia" w:hAnsiTheme="minorHAnsi"/>
            <w:sz w:val="22"/>
            <w:szCs w:val="22"/>
            <w:lang w:eastAsia="en-AU"/>
          </w:rPr>
          <w:tab/>
        </w:r>
        <w:r w:rsidR="00242572" w:rsidRPr="00AB3C2A">
          <w:rPr>
            <w:rStyle w:val="Hyperlink"/>
          </w:rPr>
          <w:t>To what extent is the Program maximising the benefits and minimising harms to individuals participating in the Program?</w:t>
        </w:r>
        <w:r w:rsidR="00242572">
          <w:rPr>
            <w:webHidden/>
          </w:rPr>
          <w:tab/>
        </w:r>
        <w:r w:rsidR="00242572">
          <w:rPr>
            <w:webHidden/>
          </w:rPr>
          <w:fldChar w:fldCharType="begin"/>
        </w:r>
        <w:r w:rsidR="00242572">
          <w:rPr>
            <w:webHidden/>
          </w:rPr>
          <w:instrText xml:space="preserve"> PAGEREF _Toc107837518 \h </w:instrText>
        </w:r>
        <w:r w:rsidR="00242572">
          <w:rPr>
            <w:webHidden/>
          </w:rPr>
        </w:r>
        <w:r w:rsidR="00242572">
          <w:rPr>
            <w:webHidden/>
          </w:rPr>
          <w:fldChar w:fldCharType="separate"/>
        </w:r>
        <w:r w:rsidR="00242572">
          <w:rPr>
            <w:webHidden/>
          </w:rPr>
          <w:t>74</w:t>
        </w:r>
        <w:r w:rsidR="00242572">
          <w:rPr>
            <w:webHidden/>
          </w:rPr>
          <w:fldChar w:fldCharType="end"/>
        </w:r>
      </w:hyperlink>
    </w:p>
    <w:p w14:paraId="6622ED1D" w14:textId="74802B66" w:rsidR="00242572" w:rsidRDefault="000C02F8" w:rsidP="00242572">
      <w:pPr>
        <w:pStyle w:val="TOC2"/>
        <w:rPr>
          <w:rFonts w:asciiTheme="minorHAnsi" w:eastAsiaTheme="minorEastAsia" w:hAnsiTheme="minorHAnsi"/>
          <w:sz w:val="22"/>
          <w:szCs w:val="22"/>
          <w:lang w:eastAsia="en-AU"/>
        </w:rPr>
      </w:pPr>
      <w:hyperlink w:anchor="_Toc107837519" w:history="1">
        <w:r w:rsidR="00242572" w:rsidRPr="00AB3C2A">
          <w:rPr>
            <w:rStyle w:val="Hyperlink"/>
          </w:rPr>
          <w:t>5.2</w:t>
        </w:r>
        <w:r w:rsidR="00242572">
          <w:rPr>
            <w:rFonts w:asciiTheme="minorHAnsi" w:eastAsiaTheme="minorEastAsia" w:hAnsiTheme="minorHAnsi"/>
            <w:sz w:val="22"/>
            <w:szCs w:val="22"/>
            <w:lang w:eastAsia="en-AU"/>
          </w:rPr>
          <w:t xml:space="preserve"> </w:t>
        </w:r>
        <w:r w:rsidR="00242572" w:rsidRPr="00AB3C2A">
          <w:rPr>
            <w:rStyle w:val="Hyperlink"/>
          </w:rPr>
          <w:t>Are there opportunities to change or enhance the role of states and territories to better support the achievement of NBCSP outcomes?</w:t>
        </w:r>
        <w:r w:rsidR="00242572">
          <w:rPr>
            <w:webHidden/>
          </w:rPr>
          <w:tab/>
        </w:r>
        <w:r w:rsidR="00242572">
          <w:rPr>
            <w:webHidden/>
          </w:rPr>
          <w:fldChar w:fldCharType="begin"/>
        </w:r>
        <w:r w:rsidR="00242572">
          <w:rPr>
            <w:webHidden/>
          </w:rPr>
          <w:instrText xml:space="preserve"> PAGEREF _Toc107837519 \h </w:instrText>
        </w:r>
        <w:r w:rsidR="00242572">
          <w:rPr>
            <w:webHidden/>
          </w:rPr>
        </w:r>
        <w:r w:rsidR="00242572">
          <w:rPr>
            <w:webHidden/>
          </w:rPr>
          <w:fldChar w:fldCharType="separate"/>
        </w:r>
        <w:r w:rsidR="00242572">
          <w:rPr>
            <w:webHidden/>
          </w:rPr>
          <w:t>75</w:t>
        </w:r>
        <w:r w:rsidR="00242572">
          <w:rPr>
            <w:webHidden/>
          </w:rPr>
          <w:fldChar w:fldCharType="end"/>
        </w:r>
      </w:hyperlink>
    </w:p>
    <w:p w14:paraId="64EF6513" w14:textId="54438158" w:rsidR="00242572" w:rsidRDefault="000C02F8" w:rsidP="00242572">
      <w:pPr>
        <w:pStyle w:val="TOC2"/>
        <w:rPr>
          <w:rFonts w:asciiTheme="minorHAnsi" w:eastAsiaTheme="minorEastAsia" w:hAnsiTheme="minorHAnsi"/>
          <w:sz w:val="22"/>
          <w:szCs w:val="22"/>
          <w:lang w:eastAsia="en-AU"/>
        </w:rPr>
      </w:pPr>
      <w:hyperlink w:anchor="_Toc107837520" w:history="1">
        <w:r w:rsidR="00242572" w:rsidRPr="00AB3C2A">
          <w:rPr>
            <w:rStyle w:val="Hyperlink"/>
          </w:rPr>
          <w:t>5.3</w:t>
        </w:r>
        <w:r w:rsidR="00242572">
          <w:rPr>
            <w:rFonts w:asciiTheme="minorHAnsi" w:eastAsiaTheme="minorEastAsia" w:hAnsiTheme="minorHAnsi"/>
            <w:sz w:val="22"/>
            <w:szCs w:val="22"/>
            <w:lang w:eastAsia="en-AU"/>
          </w:rPr>
          <w:t xml:space="preserve"> </w:t>
        </w:r>
        <w:r w:rsidR="00242572" w:rsidRPr="00AB3C2A">
          <w:rPr>
            <w:rStyle w:val="Hyperlink"/>
          </w:rPr>
          <w:t>What are the key identified opportunities to improve the effectiveness of the Program?</w:t>
        </w:r>
        <w:r w:rsidR="00242572">
          <w:rPr>
            <w:webHidden/>
          </w:rPr>
          <w:tab/>
        </w:r>
        <w:r w:rsidR="00242572">
          <w:rPr>
            <w:webHidden/>
          </w:rPr>
          <w:fldChar w:fldCharType="begin"/>
        </w:r>
        <w:r w:rsidR="00242572">
          <w:rPr>
            <w:webHidden/>
          </w:rPr>
          <w:instrText xml:space="preserve"> PAGEREF _Toc107837520 \h </w:instrText>
        </w:r>
        <w:r w:rsidR="00242572">
          <w:rPr>
            <w:webHidden/>
          </w:rPr>
        </w:r>
        <w:r w:rsidR="00242572">
          <w:rPr>
            <w:webHidden/>
          </w:rPr>
          <w:fldChar w:fldCharType="separate"/>
        </w:r>
        <w:r w:rsidR="00242572">
          <w:rPr>
            <w:webHidden/>
          </w:rPr>
          <w:t>76</w:t>
        </w:r>
        <w:r w:rsidR="00242572">
          <w:rPr>
            <w:webHidden/>
          </w:rPr>
          <w:fldChar w:fldCharType="end"/>
        </w:r>
      </w:hyperlink>
    </w:p>
    <w:p w14:paraId="4F056730" w14:textId="6F5D40EC" w:rsidR="00242572" w:rsidRDefault="000C02F8">
      <w:pPr>
        <w:pStyle w:val="TOC1"/>
        <w:rPr>
          <w:rFonts w:asciiTheme="minorHAnsi" w:eastAsiaTheme="minorEastAsia" w:hAnsiTheme="minorHAnsi"/>
          <w:noProof/>
          <w:sz w:val="22"/>
          <w:szCs w:val="22"/>
          <w:lang w:eastAsia="en-AU"/>
        </w:rPr>
      </w:pPr>
      <w:hyperlink w:anchor="_Toc107837521" w:history="1">
        <w:r w:rsidR="00242572" w:rsidRPr="00AB3C2A">
          <w:rPr>
            <w:rStyle w:val="Hyperlink"/>
            <w:noProof/>
          </w:rPr>
          <w:t>6</w:t>
        </w:r>
        <w:r w:rsidR="00242572">
          <w:rPr>
            <w:rFonts w:asciiTheme="minorHAnsi" w:eastAsiaTheme="minorEastAsia" w:hAnsiTheme="minorHAnsi"/>
            <w:noProof/>
            <w:sz w:val="22"/>
            <w:szCs w:val="22"/>
            <w:lang w:eastAsia="en-AU"/>
          </w:rPr>
          <w:tab/>
        </w:r>
        <w:r w:rsidR="00242572" w:rsidRPr="00AB3C2A">
          <w:rPr>
            <w:rStyle w:val="Hyperlink"/>
            <w:noProof/>
          </w:rPr>
          <w:t>Efficiency</w:t>
        </w:r>
        <w:r w:rsidR="00242572">
          <w:rPr>
            <w:noProof/>
            <w:webHidden/>
          </w:rPr>
          <w:tab/>
        </w:r>
        <w:r w:rsidR="00242572">
          <w:rPr>
            <w:noProof/>
            <w:webHidden/>
          </w:rPr>
          <w:fldChar w:fldCharType="begin"/>
        </w:r>
        <w:r w:rsidR="00242572">
          <w:rPr>
            <w:noProof/>
            <w:webHidden/>
          </w:rPr>
          <w:instrText xml:space="preserve"> PAGEREF _Toc107837521 \h </w:instrText>
        </w:r>
        <w:r w:rsidR="00242572">
          <w:rPr>
            <w:noProof/>
            <w:webHidden/>
          </w:rPr>
        </w:r>
        <w:r w:rsidR="00242572">
          <w:rPr>
            <w:noProof/>
            <w:webHidden/>
          </w:rPr>
          <w:fldChar w:fldCharType="separate"/>
        </w:r>
        <w:r w:rsidR="00242572">
          <w:rPr>
            <w:noProof/>
            <w:webHidden/>
          </w:rPr>
          <w:t>77</w:t>
        </w:r>
        <w:r w:rsidR="00242572">
          <w:rPr>
            <w:noProof/>
            <w:webHidden/>
          </w:rPr>
          <w:fldChar w:fldCharType="end"/>
        </w:r>
      </w:hyperlink>
    </w:p>
    <w:p w14:paraId="1D547BC0" w14:textId="103CD8FA" w:rsidR="00242572" w:rsidRDefault="000C02F8" w:rsidP="00242572">
      <w:pPr>
        <w:pStyle w:val="TOC2"/>
        <w:rPr>
          <w:rFonts w:asciiTheme="minorHAnsi" w:eastAsiaTheme="minorEastAsia" w:hAnsiTheme="minorHAnsi"/>
          <w:sz w:val="22"/>
          <w:szCs w:val="22"/>
          <w:lang w:eastAsia="en-AU"/>
        </w:rPr>
      </w:pPr>
      <w:hyperlink w:anchor="_Toc107837522" w:history="1">
        <w:r w:rsidR="00242572" w:rsidRPr="00AB3C2A">
          <w:rPr>
            <w:rStyle w:val="Hyperlink"/>
          </w:rPr>
          <w:t>6.1</w:t>
        </w:r>
        <w:r w:rsidR="00242572">
          <w:rPr>
            <w:rFonts w:asciiTheme="minorHAnsi" w:eastAsiaTheme="minorEastAsia" w:hAnsiTheme="minorHAnsi"/>
            <w:sz w:val="22"/>
            <w:szCs w:val="22"/>
            <w:lang w:eastAsia="en-AU"/>
          </w:rPr>
          <w:t xml:space="preserve"> </w:t>
        </w:r>
        <w:r w:rsidR="00242572" w:rsidRPr="00AB3C2A">
          <w:rPr>
            <w:rStyle w:val="Hyperlink"/>
          </w:rPr>
          <w:t>To what extent is the Program cost-effective?</w:t>
        </w:r>
        <w:r w:rsidR="00242572">
          <w:rPr>
            <w:webHidden/>
          </w:rPr>
          <w:tab/>
        </w:r>
        <w:r w:rsidR="00242572">
          <w:rPr>
            <w:webHidden/>
          </w:rPr>
          <w:fldChar w:fldCharType="begin"/>
        </w:r>
        <w:r w:rsidR="00242572">
          <w:rPr>
            <w:webHidden/>
          </w:rPr>
          <w:instrText xml:space="preserve"> PAGEREF _Toc107837522 \h </w:instrText>
        </w:r>
        <w:r w:rsidR="00242572">
          <w:rPr>
            <w:webHidden/>
          </w:rPr>
        </w:r>
        <w:r w:rsidR="00242572">
          <w:rPr>
            <w:webHidden/>
          </w:rPr>
          <w:fldChar w:fldCharType="separate"/>
        </w:r>
        <w:r w:rsidR="00242572">
          <w:rPr>
            <w:webHidden/>
          </w:rPr>
          <w:t>77</w:t>
        </w:r>
        <w:r w:rsidR="00242572">
          <w:rPr>
            <w:webHidden/>
          </w:rPr>
          <w:fldChar w:fldCharType="end"/>
        </w:r>
      </w:hyperlink>
    </w:p>
    <w:p w14:paraId="4D1C2A06" w14:textId="4266484C" w:rsidR="00242572" w:rsidRDefault="000C02F8" w:rsidP="00242572">
      <w:pPr>
        <w:pStyle w:val="TOC2"/>
        <w:rPr>
          <w:rFonts w:asciiTheme="minorHAnsi" w:eastAsiaTheme="minorEastAsia" w:hAnsiTheme="minorHAnsi"/>
          <w:sz w:val="22"/>
          <w:szCs w:val="22"/>
          <w:lang w:eastAsia="en-AU"/>
        </w:rPr>
      </w:pPr>
      <w:hyperlink w:anchor="_Toc107837523" w:history="1">
        <w:r w:rsidR="00242572" w:rsidRPr="00AB3C2A">
          <w:rPr>
            <w:rStyle w:val="Hyperlink"/>
          </w:rPr>
          <w:t>6.2</w:t>
        </w:r>
        <w:r w:rsidR="00242572">
          <w:rPr>
            <w:rFonts w:asciiTheme="minorHAnsi" w:eastAsiaTheme="minorEastAsia" w:hAnsiTheme="minorHAnsi"/>
            <w:sz w:val="22"/>
            <w:szCs w:val="22"/>
            <w:lang w:eastAsia="en-AU"/>
          </w:rPr>
          <w:t xml:space="preserve"> </w:t>
        </w:r>
        <w:r w:rsidR="00242572" w:rsidRPr="00AB3C2A">
          <w:rPr>
            <w:rStyle w:val="Hyperlink"/>
          </w:rPr>
          <w:t>Conclusions</w:t>
        </w:r>
        <w:r w:rsidR="00242572">
          <w:rPr>
            <w:webHidden/>
          </w:rPr>
          <w:tab/>
        </w:r>
        <w:r w:rsidR="00242572">
          <w:rPr>
            <w:webHidden/>
          </w:rPr>
          <w:fldChar w:fldCharType="begin"/>
        </w:r>
        <w:r w:rsidR="00242572">
          <w:rPr>
            <w:webHidden/>
          </w:rPr>
          <w:instrText xml:space="preserve"> PAGEREF _Toc107837523 \h </w:instrText>
        </w:r>
        <w:r w:rsidR="00242572">
          <w:rPr>
            <w:webHidden/>
          </w:rPr>
        </w:r>
        <w:r w:rsidR="00242572">
          <w:rPr>
            <w:webHidden/>
          </w:rPr>
          <w:fldChar w:fldCharType="separate"/>
        </w:r>
        <w:r w:rsidR="00242572">
          <w:rPr>
            <w:webHidden/>
          </w:rPr>
          <w:t>86</w:t>
        </w:r>
        <w:r w:rsidR="00242572">
          <w:rPr>
            <w:webHidden/>
          </w:rPr>
          <w:fldChar w:fldCharType="end"/>
        </w:r>
      </w:hyperlink>
    </w:p>
    <w:p w14:paraId="4C8507A3" w14:textId="4629743C" w:rsidR="00242572" w:rsidRDefault="000C02F8">
      <w:pPr>
        <w:pStyle w:val="TOC1"/>
        <w:rPr>
          <w:rFonts w:asciiTheme="minorHAnsi" w:eastAsiaTheme="minorEastAsia" w:hAnsiTheme="minorHAnsi"/>
          <w:noProof/>
          <w:sz w:val="22"/>
          <w:szCs w:val="22"/>
          <w:lang w:eastAsia="en-AU"/>
        </w:rPr>
      </w:pPr>
      <w:hyperlink w:anchor="_Toc107837524" w:history="1">
        <w:r w:rsidR="00242572" w:rsidRPr="00AB3C2A">
          <w:rPr>
            <w:rStyle w:val="Hyperlink"/>
            <w:noProof/>
          </w:rPr>
          <w:t>7</w:t>
        </w:r>
        <w:r w:rsidR="00242572">
          <w:rPr>
            <w:rFonts w:asciiTheme="minorHAnsi" w:eastAsiaTheme="minorEastAsia" w:hAnsiTheme="minorHAnsi"/>
            <w:noProof/>
            <w:sz w:val="22"/>
            <w:szCs w:val="22"/>
            <w:lang w:eastAsia="en-AU"/>
          </w:rPr>
          <w:tab/>
        </w:r>
        <w:r w:rsidR="00242572" w:rsidRPr="00AB3C2A">
          <w:rPr>
            <w:rStyle w:val="Hyperlink"/>
            <w:noProof/>
          </w:rPr>
          <w:t>Concluding remarks and opportunities</w:t>
        </w:r>
        <w:r w:rsidR="00242572">
          <w:rPr>
            <w:noProof/>
            <w:webHidden/>
          </w:rPr>
          <w:tab/>
        </w:r>
        <w:r w:rsidR="00242572">
          <w:rPr>
            <w:noProof/>
            <w:webHidden/>
          </w:rPr>
          <w:fldChar w:fldCharType="begin"/>
        </w:r>
        <w:r w:rsidR="00242572">
          <w:rPr>
            <w:noProof/>
            <w:webHidden/>
          </w:rPr>
          <w:instrText xml:space="preserve"> PAGEREF _Toc107837524 \h </w:instrText>
        </w:r>
        <w:r w:rsidR="00242572">
          <w:rPr>
            <w:noProof/>
            <w:webHidden/>
          </w:rPr>
        </w:r>
        <w:r w:rsidR="00242572">
          <w:rPr>
            <w:noProof/>
            <w:webHidden/>
          </w:rPr>
          <w:fldChar w:fldCharType="separate"/>
        </w:r>
        <w:r w:rsidR="00242572">
          <w:rPr>
            <w:noProof/>
            <w:webHidden/>
          </w:rPr>
          <w:t>87</w:t>
        </w:r>
        <w:r w:rsidR="00242572">
          <w:rPr>
            <w:noProof/>
            <w:webHidden/>
          </w:rPr>
          <w:fldChar w:fldCharType="end"/>
        </w:r>
      </w:hyperlink>
    </w:p>
    <w:p w14:paraId="2682E1CA" w14:textId="6A84B208" w:rsidR="00242572" w:rsidRDefault="000C02F8" w:rsidP="00242572">
      <w:pPr>
        <w:pStyle w:val="TOC2"/>
        <w:rPr>
          <w:rFonts w:asciiTheme="minorHAnsi" w:eastAsiaTheme="minorEastAsia" w:hAnsiTheme="minorHAnsi"/>
          <w:sz w:val="22"/>
          <w:szCs w:val="22"/>
          <w:lang w:eastAsia="en-AU"/>
        </w:rPr>
      </w:pPr>
      <w:hyperlink w:anchor="_Toc107837525" w:history="1">
        <w:r w:rsidR="00242572" w:rsidRPr="00AB3C2A">
          <w:rPr>
            <w:rStyle w:val="Hyperlink"/>
          </w:rPr>
          <w:t>7.1</w:t>
        </w:r>
        <w:r w:rsidR="00242572">
          <w:rPr>
            <w:rFonts w:asciiTheme="minorHAnsi" w:eastAsiaTheme="minorEastAsia" w:hAnsiTheme="minorHAnsi"/>
            <w:sz w:val="22"/>
            <w:szCs w:val="22"/>
            <w:lang w:eastAsia="en-AU"/>
          </w:rPr>
          <w:t xml:space="preserve"> </w:t>
        </w:r>
        <w:r w:rsidR="00242572" w:rsidRPr="00AB3C2A">
          <w:rPr>
            <w:rStyle w:val="Hyperlink"/>
          </w:rPr>
          <w:t>Concluding remarks</w:t>
        </w:r>
        <w:r w:rsidR="00242572">
          <w:rPr>
            <w:webHidden/>
          </w:rPr>
          <w:tab/>
        </w:r>
        <w:r w:rsidR="00242572">
          <w:rPr>
            <w:webHidden/>
          </w:rPr>
          <w:fldChar w:fldCharType="begin"/>
        </w:r>
        <w:r w:rsidR="00242572">
          <w:rPr>
            <w:webHidden/>
          </w:rPr>
          <w:instrText xml:space="preserve"> PAGEREF _Toc107837525 \h </w:instrText>
        </w:r>
        <w:r w:rsidR="00242572">
          <w:rPr>
            <w:webHidden/>
          </w:rPr>
        </w:r>
        <w:r w:rsidR="00242572">
          <w:rPr>
            <w:webHidden/>
          </w:rPr>
          <w:fldChar w:fldCharType="separate"/>
        </w:r>
        <w:r w:rsidR="00242572">
          <w:rPr>
            <w:webHidden/>
          </w:rPr>
          <w:t>87</w:t>
        </w:r>
        <w:r w:rsidR="00242572">
          <w:rPr>
            <w:webHidden/>
          </w:rPr>
          <w:fldChar w:fldCharType="end"/>
        </w:r>
      </w:hyperlink>
    </w:p>
    <w:p w14:paraId="061CD99A" w14:textId="7088224F" w:rsidR="00242572" w:rsidRDefault="000C02F8" w:rsidP="00242572">
      <w:pPr>
        <w:pStyle w:val="TOC2"/>
        <w:rPr>
          <w:rFonts w:asciiTheme="minorHAnsi" w:eastAsiaTheme="minorEastAsia" w:hAnsiTheme="minorHAnsi"/>
          <w:sz w:val="22"/>
          <w:szCs w:val="22"/>
          <w:lang w:eastAsia="en-AU"/>
        </w:rPr>
      </w:pPr>
      <w:hyperlink w:anchor="_Toc107837526" w:history="1">
        <w:r w:rsidR="00242572" w:rsidRPr="00AB3C2A">
          <w:rPr>
            <w:rStyle w:val="Hyperlink"/>
          </w:rPr>
          <w:t>7.2</w:t>
        </w:r>
        <w:r w:rsidR="00242572">
          <w:rPr>
            <w:rFonts w:asciiTheme="minorHAnsi" w:eastAsiaTheme="minorEastAsia" w:hAnsiTheme="minorHAnsi"/>
            <w:sz w:val="22"/>
            <w:szCs w:val="22"/>
            <w:lang w:eastAsia="en-AU"/>
          </w:rPr>
          <w:t xml:space="preserve"> </w:t>
        </w:r>
        <w:r w:rsidR="00242572" w:rsidRPr="00AB3C2A">
          <w:rPr>
            <w:rStyle w:val="Hyperlink"/>
          </w:rPr>
          <w:t>Identified opportunities for improvement</w:t>
        </w:r>
        <w:r w:rsidR="00242572">
          <w:rPr>
            <w:webHidden/>
          </w:rPr>
          <w:tab/>
        </w:r>
        <w:r w:rsidR="00242572">
          <w:rPr>
            <w:webHidden/>
          </w:rPr>
          <w:fldChar w:fldCharType="begin"/>
        </w:r>
        <w:r w:rsidR="00242572">
          <w:rPr>
            <w:webHidden/>
          </w:rPr>
          <w:instrText xml:space="preserve"> PAGEREF _Toc107837526 \h </w:instrText>
        </w:r>
        <w:r w:rsidR="00242572">
          <w:rPr>
            <w:webHidden/>
          </w:rPr>
        </w:r>
        <w:r w:rsidR="00242572">
          <w:rPr>
            <w:webHidden/>
          </w:rPr>
          <w:fldChar w:fldCharType="separate"/>
        </w:r>
        <w:r w:rsidR="00242572">
          <w:rPr>
            <w:webHidden/>
          </w:rPr>
          <w:t>88</w:t>
        </w:r>
        <w:r w:rsidR="00242572">
          <w:rPr>
            <w:webHidden/>
          </w:rPr>
          <w:fldChar w:fldCharType="end"/>
        </w:r>
      </w:hyperlink>
    </w:p>
    <w:p w14:paraId="1BD4ACE8" w14:textId="51C026DC" w:rsidR="00242572" w:rsidRDefault="000C02F8">
      <w:pPr>
        <w:pStyle w:val="TOC1"/>
        <w:rPr>
          <w:rFonts w:asciiTheme="minorHAnsi" w:eastAsiaTheme="minorEastAsia" w:hAnsiTheme="minorHAnsi"/>
          <w:noProof/>
          <w:sz w:val="22"/>
          <w:szCs w:val="22"/>
          <w:lang w:eastAsia="en-AU"/>
        </w:rPr>
      </w:pPr>
      <w:hyperlink w:anchor="_Toc107837527" w:history="1">
        <w:r w:rsidR="00242572" w:rsidRPr="00AB3C2A">
          <w:rPr>
            <w:rStyle w:val="Hyperlink"/>
            <w:noProof/>
          </w:rPr>
          <w:t>Appendix A Stakeholders consulted</w:t>
        </w:r>
        <w:r w:rsidR="00242572">
          <w:rPr>
            <w:noProof/>
            <w:webHidden/>
          </w:rPr>
          <w:tab/>
        </w:r>
        <w:r w:rsidR="00242572">
          <w:rPr>
            <w:noProof/>
            <w:webHidden/>
          </w:rPr>
          <w:fldChar w:fldCharType="begin"/>
        </w:r>
        <w:r w:rsidR="00242572">
          <w:rPr>
            <w:noProof/>
            <w:webHidden/>
          </w:rPr>
          <w:instrText xml:space="preserve"> PAGEREF _Toc107837527 \h </w:instrText>
        </w:r>
        <w:r w:rsidR="00242572">
          <w:rPr>
            <w:noProof/>
            <w:webHidden/>
          </w:rPr>
        </w:r>
        <w:r w:rsidR="00242572">
          <w:rPr>
            <w:noProof/>
            <w:webHidden/>
          </w:rPr>
          <w:fldChar w:fldCharType="separate"/>
        </w:r>
        <w:r w:rsidR="00242572">
          <w:rPr>
            <w:noProof/>
            <w:webHidden/>
          </w:rPr>
          <w:t>90</w:t>
        </w:r>
        <w:r w:rsidR="00242572">
          <w:rPr>
            <w:noProof/>
            <w:webHidden/>
          </w:rPr>
          <w:fldChar w:fldCharType="end"/>
        </w:r>
      </w:hyperlink>
    </w:p>
    <w:p w14:paraId="48FA1074" w14:textId="06540CC4" w:rsidR="00242572" w:rsidRDefault="000C02F8">
      <w:pPr>
        <w:pStyle w:val="TOC1"/>
        <w:rPr>
          <w:rFonts w:asciiTheme="minorHAnsi" w:eastAsiaTheme="minorEastAsia" w:hAnsiTheme="minorHAnsi"/>
          <w:noProof/>
          <w:sz w:val="22"/>
          <w:szCs w:val="22"/>
          <w:lang w:eastAsia="en-AU"/>
        </w:rPr>
      </w:pPr>
      <w:hyperlink w:anchor="_Toc107837528" w:history="1">
        <w:r w:rsidR="00242572" w:rsidRPr="00AB3C2A">
          <w:rPr>
            <w:rStyle w:val="Hyperlink"/>
            <w:noProof/>
          </w:rPr>
          <w:t>Endnote</w:t>
        </w:r>
        <w:r w:rsidR="00242572">
          <w:rPr>
            <w:noProof/>
            <w:webHidden/>
          </w:rPr>
          <w:tab/>
        </w:r>
        <w:r w:rsidR="00242572">
          <w:rPr>
            <w:noProof/>
            <w:webHidden/>
          </w:rPr>
          <w:fldChar w:fldCharType="begin"/>
        </w:r>
        <w:r w:rsidR="00242572">
          <w:rPr>
            <w:noProof/>
            <w:webHidden/>
          </w:rPr>
          <w:instrText xml:space="preserve"> PAGEREF _Toc107837528 \h </w:instrText>
        </w:r>
        <w:r w:rsidR="00242572">
          <w:rPr>
            <w:noProof/>
            <w:webHidden/>
          </w:rPr>
        </w:r>
        <w:r w:rsidR="00242572">
          <w:rPr>
            <w:noProof/>
            <w:webHidden/>
          </w:rPr>
          <w:fldChar w:fldCharType="separate"/>
        </w:r>
        <w:r w:rsidR="00242572">
          <w:rPr>
            <w:noProof/>
            <w:webHidden/>
          </w:rPr>
          <w:t>107</w:t>
        </w:r>
        <w:r w:rsidR="00242572">
          <w:rPr>
            <w:noProof/>
            <w:webHidden/>
          </w:rPr>
          <w:fldChar w:fldCharType="end"/>
        </w:r>
      </w:hyperlink>
    </w:p>
    <w:p w14:paraId="3C56199E" w14:textId="38E91A6F" w:rsidR="00242572" w:rsidRDefault="000C02F8">
      <w:pPr>
        <w:pStyle w:val="TOC1"/>
        <w:rPr>
          <w:rFonts w:asciiTheme="minorHAnsi" w:eastAsiaTheme="minorEastAsia" w:hAnsiTheme="minorHAnsi"/>
          <w:noProof/>
          <w:sz w:val="22"/>
          <w:szCs w:val="22"/>
          <w:lang w:eastAsia="en-AU"/>
        </w:rPr>
      </w:pPr>
      <w:hyperlink w:anchor="_Toc107837529" w:history="1">
        <w:r w:rsidR="00242572" w:rsidRPr="00AB3C2A">
          <w:rPr>
            <w:rStyle w:val="Hyperlink"/>
            <w:noProof/>
            <w:lang w:eastAsia="en-AU"/>
          </w:rPr>
          <w:t>Supplementary Program participant personae information</w:t>
        </w:r>
        <w:r w:rsidR="00242572">
          <w:rPr>
            <w:noProof/>
            <w:webHidden/>
          </w:rPr>
          <w:tab/>
        </w:r>
        <w:r w:rsidR="00242572">
          <w:rPr>
            <w:noProof/>
            <w:webHidden/>
          </w:rPr>
          <w:fldChar w:fldCharType="begin"/>
        </w:r>
        <w:r w:rsidR="00242572">
          <w:rPr>
            <w:noProof/>
            <w:webHidden/>
          </w:rPr>
          <w:instrText xml:space="preserve"> PAGEREF _Toc107837529 \h </w:instrText>
        </w:r>
        <w:r w:rsidR="00242572">
          <w:rPr>
            <w:noProof/>
            <w:webHidden/>
          </w:rPr>
        </w:r>
        <w:r w:rsidR="00242572">
          <w:rPr>
            <w:noProof/>
            <w:webHidden/>
          </w:rPr>
          <w:fldChar w:fldCharType="separate"/>
        </w:r>
        <w:r w:rsidR="00242572">
          <w:rPr>
            <w:noProof/>
            <w:webHidden/>
          </w:rPr>
          <w:t>114</w:t>
        </w:r>
        <w:r w:rsidR="00242572">
          <w:rPr>
            <w:noProof/>
            <w:webHidden/>
          </w:rPr>
          <w:fldChar w:fldCharType="end"/>
        </w:r>
      </w:hyperlink>
    </w:p>
    <w:p w14:paraId="4E219651" w14:textId="37E05F3B" w:rsidR="00242572" w:rsidRDefault="000C02F8">
      <w:pPr>
        <w:pStyle w:val="TOC1"/>
        <w:rPr>
          <w:rFonts w:asciiTheme="minorHAnsi" w:eastAsiaTheme="minorEastAsia" w:hAnsiTheme="minorHAnsi"/>
          <w:noProof/>
          <w:sz w:val="22"/>
          <w:szCs w:val="22"/>
          <w:lang w:eastAsia="en-AU"/>
        </w:rPr>
      </w:pPr>
      <w:hyperlink w:anchor="_Toc107837530" w:history="1">
        <w:r w:rsidR="00242572" w:rsidRPr="00AB3C2A">
          <w:rPr>
            <w:rStyle w:val="Hyperlink"/>
            <w:noProof/>
            <w:lang w:eastAsia="en-AU"/>
          </w:rPr>
          <w:t>Limitation of our work</w:t>
        </w:r>
        <w:r w:rsidR="00242572">
          <w:rPr>
            <w:noProof/>
            <w:webHidden/>
          </w:rPr>
          <w:tab/>
        </w:r>
        <w:r w:rsidR="00242572">
          <w:rPr>
            <w:noProof/>
            <w:webHidden/>
          </w:rPr>
          <w:fldChar w:fldCharType="begin"/>
        </w:r>
        <w:r w:rsidR="00242572">
          <w:rPr>
            <w:noProof/>
            <w:webHidden/>
          </w:rPr>
          <w:instrText xml:space="preserve"> PAGEREF _Toc107837530 \h </w:instrText>
        </w:r>
        <w:r w:rsidR="00242572">
          <w:rPr>
            <w:noProof/>
            <w:webHidden/>
          </w:rPr>
        </w:r>
        <w:r w:rsidR="00242572">
          <w:rPr>
            <w:noProof/>
            <w:webHidden/>
          </w:rPr>
          <w:fldChar w:fldCharType="separate"/>
        </w:r>
        <w:r w:rsidR="00242572">
          <w:rPr>
            <w:noProof/>
            <w:webHidden/>
          </w:rPr>
          <w:t>118</w:t>
        </w:r>
        <w:r w:rsidR="00242572">
          <w:rPr>
            <w:noProof/>
            <w:webHidden/>
          </w:rPr>
          <w:fldChar w:fldCharType="end"/>
        </w:r>
      </w:hyperlink>
    </w:p>
    <w:p w14:paraId="79908C0C" w14:textId="7117A6F9" w:rsidR="00242572" w:rsidRDefault="000C02F8" w:rsidP="00242572">
      <w:pPr>
        <w:pStyle w:val="TOC2"/>
        <w:rPr>
          <w:rFonts w:asciiTheme="minorHAnsi" w:eastAsiaTheme="minorEastAsia" w:hAnsiTheme="minorHAnsi"/>
          <w:sz w:val="22"/>
          <w:szCs w:val="22"/>
          <w:lang w:eastAsia="en-AU"/>
        </w:rPr>
      </w:pPr>
      <w:hyperlink w:anchor="_Toc107837531" w:history="1">
        <w:r w:rsidR="00242572" w:rsidRPr="00AB3C2A">
          <w:rPr>
            <w:rStyle w:val="Hyperlink"/>
          </w:rPr>
          <w:t>General use restriction</w:t>
        </w:r>
        <w:r w:rsidR="00242572">
          <w:rPr>
            <w:webHidden/>
          </w:rPr>
          <w:tab/>
        </w:r>
        <w:r w:rsidR="00242572">
          <w:rPr>
            <w:webHidden/>
          </w:rPr>
          <w:fldChar w:fldCharType="begin"/>
        </w:r>
        <w:r w:rsidR="00242572">
          <w:rPr>
            <w:webHidden/>
          </w:rPr>
          <w:instrText xml:space="preserve"> PAGEREF _Toc107837531 \h </w:instrText>
        </w:r>
        <w:r w:rsidR="00242572">
          <w:rPr>
            <w:webHidden/>
          </w:rPr>
        </w:r>
        <w:r w:rsidR="00242572">
          <w:rPr>
            <w:webHidden/>
          </w:rPr>
          <w:fldChar w:fldCharType="separate"/>
        </w:r>
        <w:r w:rsidR="00242572">
          <w:rPr>
            <w:webHidden/>
          </w:rPr>
          <w:t>118</w:t>
        </w:r>
        <w:r w:rsidR="00242572">
          <w:rPr>
            <w:webHidden/>
          </w:rPr>
          <w:fldChar w:fldCharType="end"/>
        </w:r>
      </w:hyperlink>
    </w:p>
    <w:p w14:paraId="5CD7E8A5" w14:textId="39599468" w:rsidR="00F9113D" w:rsidRPr="002E6435" w:rsidRDefault="00F73E6D" w:rsidP="002E6435">
      <w:r>
        <w:fldChar w:fldCharType="end"/>
      </w:r>
    </w:p>
    <w:p w14:paraId="6204E286" w14:textId="77777777" w:rsidR="00F9113D" w:rsidRDefault="00F9113D" w:rsidP="00485C27">
      <w:pPr>
        <w:sectPr w:rsidR="00F9113D" w:rsidSect="005F043A">
          <w:footerReference w:type="default" r:id="rId14"/>
          <w:pgSz w:w="11906" w:h="16838" w:code="9"/>
          <w:pgMar w:top="1440" w:right="1440" w:bottom="1440" w:left="1440" w:header="680" w:footer="425" w:gutter="0"/>
          <w:cols w:space="284"/>
          <w:noEndnote/>
          <w:docGrid w:linePitch="360"/>
        </w:sectPr>
      </w:pPr>
    </w:p>
    <w:p w14:paraId="70730DB0" w14:textId="4D0986E5" w:rsidR="00BF3260" w:rsidRDefault="00DC3436" w:rsidP="002E6435">
      <w:pPr>
        <w:pStyle w:val="Heading1un-numbered"/>
      </w:pPr>
      <w:bookmarkStart w:id="1" w:name="_Toc107837491"/>
      <w:r w:rsidRPr="002E6435">
        <w:lastRenderedPageBreak/>
        <w:t>Acronyms</w:t>
      </w:r>
      <w:bookmarkEnd w:id="1"/>
    </w:p>
    <w:p w14:paraId="4DD40A74" w14:textId="67FC0579" w:rsidR="00E507D5" w:rsidRPr="00F36E07" w:rsidRDefault="00E507D5" w:rsidP="002E6435">
      <w:r>
        <w:t>Acronyms referenced throughout the report are outlined below.</w:t>
      </w:r>
    </w:p>
    <w:tbl>
      <w:tblPr>
        <w:tblStyle w:val="Deloittetable"/>
        <w:tblW w:w="5000" w:type="pct"/>
        <w:tblLook w:val="04A0" w:firstRow="1" w:lastRow="0" w:firstColumn="1" w:lastColumn="0" w:noHBand="0" w:noVBand="1"/>
      </w:tblPr>
      <w:tblGrid>
        <w:gridCol w:w="2768"/>
        <w:gridCol w:w="6248"/>
      </w:tblGrid>
      <w:tr w:rsidR="00E507D5" w:rsidRPr="002E6435" w14:paraId="4625B516" w14:textId="77777777" w:rsidTr="002E6435">
        <w:trPr>
          <w:cnfStyle w:val="100000000000" w:firstRow="1" w:lastRow="0" w:firstColumn="0" w:lastColumn="0" w:oddVBand="0" w:evenVBand="0" w:oddHBand="0" w:evenHBand="0" w:firstRowFirstColumn="0" w:firstRowLastColumn="0" w:lastRowFirstColumn="0" w:lastRowLastColumn="0"/>
          <w:trHeight w:val="57"/>
          <w:tblHeader/>
        </w:trPr>
        <w:tc>
          <w:tcPr>
            <w:tcW w:w="1535" w:type="pct"/>
          </w:tcPr>
          <w:p w14:paraId="5AA1DA75" w14:textId="77777777" w:rsidR="00E507D5" w:rsidRPr="002E6435" w:rsidRDefault="00E507D5" w:rsidP="002E6435">
            <w:pPr>
              <w:ind w:left="57"/>
            </w:pPr>
            <w:r w:rsidRPr="002E6435">
              <w:t>Acronym</w:t>
            </w:r>
          </w:p>
        </w:tc>
        <w:tc>
          <w:tcPr>
            <w:tcW w:w="3465" w:type="pct"/>
          </w:tcPr>
          <w:p w14:paraId="0E469DF0" w14:textId="0B9F018A" w:rsidR="00E507D5" w:rsidRPr="002E6435" w:rsidRDefault="00E507D5" w:rsidP="002E6435">
            <w:pPr>
              <w:ind w:left="57"/>
            </w:pPr>
            <w:r w:rsidRPr="002E6435">
              <w:t>Full name</w:t>
            </w:r>
          </w:p>
        </w:tc>
      </w:tr>
      <w:tr w:rsidR="00E507D5" w:rsidRPr="002E6435" w14:paraId="750E81C5" w14:textId="77777777" w:rsidTr="002E6435">
        <w:trPr>
          <w:trHeight w:val="57"/>
        </w:trPr>
        <w:tc>
          <w:tcPr>
            <w:tcW w:w="1535" w:type="pct"/>
          </w:tcPr>
          <w:p w14:paraId="2FA0EFF9" w14:textId="77777777" w:rsidR="00E507D5" w:rsidRPr="002E6435" w:rsidRDefault="00E507D5" w:rsidP="002E6435">
            <w:pPr>
              <w:ind w:left="57"/>
            </w:pPr>
            <w:r w:rsidRPr="002E6435">
              <w:t>ABS</w:t>
            </w:r>
          </w:p>
        </w:tc>
        <w:tc>
          <w:tcPr>
            <w:tcW w:w="3465" w:type="pct"/>
          </w:tcPr>
          <w:p w14:paraId="4C22FB46" w14:textId="77777777" w:rsidR="00E507D5" w:rsidRPr="002E6435" w:rsidRDefault="00E507D5" w:rsidP="002E6435">
            <w:pPr>
              <w:ind w:left="57"/>
            </w:pPr>
            <w:r w:rsidRPr="002E6435">
              <w:t>Australian Bureau of Statistics</w:t>
            </w:r>
          </w:p>
        </w:tc>
      </w:tr>
      <w:tr w:rsidR="00E507D5" w:rsidRPr="002E6435" w14:paraId="195DB687" w14:textId="77777777" w:rsidTr="002E6435">
        <w:trPr>
          <w:trHeight w:val="57"/>
        </w:trPr>
        <w:tc>
          <w:tcPr>
            <w:tcW w:w="1535" w:type="pct"/>
          </w:tcPr>
          <w:p w14:paraId="48955E7F" w14:textId="77777777" w:rsidR="00E507D5" w:rsidRPr="002E6435" w:rsidRDefault="00E507D5" w:rsidP="002E6435">
            <w:pPr>
              <w:ind w:left="57"/>
            </w:pPr>
            <w:r w:rsidRPr="002E6435">
              <w:t>ACD</w:t>
            </w:r>
          </w:p>
        </w:tc>
        <w:tc>
          <w:tcPr>
            <w:tcW w:w="3465" w:type="pct"/>
          </w:tcPr>
          <w:p w14:paraId="255718C3" w14:textId="77777777" w:rsidR="00E507D5" w:rsidRPr="002E6435" w:rsidRDefault="00E507D5" w:rsidP="002E6435">
            <w:pPr>
              <w:ind w:left="57"/>
            </w:pPr>
            <w:r w:rsidRPr="002E6435">
              <w:t>Australian Cancer Database</w:t>
            </w:r>
          </w:p>
        </w:tc>
      </w:tr>
      <w:tr w:rsidR="00E507D5" w:rsidRPr="002E6435" w14:paraId="5993DA74" w14:textId="77777777" w:rsidTr="002E6435">
        <w:trPr>
          <w:trHeight w:val="57"/>
        </w:trPr>
        <w:tc>
          <w:tcPr>
            <w:tcW w:w="1535" w:type="pct"/>
          </w:tcPr>
          <w:p w14:paraId="3B3009AC" w14:textId="77777777" w:rsidR="00E507D5" w:rsidRPr="002E6435" w:rsidRDefault="00E507D5" w:rsidP="002E6435">
            <w:pPr>
              <w:ind w:left="57"/>
            </w:pPr>
            <w:r w:rsidRPr="002E6435">
              <w:t>ACSQHC</w:t>
            </w:r>
          </w:p>
        </w:tc>
        <w:tc>
          <w:tcPr>
            <w:tcW w:w="3465" w:type="pct"/>
          </w:tcPr>
          <w:p w14:paraId="3CEFE0E7" w14:textId="77777777" w:rsidR="00E507D5" w:rsidRPr="002E6435" w:rsidRDefault="00E507D5" w:rsidP="002E6435">
            <w:pPr>
              <w:ind w:left="57"/>
            </w:pPr>
            <w:r w:rsidRPr="002E6435">
              <w:t>Australian Commission on Safety and Quality in Health Care</w:t>
            </w:r>
          </w:p>
        </w:tc>
      </w:tr>
      <w:tr w:rsidR="00E507D5" w:rsidRPr="002E6435" w14:paraId="7A4149B0" w14:textId="77777777" w:rsidTr="002E6435">
        <w:trPr>
          <w:trHeight w:val="57"/>
        </w:trPr>
        <w:tc>
          <w:tcPr>
            <w:tcW w:w="1535" w:type="pct"/>
          </w:tcPr>
          <w:p w14:paraId="18307A7F" w14:textId="77777777" w:rsidR="00E507D5" w:rsidRPr="002E6435" w:rsidRDefault="00E507D5" w:rsidP="002E6435">
            <w:pPr>
              <w:ind w:left="57"/>
            </w:pPr>
            <w:r w:rsidRPr="002E6435">
              <w:t>AIHW</w:t>
            </w:r>
          </w:p>
        </w:tc>
        <w:tc>
          <w:tcPr>
            <w:tcW w:w="3465" w:type="pct"/>
          </w:tcPr>
          <w:p w14:paraId="16D81243" w14:textId="77777777" w:rsidR="00E507D5" w:rsidRPr="002E6435" w:rsidRDefault="00E507D5" w:rsidP="002E6435">
            <w:pPr>
              <w:ind w:left="57"/>
            </w:pPr>
            <w:r w:rsidRPr="002E6435">
              <w:t>Australian Institute of Health and Welfare</w:t>
            </w:r>
          </w:p>
        </w:tc>
      </w:tr>
      <w:tr w:rsidR="00176A0F" w:rsidRPr="002E6435" w14:paraId="644FE37C" w14:textId="77777777" w:rsidTr="002E6435">
        <w:trPr>
          <w:trHeight w:val="57"/>
        </w:trPr>
        <w:tc>
          <w:tcPr>
            <w:tcW w:w="1535" w:type="pct"/>
          </w:tcPr>
          <w:p w14:paraId="174258A3" w14:textId="39981523" w:rsidR="00176A0F" w:rsidRPr="002E6435" w:rsidRDefault="00176A0F" w:rsidP="002E6435">
            <w:pPr>
              <w:ind w:left="57"/>
            </w:pPr>
            <w:r w:rsidRPr="002E6435">
              <w:t>C</w:t>
            </w:r>
          </w:p>
        </w:tc>
        <w:tc>
          <w:tcPr>
            <w:tcW w:w="3465" w:type="pct"/>
          </w:tcPr>
          <w:p w14:paraId="674F3277" w14:textId="7562500D" w:rsidR="00176A0F" w:rsidRPr="002E6435" w:rsidRDefault="00176A0F" w:rsidP="002E6435">
            <w:pPr>
              <w:ind w:left="57"/>
            </w:pPr>
            <w:r w:rsidRPr="002E6435">
              <w:t xml:space="preserve">Celsius </w:t>
            </w:r>
          </w:p>
        </w:tc>
      </w:tr>
      <w:tr w:rsidR="00F67D42" w:rsidRPr="002E6435" w14:paraId="04158BAB" w14:textId="77777777" w:rsidTr="002E6435">
        <w:trPr>
          <w:trHeight w:val="57"/>
        </w:trPr>
        <w:tc>
          <w:tcPr>
            <w:tcW w:w="1535" w:type="pct"/>
          </w:tcPr>
          <w:p w14:paraId="34024778" w14:textId="5105FDCB" w:rsidR="00F67D42" w:rsidRPr="002E6435" w:rsidRDefault="00F67D42" w:rsidP="002E6435">
            <w:pPr>
              <w:ind w:left="57"/>
            </w:pPr>
            <w:r w:rsidRPr="002E6435">
              <w:t>CAG</w:t>
            </w:r>
          </w:p>
        </w:tc>
        <w:tc>
          <w:tcPr>
            <w:tcW w:w="3465" w:type="pct"/>
          </w:tcPr>
          <w:p w14:paraId="567C92B8" w14:textId="7A9F5FC5" w:rsidR="00F67D42" w:rsidRPr="002E6435" w:rsidRDefault="00F67D42" w:rsidP="002E6435">
            <w:pPr>
              <w:ind w:left="57"/>
            </w:pPr>
            <w:r w:rsidRPr="002E6435">
              <w:t>Clinical Advisory Group</w:t>
            </w:r>
          </w:p>
        </w:tc>
      </w:tr>
      <w:tr w:rsidR="00E507D5" w:rsidRPr="002E6435" w14:paraId="09489FA0" w14:textId="77777777" w:rsidTr="002E6435">
        <w:trPr>
          <w:trHeight w:val="57"/>
        </w:trPr>
        <w:tc>
          <w:tcPr>
            <w:tcW w:w="1535" w:type="pct"/>
          </w:tcPr>
          <w:p w14:paraId="35B4CB5E" w14:textId="77777777" w:rsidR="00E507D5" w:rsidRPr="002E6435" w:rsidRDefault="00E507D5" w:rsidP="002E6435">
            <w:pPr>
              <w:ind w:left="57"/>
            </w:pPr>
            <w:r w:rsidRPr="002E6435">
              <w:t>CEA</w:t>
            </w:r>
          </w:p>
        </w:tc>
        <w:tc>
          <w:tcPr>
            <w:tcW w:w="3465" w:type="pct"/>
          </w:tcPr>
          <w:p w14:paraId="73EA944F" w14:textId="77777777" w:rsidR="00E507D5" w:rsidRPr="002E6435" w:rsidRDefault="00E507D5" w:rsidP="002E6435">
            <w:pPr>
              <w:ind w:left="57"/>
            </w:pPr>
            <w:r w:rsidRPr="002E6435">
              <w:t>Cost-effectiveness analysis</w:t>
            </w:r>
          </w:p>
        </w:tc>
      </w:tr>
      <w:tr w:rsidR="00E507D5" w:rsidRPr="002E6435" w14:paraId="6A564AAA" w14:textId="77777777" w:rsidTr="002E6435">
        <w:trPr>
          <w:trHeight w:val="57"/>
        </w:trPr>
        <w:tc>
          <w:tcPr>
            <w:tcW w:w="1535" w:type="pct"/>
          </w:tcPr>
          <w:p w14:paraId="42207998" w14:textId="77777777" w:rsidR="00E507D5" w:rsidRPr="002E6435" w:rsidRDefault="00E507D5" w:rsidP="002E6435">
            <w:pPr>
              <w:ind w:left="57"/>
            </w:pPr>
            <w:r w:rsidRPr="002E6435">
              <w:t>DALY</w:t>
            </w:r>
          </w:p>
        </w:tc>
        <w:tc>
          <w:tcPr>
            <w:tcW w:w="3465" w:type="pct"/>
          </w:tcPr>
          <w:p w14:paraId="72E58618" w14:textId="77777777" w:rsidR="00E507D5" w:rsidRPr="002E6435" w:rsidRDefault="00E507D5" w:rsidP="002E6435">
            <w:pPr>
              <w:ind w:left="57"/>
            </w:pPr>
            <w:r w:rsidRPr="002E6435">
              <w:t>Disability Adjusted Life Years</w:t>
            </w:r>
          </w:p>
        </w:tc>
      </w:tr>
      <w:tr w:rsidR="00E507D5" w:rsidRPr="002E6435" w14:paraId="68F7123C" w14:textId="77777777" w:rsidTr="002E6435">
        <w:trPr>
          <w:trHeight w:val="57"/>
        </w:trPr>
        <w:tc>
          <w:tcPr>
            <w:tcW w:w="1535" w:type="pct"/>
          </w:tcPr>
          <w:p w14:paraId="0B7B5705" w14:textId="77777777" w:rsidR="00E507D5" w:rsidRPr="002E6435" w:rsidRDefault="00E507D5" w:rsidP="002E6435">
            <w:pPr>
              <w:ind w:left="57"/>
            </w:pPr>
            <w:proofErr w:type="spellStart"/>
            <w:r w:rsidRPr="002E6435">
              <w:t>gFOBT</w:t>
            </w:r>
            <w:proofErr w:type="spellEnd"/>
          </w:p>
        </w:tc>
        <w:tc>
          <w:tcPr>
            <w:tcW w:w="3465" w:type="pct"/>
          </w:tcPr>
          <w:p w14:paraId="15C60694" w14:textId="77777777" w:rsidR="00E507D5" w:rsidRPr="002E6435" w:rsidRDefault="00E507D5" w:rsidP="002E6435">
            <w:pPr>
              <w:ind w:left="57"/>
            </w:pPr>
            <w:r w:rsidRPr="002E6435">
              <w:t>Guaiac faecal occult blood test</w:t>
            </w:r>
          </w:p>
        </w:tc>
      </w:tr>
      <w:tr w:rsidR="00E507D5" w:rsidRPr="002E6435" w14:paraId="62EF7FEC" w14:textId="77777777" w:rsidTr="002E6435">
        <w:trPr>
          <w:trHeight w:val="57"/>
        </w:trPr>
        <w:tc>
          <w:tcPr>
            <w:tcW w:w="1535" w:type="pct"/>
          </w:tcPr>
          <w:p w14:paraId="69838A05" w14:textId="77777777" w:rsidR="00E507D5" w:rsidRPr="002E6435" w:rsidRDefault="00E507D5" w:rsidP="002E6435">
            <w:pPr>
              <w:ind w:left="57"/>
            </w:pPr>
            <w:r w:rsidRPr="002E6435">
              <w:t>GP</w:t>
            </w:r>
          </w:p>
        </w:tc>
        <w:tc>
          <w:tcPr>
            <w:tcW w:w="3465" w:type="pct"/>
          </w:tcPr>
          <w:p w14:paraId="7652D62D" w14:textId="77777777" w:rsidR="00E507D5" w:rsidRPr="002E6435" w:rsidRDefault="00E507D5" w:rsidP="002E6435">
            <w:pPr>
              <w:ind w:left="57"/>
            </w:pPr>
            <w:r w:rsidRPr="002E6435">
              <w:t>General Practitioner</w:t>
            </w:r>
          </w:p>
        </w:tc>
      </w:tr>
      <w:tr w:rsidR="00E507D5" w:rsidRPr="002E6435" w14:paraId="36C9EB7B" w14:textId="77777777" w:rsidTr="002E6435">
        <w:trPr>
          <w:trHeight w:val="57"/>
        </w:trPr>
        <w:tc>
          <w:tcPr>
            <w:tcW w:w="1535" w:type="pct"/>
          </w:tcPr>
          <w:p w14:paraId="190B5914" w14:textId="77777777" w:rsidR="00E507D5" w:rsidRPr="002E6435" w:rsidRDefault="00E507D5" w:rsidP="002E6435">
            <w:pPr>
              <w:ind w:left="57"/>
            </w:pPr>
            <w:r w:rsidRPr="002E6435">
              <w:t>HPP</w:t>
            </w:r>
          </w:p>
        </w:tc>
        <w:tc>
          <w:tcPr>
            <w:tcW w:w="3465" w:type="pct"/>
          </w:tcPr>
          <w:p w14:paraId="63650DA9" w14:textId="77777777" w:rsidR="00E507D5" w:rsidRPr="002E6435" w:rsidRDefault="00E507D5" w:rsidP="002E6435">
            <w:pPr>
              <w:ind w:left="57"/>
            </w:pPr>
            <w:r w:rsidRPr="002E6435">
              <w:t>Healthcare Provider Portal</w:t>
            </w:r>
          </w:p>
        </w:tc>
      </w:tr>
      <w:tr w:rsidR="00D00DF5" w:rsidRPr="002E6435" w14:paraId="3E6D51EA" w14:textId="77777777" w:rsidTr="002E6435">
        <w:trPr>
          <w:trHeight w:val="57"/>
        </w:trPr>
        <w:tc>
          <w:tcPr>
            <w:tcW w:w="1535" w:type="pct"/>
          </w:tcPr>
          <w:p w14:paraId="33092B2C" w14:textId="2CF0FE14" w:rsidR="00D00DF5" w:rsidRPr="002E6435" w:rsidRDefault="00D00DF5" w:rsidP="002E6435">
            <w:pPr>
              <w:ind w:left="57"/>
            </w:pPr>
            <w:r w:rsidRPr="002E6435">
              <w:t>HHS</w:t>
            </w:r>
          </w:p>
        </w:tc>
        <w:tc>
          <w:tcPr>
            <w:tcW w:w="3465" w:type="pct"/>
          </w:tcPr>
          <w:p w14:paraId="01CA06A3" w14:textId="55B652EE" w:rsidR="00D00DF5" w:rsidRPr="002E6435" w:rsidRDefault="00CB3FFA" w:rsidP="002E6435">
            <w:pPr>
              <w:ind w:left="57"/>
            </w:pPr>
            <w:r w:rsidRPr="002E6435">
              <w:t>Hospital and health service</w:t>
            </w:r>
          </w:p>
        </w:tc>
      </w:tr>
      <w:tr w:rsidR="00E507D5" w:rsidRPr="002E6435" w14:paraId="1E4F890B" w14:textId="77777777" w:rsidTr="002E6435">
        <w:trPr>
          <w:trHeight w:val="57"/>
        </w:trPr>
        <w:tc>
          <w:tcPr>
            <w:tcW w:w="1535" w:type="pct"/>
          </w:tcPr>
          <w:p w14:paraId="7B5B946A" w14:textId="77777777" w:rsidR="00E507D5" w:rsidRPr="002E6435" w:rsidRDefault="00E507D5" w:rsidP="002E6435">
            <w:pPr>
              <w:ind w:left="57"/>
            </w:pPr>
            <w:r w:rsidRPr="002E6435">
              <w:t>ICER</w:t>
            </w:r>
          </w:p>
        </w:tc>
        <w:tc>
          <w:tcPr>
            <w:tcW w:w="3465" w:type="pct"/>
          </w:tcPr>
          <w:p w14:paraId="03599255" w14:textId="77777777" w:rsidR="00E507D5" w:rsidRPr="002E6435" w:rsidRDefault="00E507D5" w:rsidP="002E6435">
            <w:pPr>
              <w:ind w:left="57"/>
            </w:pPr>
            <w:r w:rsidRPr="002E6435">
              <w:t xml:space="preserve">Incremental cost-effectiveness ratio </w:t>
            </w:r>
          </w:p>
        </w:tc>
      </w:tr>
      <w:tr w:rsidR="00E507D5" w:rsidRPr="002E6435" w14:paraId="28C01F32" w14:textId="77777777" w:rsidTr="002E6435">
        <w:trPr>
          <w:trHeight w:val="57"/>
        </w:trPr>
        <w:tc>
          <w:tcPr>
            <w:tcW w:w="1535" w:type="pct"/>
          </w:tcPr>
          <w:p w14:paraId="6C492D61" w14:textId="77777777" w:rsidR="00E507D5" w:rsidRPr="002E6435" w:rsidRDefault="00E507D5" w:rsidP="002E6435">
            <w:pPr>
              <w:ind w:left="57"/>
            </w:pPr>
            <w:proofErr w:type="spellStart"/>
            <w:r w:rsidRPr="002E6435">
              <w:t>iFOBT</w:t>
            </w:r>
            <w:proofErr w:type="spellEnd"/>
          </w:p>
        </w:tc>
        <w:tc>
          <w:tcPr>
            <w:tcW w:w="3465" w:type="pct"/>
          </w:tcPr>
          <w:p w14:paraId="4E5EDFE4" w14:textId="77777777" w:rsidR="00E507D5" w:rsidRPr="002E6435" w:rsidRDefault="00E507D5" w:rsidP="002E6435">
            <w:pPr>
              <w:ind w:left="57"/>
            </w:pPr>
            <w:r w:rsidRPr="002E6435">
              <w:t>Immunochemical faecal occult blood test</w:t>
            </w:r>
          </w:p>
        </w:tc>
      </w:tr>
      <w:tr w:rsidR="00E507D5" w:rsidRPr="002E6435" w14:paraId="097659B0" w14:textId="77777777" w:rsidTr="002E6435">
        <w:trPr>
          <w:trHeight w:val="57"/>
        </w:trPr>
        <w:tc>
          <w:tcPr>
            <w:tcW w:w="1535" w:type="pct"/>
          </w:tcPr>
          <w:p w14:paraId="6D79942F" w14:textId="77777777" w:rsidR="00E507D5" w:rsidRPr="002E6435" w:rsidRDefault="00E507D5" w:rsidP="002E6435">
            <w:pPr>
              <w:ind w:left="57"/>
            </w:pPr>
            <w:r w:rsidRPr="002E6435">
              <w:t>KPI</w:t>
            </w:r>
          </w:p>
        </w:tc>
        <w:tc>
          <w:tcPr>
            <w:tcW w:w="3465" w:type="pct"/>
          </w:tcPr>
          <w:p w14:paraId="6C36B2CD" w14:textId="77777777" w:rsidR="00E507D5" w:rsidRPr="002E6435" w:rsidRDefault="00E507D5" w:rsidP="002E6435">
            <w:pPr>
              <w:ind w:left="57"/>
            </w:pPr>
            <w:r w:rsidRPr="002E6435">
              <w:t xml:space="preserve">Key performance indicator </w:t>
            </w:r>
          </w:p>
        </w:tc>
      </w:tr>
      <w:tr w:rsidR="00D00DF5" w:rsidRPr="002E6435" w14:paraId="5F905713" w14:textId="77777777" w:rsidTr="002E6435">
        <w:trPr>
          <w:trHeight w:val="57"/>
        </w:trPr>
        <w:tc>
          <w:tcPr>
            <w:tcW w:w="1535" w:type="pct"/>
          </w:tcPr>
          <w:p w14:paraId="376520DF" w14:textId="14D27A46" w:rsidR="00D00DF5" w:rsidRPr="002E6435" w:rsidRDefault="00D00DF5" w:rsidP="002E6435">
            <w:pPr>
              <w:ind w:left="57"/>
            </w:pPr>
            <w:r w:rsidRPr="002E6435">
              <w:t>LHD</w:t>
            </w:r>
          </w:p>
        </w:tc>
        <w:tc>
          <w:tcPr>
            <w:tcW w:w="3465" w:type="pct"/>
          </w:tcPr>
          <w:p w14:paraId="3DAAE141" w14:textId="220D2D05" w:rsidR="00D00DF5" w:rsidRPr="002E6435" w:rsidRDefault="00D00DF5" w:rsidP="002E6435">
            <w:pPr>
              <w:ind w:left="57"/>
            </w:pPr>
            <w:r w:rsidRPr="002E6435">
              <w:t>Local Health Districts</w:t>
            </w:r>
          </w:p>
        </w:tc>
      </w:tr>
      <w:tr w:rsidR="00E507D5" w:rsidRPr="002E6435" w14:paraId="55AC2289" w14:textId="77777777" w:rsidTr="002E6435">
        <w:trPr>
          <w:trHeight w:val="57"/>
        </w:trPr>
        <w:tc>
          <w:tcPr>
            <w:tcW w:w="1535" w:type="pct"/>
          </w:tcPr>
          <w:p w14:paraId="1C5B681E" w14:textId="77777777" w:rsidR="00E507D5" w:rsidRPr="002E6435" w:rsidRDefault="00E507D5" w:rsidP="002E6435">
            <w:pPr>
              <w:ind w:left="57"/>
            </w:pPr>
            <w:r w:rsidRPr="002E6435">
              <w:t>MBS</w:t>
            </w:r>
          </w:p>
        </w:tc>
        <w:tc>
          <w:tcPr>
            <w:tcW w:w="3465" w:type="pct"/>
          </w:tcPr>
          <w:p w14:paraId="79B5FCB2" w14:textId="77777777" w:rsidR="00E507D5" w:rsidRPr="002E6435" w:rsidRDefault="00E507D5" w:rsidP="002E6435">
            <w:pPr>
              <w:ind w:left="57"/>
            </w:pPr>
            <w:r w:rsidRPr="002E6435">
              <w:t>Medicare Benefits Schedule</w:t>
            </w:r>
          </w:p>
        </w:tc>
      </w:tr>
      <w:tr w:rsidR="00E507D5" w:rsidRPr="002E6435" w14:paraId="6D62D566" w14:textId="77777777" w:rsidTr="002E6435">
        <w:trPr>
          <w:trHeight w:val="57"/>
        </w:trPr>
        <w:tc>
          <w:tcPr>
            <w:tcW w:w="1535" w:type="pct"/>
          </w:tcPr>
          <w:p w14:paraId="47B5D4EF" w14:textId="77777777" w:rsidR="00E507D5" w:rsidRPr="002E6435" w:rsidRDefault="00E507D5" w:rsidP="002E6435">
            <w:pPr>
              <w:ind w:left="57"/>
            </w:pPr>
            <w:r w:rsidRPr="002E6435">
              <w:t>NBCSP</w:t>
            </w:r>
          </w:p>
        </w:tc>
        <w:tc>
          <w:tcPr>
            <w:tcW w:w="3465" w:type="pct"/>
          </w:tcPr>
          <w:p w14:paraId="25B6B5A2" w14:textId="77777777" w:rsidR="00E507D5" w:rsidRPr="002E6435" w:rsidRDefault="00E507D5" w:rsidP="002E6435">
            <w:pPr>
              <w:ind w:left="57"/>
            </w:pPr>
            <w:r w:rsidRPr="002E6435">
              <w:t>National Bowel Cancer Screening Program</w:t>
            </w:r>
          </w:p>
        </w:tc>
      </w:tr>
      <w:tr w:rsidR="00E507D5" w:rsidRPr="002E6435" w14:paraId="6D734A8B" w14:textId="77777777" w:rsidTr="002E6435">
        <w:trPr>
          <w:trHeight w:val="57"/>
        </w:trPr>
        <w:tc>
          <w:tcPr>
            <w:tcW w:w="1535" w:type="pct"/>
          </w:tcPr>
          <w:p w14:paraId="03A1AA30" w14:textId="77777777" w:rsidR="00E507D5" w:rsidRPr="002E6435" w:rsidRDefault="00E507D5" w:rsidP="002E6435">
            <w:pPr>
              <w:ind w:left="57"/>
            </w:pPr>
            <w:r w:rsidRPr="002E6435">
              <w:t>NCSR</w:t>
            </w:r>
          </w:p>
        </w:tc>
        <w:tc>
          <w:tcPr>
            <w:tcW w:w="3465" w:type="pct"/>
          </w:tcPr>
          <w:p w14:paraId="6C0A97ED" w14:textId="77777777" w:rsidR="00E507D5" w:rsidRPr="002E6435" w:rsidRDefault="00E507D5" w:rsidP="002E6435">
            <w:pPr>
              <w:ind w:left="57"/>
            </w:pPr>
            <w:r w:rsidRPr="002E6435">
              <w:t>National Cancer Screening Register</w:t>
            </w:r>
          </w:p>
        </w:tc>
      </w:tr>
      <w:tr w:rsidR="00E507D5" w:rsidRPr="002E6435" w14:paraId="0F562BAB" w14:textId="77777777" w:rsidTr="002E6435">
        <w:trPr>
          <w:trHeight w:val="57"/>
        </w:trPr>
        <w:tc>
          <w:tcPr>
            <w:tcW w:w="1535" w:type="pct"/>
          </w:tcPr>
          <w:p w14:paraId="7AFFA29D" w14:textId="77777777" w:rsidR="00E507D5" w:rsidRPr="002E6435" w:rsidRDefault="00E507D5" w:rsidP="002E6435">
            <w:pPr>
              <w:ind w:left="57"/>
            </w:pPr>
            <w:r w:rsidRPr="002E6435">
              <w:t>NGO</w:t>
            </w:r>
          </w:p>
        </w:tc>
        <w:tc>
          <w:tcPr>
            <w:tcW w:w="3465" w:type="pct"/>
          </w:tcPr>
          <w:p w14:paraId="3C0E656F" w14:textId="77777777" w:rsidR="00E507D5" w:rsidRPr="002E6435" w:rsidRDefault="00E507D5" w:rsidP="002E6435">
            <w:pPr>
              <w:ind w:left="57"/>
            </w:pPr>
            <w:r w:rsidRPr="002E6435">
              <w:t xml:space="preserve">Non-government organisation </w:t>
            </w:r>
          </w:p>
        </w:tc>
      </w:tr>
      <w:tr w:rsidR="00E507D5" w:rsidRPr="002E6435" w14:paraId="65CCA970" w14:textId="77777777" w:rsidTr="002E6435">
        <w:trPr>
          <w:trHeight w:val="57"/>
        </w:trPr>
        <w:tc>
          <w:tcPr>
            <w:tcW w:w="1535" w:type="pct"/>
          </w:tcPr>
          <w:p w14:paraId="77D5F883" w14:textId="77777777" w:rsidR="00E507D5" w:rsidRPr="002E6435" w:rsidRDefault="00E507D5" w:rsidP="002E6435">
            <w:pPr>
              <w:ind w:left="57"/>
            </w:pPr>
            <w:r w:rsidRPr="002E6435">
              <w:t>NHMRC</w:t>
            </w:r>
          </w:p>
        </w:tc>
        <w:tc>
          <w:tcPr>
            <w:tcW w:w="3465" w:type="pct"/>
          </w:tcPr>
          <w:p w14:paraId="66ABBF09" w14:textId="77777777" w:rsidR="00E507D5" w:rsidRPr="002E6435" w:rsidRDefault="00E507D5" w:rsidP="002E6435">
            <w:pPr>
              <w:ind w:left="57"/>
            </w:pPr>
            <w:r w:rsidRPr="002E6435">
              <w:t>National Health and Medical Research Council</w:t>
            </w:r>
          </w:p>
        </w:tc>
      </w:tr>
      <w:tr w:rsidR="00AE6EED" w:rsidRPr="002E6435" w14:paraId="2B47396B" w14:textId="77777777" w:rsidTr="002E6435">
        <w:trPr>
          <w:trHeight w:val="57"/>
        </w:trPr>
        <w:tc>
          <w:tcPr>
            <w:tcW w:w="1535" w:type="pct"/>
          </w:tcPr>
          <w:p w14:paraId="08E1AADC" w14:textId="0E6CA48E" w:rsidR="00AE6EED" w:rsidRPr="002E6435" w:rsidRDefault="00AE6EED" w:rsidP="002E6435">
            <w:pPr>
              <w:ind w:left="57"/>
            </w:pPr>
            <w:r w:rsidRPr="002E6435">
              <w:t>PDAG</w:t>
            </w:r>
          </w:p>
        </w:tc>
        <w:tc>
          <w:tcPr>
            <w:tcW w:w="3465" w:type="pct"/>
          </w:tcPr>
          <w:p w14:paraId="54646A1A" w14:textId="2988DF6F" w:rsidR="00AE6EED" w:rsidRPr="002E6435" w:rsidRDefault="00AE6EED" w:rsidP="002E6435">
            <w:pPr>
              <w:ind w:left="57"/>
            </w:pPr>
            <w:r w:rsidRPr="002E6435">
              <w:t>Program Delivery Advisory Group</w:t>
            </w:r>
          </w:p>
        </w:tc>
      </w:tr>
      <w:tr w:rsidR="00E507D5" w:rsidRPr="002E6435" w14:paraId="046EDE8A" w14:textId="77777777" w:rsidTr="002E6435">
        <w:trPr>
          <w:trHeight w:val="57"/>
        </w:trPr>
        <w:tc>
          <w:tcPr>
            <w:tcW w:w="1535" w:type="pct"/>
          </w:tcPr>
          <w:p w14:paraId="778D2079" w14:textId="77777777" w:rsidR="00E507D5" w:rsidRPr="002E6435" w:rsidRDefault="00E507D5" w:rsidP="002E6435">
            <w:pPr>
              <w:ind w:left="57"/>
            </w:pPr>
            <w:r w:rsidRPr="002E6435">
              <w:t>PICO</w:t>
            </w:r>
          </w:p>
        </w:tc>
        <w:tc>
          <w:tcPr>
            <w:tcW w:w="3465" w:type="pct"/>
          </w:tcPr>
          <w:p w14:paraId="7C23CCA5" w14:textId="21764ADA" w:rsidR="00E507D5" w:rsidRPr="002E6435" w:rsidRDefault="00E507D5" w:rsidP="002E6435">
            <w:pPr>
              <w:ind w:left="57"/>
            </w:pPr>
            <w:r w:rsidRPr="002E6435">
              <w:t xml:space="preserve">Population, intervention, </w:t>
            </w:r>
            <w:r w:rsidR="00AA47CD" w:rsidRPr="002E6435">
              <w:t>comparator,</w:t>
            </w:r>
            <w:r w:rsidRPr="002E6435">
              <w:t xml:space="preserve"> and outcomes </w:t>
            </w:r>
          </w:p>
        </w:tc>
      </w:tr>
      <w:tr w:rsidR="00A46CC4" w:rsidRPr="002E6435" w14:paraId="45C8028C" w14:textId="77777777" w:rsidTr="002E6435">
        <w:trPr>
          <w:trHeight w:val="57"/>
        </w:trPr>
        <w:tc>
          <w:tcPr>
            <w:tcW w:w="1535" w:type="pct"/>
          </w:tcPr>
          <w:p w14:paraId="5721B55D" w14:textId="55158824" w:rsidR="00A46CC4" w:rsidRPr="002E6435" w:rsidRDefault="00A46CC4" w:rsidP="002E6435">
            <w:pPr>
              <w:ind w:left="57"/>
            </w:pPr>
            <w:r w:rsidRPr="002E6435">
              <w:t>PFUF</w:t>
            </w:r>
          </w:p>
        </w:tc>
        <w:tc>
          <w:tcPr>
            <w:tcW w:w="3465" w:type="pct"/>
          </w:tcPr>
          <w:p w14:paraId="43379125" w14:textId="38C7AC5F" w:rsidR="00A46CC4" w:rsidRPr="002E6435" w:rsidRDefault="00F63762" w:rsidP="002E6435">
            <w:pPr>
              <w:ind w:left="57"/>
            </w:pPr>
            <w:proofErr w:type="gramStart"/>
            <w:r w:rsidRPr="002E6435">
              <w:t>Participant</w:t>
            </w:r>
            <w:proofErr w:type="gramEnd"/>
            <w:r w:rsidR="00A46CC4" w:rsidRPr="002E6435">
              <w:t xml:space="preserve"> follow up function</w:t>
            </w:r>
          </w:p>
        </w:tc>
      </w:tr>
      <w:tr w:rsidR="00E507D5" w:rsidRPr="002E6435" w14:paraId="1FCCD2ED" w14:textId="77777777" w:rsidTr="002E6435">
        <w:trPr>
          <w:trHeight w:val="57"/>
        </w:trPr>
        <w:tc>
          <w:tcPr>
            <w:tcW w:w="1535" w:type="pct"/>
          </w:tcPr>
          <w:p w14:paraId="2C5C0CB5" w14:textId="77777777" w:rsidR="00E507D5" w:rsidRPr="002E6435" w:rsidRDefault="00E507D5" w:rsidP="002E6435">
            <w:pPr>
              <w:ind w:left="57"/>
            </w:pPr>
            <w:r w:rsidRPr="002E6435">
              <w:t>QALY</w:t>
            </w:r>
          </w:p>
        </w:tc>
        <w:tc>
          <w:tcPr>
            <w:tcW w:w="3465" w:type="pct"/>
          </w:tcPr>
          <w:p w14:paraId="6260348C" w14:textId="77777777" w:rsidR="00E507D5" w:rsidRPr="002E6435" w:rsidRDefault="00E507D5" w:rsidP="002E6435">
            <w:pPr>
              <w:ind w:left="57"/>
            </w:pPr>
            <w:r w:rsidRPr="002E6435">
              <w:t>Quality Adjusted Life Year</w:t>
            </w:r>
          </w:p>
        </w:tc>
      </w:tr>
    </w:tbl>
    <w:p w14:paraId="197D5550" w14:textId="0098C103" w:rsidR="00DC3436" w:rsidRDefault="00DC3436" w:rsidP="00DC3436">
      <w:pPr>
        <w:pStyle w:val="Heading1un-numbered"/>
      </w:pPr>
      <w:bookmarkStart w:id="2" w:name="_Toc107837492"/>
      <w:r>
        <w:lastRenderedPageBreak/>
        <w:t>Glossary</w:t>
      </w:r>
      <w:bookmarkEnd w:id="2"/>
    </w:p>
    <w:p w14:paraId="52EF0846" w14:textId="1E0899B9" w:rsidR="00D67839" w:rsidRDefault="006A12A6" w:rsidP="00672300">
      <w:r>
        <w:t xml:space="preserve">Key words </w:t>
      </w:r>
      <w:r w:rsidR="00532B88">
        <w:t xml:space="preserve">referenced throughout the document are </w:t>
      </w:r>
      <w:r w:rsidR="00011A8D">
        <w:t>defined</w:t>
      </w:r>
      <w:r w:rsidR="00532B88">
        <w:t xml:space="preserve"> below</w:t>
      </w:r>
      <w:r w:rsidR="00DC3436">
        <w:t>.</w:t>
      </w:r>
    </w:p>
    <w:tbl>
      <w:tblPr>
        <w:tblStyle w:val="Deloittetable"/>
        <w:tblW w:w="5000" w:type="pct"/>
        <w:tblLook w:val="04A0" w:firstRow="1" w:lastRow="0" w:firstColumn="1" w:lastColumn="0" w:noHBand="0" w:noVBand="1"/>
      </w:tblPr>
      <w:tblGrid>
        <w:gridCol w:w="2124"/>
        <w:gridCol w:w="6892"/>
      </w:tblGrid>
      <w:tr w:rsidR="00FF46D0" w:rsidRPr="002E6435" w14:paraId="576FBDEF" w14:textId="77777777" w:rsidTr="002E6435">
        <w:trPr>
          <w:cnfStyle w:val="100000000000" w:firstRow="1" w:lastRow="0" w:firstColumn="0" w:lastColumn="0" w:oddVBand="0" w:evenVBand="0" w:oddHBand="0" w:evenHBand="0" w:firstRowFirstColumn="0" w:firstRowLastColumn="0" w:lastRowFirstColumn="0" w:lastRowLastColumn="0"/>
        </w:trPr>
        <w:tc>
          <w:tcPr>
            <w:tcW w:w="1178" w:type="pct"/>
          </w:tcPr>
          <w:p w14:paraId="319906E4" w14:textId="29F1C633" w:rsidR="00FF46D0" w:rsidRPr="002E6435" w:rsidRDefault="00FF46D0" w:rsidP="002E6435">
            <w:r w:rsidRPr="002E6435">
              <w:t>Word</w:t>
            </w:r>
          </w:p>
        </w:tc>
        <w:tc>
          <w:tcPr>
            <w:tcW w:w="3822" w:type="pct"/>
          </w:tcPr>
          <w:p w14:paraId="56AA1EE3" w14:textId="09FACAAD" w:rsidR="00FF46D0" w:rsidRPr="002E6435" w:rsidRDefault="00FF46D0" w:rsidP="002E6435">
            <w:r w:rsidRPr="002E6435">
              <w:t>Definition</w:t>
            </w:r>
          </w:p>
        </w:tc>
      </w:tr>
      <w:tr w:rsidR="000C617E" w:rsidRPr="002E6435" w14:paraId="31063C09" w14:textId="77777777" w:rsidTr="002E6435">
        <w:tc>
          <w:tcPr>
            <w:tcW w:w="1178" w:type="pct"/>
          </w:tcPr>
          <w:p w14:paraId="50026B12" w14:textId="31C68F76" w:rsidR="000C617E" w:rsidRPr="001D5B24" w:rsidRDefault="000C617E" w:rsidP="001D5B24">
            <w:r w:rsidRPr="001D5B24">
              <w:t>Economic evaluation perspective</w:t>
            </w:r>
          </w:p>
        </w:tc>
        <w:tc>
          <w:tcPr>
            <w:tcW w:w="3822" w:type="pct"/>
          </w:tcPr>
          <w:p w14:paraId="07D27CB1" w14:textId="779DEDA4" w:rsidR="000C617E" w:rsidRPr="001D5B24" w:rsidRDefault="00FA69CE" w:rsidP="001D5B24">
            <w:r w:rsidRPr="001D5B24">
              <w:t>The perspective is the point of view adopted when deciding which types of costs and benefits are to be included in an economic evaluation.</w:t>
            </w:r>
          </w:p>
        </w:tc>
      </w:tr>
      <w:tr w:rsidR="0013312D" w:rsidRPr="002E6435" w14:paraId="1944B299" w14:textId="77777777" w:rsidTr="002E6435">
        <w:tc>
          <w:tcPr>
            <w:tcW w:w="1178" w:type="pct"/>
          </w:tcPr>
          <w:p w14:paraId="168475DF" w14:textId="77777777" w:rsidR="0013312D" w:rsidRPr="001D5B24" w:rsidRDefault="0013312D" w:rsidP="001D5B24">
            <w:r w:rsidRPr="001D5B24">
              <w:t>Healthcare Provider Portal</w:t>
            </w:r>
          </w:p>
        </w:tc>
        <w:tc>
          <w:tcPr>
            <w:tcW w:w="3822" w:type="pct"/>
          </w:tcPr>
          <w:p w14:paraId="72AAB091" w14:textId="77777777" w:rsidR="0013312D" w:rsidRPr="001D5B24" w:rsidRDefault="0013312D" w:rsidP="001D5B24">
            <w:r w:rsidRPr="001D5B24">
              <w:t>A Healthcare Provider Portal is linked to the National Cancer Screening Register. The portal allows healthcare practitioners to access and submit screening data electronically. As part of this, it allows practitioners to update participant details and nominate an alternative postage address (</w:t>
            </w:r>
            <w:proofErr w:type="gramStart"/>
            <w:r w:rsidRPr="001D5B24">
              <w:t>e.g.</w:t>
            </w:r>
            <w:proofErr w:type="gramEnd"/>
            <w:r w:rsidRPr="001D5B24">
              <w:t xml:space="preserve"> a GP or community health centre).</w:t>
            </w:r>
          </w:p>
        </w:tc>
      </w:tr>
      <w:tr w:rsidR="0013312D" w:rsidRPr="002E6435" w14:paraId="0DB872D0" w14:textId="77777777" w:rsidTr="002E6435">
        <w:tc>
          <w:tcPr>
            <w:tcW w:w="1178" w:type="pct"/>
          </w:tcPr>
          <w:p w14:paraId="7B845E3C" w14:textId="77777777" w:rsidR="0013312D" w:rsidRPr="001D5B24" w:rsidRDefault="0013312D" w:rsidP="001D5B24">
            <w:proofErr w:type="spellStart"/>
            <w:r w:rsidRPr="001D5B24">
              <w:t>iFOBT</w:t>
            </w:r>
            <w:proofErr w:type="spellEnd"/>
          </w:p>
        </w:tc>
        <w:tc>
          <w:tcPr>
            <w:tcW w:w="3822" w:type="pct"/>
          </w:tcPr>
          <w:p w14:paraId="20202F04" w14:textId="77777777" w:rsidR="0013312D" w:rsidRPr="001D5B24" w:rsidRDefault="0013312D" w:rsidP="001D5B24">
            <w:r w:rsidRPr="001D5B24">
              <w:t>The immunochemical faecal occult blood test is a diagnostic test to assess for occult blood in the stool. </w:t>
            </w:r>
          </w:p>
        </w:tc>
      </w:tr>
      <w:tr w:rsidR="0013312D" w:rsidRPr="002E6435" w14:paraId="1E01FE6C" w14:textId="77777777" w:rsidTr="002E6435">
        <w:tc>
          <w:tcPr>
            <w:tcW w:w="1178" w:type="pct"/>
          </w:tcPr>
          <w:p w14:paraId="78195E8A" w14:textId="77777777" w:rsidR="0013312D" w:rsidRPr="001D5B24" w:rsidRDefault="0013312D" w:rsidP="001D5B24">
            <w:r w:rsidRPr="001D5B24">
              <w:t>Invitee</w:t>
            </w:r>
          </w:p>
        </w:tc>
        <w:tc>
          <w:tcPr>
            <w:tcW w:w="3822" w:type="pct"/>
          </w:tcPr>
          <w:p w14:paraId="004CD131" w14:textId="0212AD54" w:rsidR="0013312D" w:rsidRPr="001D5B24" w:rsidRDefault="0013312D" w:rsidP="001D5B24">
            <w:r w:rsidRPr="001D5B24">
              <w:t xml:space="preserve">An individual (from the target cohort) who is invited to </w:t>
            </w:r>
            <w:r w:rsidR="0045741B" w:rsidRPr="001D5B24">
              <w:t xml:space="preserve">participate </w:t>
            </w:r>
            <w:r w:rsidRPr="001D5B24">
              <w:t>in the NBCSP.</w:t>
            </w:r>
          </w:p>
        </w:tc>
      </w:tr>
      <w:tr w:rsidR="0013312D" w:rsidRPr="002E6435" w14:paraId="7D4D24C8" w14:textId="77777777" w:rsidTr="002E6435">
        <w:tc>
          <w:tcPr>
            <w:tcW w:w="1178" w:type="pct"/>
          </w:tcPr>
          <w:p w14:paraId="4D8A42DC" w14:textId="77777777" w:rsidR="0013312D" w:rsidRPr="001D5B24" w:rsidRDefault="0013312D" w:rsidP="001D5B24">
            <w:r w:rsidRPr="001D5B24">
              <w:t>National Cancer Screening Register</w:t>
            </w:r>
          </w:p>
        </w:tc>
        <w:tc>
          <w:tcPr>
            <w:tcW w:w="3822" w:type="pct"/>
          </w:tcPr>
          <w:p w14:paraId="4C33E10A" w14:textId="77777777" w:rsidR="0013312D" w:rsidRPr="001D5B24" w:rsidRDefault="0013312D" w:rsidP="001D5B24">
            <w:r w:rsidRPr="001D5B24">
              <w:t>The NCSR is a register containing a single electronic record for each person in Australia who receives an invitation to participate in the NBCSP. The National Cancer Screening Register offers a digital infrastructure for the collection, storage, analysis and reporting of screening data. It facilitates invitations for screening, mailing of test kits, participant support, clinical decision making, and easier reporting for health care providers.</w:t>
            </w:r>
          </w:p>
        </w:tc>
      </w:tr>
      <w:tr w:rsidR="0013312D" w:rsidRPr="002E6435" w14:paraId="29EAEA90" w14:textId="77777777" w:rsidTr="002E6435">
        <w:tc>
          <w:tcPr>
            <w:tcW w:w="1178" w:type="pct"/>
          </w:tcPr>
          <w:p w14:paraId="1388F8EE" w14:textId="77777777" w:rsidR="0013312D" w:rsidRPr="001D5B24" w:rsidRDefault="0013312D" w:rsidP="001D5B24">
            <w:r w:rsidRPr="001D5B24">
              <w:t>Non-completer</w:t>
            </w:r>
          </w:p>
        </w:tc>
        <w:tc>
          <w:tcPr>
            <w:tcW w:w="3822" w:type="pct"/>
          </w:tcPr>
          <w:p w14:paraId="08C28813" w14:textId="77777777" w:rsidR="0013312D" w:rsidRPr="001D5B24" w:rsidRDefault="0013312D" w:rsidP="001D5B24">
            <w:r w:rsidRPr="001D5B24">
              <w:t>A sub-group of the ‘non-participants’. This is an invitee who received a NBCSP kit but did not complete and return it and did not complete another form of bowel cancer screening.</w:t>
            </w:r>
          </w:p>
        </w:tc>
      </w:tr>
      <w:tr w:rsidR="0013312D" w:rsidRPr="002E6435" w14:paraId="7E95BEEE" w14:textId="77777777" w:rsidTr="002E6435">
        <w:tc>
          <w:tcPr>
            <w:tcW w:w="1178" w:type="pct"/>
          </w:tcPr>
          <w:p w14:paraId="34356FDA" w14:textId="77777777" w:rsidR="0013312D" w:rsidRPr="001D5B24" w:rsidRDefault="0013312D" w:rsidP="001D5B24">
            <w:r w:rsidRPr="001D5B24">
              <w:t>Non-participant</w:t>
            </w:r>
          </w:p>
        </w:tc>
        <w:tc>
          <w:tcPr>
            <w:tcW w:w="3822" w:type="pct"/>
          </w:tcPr>
          <w:p w14:paraId="0110DA5C" w14:textId="77777777" w:rsidR="0013312D" w:rsidRPr="001D5B24" w:rsidRDefault="0013312D" w:rsidP="001D5B24">
            <w:r w:rsidRPr="001D5B24">
              <w:t>An invitee who did not complete and return a NBCSP kit (for any reason).</w:t>
            </w:r>
          </w:p>
        </w:tc>
      </w:tr>
      <w:tr w:rsidR="0013312D" w:rsidRPr="002E6435" w14:paraId="72D50D91" w14:textId="77777777" w:rsidTr="002E6435">
        <w:tc>
          <w:tcPr>
            <w:tcW w:w="1178" w:type="pct"/>
          </w:tcPr>
          <w:p w14:paraId="51CAA38D" w14:textId="77777777" w:rsidR="0013312D" w:rsidRPr="001D5B24" w:rsidRDefault="0013312D" w:rsidP="001D5B24">
            <w:r w:rsidRPr="001D5B24">
              <w:t>Participant</w:t>
            </w:r>
          </w:p>
        </w:tc>
        <w:tc>
          <w:tcPr>
            <w:tcW w:w="3822" w:type="pct"/>
          </w:tcPr>
          <w:p w14:paraId="65F13D99" w14:textId="77777777" w:rsidR="0013312D" w:rsidRPr="001D5B24" w:rsidRDefault="0013312D" w:rsidP="001D5B24">
            <w:r w:rsidRPr="001D5B24">
              <w:t>An invitee who completed and returned a NBCSP kit.</w:t>
            </w:r>
          </w:p>
        </w:tc>
      </w:tr>
      <w:tr w:rsidR="0013312D" w:rsidRPr="002E6435" w14:paraId="2C270C88" w14:textId="77777777" w:rsidTr="002E6435">
        <w:tc>
          <w:tcPr>
            <w:tcW w:w="1178" w:type="pct"/>
          </w:tcPr>
          <w:p w14:paraId="72765E99" w14:textId="77777777" w:rsidR="0013312D" w:rsidRPr="001D5B24" w:rsidRDefault="0013312D" w:rsidP="001D5B24">
            <w:r w:rsidRPr="001D5B24">
              <w:t>PFUF officer</w:t>
            </w:r>
          </w:p>
        </w:tc>
        <w:tc>
          <w:tcPr>
            <w:tcW w:w="3822" w:type="pct"/>
          </w:tcPr>
          <w:p w14:paraId="4217F537" w14:textId="77777777" w:rsidR="0013312D" w:rsidRPr="001D5B24" w:rsidRDefault="0013312D" w:rsidP="001D5B24">
            <w:r w:rsidRPr="001D5B24">
              <w:t>PFUF officers complement the Program reminder letters and usual care provided for participants. Their role is to phone participants with a positive immunochemical faecal occult blood test result who have no record of follow-up with a GP or a colonoscopy in the National Cancer Screening Register and encourage them to schedule appointments, while also answering any questions about the next steps in the screening pathway.</w:t>
            </w:r>
          </w:p>
        </w:tc>
      </w:tr>
    </w:tbl>
    <w:p w14:paraId="371D3F58" w14:textId="77777777" w:rsidR="00F9113D" w:rsidRPr="00672300" w:rsidRDefault="00F9113D" w:rsidP="00672300">
      <w:pPr>
        <w:sectPr w:rsidR="00F9113D" w:rsidRPr="00672300" w:rsidSect="005F043A">
          <w:headerReference w:type="default" r:id="rId15"/>
          <w:footerReference w:type="default" r:id="rId16"/>
          <w:pgSz w:w="11906" w:h="16838" w:code="9"/>
          <w:pgMar w:top="1440" w:right="1440" w:bottom="1440" w:left="1440" w:header="680" w:footer="425" w:gutter="0"/>
          <w:pgNumType w:fmt="lowerRoman" w:start="1"/>
          <w:cols w:space="284"/>
          <w:noEndnote/>
          <w:docGrid w:linePitch="360"/>
        </w:sectPr>
      </w:pPr>
    </w:p>
    <w:p w14:paraId="7813EB9B" w14:textId="77777777" w:rsidR="00F9113D" w:rsidRPr="000B136C" w:rsidRDefault="00F9113D" w:rsidP="002E6435">
      <w:pPr>
        <w:pStyle w:val="Heading1un-numbered"/>
      </w:pPr>
      <w:bookmarkStart w:id="3" w:name="_Toc215906318"/>
      <w:bookmarkStart w:id="4" w:name="_Toc227746675"/>
      <w:bookmarkStart w:id="5" w:name="_Toc227746679"/>
      <w:bookmarkStart w:id="6" w:name="_Toc227746683"/>
      <w:bookmarkStart w:id="7" w:name="_Toc227746687"/>
      <w:bookmarkStart w:id="8" w:name="_Toc227748309"/>
      <w:bookmarkStart w:id="9" w:name="_Toc227748327"/>
      <w:bookmarkStart w:id="10" w:name="_Toc227748331"/>
      <w:bookmarkStart w:id="11" w:name="_Toc227748335"/>
      <w:bookmarkStart w:id="12" w:name="_Toc227748374"/>
      <w:bookmarkStart w:id="13" w:name="_Toc227748378"/>
      <w:bookmarkStart w:id="14" w:name="_Toc227748382"/>
      <w:bookmarkStart w:id="15" w:name="_Toc227748494"/>
      <w:bookmarkStart w:id="16" w:name="_Toc227748498"/>
      <w:bookmarkStart w:id="17" w:name="_Toc228005205"/>
      <w:bookmarkStart w:id="18" w:name="_Toc228092496"/>
      <w:bookmarkStart w:id="19" w:name="_Toc228264951"/>
      <w:bookmarkStart w:id="20" w:name="_Toc228264973"/>
      <w:bookmarkStart w:id="21" w:name="_Toc228264977"/>
      <w:bookmarkStart w:id="22" w:name="_Toc228264981"/>
      <w:bookmarkStart w:id="23" w:name="_Toc228264985"/>
      <w:bookmarkStart w:id="24" w:name="_Toc228265215"/>
      <w:bookmarkStart w:id="25" w:name="_Toc288198024"/>
      <w:bookmarkStart w:id="26" w:name="_Toc448829185"/>
      <w:bookmarkStart w:id="27" w:name="_Toc456353381"/>
      <w:bookmarkStart w:id="28" w:name="_Toc462313128"/>
      <w:bookmarkStart w:id="29" w:name="_Toc462317837"/>
      <w:bookmarkStart w:id="30" w:name="_Toc462397802"/>
      <w:bookmarkStart w:id="31" w:name="_Toc463002429"/>
      <w:bookmarkStart w:id="32" w:name="_Toc472586341"/>
      <w:bookmarkStart w:id="33" w:name="_Toc482168119"/>
      <w:bookmarkStart w:id="34" w:name="_Toc482174906"/>
      <w:bookmarkStart w:id="35" w:name="_Toc107837493"/>
      <w:r w:rsidRPr="000B136C">
        <w:lastRenderedPageBreak/>
        <w:t>Executive summary</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14:paraId="3C6967D2" w14:textId="726FF7E5" w:rsidR="00B00834" w:rsidRPr="002E6435" w:rsidRDefault="0052454A" w:rsidP="002E6435">
      <w:pPr>
        <w:pStyle w:val="Heading2un-numbered"/>
      </w:pPr>
      <w:bookmarkStart w:id="36" w:name="_Toc107837494"/>
      <w:r>
        <w:t>Background</w:t>
      </w:r>
      <w:bookmarkEnd w:id="36"/>
    </w:p>
    <w:p w14:paraId="1868F81F" w14:textId="10111215" w:rsidR="00D426EB" w:rsidRDefault="00A434E9" w:rsidP="00634FB1">
      <w:r w:rsidRPr="00314303">
        <w:t xml:space="preserve">The Department of Health </w:t>
      </w:r>
      <w:r w:rsidR="00107464">
        <w:t>(</w:t>
      </w:r>
      <w:r w:rsidR="008907B5">
        <w:t xml:space="preserve">the </w:t>
      </w:r>
      <w:r w:rsidR="00107464">
        <w:t xml:space="preserve">Department) </w:t>
      </w:r>
      <w:r w:rsidRPr="00314303">
        <w:t>established the National Bowel Cancer Screening Program</w:t>
      </w:r>
      <w:r w:rsidRPr="009A059B">
        <w:t xml:space="preserve"> (the</w:t>
      </w:r>
      <w:r w:rsidR="00107464">
        <w:t xml:space="preserve"> NBCSP or the</w:t>
      </w:r>
      <w:r w:rsidRPr="009A059B">
        <w:t xml:space="preserve"> Program)</w:t>
      </w:r>
      <w:r w:rsidRPr="00C74CFB">
        <w:t xml:space="preserve"> in 2006</w:t>
      </w:r>
      <w:r w:rsidR="001D5F84" w:rsidRPr="00C16668">
        <w:t xml:space="preserve"> </w:t>
      </w:r>
      <w:r w:rsidR="006F63A0" w:rsidRPr="00813AEA">
        <w:t xml:space="preserve">to address the rising incidence and mortality </w:t>
      </w:r>
      <w:r w:rsidR="006F63A0" w:rsidRPr="002E3100">
        <w:t>of bowel cancer</w:t>
      </w:r>
      <w:r w:rsidR="00102B5B">
        <w:t xml:space="preserve"> in Australia</w:t>
      </w:r>
      <w:r w:rsidR="002C4AEB" w:rsidRPr="00657F99">
        <w:t>.</w:t>
      </w:r>
      <w:r w:rsidR="002C4AEB" w:rsidRPr="004B6E7B">
        <w:t xml:space="preserve"> </w:t>
      </w:r>
      <w:r w:rsidR="002C4AEB" w:rsidRPr="00872AD4">
        <w:t xml:space="preserve">This </w:t>
      </w:r>
      <w:r w:rsidR="00526467" w:rsidRPr="00F630D8">
        <w:t>decision</w:t>
      </w:r>
      <w:r w:rsidR="002C4AEB" w:rsidRPr="002F1326">
        <w:t xml:space="preserve"> made </w:t>
      </w:r>
      <w:r w:rsidR="001D5F84" w:rsidRPr="00D07786">
        <w:t>Australia o</w:t>
      </w:r>
      <w:r w:rsidR="001D5F84" w:rsidRPr="00C470EB">
        <w:t>ne of the first countries to offer</w:t>
      </w:r>
      <w:r w:rsidR="00B4485B">
        <w:t xml:space="preserve"> free</w:t>
      </w:r>
      <w:r w:rsidR="001D5F84" w:rsidRPr="00C470EB">
        <w:t xml:space="preserve"> bowel </w:t>
      </w:r>
      <w:r w:rsidR="00CC0177">
        <w:t xml:space="preserve">cancer </w:t>
      </w:r>
      <w:r w:rsidR="001D5F84" w:rsidRPr="00C470EB">
        <w:t>screening to a national population.</w:t>
      </w:r>
    </w:p>
    <w:p w14:paraId="5069A474" w14:textId="79EF5A43" w:rsidR="00EE6D4A" w:rsidRPr="00FB5E1B" w:rsidRDefault="00526467" w:rsidP="00634FB1">
      <w:r w:rsidRPr="00DF475A">
        <w:t xml:space="preserve">The </w:t>
      </w:r>
      <w:r w:rsidR="00A434E9" w:rsidRPr="00DF475A">
        <w:t>Program aims to</w:t>
      </w:r>
      <w:r w:rsidR="00A434E9" w:rsidRPr="00314303">
        <w:t xml:space="preserve"> reduce the incidence of bowel cancer through detection of pre-cancerous growth</w:t>
      </w:r>
      <w:r w:rsidR="00F25C16">
        <w:t>s</w:t>
      </w:r>
      <w:r w:rsidR="001C19BD">
        <w:t xml:space="preserve"> (</w:t>
      </w:r>
      <w:proofErr w:type="gramStart"/>
      <w:r w:rsidR="001C19BD">
        <w:t>i.e.</w:t>
      </w:r>
      <w:proofErr w:type="gramEnd"/>
      <w:r w:rsidR="001C19BD">
        <w:t xml:space="preserve"> adenoma</w:t>
      </w:r>
      <w:r w:rsidR="00CA0169">
        <w:t>s</w:t>
      </w:r>
      <w:r w:rsidR="003141FF">
        <w:t>)</w:t>
      </w:r>
      <w:r w:rsidR="0098767D">
        <w:t xml:space="preserve">, </w:t>
      </w:r>
      <w:r w:rsidR="00A434E9" w:rsidRPr="00314303">
        <w:t xml:space="preserve">and </w:t>
      </w:r>
      <w:r w:rsidR="001C19BD">
        <w:t xml:space="preserve">improve survival from bowel cancer through detection </w:t>
      </w:r>
      <w:r w:rsidR="0098767D">
        <w:t xml:space="preserve">of cancer </w:t>
      </w:r>
      <w:r w:rsidR="00A434E9" w:rsidRPr="00314303">
        <w:t>at an early stage.</w:t>
      </w:r>
      <w:r w:rsidR="00795275" w:rsidRPr="00314303">
        <w:t xml:space="preserve"> </w:t>
      </w:r>
      <w:r w:rsidR="00C84854" w:rsidRPr="00314303">
        <w:t>S</w:t>
      </w:r>
      <w:r w:rsidR="00055366" w:rsidRPr="00314303">
        <w:t>creening was initially offered to</w:t>
      </w:r>
      <w:r w:rsidR="00143890" w:rsidRPr="00314303">
        <w:t xml:space="preserve"> Australians aged 55 and 65, and </w:t>
      </w:r>
      <w:r w:rsidR="002B4937" w:rsidRPr="00314303">
        <w:t>gradually expanded over time</w:t>
      </w:r>
      <w:r w:rsidR="00AF4AA1" w:rsidRPr="00314303">
        <w:t>.</w:t>
      </w:r>
      <w:r w:rsidR="002B4937" w:rsidRPr="00314303">
        <w:t xml:space="preserve"> </w:t>
      </w:r>
      <w:r w:rsidR="007B4896">
        <w:t>In 2014-15</w:t>
      </w:r>
      <w:r w:rsidR="00B41531" w:rsidRPr="00314303">
        <w:t>,</w:t>
      </w:r>
      <w:r w:rsidR="007A0746" w:rsidRPr="00314303">
        <w:t xml:space="preserve"> </w:t>
      </w:r>
      <w:r w:rsidR="00EC585A" w:rsidRPr="00314303">
        <w:t xml:space="preserve">the Program committed to </w:t>
      </w:r>
      <w:r w:rsidR="00F0752F" w:rsidRPr="00314303">
        <w:t xml:space="preserve">implementation of biennial screening </w:t>
      </w:r>
      <w:r w:rsidR="00F10A98" w:rsidRPr="00314303">
        <w:t xml:space="preserve">of people aged 50 to 74 </w:t>
      </w:r>
      <w:r w:rsidR="007E7C97" w:rsidRPr="00314303">
        <w:t xml:space="preserve">by 1 July </w:t>
      </w:r>
      <w:r w:rsidR="00EC585A" w:rsidRPr="00314303">
        <w:t>2020</w:t>
      </w:r>
      <w:r w:rsidR="007E7C97" w:rsidRPr="00314303">
        <w:t>.</w:t>
      </w:r>
      <w:r w:rsidR="007A0746" w:rsidRPr="00314303">
        <w:t xml:space="preserve"> </w:t>
      </w:r>
      <w:r w:rsidR="0007265B" w:rsidRPr="00314303">
        <w:t>This time period</w:t>
      </w:r>
      <w:r w:rsidR="008D74F8" w:rsidRPr="00314303">
        <w:t xml:space="preserve"> was</w:t>
      </w:r>
      <w:r w:rsidR="00A247DC" w:rsidRPr="00314303">
        <w:t xml:space="preserve"> </w:t>
      </w:r>
      <w:r w:rsidR="005C1D36" w:rsidRPr="00314303">
        <w:t xml:space="preserve">consequently </w:t>
      </w:r>
      <w:r w:rsidR="00A247DC" w:rsidRPr="00314303">
        <w:t>referred to as Phase Four of the Program</w:t>
      </w:r>
      <w:r w:rsidR="003367CB" w:rsidRPr="00314303">
        <w:t>.</w:t>
      </w:r>
    </w:p>
    <w:p w14:paraId="38300026" w14:textId="6E66A3BD" w:rsidR="000A23C5" w:rsidRDefault="004A4803" w:rsidP="00634FB1">
      <w:r w:rsidRPr="00314303">
        <w:t xml:space="preserve">The </w:t>
      </w:r>
      <w:r w:rsidR="007373F5">
        <w:t xml:space="preserve">Program is now fully biennial for people aged 50 to 74, which aligns </w:t>
      </w:r>
      <w:r w:rsidR="00F53D7D" w:rsidRPr="00314303">
        <w:t xml:space="preserve">with </w:t>
      </w:r>
      <w:r w:rsidR="00B31A07">
        <w:t xml:space="preserve">the </w:t>
      </w:r>
      <w:r w:rsidR="006E7F48" w:rsidRPr="004C2B18">
        <w:rPr>
          <w:rStyle w:val="Emphasis"/>
        </w:rPr>
        <w:t>Clinical practice gu</w:t>
      </w:r>
      <w:r w:rsidR="00A90DB1" w:rsidRPr="004C2B18">
        <w:rPr>
          <w:rStyle w:val="Emphasis"/>
        </w:rPr>
        <w:t>i</w:t>
      </w:r>
      <w:r w:rsidR="006E7F48" w:rsidRPr="004C2B18">
        <w:rPr>
          <w:rStyle w:val="Emphasis"/>
        </w:rPr>
        <w:t>delines for the prevention, early detection and management of colorectal cancer</w:t>
      </w:r>
      <w:r w:rsidR="00BA773C">
        <w:rPr>
          <w:i/>
          <w:iCs/>
        </w:rPr>
        <w:t xml:space="preserve"> </w:t>
      </w:r>
      <w:r w:rsidR="00BA773C">
        <w:rPr>
          <w:iCs/>
        </w:rPr>
        <w:t xml:space="preserve">(the </w:t>
      </w:r>
      <w:r w:rsidR="00BB5A7D">
        <w:rPr>
          <w:iCs/>
        </w:rPr>
        <w:t xml:space="preserve">Clinical </w:t>
      </w:r>
      <w:r w:rsidR="00A76698">
        <w:rPr>
          <w:iCs/>
        </w:rPr>
        <w:t>G</w:t>
      </w:r>
      <w:r w:rsidR="00BA773C">
        <w:rPr>
          <w:iCs/>
        </w:rPr>
        <w:t>uidelines)</w:t>
      </w:r>
      <w:r w:rsidR="00F53D7D" w:rsidRPr="00314303">
        <w:t>.</w:t>
      </w:r>
      <w:r w:rsidR="006E2EF5">
        <w:t xml:space="preserve"> The Department commissioned Cancer Council Australia to develop the </w:t>
      </w:r>
      <w:r w:rsidR="00A76698">
        <w:t>G</w:t>
      </w:r>
      <w:r w:rsidR="006E2EF5">
        <w:t xml:space="preserve">uidelines </w:t>
      </w:r>
      <w:r w:rsidR="00320286">
        <w:t xml:space="preserve">through </w:t>
      </w:r>
      <w:r w:rsidR="00BA773C">
        <w:t xml:space="preserve">an </w:t>
      </w:r>
      <w:r w:rsidR="006E2EF5">
        <w:t>independent group of experts</w:t>
      </w:r>
      <w:r w:rsidR="00BA773C">
        <w:t>.</w:t>
      </w:r>
      <w:r w:rsidR="006E2EF5">
        <w:t xml:space="preserve"> </w:t>
      </w:r>
      <w:r w:rsidR="00BA773C">
        <w:t>T</w:t>
      </w:r>
      <w:r w:rsidR="006E2EF5">
        <w:t>he</w:t>
      </w:r>
      <w:r w:rsidR="005C4226" w:rsidRPr="00314303">
        <w:t xml:space="preserve"> </w:t>
      </w:r>
      <w:r w:rsidR="006E2EF5">
        <w:t>National Health and Medical Research Council (</w:t>
      </w:r>
      <w:r w:rsidR="006E2EF5" w:rsidRPr="00314303">
        <w:t>NHMRC</w:t>
      </w:r>
      <w:r w:rsidR="006E2EF5">
        <w:t xml:space="preserve">) </w:t>
      </w:r>
      <w:r w:rsidR="00DF695A">
        <w:t>subsequently</w:t>
      </w:r>
      <w:r w:rsidR="00BA773C">
        <w:t xml:space="preserve"> </w:t>
      </w:r>
      <w:r w:rsidR="006E2EF5">
        <w:t>approved the</w:t>
      </w:r>
      <w:r w:rsidR="00BA773C">
        <w:t xml:space="preserve">se </w:t>
      </w:r>
      <w:r w:rsidR="00A76698">
        <w:t>G</w:t>
      </w:r>
      <w:r w:rsidR="00BA773C">
        <w:t>uidelines</w:t>
      </w:r>
      <w:r w:rsidR="006E2EF5">
        <w:t>.</w:t>
      </w:r>
    </w:p>
    <w:p w14:paraId="067E5260" w14:textId="783E62B6" w:rsidR="00A434E9" w:rsidRDefault="00886E63" w:rsidP="00634FB1">
      <w:r>
        <w:t>T</w:t>
      </w:r>
      <w:r w:rsidR="00271547" w:rsidRPr="007E53BE">
        <w:t>he completion of</w:t>
      </w:r>
      <w:r w:rsidR="00726DF5" w:rsidRPr="007E53BE">
        <w:t xml:space="preserve"> Phase Four </w:t>
      </w:r>
      <w:r>
        <w:t xml:space="preserve">allows the Program to shift from a focus on expansion to optimisation, and thus </w:t>
      </w:r>
      <w:r w:rsidR="00726DF5" w:rsidRPr="007E53BE">
        <w:t xml:space="preserve">represents an </w:t>
      </w:r>
      <w:r w:rsidR="00726DF5" w:rsidRPr="00DF475A">
        <w:t>o</w:t>
      </w:r>
      <w:r w:rsidR="00726DF5" w:rsidRPr="00262435">
        <w:t xml:space="preserve">pportune </w:t>
      </w:r>
      <w:r w:rsidR="00E6641B" w:rsidRPr="00C16DA4">
        <w:t xml:space="preserve">time to review the </w:t>
      </w:r>
      <w:r w:rsidR="009777B8" w:rsidRPr="00314303">
        <w:t>Program</w:t>
      </w:r>
      <w:r w:rsidR="00ED0A61" w:rsidRPr="00314303">
        <w:t xml:space="preserve"> and consider </w:t>
      </w:r>
      <w:r w:rsidR="00CD7287" w:rsidRPr="00314303">
        <w:t>its</w:t>
      </w:r>
      <w:r w:rsidR="00ED0A61" w:rsidRPr="00314303">
        <w:t xml:space="preserve"> strengths and opportunities</w:t>
      </w:r>
      <w:r w:rsidR="00D81E6A">
        <w:t xml:space="preserve"> for</w:t>
      </w:r>
      <w:r w:rsidR="00863ECB">
        <w:t xml:space="preserve"> improvement</w:t>
      </w:r>
      <w:r w:rsidR="00626622" w:rsidRPr="00314303">
        <w:t xml:space="preserve">. </w:t>
      </w:r>
    </w:p>
    <w:p w14:paraId="446BB6FC" w14:textId="6B4960FA" w:rsidR="007D7BA9" w:rsidRDefault="007D7BA9" w:rsidP="00634FB1">
      <w:r>
        <w:t xml:space="preserve">An overview of the NBCSP participant pathway and how it aligns with the five steps in the Australian Population Based Screening Framework (recruitment, screening, assessment, </w:t>
      </w:r>
      <w:proofErr w:type="gramStart"/>
      <w:r>
        <w:t>diagnosis</w:t>
      </w:r>
      <w:proofErr w:type="gramEnd"/>
      <w:r>
        <w:t xml:space="preserve"> and outcomes) is provided in </w:t>
      </w:r>
      <w:r w:rsidR="00844BA9">
        <w:rPr>
          <w:color w:val="FF0000"/>
        </w:rPr>
        <w:fldChar w:fldCharType="begin"/>
      </w:r>
      <w:r w:rsidR="00844BA9">
        <w:instrText xml:space="preserve"> REF _Ref82619329 \r \h </w:instrText>
      </w:r>
      <w:r w:rsidR="00844BA9">
        <w:rPr>
          <w:color w:val="FF0000"/>
        </w:rPr>
      </w:r>
      <w:r w:rsidR="00844BA9">
        <w:rPr>
          <w:color w:val="FF0000"/>
        </w:rPr>
        <w:fldChar w:fldCharType="separate"/>
      </w:r>
      <w:r w:rsidR="00F27525">
        <w:t xml:space="preserve">Figure </w:t>
      </w:r>
      <w:proofErr w:type="spellStart"/>
      <w:r w:rsidR="00F27525">
        <w:t>i</w:t>
      </w:r>
      <w:proofErr w:type="spellEnd"/>
      <w:r w:rsidR="00844BA9">
        <w:rPr>
          <w:color w:val="FF0000"/>
        </w:rPr>
        <w:fldChar w:fldCharType="end"/>
      </w:r>
      <w:r>
        <w:t>.</w:t>
      </w:r>
    </w:p>
    <w:p w14:paraId="104FB38C" w14:textId="0578F100" w:rsidR="007D7BA9" w:rsidRDefault="007D7BA9" w:rsidP="000F06D0">
      <w:pPr>
        <w:pStyle w:val="ExecFigureCaption"/>
        <w:ind w:left="357" w:hanging="357"/>
      </w:pPr>
      <w:bookmarkStart w:id="37" w:name="_Ref82619329"/>
      <w:r>
        <w:t>: NBCSP participant pathway</w:t>
      </w:r>
      <w:bookmarkEnd w:id="37"/>
    </w:p>
    <w:p w14:paraId="4E7CEDB8" w14:textId="77777777" w:rsidR="00887779" w:rsidRPr="00791915" w:rsidRDefault="00887779" w:rsidP="00887779">
      <w:r w:rsidRPr="00F53A52">
        <w:rPr>
          <w:noProof/>
          <w:lang w:eastAsia="en-AU"/>
        </w:rPr>
        <w:drawing>
          <wp:inline distT="0" distB="0" distL="0" distR="0" wp14:anchorId="2A7F731F" wp14:editId="7AB4B5D6">
            <wp:extent cx="5731510" cy="2269490"/>
            <wp:effectExtent l="0" t="0" r="2540" b="0"/>
            <wp:docPr id="45" name="Picture 45" descr="Figure i is an image showing the NBCSP participant path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Figure i is an image showing the NBCSP participant pathwa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2269490"/>
                    </a:xfrm>
                    <a:prstGeom prst="rect">
                      <a:avLst/>
                    </a:prstGeom>
                    <a:noFill/>
                    <a:ln>
                      <a:noFill/>
                    </a:ln>
                  </pic:spPr>
                </pic:pic>
              </a:graphicData>
            </a:graphic>
          </wp:inline>
        </w:drawing>
      </w:r>
    </w:p>
    <w:p w14:paraId="6AAF958B" w14:textId="55DCF89F" w:rsidR="00887779" w:rsidRPr="00FD2038" w:rsidRDefault="00887779" w:rsidP="000F06D0">
      <w:pPr>
        <w:pStyle w:val="Sources"/>
        <w:spacing w:before="0"/>
      </w:pPr>
      <w:r>
        <w:t>Source: Deloitte Access Economics diagram, using Department of Health information.</w:t>
      </w:r>
      <w:r>
        <w:rPr>
          <w:rStyle w:val="EndnoteReference"/>
        </w:rPr>
        <w:endnoteReference w:id="2"/>
      </w:r>
    </w:p>
    <w:p w14:paraId="116CA199" w14:textId="6E530053" w:rsidR="00DC6699" w:rsidRDefault="00973F15" w:rsidP="008A089E">
      <w:pPr>
        <w:pStyle w:val="Heading2un-numbered"/>
      </w:pPr>
      <w:bookmarkStart w:id="38" w:name="_Toc107837495"/>
      <w:r>
        <w:t>Scope</w:t>
      </w:r>
      <w:r w:rsidR="00046296">
        <w:t xml:space="preserve"> of the review</w:t>
      </w:r>
      <w:bookmarkEnd w:id="38"/>
    </w:p>
    <w:p w14:paraId="063F410D" w14:textId="63C6A106" w:rsidR="007141FE" w:rsidRDefault="008C2C89" w:rsidP="009829BF">
      <w:r w:rsidRPr="009A059B">
        <w:t xml:space="preserve">The </w:t>
      </w:r>
      <w:r w:rsidR="003B343B" w:rsidRPr="006711D8">
        <w:t xml:space="preserve">Department engaged Deloitte </w:t>
      </w:r>
      <w:r w:rsidR="003B343B" w:rsidRPr="00E92C1E">
        <w:t xml:space="preserve">Access Economics to </w:t>
      </w:r>
      <w:r w:rsidR="007C3009" w:rsidRPr="00532224">
        <w:t>undertake a</w:t>
      </w:r>
      <w:r w:rsidR="002955BA" w:rsidRPr="008F5389">
        <w:t xml:space="preserve"> comprehensive</w:t>
      </w:r>
      <w:r w:rsidR="00F630D8">
        <w:t xml:space="preserve"> </w:t>
      </w:r>
      <w:r w:rsidRPr="00C74CFB">
        <w:t>review</w:t>
      </w:r>
      <w:r w:rsidR="0023462D" w:rsidRPr="00C16668">
        <w:t xml:space="preserve"> of </w:t>
      </w:r>
      <w:r w:rsidR="0017666E" w:rsidRPr="002E3100">
        <w:t>P</w:t>
      </w:r>
      <w:r w:rsidR="0017666E" w:rsidRPr="00657F99">
        <w:t>h</w:t>
      </w:r>
      <w:r w:rsidR="0017666E" w:rsidRPr="004B6E7B">
        <w:t>a</w:t>
      </w:r>
      <w:r w:rsidR="0017666E" w:rsidRPr="00872AD4">
        <w:t>se Four</w:t>
      </w:r>
      <w:r w:rsidR="00B26D61">
        <w:t xml:space="preserve"> of the Program</w:t>
      </w:r>
      <w:r w:rsidR="0017666E" w:rsidRPr="00F630D8">
        <w:t xml:space="preserve">. </w:t>
      </w:r>
      <w:r w:rsidR="00FD798D" w:rsidRPr="00F630D8">
        <w:t xml:space="preserve">The purpose of the </w:t>
      </w:r>
      <w:r w:rsidR="00F85924">
        <w:t>review was</w:t>
      </w:r>
      <w:r w:rsidR="005C4841" w:rsidRPr="00F630D8">
        <w:t xml:space="preserve"> to </w:t>
      </w:r>
      <w:r w:rsidR="00BC7E03">
        <w:t>assess</w:t>
      </w:r>
      <w:r w:rsidR="00C4437E">
        <w:t>:</w:t>
      </w:r>
    </w:p>
    <w:p w14:paraId="2A0AABC5" w14:textId="4A2D1147" w:rsidR="0024546F" w:rsidRPr="004C2B18" w:rsidRDefault="0024546F" w:rsidP="004C2B18">
      <w:pPr>
        <w:pStyle w:val="ListBullet"/>
      </w:pPr>
      <w:r w:rsidRPr="00217492">
        <w:rPr>
          <w:b/>
        </w:rPr>
        <w:t>Appropriateness</w:t>
      </w:r>
      <w:r w:rsidR="00217492">
        <w:t>:</w:t>
      </w:r>
      <w:r w:rsidRPr="003D1E23">
        <w:t xml:space="preserve"> </w:t>
      </w:r>
      <w:r w:rsidR="0047503D" w:rsidRPr="004C2B18">
        <w:t xml:space="preserve">The </w:t>
      </w:r>
      <w:r w:rsidR="000D27BF" w:rsidRPr="004C2B18">
        <w:t xml:space="preserve">suitability </w:t>
      </w:r>
      <w:r w:rsidRPr="004C2B18">
        <w:t>of the Program design including the clinical pathway,</w:t>
      </w:r>
      <w:r w:rsidR="007A3D04" w:rsidRPr="004C2B18">
        <w:t xml:space="preserve"> diagnostic elements and</w:t>
      </w:r>
      <w:r w:rsidRPr="004C2B18">
        <w:t xml:space="preserve"> </w:t>
      </w:r>
      <w:r w:rsidR="00B61ECE" w:rsidRPr="004C2B18">
        <w:t xml:space="preserve">the </w:t>
      </w:r>
      <w:r w:rsidR="00BF38D0" w:rsidRPr="004C2B18">
        <w:t>A</w:t>
      </w:r>
      <w:r w:rsidRPr="004C2B18">
        <w:t xml:space="preserve">lternative </w:t>
      </w:r>
      <w:r w:rsidR="00BF38D0" w:rsidRPr="004C2B18">
        <w:t>P</w:t>
      </w:r>
      <w:r w:rsidRPr="004C2B18">
        <w:t>athway pilot.</w:t>
      </w:r>
    </w:p>
    <w:p w14:paraId="766C7377" w14:textId="3DFC9A5F" w:rsidR="0024546F" w:rsidRPr="004C2B18" w:rsidRDefault="0024546F" w:rsidP="004C2B18">
      <w:pPr>
        <w:pStyle w:val="ListBullet"/>
      </w:pPr>
      <w:r w:rsidRPr="004C2B18">
        <w:rPr>
          <w:rStyle w:val="Strong"/>
        </w:rPr>
        <w:t>Fidelity</w:t>
      </w:r>
      <w:r w:rsidR="000E3684" w:rsidRPr="004C2B18">
        <w:t>:</w:t>
      </w:r>
      <w:r w:rsidRPr="004C2B18">
        <w:t xml:space="preserve"> </w:t>
      </w:r>
      <w:r w:rsidR="00CC73D9" w:rsidRPr="004C2B18">
        <w:t>The</w:t>
      </w:r>
      <w:r w:rsidRPr="004C2B18">
        <w:t xml:space="preserve"> extent to which the Program was implemented as intended, </w:t>
      </w:r>
      <w:r w:rsidR="00A06068" w:rsidRPr="004C2B18">
        <w:t>including</w:t>
      </w:r>
      <w:r w:rsidRPr="004C2B18">
        <w:t xml:space="preserve"> Program delivery</w:t>
      </w:r>
      <w:r w:rsidR="00C815AC" w:rsidRPr="004C2B18">
        <w:t>,</w:t>
      </w:r>
      <w:r w:rsidRPr="004C2B18">
        <w:t xml:space="preserve"> data collection</w:t>
      </w:r>
      <w:r w:rsidR="00F577E7" w:rsidRPr="004C2B18">
        <w:t>,</w:t>
      </w:r>
      <w:r w:rsidRPr="004C2B18">
        <w:t xml:space="preserve"> reporting, as well as the </w:t>
      </w:r>
      <w:r w:rsidR="00133ED6" w:rsidRPr="004C2B18">
        <w:t xml:space="preserve">operations </w:t>
      </w:r>
      <w:r w:rsidRPr="004C2B18">
        <w:t>of governance structures.</w:t>
      </w:r>
    </w:p>
    <w:p w14:paraId="5FF076E6" w14:textId="1698F489" w:rsidR="00F577E7" w:rsidRPr="004C2B18" w:rsidRDefault="0024546F" w:rsidP="004C2B18">
      <w:pPr>
        <w:pStyle w:val="ListBullet"/>
      </w:pPr>
      <w:r w:rsidRPr="004C2B18">
        <w:rPr>
          <w:rStyle w:val="Strong"/>
        </w:rPr>
        <w:t>Awareness and adoption</w:t>
      </w:r>
      <w:r w:rsidR="000E3684" w:rsidRPr="004C2B18">
        <w:t>:</w:t>
      </w:r>
      <w:r w:rsidRPr="004C2B18">
        <w:t xml:space="preserve"> </w:t>
      </w:r>
      <w:r w:rsidR="0047503D" w:rsidRPr="004C2B18">
        <w:t>The</w:t>
      </w:r>
      <w:r w:rsidRPr="004C2B18">
        <w:t xml:space="preserve"> extent to which consumers and clinicians are aware of, and have adopted, the Program.</w:t>
      </w:r>
    </w:p>
    <w:p w14:paraId="18EF10B2" w14:textId="617FECCB" w:rsidR="00F577E7" w:rsidRPr="004C2B18" w:rsidRDefault="0024546F" w:rsidP="004C2B18">
      <w:pPr>
        <w:pStyle w:val="ListBullet"/>
      </w:pPr>
      <w:r w:rsidRPr="004C2B18">
        <w:rPr>
          <w:rStyle w:val="Strong"/>
        </w:rPr>
        <w:lastRenderedPageBreak/>
        <w:t>Effectiveness</w:t>
      </w:r>
      <w:r w:rsidR="000E3684" w:rsidRPr="004C2B18">
        <w:t>:</w:t>
      </w:r>
      <w:r w:rsidRPr="004C2B18">
        <w:t xml:space="preserve"> </w:t>
      </w:r>
      <w:r w:rsidR="00D75999" w:rsidRPr="004C2B18">
        <w:t>The</w:t>
      </w:r>
      <w:r w:rsidRPr="004C2B18">
        <w:t xml:space="preserve"> </w:t>
      </w:r>
      <w:r w:rsidR="009F101B" w:rsidRPr="004C2B18">
        <w:t xml:space="preserve">extent to which the </w:t>
      </w:r>
      <w:r w:rsidRPr="004C2B18">
        <w:t xml:space="preserve">Program </w:t>
      </w:r>
      <w:r w:rsidR="00AD150C" w:rsidRPr="004C2B18">
        <w:t xml:space="preserve">is </w:t>
      </w:r>
      <w:r w:rsidRPr="004C2B18">
        <w:t>effective in achieving its stated objectives</w:t>
      </w:r>
      <w:r w:rsidR="00B65CAD" w:rsidRPr="004C2B18">
        <w:t>, including maximising benefits and minimising harms to individuals participating in the Program</w:t>
      </w:r>
      <w:r w:rsidRPr="004C2B18">
        <w:t>.</w:t>
      </w:r>
    </w:p>
    <w:p w14:paraId="173F3608" w14:textId="04E9F162" w:rsidR="0024546F" w:rsidRDefault="0024546F" w:rsidP="004C2B18">
      <w:pPr>
        <w:pStyle w:val="ListBullet"/>
      </w:pPr>
      <w:r w:rsidRPr="00217492">
        <w:rPr>
          <w:b/>
        </w:rPr>
        <w:t>Efficiency</w:t>
      </w:r>
      <w:r w:rsidR="000E3684">
        <w:t>:</w:t>
      </w:r>
      <w:r w:rsidRPr="003D1E23">
        <w:t xml:space="preserve"> </w:t>
      </w:r>
      <w:r w:rsidR="00EE6ED7">
        <w:t>The extent to which the Program is</w:t>
      </w:r>
      <w:r w:rsidRPr="003D1E23">
        <w:t xml:space="preserve"> cost-effective</w:t>
      </w:r>
      <w:r>
        <w:t xml:space="preserve"> relative to no screening, across different age brackets and participation rates.</w:t>
      </w:r>
    </w:p>
    <w:p w14:paraId="76D3EDE8" w14:textId="18C767AA" w:rsidR="0024546F" w:rsidRDefault="001C64CB" w:rsidP="0024546F">
      <w:r>
        <w:t>Themes related to</w:t>
      </w:r>
      <w:r w:rsidR="008F6AF4">
        <w:t xml:space="preserve"> Program sustainability (</w:t>
      </w:r>
      <w:proofErr w:type="gramStart"/>
      <w:r w:rsidR="00A652D9">
        <w:t>i.e.</w:t>
      </w:r>
      <w:proofErr w:type="gramEnd"/>
      <w:r w:rsidR="00A652D9">
        <w:t xml:space="preserve"> </w:t>
      </w:r>
      <w:r w:rsidR="00DD6AFB">
        <w:t>identified opportunities</w:t>
      </w:r>
      <w:r w:rsidR="00A652D9">
        <w:t xml:space="preserve"> for improvement as part of the next phase of the Program</w:t>
      </w:r>
      <w:r w:rsidR="00DD6AFB">
        <w:t xml:space="preserve">) and equity </w:t>
      </w:r>
      <w:r w:rsidR="00B62930">
        <w:t xml:space="preserve">of </w:t>
      </w:r>
      <w:r w:rsidR="009F30FB">
        <w:t>access</w:t>
      </w:r>
      <w:r w:rsidR="00794CD5">
        <w:t xml:space="preserve"> are discuss</w:t>
      </w:r>
      <w:r w:rsidR="00430735">
        <w:t xml:space="preserve">ed where relevant </w:t>
      </w:r>
      <w:r w:rsidR="00BE7307">
        <w:t xml:space="preserve">under each of the </w:t>
      </w:r>
      <w:r w:rsidR="005D5880">
        <w:t xml:space="preserve">domains </w:t>
      </w:r>
      <w:r w:rsidR="00430735">
        <w:t>listed above.</w:t>
      </w:r>
    </w:p>
    <w:p w14:paraId="1F251D53" w14:textId="52E8372F" w:rsidR="00A17652" w:rsidRDefault="00A17652" w:rsidP="000F06D0">
      <w:pPr>
        <w:pStyle w:val="Heading3"/>
        <w:numPr>
          <w:ilvl w:val="0"/>
          <w:numId w:val="0"/>
        </w:numPr>
        <w:ind w:left="1021" w:hanging="1021"/>
      </w:pPr>
      <w:r>
        <w:t>Out of scope</w:t>
      </w:r>
    </w:p>
    <w:p w14:paraId="592FF37B" w14:textId="353F0668" w:rsidR="006661A3" w:rsidRDefault="00B26F5F" w:rsidP="000F06D0">
      <w:r>
        <w:t>The National Cancer Screening Register</w:t>
      </w:r>
      <w:r w:rsidR="00410F04">
        <w:t xml:space="preserve"> (NCSR)</w:t>
      </w:r>
      <w:r>
        <w:t xml:space="preserve"> was</w:t>
      </w:r>
      <w:r w:rsidR="00B35DAD">
        <w:t xml:space="preserve"> implemented </w:t>
      </w:r>
      <w:r w:rsidR="00A27C36">
        <w:t>in 2019 (</w:t>
      </w:r>
      <w:r w:rsidR="00984B48">
        <w:t xml:space="preserve">during </w:t>
      </w:r>
      <w:r w:rsidR="00B35DAD">
        <w:t>Phase Four</w:t>
      </w:r>
      <w:r w:rsidR="00A27C36">
        <w:t>)</w:t>
      </w:r>
      <w:r w:rsidR="00462BDE">
        <w:t>.</w:t>
      </w:r>
      <w:r w:rsidR="007062B3">
        <w:t xml:space="preserve"> The NCSR offers a digital infrastructure for the collection and reporting of screening data</w:t>
      </w:r>
      <w:r w:rsidR="00E304F5">
        <w:t>, and facilitates invitations for screening, mailing of test kits, and participant support.</w:t>
      </w:r>
      <w:r w:rsidR="00462BDE">
        <w:t xml:space="preserve"> </w:t>
      </w:r>
      <w:r w:rsidR="00405A0A">
        <w:t>An evaluation of the</w:t>
      </w:r>
      <w:r w:rsidR="00462BDE">
        <w:t xml:space="preserve"> functionality of the </w:t>
      </w:r>
      <w:r w:rsidR="00410F04">
        <w:t>NCSR</w:t>
      </w:r>
      <w:r w:rsidR="00462BDE">
        <w:t xml:space="preserve"> </w:t>
      </w:r>
      <w:r w:rsidR="00405A0A">
        <w:t xml:space="preserve">will be conducted </w:t>
      </w:r>
      <w:proofErr w:type="gramStart"/>
      <w:r w:rsidR="00405A0A">
        <w:t>separately, and</w:t>
      </w:r>
      <w:proofErr w:type="gramEnd"/>
      <w:r w:rsidR="00405A0A">
        <w:t xml:space="preserve"> </w:t>
      </w:r>
      <w:r w:rsidR="00D84821">
        <w:t xml:space="preserve">was </w:t>
      </w:r>
      <w:r w:rsidR="00405A0A">
        <w:t>thus out of scope for the review.</w:t>
      </w:r>
      <w:r w:rsidR="00EA4AA8">
        <w:t xml:space="preserve"> The Healthcare Provider Portal</w:t>
      </w:r>
      <w:r w:rsidR="00B77E8A">
        <w:t xml:space="preserve"> (HPP)</w:t>
      </w:r>
      <w:r w:rsidR="00EA4AA8">
        <w:t xml:space="preserve"> is </w:t>
      </w:r>
      <w:r w:rsidR="00E94E80">
        <w:t>a second piece of</w:t>
      </w:r>
      <w:r w:rsidR="006F2282">
        <w:t xml:space="preserve"> enabling infrastructure </w:t>
      </w:r>
      <w:r w:rsidR="00E94E80">
        <w:t>for</w:t>
      </w:r>
      <w:r w:rsidR="006F2282">
        <w:t xml:space="preserve"> the Program</w:t>
      </w:r>
      <w:r w:rsidR="00E94E80">
        <w:t xml:space="preserve">, which </w:t>
      </w:r>
      <w:r w:rsidR="001F4B71">
        <w:t>was piloted</w:t>
      </w:r>
      <w:r w:rsidR="00227D72">
        <w:t xml:space="preserve"> </w:t>
      </w:r>
      <w:r w:rsidR="00C20857">
        <w:t>during</w:t>
      </w:r>
      <w:r w:rsidR="00227D72">
        <w:t xml:space="preserve"> Phase Four. An evaluation of the implementation and function</w:t>
      </w:r>
      <w:r w:rsidR="00CB6563">
        <w:t xml:space="preserve">ality of the </w:t>
      </w:r>
      <w:r w:rsidR="002A323A">
        <w:t>HPP</w:t>
      </w:r>
      <w:r w:rsidR="00CB6563">
        <w:t xml:space="preserve"> was also out of scope for the review. </w:t>
      </w:r>
    </w:p>
    <w:p w14:paraId="1D51A532" w14:textId="6A0B47E8" w:rsidR="00046296" w:rsidRPr="00AC36E8" w:rsidRDefault="00AC36E8" w:rsidP="008A089E">
      <w:pPr>
        <w:pStyle w:val="Heading2un-numbered"/>
      </w:pPr>
      <w:bookmarkStart w:id="39" w:name="_Toc107837496"/>
      <w:r>
        <w:t>Methodology</w:t>
      </w:r>
      <w:bookmarkEnd w:id="39"/>
    </w:p>
    <w:p w14:paraId="673D38C7" w14:textId="77777777" w:rsidR="00781311" w:rsidRDefault="00EB58CF" w:rsidP="00952DA9">
      <w:r>
        <w:t xml:space="preserve">A mixture of </w:t>
      </w:r>
      <w:r w:rsidR="00E9703B">
        <w:t xml:space="preserve">primary and secondary data </w:t>
      </w:r>
      <w:r w:rsidR="00C16668">
        <w:t xml:space="preserve">informed the </w:t>
      </w:r>
      <w:r w:rsidR="0030446B">
        <w:t>review</w:t>
      </w:r>
      <w:r w:rsidR="00657F99">
        <w:t xml:space="preserve">. </w:t>
      </w:r>
    </w:p>
    <w:p w14:paraId="5AC3E047" w14:textId="4404E8FF" w:rsidR="007718DA" w:rsidRDefault="00DC116C" w:rsidP="00952DA9">
      <w:r>
        <w:t xml:space="preserve">Secondary data sources included publicly </w:t>
      </w:r>
      <w:r w:rsidR="00B212CB">
        <w:t>available Program reports</w:t>
      </w:r>
      <w:r w:rsidR="00BE7307">
        <w:t xml:space="preserve"> from the A</w:t>
      </w:r>
      <w:r w:rsidR="000524EA">
        <w:t xml:space="preserve">ustralian </w:t>
      </w:r>
      <w:r w:rsidR="00BE7307">
        <w:t>I</w:t>
      </w:r>
      <w:r w:rsidR="000524EA">
        <w:t xml:space="preserve">nstitute of </w:t>
      </w:r>
      <w:r w:rsidR="00BE7307">
        <w:t>H</w:t>
      </w:r>
      <w:r w:rsidR="000524EA">
        <w:t xml:space="preserve">ealth and </w:t>
      </w:r>
      <w:r w:rsidR="00BE7307">
        <w:t>W</w:t>
      </w:r>
      <w:r w:rsidR="000524EA">
        <w:t>elfare</w:t>
      </w:r>
      <w:r w:rsidR="00B212CB">
        <w:t xml:space="preserve"> </w:t>
      </w:r>
      <w:r w:rsidR="000524EA">
        <w:t>(AIHW),</w:t>
      </w:r>
      <w:r w:rsidR="00B212CB">
        <w:t xml:space="preserve"> academic literature, </w:t>
      </w:r>
      <w:r w:rsidR="00C367D4">
        <w:t>pathology data</w:t>
      </w:r>
      <w:r w:rsidR="000524EA">
        <w:t>,</w:t>
      </w:r>
      <w:r w:rsidR="00C367D4">
        <w:t xml:space="preserve"> </w:t>
      </w:r>
      <w:r w:rsidR="00AC4938">
        <w:t>and an extract of</w:t>
      </w:r>
      <w:r w:rsidR="000524EA">
        <w:t xml:space="preserve"> data from the</w:t>
      </w:r>
      <w:r w:rsidR="00AC4938">
        <w:t xml:space="preserve"> </w:t>
      </w:r>
      <w:r w:rsidR="00410F04">
        <w:t>NCSR</w:t>
      </w:r>
      <w:r w:rsidR="00AC4938">
        <w:t>.</w:t>
      </w:r>
    </w:p>
    <w:p w14:paraId="7968C024" w14:textId="4ADCAA5B" w:rsidR="00097A28" w:rsidRDefault="00A47345" w:rsidP="00952DA9">
      <w:r>
        <w:t>As part of</w:t>
      </w:r>
      <w:r w:rsidR="00097A28">
        <w:t xml:space="preserve"> primary data</w:t>
      </w:r>
      <w:r>
        <w:t xml:space="preserve"> collection</w:t>
      </w:r>
      <w:r w:rsidR="00097A28">
        <w:t>, an extensive stakeholder consultation process was conducted (67 consultations with 117 stakeholders) with groups including Program officers, clinicians, peak professional bodies, non-government organisations and consumer representatives. Other primary data sources included a consumer survey, a clinician survey, as well as an online public submission process to ensure that all interested stakeholders could express their views.</w:t>
      </w:r>
    </w:p>
    <w:p w14:paraId="2677A561" w14:textId="136D14CE" w:rsidR="0097537F" w:rsidRDefault="00EF26CC" w:rsidP="00CD0319">
      <w:pPr>
        <w:pStyle w:val="Heading2un-numbered"/>
      </w:pPr>
      <w:bookmarkStart w:id="40" w:name="_Toc107837497"/>
      <w:r>
        <w:t>Limitation</w:t>
      </w:r>
      <w:r w:rsidR="00CD0319">
        <w:t>s</w:t>
      </w:r>
      <w:bookmarkEnd w:id="40"/>
    </w:p>
    <w:p w14:paraId="04682328" w14:textId="77777777" w:rsidR="002E4499" w:rsidRDefault="002E4499" w:rsidP="002E4499">
      <w:r>
        <w:t>The review of Phase Four of the Program was limited by the following factors:</w:t>
      </w:r>
    </w:p>
    <w:p w14:paraId="2A196962" w14:textId="2FB9DDAD" w:rsidR="002E4499" w:rsidRDefault="00864522" w:rsidP="00500FD6">
      <w:r w:rsidRPr="009829BF">
        <w:rPr>
          <w:b/>
        </w:rPr>
        <w:t>Data</w:t>
      </w:r>
      <w:r w:rsidR="00F35369">
        <w:rPr>
          <w:b/>
        </w:rPr>
        <w:t xml:space="preserve"> completeness</w:t>
      </w:r>
      <w:r w:rsidR="001C64CB">
        <w:rPr>
          <w:b/>
        </w:rPr>
        <w:t>.</w:t>
      </w:r>
      <w:r w:rsidR="002E4499">
        <w:t xml:space="preserve"> </w:t>
      </w:r>
      <w:r w:rsidR="00842F5F">
        <w:t xml:space="preserve">A longstanding </w:t>
      </w:r>
      <w:r w:rsidR="00D35032">
        <w:t xml:space="preserve">challenge to the Program is the </w:t>
      </w:r>
      <w:r w:rsidR="00086E9F">
        <w:t>volunt</w:t>
      </w:r>
      <w:r w:rsidR="009A7F5A">
        <w:t>a</w:t>
      </w:r>
      <w:r w:rsidR="00086E9F">
        <w:t>r</w:t>
      </w:r>
      <w:r w:rsidR="009A7F5A">
        <w:t>y</w:t>
      </w:r>
      <w:r w:rsidR="00086E9F">
        <w:t xml:space="preserve"> </w:t>
      </w:r>
      <w:r w:rsidR="00D35032">
        <w:t xml:space="preserve">provision of </w:t>
      </w:r>
      <w:r w:rsidR="004C4184">
        <w:t xml:space="preserve">data </w:t>
      </w:r>
      <w:r w:rsidR="008A5DAC">
        <w:t xml:space="preserve">from </w:t>
      </w:r>
      <w:r w:rsidR="00A9589F">
        <w:t xml:space="preserve">General </w:t>
      </w:r>
      <w:r w:rsidR="008A5DAC">
        <w:t>P</w:t>
      </w:r>
      <w:r w:rsidR="00A9589F">
        <w:t>ractitioner (GPs)</w:t>
      </w:r>
      <w:r w:rsidR="008A5DAC">
        <w:t xml:space="preserve">, </w:t>
      </w:r>
      <w:r w:rsidR="00284D59">
        <w:t>specialist</w:t>
      </w:r>
      <w:r w:rsidR="008A5DAC">
        <w:t xml:space="preserve">s and histopathologists </w:t>
      </w:r>
      <w:r w:rsidR="004C4184">
        <w:t>related to</w:t>
      </w:r>
      <w:r w:rsidR="004E47B0">
        <w:t xml:space="preserve"> follow-up consultations </w:t>
      </w:r>
      <w:r w:rsidR="00E1279D">
        <w:t>and the outcomes of these consultations</w:t>
      </w:r>
      <w:r w:rsidR="00C91D1C">
        <w:t xml:space="preserve">. </w:t>
      </w:r>
      <w:r w:rsidR="004D45D3">
        <w:t>Th</w:t>
      </w:r>
      <w:r w:rsidR="00E37F8B">
        <w:t xml:space="preserve">is issue </w:t>
      </w:r>
      <w:r w:rsidR="00FA5340">
        <w:t>affects th</w:t>
      </w:r>
      <w:r w:rsidR="00B7782E">
        <w:t xml:space="preserve">e reporting of key Program </w:t>
      </w:r>
      <w:r w:rsidR="008470E2">
        <w:t xml:space="preserve">performance indicators, </w:t>
      </w:r>
      <w:r w:rsidR="00B00E26">
        <w:t xml:space="preserve">notably </w:t>
      </w:r>
      <w:r w:rsidR="00D53EC6">
        <w:t xml:space="preserve">diagnostic assessment rates, adenoma and colorectal cancer detection rates, interval </w:t>
      </w:r>
      <w:r w:rsidR="001E4E06">
        <w:t xml:space="preserve">cancer </w:t>
      </w:r>
      <w:r w:rsidR="00D53EC6">
        <w:t>rates, and adverse events</w:t>
      </w:r>
      <w:r w:rsidR="001B589E">
        <w:t xml:space="preserve">. </w:t>
      </w:r>
      <w:r w:rsidR="00B02988">
        <w:t xml:space="preserve">Consequently, </w:t>
      </w:r>
      <w:r w:rsidR="009A7F5A">
        <w:t>this issue</w:t>
      </w:r>
      <w:r w:rsidR="00F817AF">
        <w:t xml:space="preserve"> </w:t>
      </w:r>
      <w:r w:rsidR="002E4499">
        <w:t xml:space="preserve">limited </w:t>
      </w:r>
      <w:r w:rsidR="009A7F5A">
        <w:t xml:space="preserve">the </w:t>
      </w:r>
      <w:r w:rsidR="002E4499">
        <w:t xml:space="preserve">ability to reliably report </w:t>
      </w:r>
      <w:r w:rsidR="00B731B4">
        <w:t>on these indicators</w:t>
      </w:r>
      <w:r w:rsidR="002E4499">
        <w:t>.</w:t>
      </w:r>
      <w:r w:rsidR="009A57C7">
        <w:rPr>
          <w:rStyle w:val="FootnoteReference"/>
        </w:rPr>
        <w:footnoteReference w:id="2"/>
      </w:r>
      <w:r w:rsidR="002E4499">
        <w:t xml:space="preserve"> </w:t>
      </w:r>
    </w:p>
    <w:p w14:paraId="313F5AC1" w14:textId="2616E86E" w:rsidR="003223CA" w:rsidRDefault="002E4499" w:rsidP="002E4499">
      <w:r w:rsidRPr="00500FD6">
        <w:rPr>
          <w:b/>
          <w:bCs/>
        </w:rPr>
        <w:t xml:space="preserve">Inability to compare cancer-related outcomes for </w:t>
      </w:r>
      <w:r w:rsidR="00EA4659">
        <w:rPr>
          <w:b/>
          <w:bCs/>
        </w:rPr>
        <w:t xml:space="preserve">Phase Four </w:t>
      </w:r>
      <w:r w:rsidRPr="00500FD6">
        <w:rPr>
          <w:b/>
          <w:bCs/>
        </w:rPr>
        <w:t>p</w:t>
      </w:r>
      <w:r w:rsidRPr="00500FD6">
        <w:rPr>
          <w:b/>
        </w:rPr>
        <w:t>a</w:t>
      </w:r>
      <w:r w:rsidRPr="008F5E9B">
        <w:rPr>
          <w:b/>
          <w:bCs/>
        </w:rPr>
        <w:t>rticipants vs. non</w:t>
      </w:r>
      <w:r w:rsidRPr="000B0224">
        <w:rPr>
          <w:b/>
        </w:rPr>
        <w:t>-</w:t>
      </w:r>
      <w:r w:rsidRPr="006B3774">
        <w:rPr>
          <w:b/>
        </w:rPr>
        <w:t>participants</w:t>
      </w:r>
      <w:r w:rsidR="001C64CB">
        <w:t>.</w:t>
      </w:r>
      <w:r>
        <w:t xml:space="preserve"> </w:t>
      </w:r>
      <w:r w:rsidR="00543C6E">
        <w:t xml:space="preserve">To assess </w:t>
      </w:r>
      <w:r w:rsidR="001D2685">
        <w:t xml:space="preserve">whether Program participation </w:t>
      </w:r>
      <w:r w:rsidR="00563A35">
        <w:t>impacts bowel cancer morbidity and mortality,</w:t>
      </w:r>
      <w:r w:rsidR="002A3983">
        <w:t xml:space="preserve"> </w:t>
      </w:r>
      <w:r w:rsidR="00AA1DF8">
        <w:t>data linkage</w:t>
      </w:r>
      <w:r>
        <w:t xml:space="preserve"> is required betwe</w:t>
      </w:r>
      <w:r w:rsidR="002E128A">
        <w:t>en</w:t>
      </w:r>
      <w:r w:rsidR="003223CA">
        <w:t>:</w:t>
      </w:r>
    </w:p>
    <w:p w14:paraId="49510EBD" w14:textId="77777777" w:rsidR="003223CA" w:rsidRDefault="002E128A" w:rsidP="000F06D0">
      <w:pPr>
        <w:pStyle w:val="ListBullet"/>
      </w:pPr>
      <w:r>
        <w:t>jurisdictional cancer registries (cancer diagnoses and stage at diagnosis)</w:t>
      </w:r>
    </w:p>
    <w:p w14:paraId="335CF482" w14:textId="77777777" w:rsidR="003223CA" w:rsidRDefault="0087571A" w:rsidP="000F06D0">
      <w:pPr>
        <w:pStyle w:val="ListBullet"/>
      </w:pPr>
      <w:r>
        <w:t>the National Death Index</w:t>
      </w:r>
      <w:r w:rsidR="00012638">
        <w:t xml:space="preserve"> (deaths including cause</w:t>
      </w:r>
      <w:r w:rsidR="00074065">
        <w:t>-</w:t>
      </w:r>
      <w:r w:rsidR="00012638">
        <w:t>of</w:t>
      </w:r>
      <w:r w:rsidR="00074065">
        <w:t>-</w:t>
      </w:r>
      <w:r w:rsidR="00012638">
        <w:t>death)</w:t>
      </w:r>
    </w:p>
    <w:p w14:paraId="316ED9F5" w14:textId="43AD139F" w:rsidR="0072606F" w:rsidRDefault="004E1E29" w:rsidP="006547A2">
      <w:pPr>
        <w:pStyle w:val="ListBullet"/>
      </w:pPr>
      <w:r>
        <w:t xml:space="preserve">the </w:t>
      </w:r>
      <w:r w:rsidR="00D25E8C">
        <w:t>NCSR</w:t>
      </w:r>
      <w:r w:rsidR="00D84635">
        <w:t xml:space="preserve"> (participation data).</w:t>
      </w:r>
    </w:p>
    <w:p w14:paraId="56CC29E6" w14:textId="748083ED" w:rsidR="00331DE9" w:rsidRDefault="00AE2894" w:rsidP="005019C7">
      <w:r>
        <w:t>A</w:t>
      </w:r>
      <w:r w:rsidR="00E40E66">
        <w:t xml:space="preserve"> </w:t>
      </w:r>
      <w:r>
        <w:t xml:space="preserve">data linkage study was not in scope for the review. </w:t>
      </w:r>
      <w:r w:rsidR="005019C7">
        <w:t>Analysis of this nature also requires a substantial lag period to observe mortality outcomes over time</w:t>
      </w:r>
      <w:r w:rsidR="00F909D1">
        <w:t xml:space="preserve"> (</w:t>
      </w:r>
      <w:proofErr w:type="gramStart"/>
      <w:r w:rsidR="00F909D1">
        <w:t>e.g.</w:t>
      </w:r>
      <w:proofErr w:type="gramEnd"/>
      <w:r w:rsidR="00F909D1">
        <w:t xml:space="preserve"> five-year </w:t>
      </w:r>
      <w:r w:rsidR="00B81060">
        <w:t>relative survival)</w:t>
      </w:r>
      <w:r w:rsidR="005019C7">
        <w:t xml:space="preserve">. </w:t>
      </w:r>
      <w:r w:rsidR="002E4499">
        <w:t xml:space="preserve">The most recent project of this nature was the 2018 AIHW report </w:t>
      </w:r>
      <w:r w:rsidR="002E4499" w:rsidRPr="00125722">
        <w:rPr>
          <w:i/>
          <w:iCs/>
        </w:rPr>
        <w:t>Analysis of bowel cancer outcomes for the National Bowel Cancer Screening Program</w:t>
      </w:r>
      <w:r w:rsidR="00CF266B">
        <w:t>,</w:t>
      </w:r>
      <w:r w:rsidR="002E4499">
        <w:t xml:space="preserve"> </w:t>
      </w:r>
      <w:r w:rsidR="00865E1C">
        <w:t>using</w:t>
      </w:r>
      <w:r w:rsidR="002E4499">
        <w:t xml:space="preserve"> data from Program invitees between 2006 and 2010.</w:t>
      </w:r>
      <w:r w:rsidR="00CF266B">
        <w:t xml:space="preserve"> </w:t>
      </w:r>
      <w:r w:rsidR="00827F97">
        <w:t xml:space="preserve">Thus, </w:t>
      </w:r>
      <w:r w:rsidR="00850441">
        <w:t>report</w:t>
      </w:r>
      <w:r w:rsidR="00827F97">
        <w:t>ing</w:t>
      </w:r>
      <w:r w:rsidR="00850441">
        <w:t xml:space="preserve"> </w:t>
      </w:r>
      <w:r w:rsidR="008B66BE">
        <w:t>cancer-</w:t>
      </w:r>
      <w:r w:rsidR="008B66BE">
        <w:lastRenderedPageBreak/>
        <w:t xml:space="preserve">related </w:t>
      </w:r>
      <w:r w:rsidR="00FA0615">
        <w:t>outcomes linked to Phase Four</w:t>
      </w:r>
      <w:r w:rsidR="00827F97">
        <w:t xml:space="preserve"> was not feasible</w:t>
      </w:r>
      <w:r w:rsidR="008815A7">
        <w:t xml:space="preserve"> at the time of the review</w:t>
      </w:r>
      <w:r w:rsidR="00FA0615">
        <w:t xml:space="preserve">. </w:t>
      </w:r>
      <w:r w:rsidR="002E4499">
        <w:t>In the absence of</w:t>
      </w:r>
      <w:r w:rsidR="005A2DAF">
        <w:t xml:space="preserve"> Phase Four-specific</w:t>
      </w:r>
      <w:r w:rsidR="002E4499">
        <w:t xml:space="preserve"> data, the review instead refers to the 2018 AIHW report as an indication of the impact of the Program on earlier detection and better survival.</w:t>
      </w:r>
    </w:p>
    <w:p w14:paraId="4A129901" w14:textId="647E6D09" w:rsidR="00803AA1" w:rsidRDefault="0036364A" w:rsidP="005019C7">
      <w:r>
        <w:t xml:space="preserve">Opportunities </w:t>
      </w:r>
      <w:r w:rsidR="003728F4">
        <w:t>to address these</w:t>
      </w:r>
      <w:r w:rsidR="008B0C66">
        <w:t xml:space="preserve"> data</w:t>
      </w:r>
      <w:r w:rsidR="000A3EEB">
        <w:t xml:space="preserve"> </w:t>
      </w:r>
      <w:r w:rsidR="00F80037">
        <w:t>limitations</w:t>
      </w:r>
      <w:r w:rsidR="003728F4">
        <w:t xml:space="preserve"> </w:t>
      </w:r>
      <w:r w:rsidR="00AD37E6">
        <w:t xml:space="preserve">are discussed in the ‘Fidelity’ sub-section of the </w:t>
      </w:r>
      <w:r w:rsidR="00AA4957">
        <w:t>Executive Summary</w:t>
      </w:r>
      <w:r w:rsidR="00AD37E6">
        <w:t>.</w:t>
      </w:r>
    </w:p>
    <w:p w14:paraId="4A30C461" w14:textId="1D2ED89D" w:rsidR="00BC1195" w:rsidRPr="000F06D0" w:rsidRDefault="00FC4C1F" w:rsidP="00BC1195">
      <w:pPr>
        <w:pStyle w:val="Heading2un-numbered"/>
        <w:rPr>
          <w:sz w:val="26"/>
        </w:rPr>
      </w:pPr>
      <w:bookmarkStart w:id="41" w:name="_Toc107837498"/>
      <w:r w:rsidRPr="000F06D0">
        <w:rPr>
          <w:sz w:val="26"/>
        </w:rPr>
        <w:t>Summary of f</w:t>
      </w:r>
      <w:r w:rsidR="00905B98" w:rsidRPr="000F06D0">
        <w:rPr>
          <w:sz w:val="26"/>
        </w:rPr>
        <w:t>indings</w:t>
      </w:r>
      <w:bookmarkEnd w:id="41"/>
    </w:p>
    <w:p w14:paraId="6F648FDE" w14:textId="4BD88119" w:rsidR="00400756" w:rsidRPr="00E63E47" w:rsidRDefault="00400756" w:rsidP="00400756">
      <w:r>
        <w:t>Overall, the Program is a major strength of Australian’s public health system. The Program has contributed toward improved population health for Australians through earlier detection of bowel cancer and better survival. Since the Program’s inception in 2006, it has played a key role in Australia’s eminence in cancer screening and prevention for the following reason</w:t>
      </w:r>
      <w:r w:rsidR="003B00A3">
        <w:t>s</w:t>
      </w:r>
      <w:r w:rsidR="00DE51F8">
        <w:t>:</w:t>
      </w:r>
      <w:r w:rsidR="00DE51F8" w:rsidDel="003B00A3">
        <w:t xml:space="preserve"> </w:t>
      </w:r>
    </w:p>
    <w:p w14:paraId="7FF01CA6" w14:textId="4BDD6A4F" w:rsidR="00400756" w:rsidRDefault="003E3642" w:rsidP="00400756">
      <w:pPr>
        <w:pStyle w:val="ListParagraph"/>
        <w:numPr>
          <w:ilvl w:val="0"/>
          <w:numId w:val="28"/>
        </w:numPr>
      </w:pPr>
      <w:r>
        <w:t>Australia</w:t>
      </w:r>
      <w:r w:rsidR="00400756">
        <w:t xml:space="preserve"> </w:t>
      </w:r>
      <w:r w:rsidR="00BF569B">
        <w:t xml:space="preserve">was </w:t>
      </w:r>
      <w:r w:rsidR="00400756">
        <w:t>one of the first countries to offer free screening for bowel cancer to a national population</w:t>
      </w:r>
    </w:p>
    <w:p w14:paraId="398806D0" w14:textId="08442475" w:rsidR="00400756" w:rsidRDefault="003E3642" w:rsidP="00400756">
      <w:pPr>
        <w:pStyle w:val="ListParagraph"/>
        <w:numPr>
          <w:ilvl w:val="0"/>
          <w:numId w:val="28"/>
        </w:numPr>
      </w:pPr>
      <w:r>
        <w:t>Australia</w:t>
      </w:r>
      <w:r w:rsidR="00400756">
        <w:t xml:space="preserve"> was one of the first countries to collect quantitative </w:t>
      </w:r>
      <w:r w:rsidR="00555292">
        <w:rPr>
          <w:szCs w:val="17"/>
        </w:rPr>
        <w:t>Immunochemical faecal occult blood</w:t>
      </w:r>
      <w:r w:rsidR="00555292" w:rsidRPr="004578C0">
        <w:rPr>
          <w:szCs w:val="17"/>
        </w:rPr>
        <w:t xml:space="preserve"> test</w:t>
      </w:r>
      <w:r w:rsidR="00555292">
        <w:t xml:space="preserve"> (</w:t>
      </w:r>
      <w:proofErr w:type="spellStart"/>
      <w:r w:rsidR="00400756">
        <w:t>iFOBT</w:t>
      </w:r>
      <w:proofErr w:type="spellEnd"/>
      <w:r w:rsidR="00555292">
        <w:t>)</w:t>
      </w:r>
      <w:r w:rsidR="00400756">
        <w:t xml:space="preserve"> results, which is now used globally as </w:t>
      </w:r>
      <w:proofErr w:type="gramStart"/>
      <w:r w:rsidR="00400756">
        <w:t>best-practice</w:t>
      </w:r>
      <w:proofErr w:type="gramEnd"/>
    </w:p>
    <w:p w14:paraId="248B6FF9" w14:textId="3937421E" w:rsidR="00D3780F" w:rsidRPr="00D3780F" w:rsidRDefault="003E3642">
      <w:pPr>
        <w:pStyle w:val="ListParagraph"/>
        <w:numPr>
          <w:ilvl w:val="0"/>
          <w:numId w:val="28"/>
        </w:numPr>
      </w:pPr>
      <w:r>
        <w:t>Australia</w:t>
      </w:r>
      <w:r w:rsidR="00400756">
        <w:t xml:space="preserve"> offers screening to the widest age range of all countries utilising FOBT screening via a mail out method.</w:t>
      </w:r>
    </w:p>
    <w:p w14:paraId="6D0C060A" w14:textId="0D1EA1E5" w:rsidR="00180203" w:rsidRDefault="00DE51F8" w:rsidP="00180203">
      <w:r>
        <w:t xml:space="preserve">Findings and opportunities for </w:t>
      </w:r>
      <w:r w:rsidR="00C22246">
        <w:t xml:space="preserve">Program </w:t>
      </w:r>
      <w:r>
        <w:t>improvement are presented</w:t>
      </w:r>
      <w:r w:rsidR="00EC3B32">
        <w:t xml:space="preserve"> below</w:t>
      </w:r>
      <w:r>
        <w:t xml:space="preserve"> by each of the key evaluation domains</w:t>
      </w:r>
      <w:r w:rsidR="00EC3B32">
        <w:t>.</w:t>
      </w:r>
    </w:p>
    <w:p w14:paraId="6B35893C" w14:textId="304CA5C2" w:rsidR="00700373" w:rsidRDefault="00700373" w:rsidP="00700373">
      <w:pPr>
        <w:pStyle w:val="Heading3un-numbered"/>
      </w:pPr>
      <w:r w:rsidRPr="00700373">
        <w:t>Appropriateness</w:t>
      </w:r>
    </w:p>
    <w:p w14:paraId="675B0552" w14:textId="1D36F914" w:rsidR="00681056" w:rsidRPr="002E6435" w:rsidRDefault="00880DC4" w:rsidP="00700373">
      <w:pPr>
        <w:pStyle w:val="Boxtype"/>
      </w:pPr>
      <w:r>
        <w:rPr>
          <w:noProof/>
        </w:rPr>
        <w:drawing>
          <wp:anchor distT="0" distB="0" distL="114300" distR="114300" simplePos="0" relativeHeight="251660312" behindDoc="0" locked="0" layoutInCell="1" allowOverlap="1" wp14:anchorId="60FE2D6F" wp14:editId="4BA601E2">
            <wp:simplePos x="0" y="0"/>
            <wp:positionH relativeFrom="margin">
              <wp:align>left</wp:align>
            </wp:positionH>
            <wp:positionV relativeFrom="paragraph">
              <wp:posOffset>95250</wp:posOffset>
            </wp:positionV>
            <wp:extent cx="438150" cy="394970"/>
            <wp:effectExtent l="0" t="0" r="0" b="5080"/>
            <wp:wrapSquare wrapText="bothSides"/>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8150" cy="394970"/>
                    </a:xfrm>
                    <a:prstGeom prst="rect">
                      <a:avLst/>
                    </a:prstGeom>
                    <a:noFill/>
                    <a:ln>
                      <a:noFill/>
                    </a:ln>
                  </pic:spPr>
                </pic:pic>
              </a:graphicData>
            </a:graphic>
            <wp14:sizeRelH relativeFrom="page">
              <wp14:pctWidth>0</wp14:pctWidth>
            </wp14:sizeRelH>
            <wp14:sizeRelV relativeFrom="page">
              <wp14:pctHeight>0</wp14:pctHeight>
            </wp14:sizeRelV>
          </wp:anchor>
        </w:drawing>
      </w:r>
      <w:r w:rsidR="00681056" w:rsidRPr="002E6435">
        <w:t>The review explored the</w:t>
      </w:r>
      <w:r w:rsidR="000A5DA8" w:rsidRPr="002E6435">
        <w:t xml:space="preserve"> appropriateness of different aspects of the clinical pathway, </w:t>
      </w:r>
      <w:r w:rsidR="0031677E" w:rsidRPr="002E6435">
        <w:t xml:space="preserve">including </w:t>
      </w:r>
      <w:r w:rsidR="000A5DA8" w:rsidRPr="002E6435">
        <w:t>invitation and participation</w:t>
      </w:r>
      <w:r w:rsidR="0031677E" w:rsidRPr="002E6435">
        <w:t xml:space="preserve">, </w:t>
      </w:r>
      <w:r w:rsidR="000A5DA8" w:rsidRPr="002E6435">
        <w:t>follow</w:t>
      </w:r>
      <w:r w:rsidR="0031677E" w:rsidRPr="002E6435">
        <w:t>-</w:t>
      </w:r>
      <w:r w:rsidR="000A5DA8" w:rsidRPr="002E6435">
        <w:t>up and referral</w:t>
      </w:r>
      <w:r w:rsidR="0031677E" w:rsidRPr="002E6435">
        <w:t xml:space="preserve">, as well as </w:t>
      </w:r>
      <w:r w:rsidR="000A5DA8" w:rsidRPr="002E6435">
        <w:t>diagnos</w:t>
      </w:r>
      <w:r w:rsidR="001C41D4" w:rsidRPr="002E6435">
        <w:t>tic assessment</w:t>
      </w:r>
      <w:r w:rsidR="000A5DA8" w:rsidRPr="002E6435">
        <w:t>.</w:t>
      </w:r>
    </w:p>
    <w:p w14:paraId="04BC9859" w14:textId="0BA23571" w:rsidR="000B5DD4" w:rsidRPr="00CC5DBC" w:rsidRDefault="00B145EA" w:rsidP="00634FB1">
      <w:r w:rsidRPr="00CC5DBC">
        <w:t xml:space="preserve">Most facets of the Program broadly align with best practice features of bowel cancer screening </w:t>
      </w:r>
      <w:r w:rsidR="00201E02" w:rsidRPr="00CC5DBC">
        <w:t>programs</w:t>
      </w:r>
      <w:r w:rsidR="00E4530B" w:rsidRPr="00CC5DBC">
        <w:t xml:space="preserve">. </w:t>
      </w:r>
      <w:r w:rsidR="00460EA6" w:rsidRPr="00CC5DBC">
        <w:t>More detailed findi</w:t>
      </w:r>
      <w:r w:rsidR="000B5DD4" w:rsidRPr="00CC5DBC">
        <w:t>ngs</w:t>
      </w:r>
      <w:r w:rsidR="00460EA6" w:rsidRPr="00CC5DBC">
        <w:t xml:space="preserve"> related to the </w:t>
      </w:r>
      <w:r w:rsidR="00046296" w:rsidRPr="00CC5DBC">
        <w:t>appropriateness</w:t>
      </w:r>
      <w:r w:rsidR="000B5DD4" w:rsidRPr="00CC5DBC">
        <w:t xml:space="preserve"> of various aspects of the Progra</w:t>
      </w:r>
      <w:r w:rsidRPr="00CC5DBC">
        <w:t>m are described below.</w:t>
      </w:r>
    </w:p>
    <w:p w14:paraId="787DE550" w14:textId="07BCCEA8" w:rsidR="00E4530B" w:rsidRPr="00CC5DBC" w:rsidRDefault="000B5DD4" w:rsidP="00700373">
      <w:pPr>
        <w:pStyle w:val="Heading4un-numbered"/>
      </w:pPr>
      <w:r w:rsidRPr="00700373">
        <w:t>Invitation</w:t>
      </w:r>
      <w:r w:rsidRPr="00CC5DBC">
        <w:t xml:space="preserve"> and participation</w:t>
      </w:r>
      <w:r w:rsidR="008060BE">
        <w:t xml:space="preserve"> (including </w:t>
      </w:r>
      <w:r w:rsidR="00EE19CC">
        <w:t>kit instructions and the test)</w:t>
      </w:r>
    </w:p>
    <w:p w14:paraId="0F6D3E07" w14:textId="6F4AA792" w:rsidR="00861AC3" w:rsidRPr="00773E77" w:rsidRDefault="00B638B9" w:rsidP="008F1528">
      <w:pPr>
        <w:pStyle w:val="ListBullet"/>
        <w:spacing w:after="170"/>
      </w:pPr>
      <w:r w:rsidRPr="00773E77">
        <w:t xml:space="preserve">The current age bracket </w:t>
      </w:r>
      <w:r w:rsidR="00F64349" w:rsidRPr="00773E77">
        <w:t xml:space="preserve">(50 to 74) </w:t>
      </w:r>
      <w:r w:rsidRPr="00773E77">
        <w:t xml:space="preserve">and screening interval reflects best practice </w:t>
      </w:r>
      <w:r w:rsidR="001545AE" w:rsidRPr="00773E77">
        <w:t xml:space="preserve">at a whole-of-population </w:t>
      </w:r>
      <w:r w:rsidR="0029112D" w:rsidRPr="00773E77">
        <w:t>level</w:t>
      </w:r>
      <w:r w:rsidR="00C62A78">
        <w:t>, based on the</w:t>
      </w:r>
      <w:r w:rsidR="00BB5A7D">
        <w:t xml:space="preserve"> current</w:t>
      </w:r>
      <w:r w:rsidR="00C62A78">
        <w:t xml:space="preserve"> </w:t>
      </w:r>
      <w:r w:rsidR="00BB5A7D">
        <w:t xml:space="preserve">Clinical </w:t>
      </w:r>
      <w:r w:rsidR="00C62A78">
        <w:t xml:space="preserve">Guidelines and </w:t>
      </w:r>
      <w:r w:rsidR="007A3526">
        <w:t xml:space="preserve">results from a cost-effectiveness analysis. </w:t>
      </w:r>
      <w:r w:rsidR="00852425">
        <w:rPr>
          <w:i/>
          <w:iCs/>
        </w:rPr>
        <w:t>See</w:t>
      </w:r>
      <w:r w:rsidR="00C41D90">
        <w:rPr>
          <w:i/>
          <w:iCs/>
        </w:rPr>
        <w:t xml:space="preserve"> the</w:t>
      </w:r>
      <w:r w:rsidR="00B97FC3" w:rsidRPr="00B256E4">
        <w:rPr>
          <w:i/>
          <w:iCs/>
        </w:rPr>
        <w:t xml:space="preserve"> ‘</w:t>
      </w:r>
      <w:r w:rsidR="00B97FC3">
        <w:rPr>
          <w:i/>
          <w:iCs/>
        </w:rPr>
        <w:t>Efficiency</w:t>
      </w:r>
      <w:r w:rsidR="00B97FC3">
        <w:t>’</w:t>
      </w:r>
      <w:r w:rsidR="00B97FC3" w:rsidRPr="008F1528">
        <w:rPr>
          <w:i/>
          <w:iCs/>
        </w:rPr>
        <w:t xml:space="preserve"> section below for further detail on </w:t>
      </w:r>
      <w:r w:rsidR="00B97FC3">
        <w:rPr>
          <w:i/>
          <w:iCs/>
        </w:rPr>
        <w:t>the target age bracket</w:t>
      </w:r>
      <w:r w:rsidR="00F761C8">
        <w:rPr>
          <w:i/>
          <w:iCs/>
        </w:rPr>
        <w:t>, and specific opportunities identified for Aboriginal and Torres Strait Islander people.</w:t>
      </w:r>
    </w:p>
    <w:p w14:paraId="41167716" w14:textId="6B4E55AC" w:rsidR="00B1046F" w:rsidRDefault="00861AC3" w:rsidP="00B1046F">
      <w:pPr>
        <w:pStyle w:val="ListBullet"/>
        <w:numPr>
          <w:ilvl w:val="0"/>
          <w:numId w:val="67"/>
        </w:numPr>
        <w:spacing w:after="170"/>
      </w:pPr>
      <w:r w:rsidRPr="00773E77">
        <w:t>A trial of a National Alternative Pathway to the NBCSP (Alternative Pathway) to increase participation among Aboriginal and Torres Strait Islander people demonstrated efficacy and appropriateness. The pilot achieved a participation rate of 40 per cent (</w:t>
      </w:r>
      <w:proofErr w:type="gramStart"/>
      <w:r w:rsidRPr="00773E77">
        <w:t>similar to</w:t>
      </w:r>
      <w:proofErr w:type="gramEnd"/>
      <w:r w:rsidRPr="00773E77">
        <w:t xml:space="preserve"> the overall Program participation rate), compared to 23 per cent in the traditional screening pathway.</w:t>
      </w:r>
    </w:p>
    <w:p w14:paraId="4FF25272" w14:textId="741FFBE7" w:rsidR="00B1046F" w:rsidRPr="00BC3A3B" w:rsidRDefault="00702D2D" w:rsidP="00B1046F">
      <w:pPr>
        <w:pStyle w:val="ListBullet"/>
        <w:numPr>
          <w:ilvl w:val="0"/>
          <w:numId w:val="67"/>
        </w:numPr>
        <w:spacing w:after="170"/>
      </w:pPr>
      <w:r w:rsidRPr="00773E77">
        <w:t xml:space="preserve">The </w:t>
      </w:r>
      <w:r w:rsidR="009E414C" w:rsidRPr="00773E77">
        <w:t xml:space="preserve">current mail-out approach </w:t>
      </w:r>
      <w:r w:rsidR="00390A8B" w:rsidRPr="00773E77">
        <w:t>with a pre-invitation letter</w:t>
      </w:r>
      <w:r w:rsidR="00276E78" w:rsidRPr="00773E77">
        <w:t xml:space="preserve"> </w:t>
      </w:r>
      <w:r w:rsidR="00C93C18" w:rsidRPr="00773E77">
        <w:t>is</w:t>
      </w:r>
      <w:r w:rsidR="00276E78" w:rsidRPr="00773E77">
        <w:t xml:space="preserve"> broadly appropriate</w:t>
      </w:r>
      <w:r w:rsidR="00AC01E1" w:rsidRPr="00773E77">
        <w:t xml:space="preserve">, however the </w:t>
      </w:r>
      <w:r w:rsidR="00AD2375" w:rsidRPr="00773E77">
        <w:t>consumer</w:t>
      </w:r>
      <w:r w:rsidR="00835771" w:rsidRPr="00773E77">
        <w:t xml:space="preserve"> survey</w:t>
      </w:r>
      <w:r w:rsidR="00AD2375" w:rsidRPr="00773E77">
        <w:t xml:space="preserve"> found that </w:t>
      </w:r>
      <w:r w:rsidR="00AC01E1" w:rsidRPr="00773E77">
        <w:t>approximately</w:t>
      </w:r>
      <w:r w:rsidR="00AD2375" w:rsidRPr="00773E77">
        <w:t xml:space="preserve"> 9 per cent of </w:t>
      </w:r>
      <w:r w:rsidR="00AC01E1" w:rsidRPr="00773E77">
        <w:t>invitees</w:t>
      </w:r>
      <w:r w:rsidR="00AD2375" w:rsidRPr="00773E77">
        <w:t xml:space="preserve"> </w:t>
      </w:r>
      <w:r w:rsidR="00AC01E1" w:rsidRPr="00773E77">
        <w:t>had not received a kit in the past two years</w:t>
      </w:r>
      <w:r w:rsidR="00AC01E1">
        <w:t>.</w:t>
      </w:r>
      <w:r w:rsidR="00925273">
        <w:t xml:space="preserve"> </w:t>
      </w:r>
      <w:r w:rsidR="00602060" w:rsidRPr="00B1046F">
        <w:rPr>
          <w:color w:val="000000" w:themeColor="text1"/>
        </w:rPr>
        <w:t>A HPP linked to the NCSR was implemented in October 2020.</w:t>
      </w:r>
      <w:r w:rsidR="005D5C7B" w:rsidRPr="00B1046F">
        <w:rPr>
          <w:color w:val="000000" w:themeColor="text1"/>
        </w:rPr>
        <w:t xml:space="preserve"> The portal allows healthcare practitioners to access and submit screening data electronically. </w:t>
      </w:r>
      <w:r w:rsidR="00C50A6C" w:rsidRPr="000E6585">
        <w:t xml:space="preserve">Use of the </w:t>
      </w:r>
      <w:r w:rsidR="001E194C">
        <w:t>HPP</w:t>
      </w:r>
      <w:r w:rsidR="00C50A6C" w:rsidRPr="000E6585">
        <w:t xml:space="preserve"> to ensure participant addresses are correct may help to overcome this issue.</w:t>
      </w:r>
    </w:p>
    <w:p w14:paraId="68CFCFCA" w14:textId="4FA20FC7" w:rsidR="00283ACF" w:rsidRDefault="00283ACF" w:rsidP="004C2B18">
      <w:pPr>
        <w:pStyle w:val="ListBullet"/>
      </w:pPr>
      <w:r>
        <w:t xml:space="preserve">The Hot Zone policy is appropriately designed to comply with the </w:t>
      </w:r>
      <w:proofErr w:type="spellStart"/>
      <w:r>
        <w:t>iFOBT</w:t>
      </w:r>
      <w:proofErr w:type="spellEnd"/>
      <w:r>
        <w:t xml:space="preserve"> kit storage requirements</w:t>
      </w:r>
      <w:r w:rsidRPr="000E6585">
        <w:t xml:space="preserve">. </w:t>
      </w:r>
      <w:r w:rsidR="00DA0CB3">
        <w:t xml:space="preserve">However, it will be important for the </w:t>
      </w:r>
      <w:r w:rsidRPr="000E6585">
        <w:t xml:space="preserve">Program </w:t>
      </w:r>
      <w:r w:rsidR="00DA0CB3">
        <w:t>to</w:t>
      </w:r>
      <w:r w:rsidRPr="000E6585">
        <w:t xml:space="preserve"> continue to monitor positivity results from postcodes affected by the policy to determine whether further amendments to the policy are required.</w:t>
      </w:r>
    </w:p>
    <w:p w14:paraId="33CB761A" w14:textId="433DB42B" w:rsidR="00104634" w:rsidRPr="004C2B18" w:rsidRDefault="00912151" w:rsidP="004C2B18">
      <w:pPr>
        <w:pStyle w:val="ListBullet"/>
      </w:pPr>
      <w:r w:rsidRPr="00283ACF">
        <w:t>The revised kit instructions in 2018 were associated with an improved rate of valid kit returns</w:t>
      </w:r>
      <w:r w:rsidR="00D5040F" w:rsidRPr="00283ACF">
        <w:t>.</w:t>
      </w:r>
      <w:r w:rsidRPr="00283ACF">
        <w:t xml:space="preserve"> </w:t>
      </w:r>
      <w:r w:rsidR="004A7A5C">
        <w:t>H</w:t>
      </w:r>
      <w:r w:rsidR="004A7A5C" w:rsidRPr="000F06D0">
        <w:t>owever</w:t>
      </w:r>
      <w:r w:rsidR="005A58FA">
        <w:t>,</w:t>
      </w:r>
      <w:r w:rsidR="004A7A5C" w:rsidRPr="000F06D0">
        <w:t xml:space="preserve"> there is scope to consider how kit messaging could be better tailored to overcome common behavioural and attitudinal barriers to participation</w:t>
      </w:r>
      <w:r w:rsidR="002A30C1" w:rsidRPr="000F06D0">
        <w:rPr>
          <w:i/>
          <w:iCs/>
        </w:rPr>
        <w:t>.</w:t>
      </w:r>
      <w:r w:rsidR="004A7A5C" w:rsidRPr="000F06D0">
        <w:rPr>
          <w:i/>
          <w:iCs/>
        </w:rPr>
        <w:t xml:space="preserve"> </w:t>
      </w:r>
      <w:r w:rsidR="00C41D90">
        <w:rPr>
          <w:i/>
          <w:iCs/>
        </w:rPr>
        <w:lastRenderedPageBreak/>
        <w:t>See</w:t>
      </w:r>
      <w:r w:rsidR="004A7A5C" w:rsidRPr="000F06D0">
        <w:rPr>
          <w:i/>
          <w:iCs/>
        </w:rPr>
        <w:t xml:space="preserve"> the </w:t>
      </w:r>
      <w:r w:rsidR="004A7A5C" w:rsidRPr="004C2B18">
        <w:t>‘</w:t>
      </w:r>
      <w:hyperlink w:anchor="_Awareness_and_adoption" w:history="1">
        <w:r w:rsidR="004A7A5C" w:rsidRPr="004C2B18">
          <w:rPr>
            <w:rStyle w:val="Hyperlink"/>
          </w:rPr>
          <w:t>Awareness and Adoption</w:t>
        </w:r>
      </w:hyperlink>
      <w:r w:rsidR="004A7A5C" w:rsidRPr="004C2B18">
        <w:t>’ section below for further detail</w:t>
      </w:r>
      <w:r w:rsidR="007564A3" w:rsidRPr="004C2B18">
        <w:t xml:space="preserve"> opportunities</w:t>
      </w:r>
      <w:r w:rsidR="00E81C49" w:rsidRPr="004C2B18">
        <w:t xml:space="preserve"> identified to enhance kit messaging</w:t>
      </w:r>
      <w:r w:rsidR="006C53D2" w:rsidRPr="004C2B18">
        <w:t>.</w:t>
      </w:r>
    </w:p>
    <w:p w14:paraId="29657295" w14:textId="32DC25DD" w:rsidR="00F34DD9" w:rsidRDefault="008B5779" w:rsidP="004C2B18">
      <w:pPr>
        <w:pStyle w:val="ListBullet"/>
      </w:pPr>
      <w:r>
        <w:t xml:space="preserve">The diagnostic value of Australia’s test is considered by stakeholders to be a major strength of the Program. The </w:t>
      </w:r>
      <w:proofErr w:type="spellStart"/>
      <w:r>
        <w:t>iFOBT</w:t>
      </w:r>
      <w:proofErr w:type="spellEnd"/>
      <w:r>
        <w:t xml:space="preserve"> is considered the most accurate and easy-to-use at-home test available, and the </w:t>
      </w:r>
      <w:r w:rsidR="008F1528">
        <w:t xml:space="preserve">diagnostic accuracy </w:t>
      </w:r>
      <w:r>
        <w:t xml:space="preserve">of Australia’s two-sample test is higher than </w:t>
      </w:r>
      <w:r w:rsidR="008F1528">
        <w:t xml:space="preserve">the tests used </w:t>
      </w:r>
      <w:r>
        <w:t xml:space="preserve">in </w:t>
      </w:r>
      <w:r w:rsidR="00F63B34">
        <w:t xml:space="preserve">many </w:t>
      </w:r>
      <w:r w:rsidR="00BA1C65">
        <w:t xml:space="preserve">comparable programs </w:t>
      </w:r>
      <w:r>
        <w:t>overseas</w:t>
      </w:r>
      <w:r w:rsidR="00F63B34">
        <w:t>. This</w:t>
      </w:r>
      <w:r>
        <w:t xml:space="preserve"> result</w:t>
      </w:r>
      <w:r w:rsidR="00F63B34">
        <w:t>s</w:t>
      </w:r>
      <w:r>
        <w:t xml:space="preserve"> in enhanced detection of lesions </w:t>
      </w:r>
      <w:r w:rsidR="00830B3D">
        <w:t xml:space="preserve">(due to higher sensitivity) </w:t>
      </w:r>
      <w:r>
        <w:t>and reduced colonoscopy workload</w:t>
      </w:r>
      <w:r w:rsidR="00830B3D">
        <w:t xml:space="preserve"> (due to higher specificity)</w:t>
      </w:r>
      <w:r>
        <w:t>.</w:t>
      </w:r>
    </w:p>
    <w:p w14:paraId="769A6E58" w14:textId="181AD472" w:rsidR="00EE19CC" w:rsidRDefault="00EE19CC" w:rsidP="004C2B18">
      <w:pPr>
        <w:pStyle w:val="ListBullet"/>
      </w:pPr>
      <w:r>
        <w:t xml:space="preserve">New and emerging research in </w:t>
      </w:r>
      <w:r w:rsidRPr="004C2B18">
        <w:t>overseas</w:t>
      </w:r>
      <w:r>
        <w:t xml:space="preserve"> literature shows </w:t>
      </w:r>
      <w:r w:rsidRPr="008226F2">
        <w:t>that interval cancers (</w:t>
      </w:r>
      <w:proofErr w:type="gramStart"/>
      <w:r w:rsidRPr="008226F2">
        <w:t>i.e.</w:t>
      </w:r>
      <w:proofErr w:type="gramEnd"/>
      <w:r w:rsidRPr="008226F2">
        <w:t xml:space="preserve"> missed cancers) predominantly occur in people with a high-negative </w:t>
      </w:r>
      <w:proofErr w:type="spellStart"/>
      <w:r w:rsidRPr="008226F2">
        <w:t>iFOBT</w:t>
      </w:r>
      <w:proofErr w:type="spellEnd"/>
      <w:r w:rsidRPr="008226F2">
        <w:t xml:space="preserve"> result.</w:t>
      </w:r>
      <w:r w:rsidRPr="00621931">
        <w:rPr>
          <w:vertAlign w:val="superscript"/>
        </w:rPr>
        <w:endnoteReference w:id="3"/>
      </w:r>
      <w:r w:rsidRPr="007D2D28">
        <w:rPr>
          <w:vertAlign w:val="superscript"/>
        </w:rPr>
        <w:t>,</w:t>
      </w:r>
      <w:r w:rsidRPr="00621931">
        <w:rPr>
          <w:vertAlign w:val="superscript"/>
        </w:rPr>
        <w:endnoteReference w:id="4"/>
      </w:r>
      <w:r w:rsidRPr="007D2D28">
        <w:rPr>
          <w:vertAlign w:val="superscript"/>
        </w:rPr>
        <w:t xml:space="preserve"> </w:t>
      </w:r>
      <w:r w:rsidRPr="008226F2">
        <w:t xml:space="preserve"> This suggests that </w:t>
      </w:r>
      <w:proofErr w:type="spellStart"/>
      <w:r w:rsidRPr="008226F2">
        <w:t>iFOBT</w:t>
      </w:r>
      <w:proofErr w:type="spellEnd"/>
      <w:r w:rsidRPr="008226F2">
        <w:t xml:space="preserve"> results, which are habitually reported in a dichotomised manner (i.e. below or </w:t>
      </w:r>
      <w:r w:rsidRPr="004C2B18">
        <w:t>above</w:t>
      </w:r>
      <w:r w:rsidRPr="008226F2">
        <w:t xml:space="preserve"> a pre-specified threshold), could be used in a more nuanced way</w:t>
      </w:r>
      <w:r>
        <w:t xml:space="preserve"> to improve Program outcomes</w:t>
      </w:r>
      <w:r w:rsidRPr="008226F2">
        <w:t>.</w:t>
      </w:r>
      <w:r>
        <w:t xml:space="preserve"> Pathologists consulted agreed that </w:t>
      </w:r>
      <w:r w:rsidR="00431780">
        <w:t xml:space="preserve">validation of this </w:t>
      </w:r>
      <w:r>
        <w:t>research</w:t>
      </w:r>
      <w:r w:rsidR="00431780">
        <w:t xml:space="preserve"> in local settings</w:t>
      </w:r>
      <w:r>
        <w:t xml:space="preserve"> should be a priority for the Program and would further support Australia’s eminence in bowel cancer screening.</w:t>
      </w:r>
    </w:p>
    <w:p w14:paraId="4567A0E3" w14:textId="3BFFAC8D" w:rsidR="00FF4CB1" w:rsidRPr="00700373" w:rsidRDefault="00E272BA" w:rsidP="00700373">
      <w:pPr>
        <w:pStyle w:val="Heading4un-numbered"/>
      </w:pPr>
      <w:r w:rsidRPr="00700373">
        <w:t>Follow-up</w:t>
      </w:r>
      <w:r w:rsidR="001639ED" w:rsidRPr="00700373">
        <w:t>,</w:t>
      </w:r>
      <w:r w:rsidR="00B145EA" w:rsidRPr="00700373">
        <w:t xml:space="preserve"> referral</w:t>
      </w:r>
      <w:r w:rsidR="00986B1B" w:rsidRPr="00700373">
        <w:t xml:space="preserve"> </w:t>
      </w:r>
      <w:r w:rsidR="001639ED" w:rsidRPr="00700373">
        <w:t xml:space="preserve">and diagnostic assessment </w:t>
      </w:r>
      <w:r w:rsidR="00986B1B" w:rsidRPr="00700373">
        <w:t>(part of usual care model)</w:t>
      </w:r>
    </w:p>
    <w:p w14:paraId="226EBFCC" w14:textId="584C5767" w:rsidR="00B70E76" w:rsidRPr="004C2B18" w:rsidRDefault="00FF4CB1" w:rsidP="004C2B18">
      <w:pPr>
        <w:pStyle w:val="ListBullet"/>
      </w:pPr>
      <w:r w:rsidRPr="00BE365A">
        <w:t xml:space="preserve">The </w:t>
      </w:r>
      <w:r w:rsidR="005B5B79">
        <w:t>diagnostic</w:t>
      </w:r>
      <w:r w:rsidR="005B5B79" w:rsidRPr="00BE365A">
        <w:t xml:space="preserve"> </w:t>
      </w:r>
      <w:r w:rsidRPr="00BE365A">
        <w:t>assessment rate (66 per cent</w:t>
      </w:r>
      <w:r w:rsidR="00D51130">
        <w:rPr>
          <w:rStyle w:val="FootnoteReference"/>
          <w:color w:val="000000" w:themeColor="text1"/>
        </w:rPr>
        <w:footnoteReference w:id="3"/>
      </w:r>
      <w:r w:rsidRPr="00BE365A">
        <w:t>) is low</w:t>
      </w:r>
      <w:r w:rsidR="00487D2B">
        <w:t xml:space="preserve"> relative to </w:t>
      </w:r>
      <w:r w:rsidRPr="00BE365A">
        <w:t xml:space="preserve">international programs which use </w:t>
      </w:r>
      <w:proofErr w:type="spellStart"/>
      <w:r w:rsidRPr="00BE365A">
        <w:t>iFOBT</w:t>
      </w:r>
      <w:proofErr w:type="spellEnd"/>
      <w:r w:rsidRPr="00BE365A">
        <w:t xml:space="preserve"> kits via a mail-out method</w:t>
      </w:r>
      <w:r w:rsidR="00CB2679">
        <w:t>.</w:t>
      </w:r>
      <w:r w:rsidR="004215D4">
        <w:t xml:space="preserve"> </w:t>
      </w:r>
      <w:r w:rsidR="006D416C">
        <w:t xml:space="preserve">There are </w:t>
      </w:r>
      <w:r w:rsidR="00164C5C">
        <w:t>several</w:t>
      </w:r>
      <w:r w:rsidR="006D416C">
        <w:t xml:space="preserve"> contributing factors </w:t>
      </w:r>
      <w:r w:rsidR="00C65A3C">
        <w:t>to this</w:t>
      </w:r>
      <w:r w:rsidR="00C73B95">
        <w:t xml:space="preserve"> reported rate</w:t>
      </w:r>
      <w:r w:rsidR="006D416C">
        <w:t xml:space="preserve">. Firstly, </w:t>
      </w:r>
      <w:r w:rsidR="00C73B95">
        <w:t>t</w:t>
      </w:r>
      <w:r w:rsidR="000956CB">
        <w:t xml:space="preserve">his rate is underreported as </w:t>
      </w:r>
      <w:r w:rsidR="00C73B95">
        <w:t>there is n</w:t>
      </w:r>
      <w:r w:rsidR="00C2730F">
        <w:t xml:space="preserve">o reporting obligation for colonoscopy providers to provide information to the </w:t>
      </w:r>
      <w:r w:rsidR="00C225FF">
        <w:t xml:space="preserve">NCSR </w:t>
      </w:r>
      <w:r w:rsidR="00706907">
        <w:t>about Program participants</w:t>
      </w:r>
      <w:r w:rsidR="00000CF2">
        <w:t>.</w:t>
      </w:r>
      <w:r w:rsidR="005D5E98">
        <w:t xml:space="preserve"> </w:t>
      </w:r>
      <w:r w:rsidR="008B2D2F">
        <w:t>Secondly, it is</w:t>
      </w:r>
      <w:r w:rsidR="008133E5">
        <w:t xml:space="preserve"> recognised that p</w:t>
      </w:r>
      <w:r w:rsidR="00523E46">
        <w:t xml:space="preserve">articipants may </w:t>
      </w:r>
      <w:r w:rsidR="004C2A42">
        <w:t xml:space="preserve">not proceed to a colonoscopy </w:t>
      </w:r>
      <w:r w:rsidR="00967CA8">
        <w:t xml:space="preserve">for clinical </w:t>
      </w:r>
      <w:r w:rsidR="00967CA8" w:rsidRPr="004C2B18">
        <w:t>reasons</w:t>
      </w:r>
      <w:r w:rsidR="008133E5" w:rsidRPr="004C2B18">
        <w:t>,</w:t>
      </w:r>
      <w:r w:rsidR="00967CA8" w:rsidRPr="004C2B18">
        <w:t xml:space="preserve"> as determined by a GP or specialist.</w:t>
      </w:r>
    </w:p>
    <w:p w14:paraId="4A07B9E4" w14:textId="755D7A20" w:rsidR="003516FB" w:rsidRDefault="00125722" w:rsidP="004C2B18">
      <w:pPr>
        <w:pStyle w:val="ListBullet"/>
      </w:pPr>
      <w:r w:rsidRPr="004C2B18">
        <w:t>Challenges with t</w:t>
      </w:r>
      <w:r w:rsidR="004B2459" w:rsidRPr="004C2B18">
        <w:t xml:space="preserve">imely access to </w:t>
      </w:r>
      <w:r w:rsidR="009F5CC7" w:rsidRPr="004C2B18">
        <w:t xml:space="preserve">a </w:t>
      </w:r>
      <w:r w:rsidR="00D923B6" w:rsidRPr="004C2B18">
        <w:t>publicly</w:t>
      </w:r>
      <w:r w:rsidR="00DC371E">
        <w:t xml:space="preserve"> </w:t>
      </w:r>
      <w:r w:rsidR="00273FB7">
        <w:t xml:space="preserve">delivered </w:t>
      </w:r>
      <w:r w:rsidR="007D2EF7">
        <w:t>colonoscop</w:t>
      </w:r>
      <w:r w:rsidR="009F5CC7">
        <w:t>y</w:t>
      </w:r>
      <w:r w:rsidR="007D2EF7">
        <w:t xml:space="preserve"> </w:t>
      </w:r>
      <w:r w:rsidR="004B2459">
        <w:t xml:space="preserve">for Program participants </w:t>
      </w:r>
      <w:r w:rsidR="002E4000">
        <w:t xml:space="preserve">have </w:t>
      </w:r>
      <w:r w:rsidR="004B2459">
        <w:t xml:space="preserve">persisted for </w:t>
      </w:r>
      <w:r w:rsidR="00D04CD3">
        <w:t>several</w:t>
      </w:r>
      <w:r w:rsidR="004B2459">
        <w:t xml:space="preserve"> years. </w:t>
      </w:r>
      <w:r w:rsidR="003516FB">
        <w:t xml:space="preserve">The median time to </w:t>
      </w:r>
      <w:r w:rsidR="00CE3258">
        <w:t>diagnostic</w:t>
      </w:r>
      <w:r w:rsidR="003516FB">
        <w:t xml:space="preserve"> assessment i</w:t>
      </w:r>
      <w:r w:rsidR="004B2459">
        <w:t>n 2018 was</w:t>
      </w:r>
      <w:r w:rsidR="003516FB">
        <w:t xml:space="preserve"> </w:t>
      </w:r>
      <w:r w:rsidR="004B2459">
        <w:t>higher</w:t>
      </w:r>
      <w:r w:rsidR="003516FB">
        <w:t xml:space="preserve"> than the </w:t>
      </w:r>
      <w:r w:rsidR="00CE3258">
        <w:t>benchmark in the NBCSP Quality Framework (51 days</w:t>
      </w:r>
      <w:r w:rsidR="00817535">
        <w:rPr>
          <w:rStyle w:val="FootnoteReference"/>
          <w:color w:val="000000" w:themeColor="text1"/>
        </w:rPr>
        <w:footnoteReference w:id="4"/>
      </w:r>
      <w:r w:rsidR="00CE3258">
        <w:t xml:space="preserve"> and 44 days, respectively)</w:t>
      </w:r>
      <w:r w:rsidR="00AB31E9">
        <w:t xml:space="preserve">, and </w:t>
      </w:r>
      <w:r w:rsidR="00A814C9">
        <w:t>notably</w:t>
      </w:r>
      <w:r w:rsidR="000C5610">
        <w:t xml:space="preserve"> worse for </w:t>
      </w:r>
      <w:r w:rsidR="00392379">
        <w:t>participant</w:t>
      </w:r>
      <w:r w:rsidR="003E6D36">
        <w:t>s</w:t>
      </w:r>
      <w:r w:rsidR="000C5610">
        <w:t xml:space="preserve"> treated</w:t>
      </w:r>
      <w:r w:rsidR="003E6D36">
        <w:t xml:space="preserve"> </w:t>
      </w:r>
      <w:r w:rsidR="000C5610">
        <w:t>in the public system (7</w:t>
      </w:r>
      <w:r w:rsidR="00392379">
        <w:t>7 days</w:t>
      </w:r>
      <w:r w:rsidR="00755E6D">
        <w:rPr>
          <w:rStyle w:val="FootnoteReference"/>
          <w:color w:val="000000" w:themeColor="text1"/>
        </w:rPr>
        <w:footnoteReference w:id="5"/>
      </w:r>
      <w:r w:rsidR="00392379">
        <w:t>).</w:t>
      </w:r>
      <w:r w:rsidR="0068210C">
        <w:t xml:space="preserve"> </w:t>
      </w:r>
      <w:r w:rsidR="001767C1">
        <w:t xml:space="preserve">As of 2016, </w:t>
      </w:r>
      <w:r w:rsidR="002C65C6">
        <w:t xml:space="preserve">58 </w:t>
      </w:r>
      <w:r w:rsidR="00C917F6">
        <w:t xml:space="preserve">per </w:t>
      </w:r>
      <w:r w:rsidR="00BE2F6C">
        <w:t xml:space="preserve">cent </w:t>
      </w:r>
      <w:r w:rsidR="00530216">
        <w:t xml:space="preserve">of gastroenterologists and hepatologists </w:t>
      </w:r>
      <w:r w:rsidR="009E0C25">
        <w:t>practised</w:t>
      </w:r>
      <w:r w:rsidR="003345B8">
        <w:t xml:space="preserve"> in </w:t>
      </w:r>
      <w:r w:rsidR="003345B8" w:rsidRPr="00386934">
        <w:t>the</w:t>
      </w:r>
      <w:r w:rsidR="003345B8">
        <w:t xml:space="preserve"> private sector.</w:t>
      </w:r>
      <w:r w:rsidR="003345B8">
        <w:rPr>
          <w:rStyle w:val="FootnoteReference"/>
          <w:color w:val="000000" w:themeColor="text1"/>
        </w:rPr>
        <w:footnoteReference w:id="6"/>
      </w:r>
      <w:r w:rsidR="00D841CE">
        <w:t xml:space="preserve"> </w:t>
      </w:r>
      <w:r w:rsidR="002C6E11">
        <w:t xml:space="preserve">Consequently, the availability of </w:t>
      </w:r>
      <w:r w:rsidR="000B5C0C">
        <w:t xml:space="preserve">publicly </w:t>
      </w:r>
      <w:r w:rsidR="00255DAB">
        <w:t>delivered</w:t>
      </w:r>
      <w:r w:rsidR="000B5C0C">
        <w:t xml:space="preserve"> </w:t>
      </w:r>
      <w:r w:rsidR="00F20EBA">
        <w:t xml:space="preserve">colonoscopies </w:t>
      </w:r>
      <w:r w:rsidR="00530216">
        <w:t>may</w:t>
      </w:r>
      <w:r w:rsidR="0084452A">
        <w:t xml:space="preserve"> be a downstream consequence </w:t>
      </w:r>
      <w:r w:rsidR="004F5E59">
        <w:t>of these</w:t>
      </w:r>
      <w:r w:rsidR="00DE5FFE">
        <w:t xml:space="preserve"> workforce</w:t>
      </w:r>
      <w:r w:rsidR="004F5E59">
        <w:t xml:space="preserve"> </w:t>
      </w:r>
      <w:r w:rsidR="00DE5FFE">
        <w:t>dynamics</w:t>
      </w:r>
      <w:r w:rsidR="004F5E59">
        <w:t>.</w:t>
      </w:r>
    </w:p>
    <w:p w14:paraId="663E2857" w14:textId="05570A45" w:rsidR="00066CE7" w:rsidRPr="00066CE7" w:rsidRDefault="00CD7789" w:rsidP="004C2B18">
      <w:pPr>
        <w:pStyle w:val="ListBullet"/>
      </w:pPr>
      <w:r>
        <w:t>A r</w:t>
      </w:r>
      <w:r w:rsidR="0039558A" w:rsidDel="00677C8E">
        <w:t xml:space="preserve">eview of </w:t>
      </w:r>
      <w:r w:rsidR="00000381" w:rsidDel="00677C8E">
        <w:t>publicly available reports indicate</w:t>
      </w:r>
      <w:r w:rsidR="0026519A">
        <w:t>d</w:t>
      </w:r>
      <w:r w:rsidR="00000381" w:rsidDel="00677C8E">
        <w:t xml:space="preserve"> </w:t>
      </w:r>
      <w:r w:rsidR="0026519A">
        <w:t>that</w:t>
      </w:r>
      <w:r w:rsidR="00612A4F">
        <w:t xml:space="preserve"> a</w:t>
      </w:r>
      <w:r w:rsidR="00E35E82" w:rsidDel="00AF08A8">
        <w:t xml:space="preserve"> </w:t>
      </w:r>
      <w:r w:rsidR="009D36FE" w:rsidDel="00AF08A8">
        <w:t xml:space="preserve">high-volume </w:t>
      </w:r>
      <w:r w:rsidR="005E5524" w:rsidRPr="00BE365A" w:rsidDel="00AF08A8">
        <w:t xml:space="preserve">of low-value colonoscopies </w:t>
      </w:r>
      <w:r w:rsidR="009D36FE" w:rsidDel="00AF08A8">
        <w:t xml:space="preserve">occurring for first-line screening outside the Program </w:t>
      </w:r>
      <w:r w:rsidR="005E5524" w:rsidRPr="00BE365A" w:rsidDel="00AF08A8">
        <w:t xml:space="preserve">may </w:t>
      </w:r>
      <w:r w:rsidR="005E5524" w:rsidRPr="004C2B18" w:rsidDel="00AF08A8">
        <w:t>contribute</w:t>
      </w:r>
      <w:r w:rsidR="005E5524" w:rsidRPr="00BE365A" w:rsidDel="00AF08A8">
        <w:t xml:space="preserve"> to </w:t>
      </w:r>
      <w:proofErr w:type="spellStart"/>
      <w:r w:rsidR="00612A4F">
        <w:t>colonosopcy</w:t>
      </w:r>
      <w:proofErr w:type="spellEnd"/>
      <w:r w:rsidR="00612A4F">
        <w:t xml:space="preserve"> </w:t>
      </w:r>
      <w:r w:rsidR="005E5524" w:rsidRPr="00BE365A" w:rsidDel="00AF08A8">
        <w:t>capacity constraints</w:t>
      </w:r>
      <w:r w:rsidR="005E5524" w:rsidRPr="00BE365A" w:rsidDel="00677C8E">
        <w:t xml:space="preserve">. </w:t>
      </w:r>
      <w:r w:rsidR="00296097">
        <w:t>This was supported by insights gleaned from consultations.</w:t>
      </w:r>
    </w:p>
    <w:p w14:paraId="443799FF" w14:textId="47847BE1" w:rsidR="00EE5441" w:rsidRDefault="00591037" w:rsidP="00E86B10">
      <w:pPr>
        <w:pStyle w:val="ListBullet"/>
        <w:numPr>
          <w:ilvl w:val="0"/>
          <w:numId w:val="0"/>
        </w:numPr>
        <w:spacing w:after="170"/>
        <w:ind w:left="340"/>
        <w:rPr>
          <w:color w:val="000000" w:themeColor="text1"/>
        </w:rPr>
      </w:pPr>
      <w:r>
        <w:rPr>
          <w:color w:val="000000" w:themeColor="text1"/>
        </w:rPr>
        <w:t>It is worth noting that i</w:t>
      </w:r>
      <w:r w:rsidR="00C334D8">
        <w:rPr>
          <w:color w:val="000000" w:themeColor="text1"/>
        </w:rPr>
        <w:t>n 2019, the Medicare Benefits Schedule (MBS) Taskforce made multiple changes to the MBS item codes relating to colonoscopy.</w:t>
      </w:r>
      <w:r w:rsidR="00C334D8" w:rsidRPr="00EE5441">
        <w:footnoteReference w:id="7"/>
      </w:r>
      <w:r w:rsidR="00C334D8">
        <w:rPr>
          <w:color w:val="000000" w:themeColor="text1"/>
        </w:rPr>
        <w:t xml:space="preserve"> These changes were designed to reflect the latest evidence-base and reduce the number of </w:t>
      </w:r>
      <w:r>
        <w:rPr>
          <w:color w:val="000000" w:themeColor="text1"/>
        </w:rPr>
        <w:t xml:space="preserve">low-value </w:t>
      </w:r>
      <w:r w:rsidR="00C334D8">
        <w:rPr>
          <w:color w:val="000000" w:themeColor="text1"/>
        </w:rPr>
        <w:t xml:space="preserve">colonoscopies. The impact of this measure </w:t>
      </w:r>
      <w:r>
        <w:rPr>
          <w:color w:val="000000" w:themeColor="text1"/>
        </w:rPr>
        <w:t>should be evaluated over time</w:t>
      </w:r>
      <w:r w:rsidR="00955AAE">
        <w:rPr>
          <w:color w:val="000000" w:themeColor="text1"/>
        </w:rPr>
        <w:t>.</w:t>
      </w:r>
    </w:p>
    <w:p w14:paraId="6C24FB43" w14:textId="77627D3B" w:rsidR="00A47C4E" w:rsidRPr="00A47C4E" w:rsidRDefault="00EE5441" w:rsidP="006547A2">
      <w:pPr>
        <w:pStyle w:val="ListBullet"/>
      </w:pPr>
      <w:r w:rsidRPr="00A47C4E">
        <w:lastRenderedPageBreak/>
        <w:t>Stakeholders observed that the Australian Commission on Safety and Quality in Health Care’s (ACSQHC) development and implementation of the Colonoscopy Clinical Care Standard (CCCS) in 2018 was a positive step toward improving the quality of colonoscopies performed in Australia. Another positive change cited that occurred during Phase Four was the establishment of a National Colonoscopy Recertification Program, governed by the Gastroenterological Society of Australia (GESA) and supported by the Program.</w:t>
      </w:r>
    </w:p>
    <w:p w14:paraId="0AFEAAC7" w14:textId="5045DE70" w:rsidR="00202E65" w:rsidRDefault="00FD1270" w:rsidP="00700373">
      <w:pPr>
        <w:pStyle w:val="Heading4un-numbered"/>
      </w:pPr>
      <w:r>
        <w:t>Timing for r</w:t>
      </w:r>
      <w:r w:rsidR="008060BE">
        <w:t>eminders</w:t>
      </w:r>
    </w:p>
    <w:p w14:paraId="7288B63A" w14:textId="03D4A102" w:rsidR="0019173E" w:rsidRDefault="0019173E" w:rsidP="003943B3">
      <w:pPr>
        <w:pStyle w:val="ListParagraph"/>
        <w:numPr>
          <w:ilvl w:val="0"/>
          <w:numId w:val="85"/>
        </w:numPr>
        <w:ind w:left="357"/>
        <w:contextualSpacing w:val="0"/>
        <w:rPr>
          <w:color w:val="000000" w:themeColor="text1"/>
        </w:rPr>
      </w:pPr>
      <w:r w:rsidRPr="003943B3">
        <w:rPr>
          <w:color w:val="000000" w:themeColor="text1"/>
        </w:rPr>
        <w:t xml:space="preserve">Shortening the current reminder intervals related to GP follow-up and increasing </w:t>
      </w:r>
      <w:r w:rsidR="00887779" w:rsidRPr="003943B3">
        <w:rPr>
          <w:color w:val="000000" w:themeColor="text1"/>
        </w:rPr>
        <w:t xml:space="preserve">the current reminder intervals related to </w:t>
      </w:r>
      <w:r w:rsidRPr="003943B3">
        <w:rPr>
          <w:color w:val="000000" w:themeColor="text1"/>
        </w:rPr>
        <w:t xml:space="preserve">colonoscopy </w:t>
      </w:r>
      <w:r w:rsidR="00887779" w:rsidRPr="003943B3">
        <w:rPr>
          <w:color w:val="000000" w:themeColor="text1"/>
        </w:rPr>
        <w:t>follow-up</w:t>
      </w:r>
      <w:r w:rsidRPr="003943B3">
        <w:rPr>
          <w:color w:val="000000" w:themeColor="text1"/>
        </w:rPr>
        <w:t xml:space="preserve"> may be appropriate based on any understanding of the key access barriers along the screening pathway</w:t>
      </w:r>
      <w:r w:rsidR="001E775F" w:rsidRPr="003943B3">
        <w:rPr>
          <w:color w:val="000000" w:themeColor="text1"/>
        </w:rPr>
        <w:t xml:space="preserve"> (</w:t>
      </w:r>
      <w:proofErr w:type="gramStart"/>
      <w:r w:rsidR="001E775F" w:rsidRPr="003943B3">
        <w:rPr>
          <w:color w:val="000000" w:themeColor="text1"/>
        </w:rPr>
        <w:t>i.e.</w:t>
      </w:r>
      <w:proofErr w:type="gramEnd"/>
      <w:r w:rsidR="001E775F" w:rsidRPr="003943B3">
        <w:rPr>
          <w:color w:val="000000" w:themeColor="text1"/>
        </w:rPr>
        <w:t xml:space="preserve"> </w:t>
      </w:r>
      <w:r w:rsidR="004D4AD3" w:rsidRPr="003943B3">
        <w:rPr>
          <w:color w:val="000000" w:themeColor="text1"/>
        </w:rPr>
        <w:t xml:space="preserve">relatively short timeframes associated with </w:t>
      </w:r>
      <w:r w:rsidR="007A6A5F">
        <w:rPr>
          <w:color w:val="000000" w:themeColor="text1"/>
        </w:rPr>
        <w:t>accessing</w:t>
      </w:r>
      <w:r w:rsidR="004D4AD3" w:rsidRPr="003943B3">
        <w:rPr>
          <w:color w:val="000000" w:themeColor="text1"/>
        </w:rPr>
        <w:t xml:space="preserve"> GP appointment</w:t>
      </w:r>
      <w:r w:rsidR="007A6A5F">
        <w:rPr>
          <w:color w:val="000000" w:themeColor="text1"/>
        </w:rPr>
        <w:t>s</w:t>
      </w:r>
      <w:r w:rsidR="004D4AD3" w:rsidRPr="003943B3">
        <w:rPr>
          <w:color w:val="000000" w:themeColor="text1"/>
        </w:rPr>
        <w:t>, while colonoscopy waitlists can be several months)</w:t>
      </w:r>
      <w:r w:rsidRPr="003943B3">
        <w:rPr>
          <w:color w:val="000000" w:themeColor="text1"/>
        </w:rPr>
        <w:t xml:space="preserve">. However, it is important that the suitability of any change is tested and validated with </w:t>
      </w:r>
      <w:r w:rsidR="00295B0D" w:rsidRPr="003943B3">
        <w:rPr>
          <w:color w:val="000000" w:themeColor="text1"/>
        </w:rPr>
        <w:t>clinical experts</w:t>
      </w:r>
      <w:r w:rsidRPr="003943B3">
        <w:rPr>
          <w:color w:val="000000" w:themeColor="text1"/>
        </w:rPr>
        <w:t>, given their unique understanding of colonoscopy waitlists and other clinical implications associated with a change of this nature.</w:t>
      </w:r>
    </w:p>
    <w:p w14:paraId="2395FA7F" w14:textId="7BDE6F24" w:rsidR="00A6447D" w:rsidRPr="00FD1270" w:rsidRDefault="00FD1270" w:rsidP="00700373">
      <w:pPr>
        <w:pStyle w:val="Heading4un-numbered"/>
      </w:pPr>
      <w:r>
        <w:t>Participant Follow-Up Function (PFUF)</w:t>
      </w:r>
    </w:p>
    <w:p w14:paraId="18858D44" w14:textId="3FC81F28" w:rsidR="00AB02A3" w:rsidRDefault="00AB02A3" w:rsidP="00AB02A3">
      <w:r>
        <w:t xml:space="preserve">The Program has a Participant Follow-Up Function (PFUF), with a purpose of encouraging participants with a positive </w:t>
      </w:r>
      <w:proofErr w:type="spellStart"/>
      <w:r>
        <w:t>iFOBT</w:t>
      </w:r>
      <w:proofErr w:type="spellEnd"/>
      <w:r>
        <w:t xml:space="preserve"> to progress through the screening pathway. </w:t>
      </w:r>
      <w:r w:rsidRPr="00C26269">
        <w:t xml:space="preserve">Participants are followed up if they have </w:t>
      </w:r>
      <w:r>
        <w:t xml:space="preserve">a positive </w:t>
      </w:r>
      <w:proofErr w:type="spellStart"/>
      <w:r>
        <w:t>iFOBT</w:t>
      </w:r>
      <w:proofErr w:type="spellEnd"/>
      <w:r>
        <w:t xml:space="preserve"> result and </w:t>
      </w:r>
      <w:r w:rsidRPr="00C26269">
        <w:t>no record of GP and/or colonoscopy activity in the</w:t>
      </w:r>
      <w:r>
        <w:t xml:space="preserve"> </w:t>
      </w:r>
      <w:r w:rsidR="00B578BB">
        <w:t>NCSR</w:t>
      </w:r>
      <w:r w:rsidRPr="00C26269">
        <w:t xml:space="preserve"> within set time intervals</w:t>
      </w:r>
      <w:r>
        <w:t>. The efficacy of this function was assessed.</w:t>
      </w:r>
    </w:p>
    <w:p w14:paraId="2358B59F" w14:textId="6706791D" w:rsidR="004F2E0D" w:rsidRDefault="00E27764" w:rsidP="00176535">
      <w:pPr>
        <w:pStyle w:val="ListBullet"/>
        <w:spacing w:after="170"/>
      </w:pPr>
      <w:r>
        <w:t>NCSR records on timing of GP appointments show that the</w:t>
      </w:r>
      <w:r w:rsidRPr="00BD55FB">
        <w:t xml:space="preserve"> number of participants with a GP follow-up date recorded that may have been influenced by the second phone call and/or reminder letter was lo</w:t>
      </w:r>
      <w:r>
        <w:t xml:space="preserve">w. Just over </w:t>
      </w:r>
      <w:r w:rsidR="00190DDD">
        <w:t>one</w:t>
      </w:r>
      <w:r>
        <w:t xml:space="preserve"> per cent of participants had a GP appointment recorded after 26 weeks – the timing of the second reminder. This supports</w:t>
      </w:r>
      <w:r w:rsidRPr="00BD55FB">
        <w:t xml:space="preserve"> the idea that timing intervals for reminders should be reviewed.</w:t>
      </w:r>
    </w:p>
    <w:p w14:paraId="6E84F463" w14:textId="4966FA50" w:rsidR="00176535" w:rsidRDefault="003A5DAC" w:rsidP="002A58B3">
      <w:pPr>
        <w:pStyle w:val="ListBullet"/>
        <w:spacing w:after="170"/>
      </w:pPr>
      <w:r>
        <w:t xml:space="preserve">Overall, </w:t>
      </w:r>
      <w:r w:rsidR="003E1A0E">
        <w:t xml:space="preserve">NCSR records show that </w:t>
      </w:r>
      <w:r>
        <w:t>73 per cent of PFUF interactions were successful. Successful contacts are broadly defined as the officer successfully reaching the intended recipient. Overall, 44 per cent of interactions were targeted to participants, followed by specialists (19 per cent) and healthcare professionals (18 per cent). Healthcare professionals and specialists were more likely to be successfully contacte</w:t>
      </w:r>
      <w:r w:rsidR="00F81FDB">
        <w:t>d</w:t>
      </w:r>
      <w:r>
        <w:t>. Potential explanations include participants being of working age and/or less likely to answer phone calls from unrecognised numbers, whereas health care professionals and specialists have administrative support in their workplace to facilitate successful contact within the business hours that PFUF officers operate.</w:t>
      </w:r>
    </w:p>
    <w:p w14:paraId="47DCF529" w14:textId="7DA07C7D" w:rsidR="00D86B06" w:rsidRDefault="003A5DAC" w:rsidP="003E1A0E">
      <w:pPr>
        <w:pStyle w:val="ListBullet"/>
        <w:numPr>
          <w:ilvl w:val="0"/>
          <w:numId w:val="0"/>
        </w:numPr>
        <w:spacing w:after="170"/>
        <w:ind w:left="340"/>
      </w:pPr>
      <w:r>
        <w:t>Given that nearly half of all PFUF interactions are aimed at participants, methods of communication which increase the likelihood of successful contact with this recipient type may help to improve the efficiency of the follow-up function. As such, consideration could be given to communication modes that do not require simultaneous availability between the PFUF officer and the participant (</w:t>
      </w:r>
      <w:proofErr w:type="gramStart"/>
      <w:r>
        <w:t>e.g.</w:t>
      </w:r>
      <w:proofErr w:type="gramEnd"/>
      <w:r>
        <w:t xml:space="preserve"> text message or email).</w:t>
      </w:r>
    </w:p>
    <w:p w14:paraId="0C043682" w14:textId="0A673DE7" w:rsidR="002A58B3" w:rsidRDefault="002A58B3" w:rsidP="004C2B18">
      <w:pPr>
        <w:pStyle w:val="ListBullet"/>
      </w:pPr>
      <w:r w:rsidRPr="00923E0C">
        <w:t>Data gaps limit the efficiency of the PFUF officer role.</w:t>
      </w:r>
      <w:r>
        <w:t xml:space="preserve"> </w:t>
      </w:r>
      <w:r w:rsidRPr="00C26269">
        <w:t xml:space="preserve">Because clinical practitioner data entry in the </w:t>
      </w:r>
      <w:r w:rsidR="002D4D4E">
        <w:t>NCSR</w:t>
      </w:r>
      <w:r w:rsidRPr="00C26269">
        <w:t xml:space="preserve"> is voluntary</w:t>
      </w:r>
      <w:r>
        <w:t xml:space="preserve"> (beyond the record of a positive </w:t>
      </w:r>
      <w:proofErr w:type="spellStart"/>
      <w:r>
        <w:t>iFOBT</w:t>
      </w:r>
      <w:proofErr w:type="spellEnd"/>
      <w:r>
        <w:t xml:space="preserve"> result)</w:t>
      </w:r>
      <w:r w:rsidRPr="00C26269">
        <w:t>, data is incomplete</w:t>
      </w:r>
      <w:r>
        <w:t xml:space="preserve">. </w:t>
      </w:r>
      <w:r w:rsidRPr="00C26269">
        <w:t>As a result,</w:t>
      </w:r>
      <w:r>
        <w:t xml:space="preserve"> officers </w:t>
      </w:r>
      <w:r w:rsidRPr="00C26269">
        <w:t>may follow up participants who are proceeding through the pathway, but their clinician interactions have not been recorded (</w:t>
      </w:r>
      <w:proofErr w:type="gramStart"/>
      <w:r w:rsidRPr="00C26269">
        <w:t>i.e.</w:t>
      </w:r>
      <w:proofErr w:type="gramEnd"/>
      <w:r w:rsidRPr="00C26269">
        <w:t xml:space="preserve"> making reminder phone calls to participants who have already visited a GP and/or a </w:t>
      </w:r>
      <w:r>
        <w:t>special</w:t>
      </w:r>
      <w:r w:rsidRPr="00C26269">
        <w:t xml:space="preserve">ist). </w:t>
      </w:r>
    </w:p>
    <w:p w14:paraId="5341526E" w14:textId="2E2E964D" w:rsidR="002A58B3" w:rsidRDefault="002A58B3" w:rsidP="00017035">
      <w:pPr>
        <w:pStyle w:val="ListBullet"/>
        <w:numPr>
          <w:ilvl w:val="0"/>
          <w:numId w:val="0"/>
        </w:numPr>
        <w:spacing w:after="170"/>
        <w:ind w:left="340"/>
      </w:pPr>
      <w:r w:rsidRPr="00C26269">
        <w:t xml:space="preserve">The extent to which PFUF officers’ time is spent performing data entry tasks to update the participant’s record is difficult to determine precisely, however </w:t>
      </w:r>
      <w:r>
        <w:t xml:space="preserve">NCSR </w:t>
      </w:r>
      <w:r w:rsidRPr="00C26269">
        <w:t xml:space="preserve">data can be evaluated for a selection of scenarios. For example, from an analysis of the cohort recording a positive </w:t>
      </w:r>
      <w:proofErr w:type="spellStart"/>
      <w:r w:rsidRPr="00C26269">
        <w:t>iFOBT</w:t>
      </w:r>
      <w:proofErr w:type="spellEnd"/>
      <w:r w:rsidRPr="00C26269">
        <w:t xml:space="preserve"> between 1 September 2019 and 29 February 2020, 27 per cent of total</w:t>
      </w:r>
      <w:r w:rsidR="00130C11">
        <w:t xml:space="preserve"> PFUF</w:t>
      </w:r>
      <w:r w:rsidRPr="00C26269">
        <w:t xml:space="preserve"> interactions recorded occurred after the date recorded for the participant’s colonoscopy. </w:t>
      </w:r>
    </w:p>
    <w:p w14:paraId="25BFECB9" w14:textId="3135C0D8" w:rsidR="00A6447D" w:rsidRDefault="00A6447D" w:rsidP="004C2B18">
      <w:pPr>
        <w:pStyle w:val="ListBullet"/>
      </w:pPr>
      <w:r w:rsidRPr="00C26269">
        <w:lastRenderedPageBreak/>
        <w:t xml:space="preserve">Innovative follow-up models implemented in Australian and international contexts </w:t>
      </w:r>
      <w:r>
        <w:t xml:space="preserve">(see Box 2 in the body of the report) </w:t>
      </w:r>
      <w:r w:rsidRPr="00C26269">
        <w:t>have shown that follow-up roles which have an expanded scope of practice (</w:t>
      </w:r>
      <w:proofErr w:type="gramStart"/>
      <w:r w:rsidRPr="00C26269">
        <w:t>e.g.</w:t>
      </w:r>
      <w:proofErr w:type="gramEnd"/>
      <w:r w:rsidRPr="00C26269">
        <w:t xml:space="preserve"> nurse navigators who schedule colonoscopies and triage patients) have the ability to achieve high diagnostic assessment rates, reduce waiting times and increase patient </w:t>
      </w:r>
      <w:r w:rsidRPr="004C2B18">
        <w:t>satisfaction</w:t>
      </w:r>
      <w:r>
        <w:t>.</w:t>
      </w:r>
    </w:p>
    <w:p w14:paraId="2AAD4BEF" w14:textId="08B21A01" w:rsidR="00DB7D1A" w:rsidRDefault="00A6447D" w:rsidP="00176535">
      <w:pPr>
        <w:pStyle w:val="ListParagraph"/>
        <w:ind w:left="357"/>
        <w:contextualSpacing w:val="0"/>
      </w:pPr>
      <w:r>
        <w:t>T</w:t>
      </w:r>
      <w:r w:rsidRPr="00C26269">
        <w:t xml:space="preserve">he PFUF officer’s scope of practice (which is currently limited to </w:t>
      </w:r>
      <w:r w:rsidRPr="00243D0B">
        <w:t xml:space="preserve">encouraging </w:t>
      </w:r>
      <w:r w:rsidRPr="00C26269">
        <w:t>compliance across the entire pathway) may be more effective in improving the rate and timelines of diagnostic assessment if it was expanded to include activities such as scheduling and prioritising colonoscopies; however, this needs to be balanced with the potential additional cost.</w:t>
      </w:r>
    </w:p>
    <w:p w14:paraId="339C5295" w14:textId="5830CEE8" w:rsidR="00700373" w:rsidRPr="00700373" w:rsidRDefault="00700373" w:rsidP="00700373">
      <w:pPr>
        <w:pStyle w:val="Heading4un-numbered"/>
      </w:pPr>
      <w:r w:rsidRPr="00700373">
        <w:t>Opportunities:</w:t>
      </w:r>
    </w:p>
    <w:p w14:paraId="1E5C9E6E" w14:textId="77777777" w:rsidR="00700373" w:rsidRPr="00700373" w:rsidRDefault="00700373" w:rsidP="00700373">
      <w:pPr>
        <w:pStyle w:val="ListBullet3"/>
      </w:pPr>
      <w:r w:rsidRPr="00700373">
        <w:t>Review the appropriateness of timing intervals for GP and colonoscopy reminders with input from clinical experts.</w:t>
      </w:r>
    </w:p>
    <w:p w14:paraId="62369237" w14:textId="77777777" w:rsidR="00700373" w:rsidRPr="00700373" w:rsidRDefault="00700373" w:rsidP="00700373">
      <w:pPr>
        <w:pStyle w:val="ListBullet3"/>
      </w:pPr>
      <w:r w:rsidRPr="00700373">
        <w:t>Consider alternate forms of PFUF communication which do not require simultaneous availability of the PFUF officer and recipient (</w:t>
      </w:r>
      <w:proofErr w:type="gramStart"/>
      <w:r w:rsidRPr="00700373">
        <w:t>e.g.</w:t>
      </w:r>
      <w:proofErr w:type="gramEnd"/>
      <w:r w:rsidRPr="00700373">
        <w:t xml:space="preserve"> email/SMS).</w:t>
      </w:r>
    </w:p>
    <w:p w14:paraId="629437EC" w14:textId="77777777" w:rsidR="00700373" w:rsidRPr="00700373" w:rsidRDefault="00700373" w:rsidP="00700373">
      <w:pPr>
        <w:pStyle w:val="ListBullet3"/>
      </w:pPr>
      <w:r w:rsidRPr="00700373">
        <w:t>Encourage states and territories to pilot innovative colonoscopy access models. It is envisaged these pilot models would involve reshaping aspects of the PFUF officer role to a scope of practice which directly facilitates the process of colonoscopy follow-up. This opportunity would require consultation with the states and territories to create stakeholder buy-in and facilitate integration with local colorectal departments, as well as engagement with GPs as potential referrers.</w:t>
      </w:r>
    </w:p>
    <w:p w14:paraId="6B3240CF" w14:textId="77777777" w:rsidR="00700373" w:rsidRPr="00700373" w:rsidRDefault="00700373" w:rsidP="00700373">
      <w:pPr>
        <w:pStyle w:val="ListBullet3"/>
      </w:pPr>
      <w:r w:rsidRPr="00700373">
        <w:t>Engage with PHNs and professional bodies (</w:t>
      </w:r>
      <w:proofErr w:type="gramStart"/>
      <w:r w:rsidRPr="00700373">
        <w:t>e.g.</w:t>
      </w:r>
      <w:proofErr w:type="gramEnd"/>
      <w:r w:rsidRPr="00700373">
        <w:t xml:space="preserve"> Royal Australian College of General Practitioners and Royal Australian College of Physicians) to promote a comprehensive set of educational materials which describe the NHMRC-approved clinical practice guidelines, the Program’s full alignment with biennial screening recommendations, and recent changes to the MBS item codes for colonoscopy.</w:t>
      </w:r>
    </w:p>
    <w:p w14:paraId="637E72EB" w14:textId="01ED2A82" w:rsidR="00700373" w:rsidRDefault="00700373" w:rsidP="00700373">
      <w:pPr>
        <w:pStyle w:val="ListBullet3"/>
      </w:pPr>
      <w:r w:rsidRPr="00700373">
        <w:t>Continue to support the ACSQHC with its implementation of the CCCS and monitor colonoscopy performance against</w:t>
      </w:r>
      <w:r>
        <w:t xml:space="preserve"> colonoscopy quality standards.</w:t>
      </w:r>
    </w:p>
    <w:p w14:paraId="18D30488" w14:textId="128495BC" w:rsidR="006C57DF" w:rsidRPr="00700373" w:rsidRDefault="00700373" w:rsidP="00700373">
      <w:pPr>
        <w:pStyle w:val="Heading3un-numbered"/>
      </w:pPr>
      <w:r>
        <w:t>Fidelity</w:t>
      </w:r>
    </w:p>
    <w:p w14:paraId="2DF1280B" w14:textId="3229E524" w:rsidR="007F5C75" w:rsidRPr="00700373" w:rsidRDefault="00700373" w:rsidP="00700373">
      <w:pPr>
        <w:pStyle w:val="Boxtype"/>
      </w:pPr>
      <w:r>
        <w:rPr>
          <w:noProof/>
        </w:rPr>
        <w:drawing>
          <wp:anchor distT="0" distB="0" distL="114300" distR="114300" simplePos="0" relativeHeight="251659288" behindDoc="0" locked="0" layoutInCell="1" allowOverlap="1" wp14:anchorId="34A0158F" wp14:editId="77786A67">
            <wp:simplePos x="0" y="0"/>
            <wp:positionH relativeFrom="margin">
              <wp:align>left</wp:align>
            </wp:positionH>
            <wp:positionV relativeFrom="paragraph">
              <wp:posOffset>12065</wp:posOffset>
            </wp:positionV>
            <wp:extent cx="584200" cy="527050"/>
            <wp:effectExtent l="0" t="0" r="6350" b="6350"/>
            <wp:wrapSquare wrapText="bothSides"/>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6881" cy="538057"/>
                    </a:xfrm>
                    <a:prstGeom prst="rect">
                      <a:avLst/>
                    </a:prstGeom>
                    <a:noFill/>
                    <a:ln>
                      <a:noFill/>
                    </a:ln>
                  </pic:spPr>
                </pic:pic>
              </a:graphicData>
            </a:graphic>
            <wp14:sizeRelH relativeFrom="page">
              <wp14:pctWidth>0</wp14:pctWidth>
            </wp14:sizeRelH>
            <wp14:sizeRelV relativeFrom="page">
              <wp14:pctHeight>0</wp14:pctHeight>
            </wp14:sizeRelV>
          </wp:anchor>
        </w:drawing>
      </w:r>
      <w:r w:rsidR="007F5C75" w:rsidRPr="00700373">
        <w:t xml:space="preserve">The review </w:t>
      </w:r>
      <w:r w:rsidR="00916B9F" w:rsidRPr="00700373">
        <w:t>explored t</w:t>
      </w:r>
      <w:r w:rsidR="0001496C" w:rsidRPr="00700373">
        <w:t xml:space="preserve">he extent to which the Program was delivered as intended, </w:t>
      </w:r>
      <w:r w:rsidR="0075303E" w:rsidRPr="00700373">
        <w:t>including</w:t>
      </w:r>
      <w:r w:rsidR="001B7D42" w:rsidRPr="00700373">
        <w:t xml:space="preserve"> </w:t>
      </w:r>
      <w:r w:rsidR="0075303E" w:rsidRPr="00700373">
        <w:t>P</w:t>
      </w:r>
      <w:r w:rsidR="0001496C" w:rsidRPr="00700373">
        <w:t>rogram delivery</w:t>
      </w:r>
      <w:r w:rsidR="0075303E" w:rsidRPr="00700373">
        <w:t xml:space="preserve">, </w:t>
      </w:r>
      <w:r w:rsidR="0001496C" w:rsidRPr="00700373">
        <w:t>data collection</w:t>
      </w:r>
      <w:r w:rsidR="009B5FAC" w:rsidRPr="00700373">
        <w:t xml:space="preserve"> and </w:t>
      </w:r>
      <w:r w:rsidR="0075303E" w:rsidRPr="00700373">
        <w:t xml:space="preserve">reporting, </w:t>
      </w:r>
      <w:r w:rsidR="002221EE" w:rsidRPr="00700373">
        <w:t xml:space="preserve">as well as the efficacy of </w:t>
      </w:r>
      <w:r w:rsidR="0075303E" w:rsidRPr="00700373">
        <w:t>governance structures</w:t>
      </w:r>
      <w:r w:rsidR="00801779" w:rsidRPr="00700373">
        <w:t>.</w:t>
      </w:r>
    </w:p>
    <w:p w14:paraId="2AC1D474" w14:textId="53FFEEAF" w:rsidR="00545446" w:rsidRPr="00545446" w:rsidRDefault="00545446" w:rsidP="00700373">
      <w:pPr>
        <w:pStyle w:val="Heading4un-numbered"/>
      </w:pPr>
      <w:r w:rsidRPr="00545446">
        <w:t>Program delivery</w:t>
      </w:r>
    </w:p>
    <w:p w14:paraId="01ADA9E0" w14:textId="1C72D55E" w:rsidR="00FD7B90" w:rsidRDefault="00A83FD7" w:rsidP="00344DBB">
      <w:pPr>
        <w:rPr>
          <w:color w:val="000000" w:themeColor="text1"/>
        </w:rPr>
      </w:pPr>
      <w:r w:rsidRPr="00A859DD">
        <w:rPr>
          <w:color w:val="000000" w:themeColor="text1"/>
        </w:rPr>
        <w:t xml:space="preserve">Overall, </w:t>
      </w:r>
      <w:r>
        <w:rPr>
          <w:color w:val="000000" w:themeColor="text1"/>
        </w:rPr>
        <w:t>the Program was broadly delivered as intended in Phase Four</w:t>
      </w:r>
      <w:r w:rsidR="00A900AE">
        <w:rPr>
          <w:color w:val="000000" w:themeColor="text1"/>
        </w:rPr>
        <w:t xml:space="preserve">. A key highlight was </w:t>
      </w:r>
      <w:r w:rsidR="001D35D2">
        <w:rPr>
          <w:color w:val="000000" w:themeColor="text1"/>
        </w:rPr>
        <w:t>achieving</w:t>
      </w:r>
      <w:r w:rsidR="00525727">
        <w:rPr>
          <w:color w:val="000000" w:themeColor="text1"/>
        </w:rPr>
        <w:t xml:space="preserve"> biennial screening for</w:t>
      </w:r>
      <w:r>
        <w:rPr>
          <w:color w:val="000000" w:themeColor="text1"/>
        </w:rPr>
        <w:t xml:space="preserve"> people aged 50 to 74</w:t>
      </w:r>
      <w:r w:rsidR="00525727">
        <w:rPr>
          <w:color w:val="000000" w:themeColor="text1"/>
        </w:rPr>
        <w:t xml:space="preserve"> </w:t>
      </w:r>
      <w:r w:rsidR="001D35D2">
        <w:rPr>
          <w:color w:val="000000" w:themeColor="text1"/>
        </w:rPr>
        <w:t>earlier than expected in</w:t>
      </w:r>
      <w:r w:rsidR="00525727">
        <w:rPr>
          <w:color w:val="000000" w:themeColor="text1"/>
        </w:rPr>
        <w:t xml:space="preserve"> 2019.</w:t>
      </w:r>
      <w:r w:rsidR="002446C4">
        <w:rPr>
          <w:color w:val="000000" w:themeColor="text1"/>
        </w:rPr>
        <w:t xml:space="preserve"> </w:t>
      </w:r>
      <w:r w:rsidR="005F2E04">
        <w:rPr>
          <w:color w:val="000000" w:themeColor="text1"/>
        </w:rPr>
        <w:t xml:space="preserve">Other </w:t>
      </w:r>
      <w:r w:rsidR="00CE214D">
        <w:rPr>
          <w:color w:val="000000" w:themeColor="text1"/>
        </w:rPr>
        <w:t>key activities included development of the HPP,</w:t>
      </w:r>
      <w:r w:rsidR="00523D8F">
        <w:rPr>
          <w:color w:val="000000" w:themeColor="text1"/>
        </w:rPr>
        <w:t xml:space="preserve"> implementation and evaluation of the</w:t>
      </w:r>
      <w:r w:rsidR="00CE214D">
        <w:rPr>
          <w:color w:val="000000" w:themeColor="text1"/>
        </w:rPr>
        <w:t xml:space="preserve"> Alternative Pathway pilot, and migration to the NCSR. </w:t>
      </w:r>
    </w:p>
    <w:p w14:paraId="676B060B" w14:textId="6CE68691" w:rsidR="00545446" w:rsidRPr="00545446" w:rsidRDefault="00545446" w:rsidP="00243D0B">
      <w:pPr>
        <w:pStyle w:val="Heading4un-numbered"/>
        <w:keepNext/>
      </w:pPr>
      <w:r w:rsidRPr="00545446">
        <w:t>Data collection and reporting</w:t>
      </w:r>
    </w:p>
    <w:p w14:paraId="6D185058" w14:textId="3ADC448E" w:rsidR="00B65611" w:rsidRDefault="00860C49" w:rsidP="00344DBB">
      <w:r>
        <w:t>Regarding</w:t>
      </w:r>
      <w:r w:rsidR="004303CF">
        <w:t xml:space="preserve"> data collection and reporting mechanisms, </w:t>
      </w:r>
      <w:r w:rsidR="00A65EDD">
        <w:t>AIHW reporting highlights that data</w:t>
      </w:r>
      <w:r w:rsidR="000D2498">
        <w:t xml:space="preserve"> completeness an</w:t>
      </w:r>
      <w:r w:rsidR="00B04FFF">
        <w:t>d</w:t>
      </w:r>
      <w:r w:rsidR="000D2498">
        <w:t xml:space="preserve"> </w:t>
      </w:r>
      <w:r w:rsidR="00AA7C1F">
        <w:t>q</w:t>
      </w:r>
      <w:r w:rsidR="000D2498">
        <w:t xml:space="preserve">uality issues limit the feasibility of reporting on key </w:t>
      </w:r>
      <w:r w:rsidR="00274897">
        <w:t>Program</w:t>
      </w:r>
      <w:r w:rsidR="000D2498">
        <w:t xml:space="preserve"> indicators</w:t>
      </w:r>
      <w:r w:rsidR="0062077C">
        <w:t>.</w:t>
      </w:r>
      <w:r w:rsidR="000D2498">
        <w:t xml:space="preserve"> As shown in </w:t>
      </w:r>
      <w:r w:rsidR="005547CD">
        <w:fldChar w:fldCharType="begin"/>
      </w:r>
      <w:r w:rsidR="005547CD">
        <w:instrText xml:space="preserve"> REF _Ref68959628 \h </w:instrText>
      </w:r>
      <w:r w:rsidR="005547CD">
        <w:fldChar w:fldCharType="separate"/>
      </w:r>
      <w:r w:rsidR="00F27525">
        <w:t xml:space="preserve">Figure </w:t>
      </w:r>
      <w:r w:rsidR="00F27525">
        <w:rPr>
          <w:noProof/>
        </w:rPr>
        <w:t>i</w:t>
      </w:r>
      <w:r w:rsidR="005547CD">
        <w:fldChar w:fldCharType="end"/>
      </w:r>
      <w:r w:rsidR="000D2498">
        <w:t xml:space="preserve">, data collection and reporting </w:t>
      </w:r>
      <w:proofErr w:type="gramStart"/>
      <w:r w:rsidR="000D2498">
        <w:t>is</w:t>
      </w:r>
      <w:proofErr w:type="gramEnd"/>
      <w:r w:rsidR="000D2498">
        <w:t xml:space="preserve"> relatively complete at the screening pathway entry point</w:t>
      </w:r>
      <w:r w:rsidR="00332294">
        <w:t xml:space="preserve"> (i.e. participation and </w:t>
      </w:r>
      <w:proofErr w:type="spellStart"/>
      <w:r w:rsidR="00332294">
        <w:t>iFOBT</w:t>
      </w:r>
      <w:proofErr w:type="spellEnd"/>
      <w:r w:rsidR="00332294">
        <w:t xml:space="preserve"> positivity rates)</w:t>
      </w:r>
      <w:r w:rsidR="000D2498">
        <w:t>, but gradually declines across the continuum</w:t>
      </w:r>
      <w:r w:rsidR="002017B9">
        <w:t xml:space="preserve">. </w:t>
      </w:r>
      <w:r w:rsidR="00487E6F">
        <w:t>As a result,</w:t>
      </w:r>
      <w:r w:rsidR="006A6564">
        <w:t xml:space="preserve"> </w:t>
      </w:r>
      <w:r w:rsidR="000D2498">
        <w:t xml:space="preserve">KPIs </w:t>
      </w:r>
      <w:r w:rsidR="00487E6F">
        <w:t xml:space="preserve">which </w:t>
      </w:r>
      <w:r w:rsidR="00974DB5">
        <w:t>are</w:t>
      </w:r>
      <w:r w:rsidR="00487E6F">
        <w:t xml:space="preserve"> </w:t>
      </w:r>
      <w:r w:rsidR="00C76F59">
        <w:t>designed to monitor</w:t>
      </w:r>
      <w:r w:rsidR="000D2498">
        <w:t xml:space="preserve"> Program impact</w:t>
      </w:r>
      <w:r w:rsidR="00332294">
        <w:t xml:space="preserve"> </w:t>
      </w:r>
      <w:r w:rsidR="004A6938">
        <w:t xml:space="preserve">are often not able to be reported with an adequate level of certainty </w:t>
      </w:r>
      <w:r w:rsidR="00332294">
        <w:t>(</w:t>
      </w:r>
      <w:proofErr w:type="gramStart"/>
      <w:r w:rsidR="00332294">
        <w:t>e.g.</w:t>
      </w:r>
      <w:proofErr w:type="gramEnd"/>
      <w:r w:rsidR="00332294">
        <w:t xml:space="preserve"> adenoma and </w:t>
      </w:r>
      <w:r w:rsidR="008C13A1">
        <w:t>cancer</w:t>
      </w:r>
      <w:r w:rsidR="00332294">
        <w:t xml:space="preserve"> detection rates, </w:t>
      </w:r>
      <w:r w:rsidR="008C13A1">
        <w:t xml:space="preserve">interval </w:t>
      </w:r>
      <w:r w:rsidR="00506F58">
        <w:t xml:space="preserve">cancer </w:t>
      </w:r>
      <w:r w:rsidR="008C13A1">
        <w:t>rates etc</w:t>
      </w:r>
      <w:r w:rsidR="00A302D2">
        <w:t>.).</w:t>
      </w:r>
    </w:p>
    <w:p w14:paraId="574E2238" w14:textId="51363306" w:rsidR="005547CD" w:rsidRDefault="005547CD" w:rsidP="005547CD">
      <w:pPr>
        <w:pStyle w:val="Caption"/>
      </w:pPr>
      <w:bookmarkStart w:id="42" w:name="_Ref68959628"/>
      <w:r>
        <w:lastRenderedPageBreak/>
        <w:t xml:space="preserve">Figure </w:t>
      </w:r>
      <w:r>
        <w:fldChar w:fldCharType="begin"/>
      </w:r>
      <w:r>
        <w:instrText xml:space="preserve"> SEQ Figure \* roman </w:instrText>
      </w:r>
      <w:r>
        <w:fldChar w:fldCharType="separate"/>
      </w:r>
      <w:r w:rsidR="00F27525">
        <w:rPr>
          <w:noProof/>
        </w:rPr>
        <w:t>i</w:t>
      </w:r>
      <w:r>
        <w:fldChar w:fldCharType="end"/>
      </w:r>
      <w:bookmarkEnd w:id="42"/>
      <w:r w:rsidR="008375A8">
        <w:t>:</w:t>
      </w:r>
      <w:r>
        <w:t xml:space="preserve"> Completeness of data collection across the participant </w:t>
      </w:r>
      <w:r w:rsidR="00053B15">
        <w:t>pathway</w:t>
      </w:r>
    </w:p>
    <w:p w14:paraId="57F4F7D3" w14:textId="7F5B2259" w:rsidR="00685CCD" w:rsidRDefault="00445E94" w:rsidP="00A8116B">
      <w:pPr>
        <w:jc w:val="center"/>
      </w:pPr>
      <w:r w:rsidRPr="00445E94">
        <w:rPr>
          <w:noProof/>
        </w:rPr>
        <w:drawing>
          <wp:inline distT="0" distB="0" distL="0" distR="0" wp14:anchorId="4F2166D6" wp14:editId="16E7C47B">
            <wp:extent cx="5632704" cy="1833468"/>
            <wp:effectExtent l="0" t="0" r="0" b="0"/>
            <wp:docPr id="1489793617" name="Picture 1489793617" descr="Figure i is a infographic showing the completeness of data collection across the participant path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793617" name="Picture 1489793617" descr="Figure i is a infographic showing the completeness of data collection across the participant pathwa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62704" cy="1843233"/>
                    </a:xfrm>
                    <a:prstGeom prst="rect">
                      <a:avLst/>
                    </a:prstGeom>
                    <a:noFill/>
                    <a:ln>
                      <a:noFill/>
                    </a:ln>
                  </pic:spPr>
                </pic:pic>
              </a:graphicData>
            </a:graphic>
          </wp:inline>
        </w:drawing>
      </w:r>
    </w:p>
    <w:p w14:paraId="1DB73AA5" w14:textId="77777777" w:rsidR="004724B5" w:rsidRPr="00233751" w:rsidRDefault="004724B5" w:rsidP="004724B5">
      <w:pPr>
        <w:pStyle w:val="Sources"/>
        <w:spacing w:before="0" w:after="0"/>
      </w:pPr>
      <w:r>
        <w:t>Source: Deloitte Access Economics diagram, using Department of Health information.</w:t>
      </w:r>
      <w:r>
        <w:rPr>
          <w:rStyle w:val="EndnoteReference"/>
        </w:rPr>
        <w:endnoteReference w:id="5"/>
      </w:r>
    </w:p>
    <w:p w14:paraId="5170A8AA" w14:textId="70E38ED6" w:rsidR="00FA30CD" w:rsidRDefault="00FA30CD" w:rsidP="00700373">
      <w:r>
        <w:t>These challenges lie in the requirement for data provision – the NCSR reliably captures data related to activities where the Department has direct oversight (</w:t>
      </w:r>
      <w:proofErr w:type="gramStart"/>
      <w:r>
        <w:t>e.g.</w:t>
      </w:r>
      <w:proofErr w:type="gramEnd"/>
      <w:r>
        <w:t xml:space="preserve"> invitations and </w:t>
      </w:r>
      <w:proofErr w:type="spellStart"/>
      <w:r>
        <w:t>iFOBT</w:t>
      </w:r>
      <w:proofErr w:type="spellEnd"/>
      <w:r>
        <w:t xml:space="preserve"> results), however information provision from GPs, </w:t>
      </w:r>
      <w:r w:rsidR="00284D59">
        <w:t>specialist</w:t>
      </w:r>
      <w:r>
        <w:t xml:space="preserve">s and pathologists regarding their consultation with patients and the outcomes of diagnostic assessment is voluntary. </w:t>
      </w:r>
    </w:p>
    <w:p w14:paraId="0484D21D" w14:textId="2C5C63F0" w:rsidR="009A138D" w:rsidRPr="00A8116B" w:rsidRDefault="00FA30CD" w:rsidP="00A8116B">
      <w:r w:rsidRPr="007B49EE">
        <w:t xml:space="preserve">Further, the ability to assess </w:t>
      </w:r>
      <w:r w:rsidR="00E00178" w:rsidRPr="007B49EE">
        <w:t xml:space="preserve">cancer-related outcomes between </w:t>
      </w:r>
      <w:r w:rsidR="0053652B" w:rsidRPr="00F2747E">
        <w:t xml:space="preserve">Program </w:t>
      </w:r>
      <w:r w:rsidR="00E00178" w:rsidRPr="00F2747E">
        <w:t>participants and non-participants</w:t>
      </w:r>
      <w:r w:rsidR="00E00178" w:rsidRPr="00F2747E" w:rsidDel="00E00178">
        <w:t xml:space="preserve"> </w:t>
      </w:r>
      <w:r w:rsidRPr="00F2747E">
        <w:t>requires data linkage between the NCSR</w:t>
      </w:r>
      <w:r w:rsidR="001F0437" w:rsidRPr="00F2747E">
        <w:t xml:space="preserve">, jurisdictional </w:t>
      </w:r>
      <w:r w:rsidR="00E00178" w:rsidRPr="00F2747E">
        <w:t>cancer registries and the National Death Index</w:t>
      </w:r>
      <w:r w:rsidRPr="00F2747E">
        <w:t>. This type of data linkage is only performed on an ad hoc basis for bespoke projects</w:t>
      </w:r>
      <w:r w:rsidR="002A323A">
        <w:t xml:space="preserve">. </w:t>
      </w:r>
      <w:r w:rsidR="000A73A9">
        <w:t>An assessment of cancer-related outcomes</w:t>
      </w:r>
      <w:r w:rsidR="002A323A">
        <w:t xml:space="preserve"> also</w:t>
      </w:r>
      <w:r w:rsidR="008F643D">
        <w:t xml:space="preserve"> requires </w:t>
      </w:r>
      <w:r w:rsidR="00FF5301">
        <w:t xml:space="preserve">time to elapse </w:t>
      </w:r>
      <w:r w:rsidR="008F643D">
        <w:t xml:space="preserve">in order to </w:t>
      </w:r>
      <w:r w:rsidR="00B3667B">
        <w:t xml:space="preserve">report on </w:t>
      </w:r>
      <w:r w:rsidR="000C624D">
        <w:t>mortality</w:t>
      </w:r>
      <w:r w:rsidR="00B3667B">
        <w:t xml:space="preserve"> measures such as </w:t>
      </w:r>
      <w:r w:rsidR="004356DB">
        <w:t>five-year relative survival.</w:t>
      </w:r>
      <w:r w:rsidR="00C04A1C">
        <w:t xml:space="preserve"> </w:t>
      </w:r>
      <w:r w:rsidR="00DB2CBE">
        <w:t>Both factors contribute to</w:t>
      </w:r>
      <w:r w:rsidR="00BE21E4">
        <w:t xml:space="preserve"> </w:t>
      </w:r>
      <w:r w:rsidR="00E805C9">
        <w:t xml:space="preserve">challenges </w:t>
      </w:r>
      <w:r w:rsidR="00BE21E4">
        <w:t>in</w:t>
      </w:r>
      <w:r w:rsidR="00E805C9">
        <w:t xml:space="preserve"> assessing the effectiveness of</w:t>
      </w:r>
      <w:r w:rsidR="004258F0">
        <w:t xml:space="preserve"> </w:t>
      </w:r>
      <w:r w:rsidR="007727F3">
        <w:t>the Program in a timely manner.</w:t>
      </w:r>
    </w:p>
    <w:p w14:paraId="5247F773" w14:textId="41E4E07C" w:rsidR="00C11C0F" w:rsidRPr="000F06D0" w:rsidRDefault="00C11C0F" w:rsidP="00700373">
      <w:pPr>
        <w:pStyle w:val="Heading4un-numbered"/>
      </w:pPr>
      <w:r w:rsidRPr="000F06D0">
        <w:t xml:space="preserve">External </w:t>
      </w:r>
      <w:r w:rsidR="00BD5FC7">
        <w:t>r</w:t>
      </w:r>
      <w:r>
        <w:t>esearch</w:t>
      </w:r>
    </w:p>
    <w:p w14:paraId="166C5B36" w14:textId="601D2880" w:rsidR="00053B15" w:rsidRDefault="00CA0573" w:rsidP="00BC6277">
      <w:r>
        <w:t xml:space="preserve">Program, sectorial and academic stakeholders consulted </w:t>
      </w:r>
      <w:r w:rsidR="00BD5FC7">
        <w:t>raised</w:t>
      </w:r>
      <w:r>
        <w:t xml:space="preserve"> the importance of commissioning research targeted at improving the Program. It was noted that to date, there has been a limited number of Randomised Controlled Trials or other observational research studies conducted with the intent of examining changes to Program design and its impact on uptake and outcomes.</w:t>
      </w:r>
      <w:r w:rsidR="009A138D">
        <w:t xml:space="preserve"> </w:t>
      </w:r>
      <w:r>
        <w:t>Research of this nature is important for establishing an evidence-base</w:t>
      </w:r>
      <w:r w:rsidR="002C0F5E">
        <w:t>,</w:t>
      </w:r>
      <w:r>
        <w:t xml:space="preserve"> before deciding to change a Program feature at scale. </w:t>
      </w:r>
    </w:p>
    <w:p w14:paraId="4BD62633" w14:textId="13AA51EA" w:rsidR="00CA0573" w:rsidRPr="000F06D0" w:rsidRDefault="00053B15" w:rsidP="00BC6277">
      <w:r>
        <w:t>It was noted that now the Program is fully biennial, the next phase of the Program can shift from a focus on Program expansion to a focus on optimising Program design. In addition, transition to the NCSR provides the enabling infrastructure to better support targeted research</w:t>
      </w:r>
      <w:r w:rsidRPr="00F678D8">
        <w:t>. A number of opportunities to pursue research grants already exist (</w:t>
      </w:r>
      <w:proofErr w:type="gramStart"/>
      <w:r w:rsidRPr="00F678D8">
        <w:t>e.g.</w:t>
      </w:r>
      <w:proofErr w:type="gramEnd"/>
      <w:r w:rsidRPr="00F678D8">
        <w:t xml:space="preserve"> through the NHMRC or elsewhere), and external researchers </w:t>
      </w:r>
      <w:r w:rsidR="00A55D00">
        <w:t>could</w:t>
      </w:r>
      <w:r w:rsidRPr="00F678D8">
        <w:t xml:space="preserve"> use these mechanisms to address the Program’s key research objectives.</w:t>
      </w:r>
    </w:p>
    <w:p w14:paraId="481175EF" w14:textId="2BF13FC9" w:rsidR="00545446" w:rsidRPr="00545446" w:rsidRDefault="00545446" w:rsidP="00700373">
      <w:pPr>
        <w:pStyle w:val="Heading4un-numbered"/>
      </w:pPr>
      <w:r w:rsidRPr="00545446">
        <w:t>Governance</w:t>
      </w:r>
    </w:p>
    <w:p w14:paraId="2CC13270" w14:textId="15123B44" w:rsidR="00A45D9E" w:rsidRDefault="009937A2">
      <w:pPr>
        <w:pStyle w:val="ListBullet"/>
        <w:numPr>
          <w:ilvl w:val="0"/>
          <w:numId w:val="0"/>
        </w:numPr>
        <w:spacing w:after="170"/>
        <w:rPr>
          <w:szCs w:val="18"/>
        </w:rPr>
      </w:pPr>
      <w:r w:rsidRPr="00AC711C">
        <w:rPr>
          <w:szCs w:val="18"/>
        </w:rPr>
        <w:t>Regarding</w:t>
      </w:r>
      <w:r w:rsidR="00A45D9E" w:rsidRPr="00AC711C">
        <w:rPr>
          <w:szCs w:val="18"/>
        </w:rPr>
        <w:t xml:space="preserve"> the efficacy of governance structures, </w:t>
      </w:r>
      <w:r w:rsidR="00FA30CD" w:rsidRPr="00AC711C">
        <w:rPr>
          <w:szCs w:val="18"/>
        </w:rPr>
        <w:t>the current</w:t>
      </w:r>
      <w:r w:rsidR="00AC711C" w:rsidRPr="00AC711C">
        <w:rPr>
          <w:szCs w:val="18"/>
        </w:rPr>
        <w:t xml:space="preserve"> overall</w:t>
      </w:r>
      <w:r w:rsidR="00FA30CD" w:rsidRPr="00AC711C">
        <w:rPr>
          <w:szCs w:val="18"/>
        </w:rPr>
        <w:t xml:space="preserve"> structur</w:t>
      </w:r>
      <w:r w:rsidR="00AC711C" w:rsidRPr="00AC711C">
        <w:rPr>
          <w:szCs w:val="18"/>
        </w:rPr>
        <w:t>e, whereby the</w:t>
      </w:r>
      <w:r w:rsidR="00F7361E">
        <w:rPr>
          <w:szCs w:val="18"/>
        </w:rPr>
        <w:t xml:space="preserve"> </w:t>
      </w:r>
      <w:r w:rsidR="00AC711C" w:rsidRPr="00AC711C">
        <w:rPr>
          <w:szCs w:val="18"/>
        </w:rPr>
        <w:t xml:space="preserve">Department </w:t>
      </w:r>
      <w:r w:rsidR="00F7361E">
        <w:rPr>
          <w:szCs w:val="18"/>
        </w:rPr>
        <w:t xml:space="preserve">maintains </w:t>
      </w:r>
      <w:r w:rsidR="008B58DE">
        <w:rPr>
          <w:szCs w:val="18"/>
        </w:rPr>
        <w:t xml:space="preserve">decision-making responsibility but draws on </w:t>
      </w:r>
      <w:r w:rsidR="00AC711C" w:rsidRPr="00AC711C">
        <w:rPr>
          <w:szCs w:val="18"/>
        </w:rPr>
        <w:t>the Cli</w:t>
      </w:r>
      <w:r w:rsidR="008B58DE">
        <w:rPr>
          <w:szCs w:val="18"/>
        </w:rPr>
        <w:t>nical</w:t>
      </w:r>
      <w:r w:rsidR="00AC711C" w:rsidRPr="00AC711C">
        <w:rPr>
          <w:szCs w:val="18"/>
        </w:rPr>
        <w:t xml:space="preserve"> </w:t>
      </w:r>
      <w:r w:rsidR="008B58DE" w:rsidRPr="00AC711C">
        <w:rPr>
          <w:szCs w:val="18"/>
        </w:rPr>
        <w:t>Advisory</w:t>
      </w:r>
      <w:r w:rsidR="00AC711C" w:rsidRPr="00AC711C">
        <w:rPr>
          <w:szCs w:val="18"/>
        </w:rPr>
        <w:t xml:space="preserve"> </w:t>
      </w:r>
      <w:r w:rsidR="00316AD7" w:rsidRPr="00AC711C">
        <w:rPr>
          <w:szCs w:val="18"/>
        </w:rPr>
        <w:t>Group</w:t>
      </w:r>
      <w:r w:rsidR="00AC711C" w:rsidRPr="00AC711C">
        <w:rPr>
          <w:szCs w:val="18"/>
        </w:rPr>
        <w:t xml:space="preserve"> </w:t>
      </w:r>
      <w:r w:rsidR="008B58DE">
        <w:rPr>
          <w:szCs w:val="18"/>
        </w:rPr>
        <w:t>(CAG) for cli</w:t>
      </w:r>
      <w:r w:rsidR="00316AD7">
        <w:rPr>
          <w:szCs w:val="18"/>
        </w:rPr>
        <w:t>nical</w:t>
      </w:r>
      <w:r w:rsidR="008B58DE">
        <w:rPr>
          <w:szCs w:val="18"/>
        </w:rPr>
        <w:t xml:space="preserve"> advice</w:t>
      </w:r>
      <w:r w:rsidR="00316AD7">
        <w:rPr>
          <w:szCs w:val="18"/>
        </w:rPr>
        <w:t xml:space="preserve"> and the Program Delivery Advisory Group (PDAG) for operational advice is appropriate. However,</w:t>
      </w:r>
      <w:r w:rsidR="00592B11">
        <w:rPr>
          <w:szCs w:val="18"/>
        </w:rPr>
        <w:t xml:space="preserve"> opportunities were identified to </w:t>
      </w:r>
      <w:r w:rsidR="00103CBD">
        <w:rPr>
          <w:szCs w:val="18"/>
        </w:rPr>
        <w:t>optimise Program governance mechanisms</w:t>
      </w:r>
      <w:r w:rsidR="003D32B3">
        <w:rPr>
          <w:szCs w:val="18"/>
        </w:rPr>
        <w:t xml:space="preserve">, including considering </w:t>
      </w:r>
      <w:r w:rsidR="00734CE2">
        <w:rPr>
          <w:szCs w:val="18"/>
        </w:rPr>
        <w:t xml:space="preserve">the inclusion of representatives from colorectal departments on PDAG, and </w:t>
      </w:r>
      <w:r w:rsidR="00CF1126">
        <w:rPr>
          <w:szCs w:val="18"/>
        </w:rPr>
        <w:t xml:space="preserve">improving communication by </w:t>
      </w:r>
      <w:r w:rsidR="00B2791E">
        <w:rPr>
          <w:szCs w:val="18"/>
        </w:rPr>
        <w:t xml:space="preserve">resetting expectations on information sharing across and between </w:t>
      </w:r>
      <w:r w:rsidR="00CF1126">
        <w:rPr>
          <w:szCs w:val="18"/>
        </w:rPr>
        <w:t>the various</w:t>
      </w:r>
      <w:r w:rsidR="00285BED">
        <w:rPr>
          <w:szCs w:val="18"/>
        </w:rPr>
        <w:t xml:space="preserve"> advisory groups</w:t>
      </w:r>
      <w:r w:rsidR="00103CBD">
        <w:rPr>
          <w:szCs w:val="18"/>
        </w:rPr>
        <w:t>.</w:t>
      </w:r>
    </w:p>
    <w:p w14:paraId="7E84C3B6" w14:textId="0F591521" w:rsidR="00700373" w:rsidRDefault="00700373" w:rsidP="00700373">
      <w:pPr>
        <w:pStyle w:val="Heading4un-numbered"/>
      </w:pPr>
      <w:r>
        <w:t>Opportunities:</w:t>
      </w:r>
    </w:p>
    <w:p w14:paraId="57A66F32" w14:textId="77777777" w:rsidR="00700373" w:rsidRPr="000045D9" w:rsidRDefault="00700373" w:rsidP="00243D0B">
      <w:pPr>
        <w:pStyle w:val="ListBullet"/>
        <w:rPr>
          <w:lang w:val="en-US"/>
        </w:rPr>
      </w:pPr>
      <w:r w:rsidRPr="000045D9">
        <w:rPr>
          <w:lang w:val="en-US"/>
        </w:rPr>
        <w:t xml:space="preserve">Reconvene </w:t>
      </w:r>
      <w:r w:rsidRPr="000045D9">
        <w:t xml:space="preserve">a working group with the goal of prioritising initiatives to address data gaps and agree on any required changes to the endorsed set of KPIs. </w:t>
      </w:r>
      <w:r w:rsidRPr="000045D9">
        <w:rPr>
          <w:lang w:val="en-US"/>
        </w:rPr>
        <w:t>The purpose of this group should be two-fold:</w:t>
      </w:r>
    </w:p>
    <w:p w14:paraId="2704AA1B" w14:textId="0DF2B1CA" w:rsidR="00700373" w:rsidRDefault="00700373" w:rsidP="00243D0B">
      <w:pPr>
        <w:pStyle w:val="ListBullet2"/>
        <w:rPr>
          <w:lang w:val="en-US"/>
        </w:rPr>
      </w:pPr>
      <w:r w:rsidRPr="00A1502F">
        <w:rPr>
          <w:lang w:val="en-US"/>
        </w:rPr>
        <w:lastRenderedPageBreak/>
        <w:t>confirm an agreed revised set of KPIs</w:t>
      </w:r>
      <w:r>
        <w:rPr>
          <w:lang w:val="en-US"/>
        </w:rPr>
        <w:t xml:space="preserve"> and calculation approaches (see examples provided in </w:t>
      </w:r>
      <w:r>
        <w:rPr>
          <w:iCs/>
        </w:rPr>
        <w:fldChar w:fldCharType="begin"/>
      </w:r>
      <w:r>
        <w:rPr>
          <w:iCs/>
        </w:rPr>
        <w:instrText xml:space="preserve"> REF _Ref74313876 \n \h </w:instrText>
      </w:r>
      <w:r w:rsidR="00243D0B">
        <w:rPr>
          <w:iCs/>
        </w:rPr>
        <w:instrText xml:space="preserve"> \* MERGEFORMAT </w:instrText>
      </w:r>
      <w:r>
        <w:rPr>
          <w:iCs/>
        </w:rPr>
      </w:r>
      <w:r>
        <w:rPr>
          <w:iCs/>
        </w:rPr>
        <w:fldChar w:fldCharType="separate"/>
      </w:r>
      <w:r>
        <w:rPr>
          <w:iCs/>
        </w:rPr>
        <w:t>Table 3.2</w:t>
      </w:r>
      <w:r>
        <w:rPr>
          <w:iCs/>
        </w:rPr>
        <w:fldChar w:fldCharType="end"/>
      </w:r>
      <w:r>
        <w:rPr>
          <w:iCs/>
        </w:rPr>
        <w:t xml:space="preserve"> in the body of the report)</w:t>
      </w:r>
    </w:p>
    <w:p w14:paraId="78FE9895" w14:textId="77777777" w:rsidR="00700373" w:rsidRPr="00B20488" w:rsidRDefault="00700373" w:rsidP="00243D0B">
      <w:pPr>
        <w:pStyle w:val="ListBullet2"/>
        <w:rPr>
          <w:lang w:val="en-US"/>
        </w:rPr>
      </w:pPr>
      <w:r w:rsidRPr="00A1502F">
        <w:rPr>
          <w:lang w:val="en-US"/>
        </w:rPr>
        <w:t>improv</w:t>
      </w:r>
      <w:r>
        <w:rPr>
          <w:lang w:val="en-US"/>
        </w:rPr>
        <w:t>e</w:t>
      </w:r>
      <w:r w:rsidRPr="00A1502F">
        <w:rPr>
          <w:lang w:val="en-US"/>
        </w:rPr>
        <w:t xml:space="preserve"> the feasibility of reporting against each indicator by </w:t>
      </w:r>
      <w:proofErr w:type="spellStart"/>
      <w:r w:rsidRPr="00A1502F">
        <w:rPr>
          <w:lang w:val="en-US"/>
        </w:rPr>
        <w:t>prioriti</w:t>
      </w:r>
      <w:r>
        <w:rPr>
          <w:lang w:val="en-US"/>
        </w:rPr>
        <w:t>s</w:t>
      </w:r>
      <w:r w:rsidRPr="00A1502F">
        <w:rPr>
          <w:lang w:val="en-US"/>
        </w:rPr>
        <w:t>ing</w:t>
      </w:r>
      <w:proofErr w:type="spellEnd"/>
      <w:r w:rsidRPr="00A1502F">
        <w:rPr>
          <w:lang w:val="en-US"/>
        </w:rPr>
        <w:t xml:space="preserve"> initiatives and/or dedicated resourcing to address data gaps</w:t>
      </w:r>
      <w:r>
        <w:rPr>
          <w:lang w:val="en-US"/>
        </w:rPr>
        <w:t xml:space="preserve">, such as data linkage or clinical interoperability, </w:t>
      </w:r>
      <w:r w:rsidRPr="00D1762A">
        <w:rPr>
          <w:lang w:val="en-US"/>
        </w:rPr>
        <w:t xml:space="preserve">noting that a number of these initiatives </w:t>
      </w:r>
      <w:r>
        <w:rPr>
          <w:lang w:val="en-US"/>
        </w:rPr>
        <w:t xml:space="preserve">may </w:t>
      </w:r>
      <w:r w:rsidRPr="00D1762A">
        <w:rPr>
          <w:lang w:val="en-US"/>
        </w:rPr>
        <w:t>require detailed workplans and dedicated funding.</w:t>
      </w:r>
    </w:p>
    <w:p w14:paraId="5A3096F8" w14:textId="77777777" w:rsidR="00700373" w:rsidRPr="00B20488" w:rsidRDefault="00700373" w:rsidP="00700373">
      <w:pPr>
        <w:pStyle w:val="ListParagraph"/>
        <w:ind w:right="113"/>
        <w:contextualSpacing w:val="0"/>
        <w:rPr>
          <w:lang w:val="en-US"/>
        </w:rPr>
      </w:pPr>
      <w:r w:rsidRPr="007F0164">
        <w:rPr>
          <w:lang w:val="en-US"/>
        </w:rPr>
        <w:t>This group should be set-up over a medium to long term period, given the timeframes, effort and stakeholder engagement required to oversee initiatives to improve data quality and completeness.</w:t>
      </w:r>
    </w:p>
    <w:p w14:paraId="151C9844" w14:textId="77777777" w:rsidR="00700373" w:rsidRPr="00B20488" w:rsidRDefault="00700373" w:rsidP="00243D0B">
      <w:pPr>
        <w:pStyle w:val="ListBullet"/>
        <w:rPr>
          <w:lang w:val="en-US"/>
        </w:rPr>
      </w:pPr>
      <w:r w:rsidRPr="00CB4C62">
        <w:rPr>
          <w:bCs/>
          <w:lang w:val="en-US"/>
        </w:rPr>
        <w:t xml:space="preserve">Improve visibility of the target population’s participation in other forms of bowel cancer screening, including via </w:t>
      </w:r>
      <w:proofErr w:type="gramStart"/>
      <w:r w:rsidRPr="00CB4C62">
        <w:rPr>
          <w:bCs/>
          <w:lang w:val="en-US"/>
        </w:rPr>
        <w:t>over-the-counter</w:t>
      </w:r>
      <w:proofErr w:type="gramEnd"/>
      <w:r w:rsidRPr="00CB4C62">
        <w:rPr>
          <w:bCs/>
          <w:lang w:val="en-US"/>
        </w:rPr>
        <w:t xml:space="preserve"> </w:t>
      </w:r>
      <w:proofErr w:type="spellStart"/>
      <w:r w:rsidRPr="00CB4C62">
        <w:rPr>
          <w:bCs/>
          <w:lang w:val="en-US"/>
        </w:rPr>
        <w:t>iFOBT</w:t>
      </w:r>
      <w:proofErr w:type="spellEnd"/>
      <w:r w:rsidRPr="00CB4C62">
        <w:rPr>
          <w:bCs/>
          <w:lang w:val="en-US"/>
        </w:rPr>
        <w:t xml:space="preserve"> kits or kits provided by clinicians. This </w:t>
      </w:r>
      <w:r w:rsidRPr="00CB4C62">
        <w:rPr>
          <w:lang w:val="en-US"/>
        </w:rPr>
        <w:t xml:space="preserve">would also allow a more accurate measure of the true Program participation rate. </w:t>
      </w:r>
    </w:p>
    <w:p w14:paraId="050A18F6" w14:textId="77777777" w:rsidR="00700373" w:rsidRPr="00B20488" w:rsidRDefault="00700373" w:rsidP="00243D0B">
      <w:pPr>
        <w:pStyle w:val="ListBullet"/>
      </w:pPr>
      <w:r w:rsidRPr="004C2C85">
        <w:rPr>
          <w:bCs/>
          <w:lang w:val="en-US"/>
        </w:rPr>
        <w:t xml:space="preserve">Promote </w:t>
      </w:r>
      <w:r w:rsidRPr="004C2C85">
        <w:rPr>
          <w:lang w:val="en-US"/>
        </w:rPr>
        <w:t xml:space="preserve">the Program’s research priorities to external researchers. </w:t>
      </w:r>
      <w:r w:rsidRPr="000900B2">
        <w:t>E</w:t>
      </w:r>
      <w:r w:rsidRPr="00403870">
        <w:t>xternal researchers should be encouraged to pursue research which is a priority</w:t>
      </w:r>
      <w:r w:rsidRPr="00D80B8D">
        <w:t xml:space="preserve"> </w:t>
      </w:r>
      <w:r w:rsidRPr="00D83A29">
        <w:t xml:space="preserve">of the Program. </w:t>
      </w:r>
      <w:r w:rsidRPr="000900B2">
        <w:t>Current Program-related priority research areas should include the pilot projects suggested in the review to improve participation (</w:t>
      </w:r>
      <w:r>
        <w:t>see the ‘Awareness and adoption’ section below</w:t>
      </w:r>
      <w:r w:rsidRPr="000900B2">
        <w:t xml:space="preserve">) and opportunities to validate emerging overseas innovations related to quantitative </w:t>
      </w:r>
      <w:proofErr w:type="spellStart"/>
      <w:r w:rsidRPr="000900B2">
        <w:t>iFOBT</w:t>
      </w:r>
      <w:proofErr w:type="spellEnd"/>
      <w:r w:rsidRPr="000900B2">
        <w:t xml:space="preserve"> readings in the Australian context.</w:t>
      </w:r>
    </w:p>
    <w:p w14:paraId="6F6C47F1" w14:textId="77777777" w:rsidR="00700373" w:rsidRPr="00B20488" w:rsidRDefault="00700373" w:rsidP="00243D0B">
      <w:pPr>
        <w:pStyle w:val="ListBullet"/>
        <w:rPr>
          <w:bCs/>
          <w:lang w:val="en-US"/>
        </w:rPr>
      </w:pPr>
      <w:r w:rsidRPr="00CB4C62">
        <w:rPr>
          <w:bCs/>
          <w:lang w:val="en-US"/>
        </w:rPr>
        <w:t xml:space="preserve">Re-configure PDAG to include jurisdictional representatives that </w:t>
      </w:r>
      <w:r>
        <w:rPr>
          <w:bCs/>
          <w:lang w:val="en-US"/>
        </w:rPr>
        <w:t>can</w:t>
      </w:r>
      <w:r w:rsidRPr="00CB4C62">
        <w:rPr>
          <w:bCs/>
          <w:lang w:val="en-US"/>
        </w:rPr>
        <w:t xml:space="preserve"> provide operational advice on contextual issues related to colonoscopy access. </w:t>
      </w:r>
    </w:p>
    <w:p w14:paraId="46DD4C5E" w14:textId="2810D9B2" w:rsidR="00700373" w:rsidRDefault="00700373" w:rsidP="009B7473">
      <w:r>
        <w:t>R</w:t>
      </w:r>
      <w:r w:rsidRPr="00C24343">
        <w:t xml:space="preserve">eset the working relationship with all </w:t>
      </w:r>
      <w:r>
        <w:t xml:space="preserve">governance advisory group </w:t>
      </w:r>
      <w:r w:rsidRPr="00C24343">
        <w:t xml:space="preserve">stakeholders to ensure needs are being met </w:t>
      </w:r>
      <w:proofErr w:type="gramStart"/>
      <w:r w:rsidRPr="00C24343">
        <w:t>in regard to</w:t>
      </w:r>
      <w:proofErr w:type="gramEnd"/>
      <w:r w:rsidRPr="00C24343">
        <w:t xml:space="preserve"> the purpose of each </w:t>
      </w:r>
      <w:r>
        <w:t xml:space="preserve">governance </w:t>
      </w:r>
      <w:r w:rsidRPr="00C24343">
        <w:t>group and expectations on information sharing.</w:t>
      </w:r>
    </w:p>
    <w:p w14:paraId="5A89BF17" w14:textId="0A235274" w:rsidR="000D4836" w:rsidRPr="00880DC4" w:rsidRDefault="00880DC4" w:rsidP="00880DC4">
      <w:pPr>
        <w:pStyle w:val="Heading3un-numbered"/>
      </w:pPr>
      <w:r w:rsidRPr="00880DC4">
        <w:t>Awareness and adoption</w:t>
      </w:r>
    </w:p>
    <w:p w14:paraId="277CDFCA" w14:textId="006AC4B6" w:rsidR="000D4836" w:rsidRPr="00880DC4" w:rsidRDefault="00880DC4" w:rsidP="00880DC4">
      <w:pPr>
        <w:pStyle w:val="Boxtype"/>
      </w:pPr>
      <w:r>
        <w:rPr>
          <w:noProof/>
        </w:rPr>
        <w:drawing>
          <wp:anchor distT="0" distB="0" distL="114300" distR="114300" simplePos="0" relativeHeight="251662360" behindDoc="0" locked="0" layoutInCell="1" allowOverlap="1" wp14:anchorId="0CA93BBD" wp14:editId="54695183">
            <wp:simplePos x="0" y="0"/>
            <wp:positionH relativeFrom="margin">
              <wp:align>left</wp:align>
            </wp:positionH>
            <wp:positionV relativeFrom="paragraph">
              <wp:posOffset>22860</wp:posOffset>
            </wp:positionV>
            <wp:extent cx="685800" cy="605790"/>
            <wp:effectExtent l="0" t="0" r="0" b="3810"/>
            <wp:wrapSquare wrapText="bothSides"/>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5800" cy="605790"/>
                    </a:xfrm>
                    <a:prstGeom prst="rect">
                      <a:avLst/>
                    </a:prstGeom>
                    <a:noFill/>
                    <a:ln>
                      <a:noFill/>
                    </a:ln>
                  </pic:spPr>
                </pic:pic>
              </a:graphicData>
            </a:graphic>
            <wp14:sizeRelH relativeFrom="page">
              <wp14:pctWidth>0</wp14:pctWidth>
            </wp14:sizeRelH>
            <wp14:sizeRelV relativeFrom="page">
              <wp14:pctHeight>0</wp14:pctHeight>
            </wp14:sizeRelV>
          </wp:anchor>
        </w:drawing>
      </w:r>
      <w:r w:rsidR="000D4836" w:rsidRPr="00880DC4">
        <w:t>The review explored awareness and adoption of the Program by clinicians and consumers</w:t>
      </w:r>
      <w:r w:rsidR="00F2690F" w:rsidRPr="00880DC4">
        <w:t xml:space="preserve">, with a view to </w:t>
      </w:r>
      <w:r w:rsidR="000D4836" w:rsidRPr="00880DC4">
        <w:t>better understand</w:t>
      </w:r>
      <w:r w:rsidR="00F2690F" w:rsidRPr="00880DC4">
        <w:t>ing the key</w:t>
      </w:r>
      <w:r w:rsidR="000D4836" w:rsidRPr="00880DC4">
        <w:t xml:space="preserve"> </w:t>
      </w:r>
      <w:r w:rsidR="006A4AA0" w:rsidRPr="00880DC4">
        <w:t xml:space="preserve">enablers </w:t>
      </w:r>
      <w:r w:rsidR="000D4836" w:rsidRPr="00880DC4">
        <w:t>and barrier</w:t>
      </w:r>
      <w:r w:rsidR="006A4AA0" w:rsidRPr="00880DC4">
        <w:t>s</w:t>
      </w:r>
      <w:r w:rsidR="000D4836" w:rsidRPr="00880DC4">
        <w:t xml:space="preserve"> to Program participation. </w:t>
      </w:r>
    </w:p>
    <w:p w14:paraId="7CA21D93" w14:textId="66ED04F7" w:rsidR="000D4836" w:rsidRDefault="000D4836" w:rsidP="000D4836">
      <w:r>
        <w:t xml:space="preserve">Overall, </w:t>
      </w:r>
      <w:r w:rsidR="009A5E29">
        <w:t>92 per cent of</w:t>
      </w:r>
      <w:r w:rsidRPr="00602FB3">
        <w:t xml:space="preserve"> consumers </w:t>
      </w:r>
      <w:r w:rsidR="000873E8">
        <w:t>(</w:t>
      </w:r>
      <w:r w:rsidR="00CC0927" w:rsidRPr="00602FB3">
        <w:t>in the current target population</w:t>
      </w:r>
      <w:r w:rsidR="000873E8">
        <w:t>)</w:t>
      </w:r>
      <w:r w:rsidR="00CC0927">
        <w:t xml:space="preserve"> </w:t>
      </w:r>
      <w:r w:rsidR="009A5E29">
        <w:t>surveyed were aware of the Program</w:t>
      </w:r>
      <w:r w:rsidR="006C09C0">
        <w:t xml:space="preserve"> and</w:t>
      </w:r>
      <w:r w:rsidRPr="00602FB3">
        <w:t xml:space="preserve"> </w:t>
      </w:r>
      <w:r w:rsidR="007863E3">
        <w:rPr>
          <w:color w:val="000000" w:themeColor="text1"/>
        </w:rPr>
        <w:t xml:space="preserve">71 per cent </w:t>
      </w:r>
      <w:r w:rsidR="00DA03C7">
        <w:rPr>
          <w:color w:val="000000" w:themeColor="text1"/>
        </w:rPr>
        <w:t>of respondents to the clinician</w:t>
      </w:r>
      <w:r w:rsidR="00DF5134">
        <w:rPr>
          <w:color w:val="000000" w:themeColor="text1"/>
        </w:rPr>
        <w:t xml:space="preserve"> survey </w:t>
      </w:r>
      <w:r w:rsidR="007863E3">
        <w:rPr>
          <w:color w:val="000000" w:themeColor="text1"/>
        </w:rPr>
        <w:t xml:space="preserve">agreed that </w:t>
      </w:r>
      <w:r w:rsidR="00B41FB9">
        <w:rPr>
          <w:color w:val="000000" w:themeColor="text1"/>
        </w:rPr>
        <w:t xml:space="preserve">they </w:t>
      </w:r>
      <w:r w:rsidR="007863E3">
        <w:rPr>
          <w:color w:val="000000" w:themeColor="text1"/>
        </w:rPr>
        <w:t>had a very good understanding of the Program.</w:t>
      </w:r>
      <w:r w:rsidR="00DF5134">
        <w:rPr>
          <w:color w:val="000000" w:themeColor="text1"/>
        </w:rPr>
        <w:t xml:space="preserve"> </w:t>
      </w:r>
      <w:r>
        <w:t>However, consultations indicated understanding of the screening frequency is mixed owing to the recent changes to the screening interval – a policy change that was not announced via a large-scale communications campaign.</w:t>
      </w:r>
    </w:p>
    <w:p w14:paraId="320197B0" w14:textId="40CFC2BF" w:rsidR="00FB1709" w:rsidRDefault="000D4836" w:rsidP="000D4836">
      <w:r w:rsidRPr="00602FB3">
        <w:t>Program participation increased during Phase Four (</w:t>
      </w:r>
      <w:r w:rsidR="007F387F">
        <w:t xml:space="preserve">approximately </w:t>
      </w:r>
      <w:r w:rsidRPr="00602FB3">
        <w:t>41 per cent in 2015-16 rising to 44 per cent in 2018-19</w:t>
      </w:r>
      <w:r w:rsidR="00236490">
        <w:t xml:space="preserve">, as shown in </w:t>
      </w:r>
      <w:r w:rsidR="00236490">
        <w:fldChar w:fldCharType="begin"/>
      </w:r>
      <w:r w:rsidR="00236490">
        <w:instrText xml:space="preserve"> REF _Ref69452537 \r \h </w:instrText>
      </w:r>
      <w:r w:rsidR="00236490">
        <w:fldChar w:fldCharType="separate"/>
      </w:r>
      <w:r w:rsidR="00F27525">
        <w:t xml:space="preserve">Chart </w:t>
      </w:r>
      <w:proofErr w:type="spellStart"/>
      <w:r w:rsidR="00F27525">
        <w:t>i</w:t>
      </w:r>
      <w:proofErr w:type="spellEnd"/>
      <w:r w:rsidR="00236490">
        <w:fldChar w:fldCharType="end"/>
      </w:r>
      <w:r w:rsidRPr="00602FB3">
        <w:t>)</w:t>
      </w:r>
      <w:r>
        <w:t xml:space="preserve">, however participation rates </w:t>
      </w:r>
      <w:r w:rsidR="00FB1709">
        <w:t>remain</w:t>
      </w:r>
      <w:r>
        <w:t xml:space="preserve"> relatively low compared to </w:t>
      </w:r>
      <w:r w:rsidRPr="00166AC5">
        <w:t xml:space="preserve">other Australian </w:t>
      </w:r>
      <w:r w:rsidR="00D90834">
        <w:t xml:space="preserve">cancer </w:t>
      </w:r>
      <w:r w:rsidRPr="00166AC5">
        <w:t>screening programs as well as comparable programs across Europe and New Zealand</w:t>
      </w:r>
      <w:r w:rsidRPr="00602FB3">
        <w:t xml:space="preserve">. </w:t>
      </w:r>
      <w:r w:rsidR="00462885">
        <w:t xml:space="preserve">Improving the participation rate is therefore a key focus for the </w:t>
      </w:r>
      <w:r w:rsidR="00443A8B">
        <w:t>P</w:t>
      </w:r>
      <w:r w:rsidR="00462885">
        <w:t>rogram moving forward.</w:t>
      </w:r>
    </w:p>
    <w:p w14:paraId="526D46CF" w14:textId="217C0C04" w:rsidR="006D7696" w:rsidRDefault="00987B76" w:rsidP="000D4836">
      <w:r>
        <w:t xml:space="preserve">As shown in </w:t>
      </w:r>
      <w:r>
        <w:fldChar w:fldCharType="begin"/>
      </w:r>
      <w:r>
        <w:instrText xml:space="preserve"> REF _Ref69452537 \r \h </w:instrText>
      </w:r>
      <w:r>
        <w:fldChar w:fldCharType="separate"/>
      </w:r>
      <w:r w:rsidR="00F27525">
        <w:t xml:space="preserve">Chart </w:t>
      </w:r>
      <w:proofErr w:type="spellStart"/>
      <w:r w:rsidR="00F27525">
        <w:t>i</w:t>
      </w:r>
      <w:proofErr w:type="spellEnd"/>
      <w:r>
        <w:fldChar w:fldCharType="end"/>
      </w:r>
      <w:r>
        <w:t>, i</w:t>
      </w:r>
      <w:r w:rsidR="006E5690">
        <w:t xml:space="preserve">n </w:t>
      </w:r>
      <w:r w:rsidR="00ED4AED">
        <w:t>2018-19</w:t>
      </w:r>
      <w:r w:rsidR="006E5690">
        <w:t xml:space="preserve">, </w:t>
      </w:r>
      <w:r w:rsidR="008F1D66">
        <w:t xml:space="preserve">the </w:t>
      </w:r>
      <w:r w:rsidR="00682A6A">
        <w:t xml:space="preserve">participation </w:t>
      </w:r>
      <w:r>
        <w:t>rate among</w:t>
      </w:r>
      <w:r w:rsidR="006E5690">
        <w:t xml:space="preserve"> people aged 50 to 54 </w:t>
      </w:r>
      <w:r w:rsidR="00461EBD">
        <w:t>was</w:t>
      </w:r>
      <w:r w:rsidR="006E5690">
        <w:t xml:space="preserve"> </w:t>
      </w:r>
      <w:r w:rsidR="00B40537">
        <w:t xml:space="preserve">34 </w:t>
      </w:r>
      <w:r w:rsidR="00461EBD">
        <w:t>per cent</w:t>
      </w:r>
      <w:r w:rsidR="00E20A3F">
        <w:t>,</w:t>
      </w:r>
      <w:r w:rsidR="00DB79FB">
        <w:t xml:space="preserve"> </w:t>
      </w:r>
      <w:r w:rsidR="007A1B0F">
        <w:t>a rate that has gradually improved</w:t>
      </w:r>
      <w:r w:rsidR="00B1168D">
        <w:t xml:space="preserve"> </w:t>
      </w:r>
      <w:r w:rsidR="007A1B0F">
        <w:t>over time</w:t>
      </w:r>
      <w:r w:rsidR="00D22BB0">
        <w:t>.</w:t>
      </w:r>
      <w:r w:rsidR="00461EBD">
        <w:t xml:space="preserve"> </w:t>
      </w:r>
      <w:r w:rsidR="00FB61F1">
        <w:t>T</w:t>
      </w:r>
      <w:r w:rsidR="00556BED">
        <w:t xml:space="preserve">he participation rate was </w:t>
      </w:r>
      <w:r w:rsidR="00461EBD">
        <w:t>5</w:t>
      </w:r>
      <w:r w:rsidR="00B40537">
        <w:t>4</w:t>
      </w:r>
      <w:r w:rsidR="006E5690">
        <w:t xml:space="preserve"> per cent</w:t>
      </w:r>
      <w:r w:rsidR="00FB61F1">
        <w:t xml:space="preserve"> for people aged 7</w:t>
      </w:r>
      <w:r w:rsidR="00BE4328">
        <w:t>0 to 74</w:t>
      </w:r>
      <w:r w:rsidR="00FB61F1">
        <w:t xml:space="preserve"> in 2018-19</w:t>
      </w:r>
      <w:r w:rsidR="00556BED">
        <w:t>.</w:t>
      </w:r>
      <w:r w:rsidR="00682A6A">
        <w:t xml:space="preserve"> </w:t>
      </w:r>
    </w:p>
    <w:p w14:paraId="72557E65" w14:textId="01CDD6F1" w:rsidR="007E0D87" w:rsidRDefault="00651205" w:rsidP="000D4836">
      <w:r>
        <w:t xml:space="preserve">Several underlying factors may be contributing to </w:t>
      </w:r>
      <w:r w:rsidR="00E0077E">
        <w:t>older invitees participating at higher rates</w:t>
      </w:r>
      <w:r w:rsidR="00EE3A50">
        <w:t xml:space="preserve">. </w:t>
      </w:r>
      <w:r w:rsidR="009A227D">
        <w:t xml:space="preserve">Firstly, </w:t>
      </w:r>
      <w:r w:rsidR="006524C7">
        <w:t>the re</w:t>
      </w:r>
      <w:r w:rsidR="00675E3F">
        <w:t>-participation rate</w:t>
      </w:r>
      <w:r w:rsidR="005D04B7">
        <w:t xml:space="preserve"> </w:t>
      </w:r>
      <w:r w:rsidR="00675E3F">
        <w:t xml:space="preserve">for </w:t>
      </w:r>
      <w:r w:rsidR="00354859">
        <w:t>all</w:t>
      </w:r>
      <w:r w:rsidR="00675E3F">
        <w:t xml:space="preserve"> </w:t>
      </w:r>
      <w:r w:rsidR="00B433F0">
        <w:t xml:space="preserve">invitees </w:t>
      </w:r>
      <w:r w:rsidR="00C6554D">
        <w:t xml:space="preserve">was recently calculated </w:t>
      </w:r>
      <w:r w:rsidR="000F35DF">
        <w:t>at</w:t>
      </w:r>
      <w:r w:rsidR="00C6554D">
        <w:t xml:space="preserve"> 80 per cent.</w:t>
      </w:r>
      <w:r w:rsidR="00DE1D4B" w:rsidRPr="00DE1D4B">
        <w:rPr>
          <w:rStyle w:val="FootnoteReference"/>
        </w:rPr>
        <w:t xml:space="preserve"> </w:t>
      </w:r>
      <w:r w:rsidR="00DE1D4B" w:rsidRPr="00DE1D4B">
        <w:rPr>
          <w:rStyle w:val="FootnoteReference"/>
        </w:rPr>
        <w:footnoteReference w:id="8"/>
      </w:r>
      <w:r w:rsidR="00DE1D4B" w:rsidRPr="00F678D8">
        <w:rPr>
          <w:vertAlign w:val="superscript"/>
        </w:rPr>
        <w:t>,</w:t>
      </w:r>
      <w:r w:rsidR="00C6554D">
        <w:rPr>
          <w:rStyle w:val="FootnoteReference"/>
        </w:rPr>
        <w:footnoteReference w:id="9"/>
      </w:r>
      <w:r w:rsidR="00C6554D">
        <w:t xml:space="preserve"> </w:t>
      </w:r>
      <w:r w:rsidR="000F35DF">
        <w:t xml:space="preserve">As such, </w:t>
      </w:r>
      <w:r w:rsidR="009A227D">
        <w:t xml:space="preserve">invitees </w:t>
      </w:r>
      <w:r w:rsidR="004071F7">
        <w:t xml:space="preserve">at the upper end of the age </w:t>
      </w:r>
      <w:r w:rsidR="00DE5D1C">
        <w:t>bracket</w:t>
      </w:r>
      <w:r w:rsidR="0059555B">
        <w:t xml:space="preserve"> are more likely to</w:t>
      </w:r>
      <w:r w:rsidR="00777D20">
        <w:t xml:space="preserve"> have previously participated in the Program. </w:t>
      </w:r>
      <w:r w:rsidR="00E62F55">
        <w:t>Secondly,</w:t>
      </w:r>
      <w:r w:rsidR="005C2967">
        <w:t xml:space="preserve"> public health promotions regarding bowel cancer may </w:t>
      </w:r>
      <w:r w:rsidR="00912C4C">
        <w:t xml:space="preserve">implicitly or explicitly </w:t>
      </w:r>
      <w:r w:rsidR="00BF22E0">
        <w:t>target older cohorts</w:t>
      </w:r>
      <w:r w:rsidR="00D03EEC">
        <w:t xml:space="preserve">, </w:t>
      </w:r>
      <w:r w:rsidR="001F4110">
        <w:t xml:space="preserve">resulting in higher </w:t>
      </w:r>
      <w:r w:rsidR="001F4110">
        <w:lastRenderedPageBreak/>
        <w:t xml:space="preserve">participation. </w:t>
      </w:r>
      <w:r w:rsidR="00F94514">
        <w:t>Findings</w:t>
      </w:r>
      <w:r w:rsidR="001F4110">
        <w:t xml:space="preserve"> f</w:t>
      </w:r>
      <w:r w:rsidR="00682A6A">
        <w:t xml:space="preserve">rom the consumer survey </w:t>
      </w:r>
      <w:r w:rsidR="00F94514">
        <w:t xml:space="preserve">also </w:t>
      </w:r>
      <w:r w:rsidR="00682A6A">
        <w:t xml:space="preserve">suggest </w:t>
      </w:r>
      <w:r w:rsidR="006E5690">
        <w:t xml:space="preserve">an attitudinal barrier among younger cohorts on the perceived </w:t>
      </w:r>
      <w:r w:rsidR="00D60309">
        <w:t>‘</w:t>
      </w:r>
      <w:r w:rsidR="006E5690">
        <w:t>need</w:t>
      </w:r>
      <w:r w:rsidR="00D60309">
        <w:t>’</w:t>
      </w:r>
      <w:r w:rsidR="006E5690">
        <w:t xml:space="preserve"> for screening. </w:t>
      </w:r>
      <w:r w:rsidR="00D60309">
        <w:t>Sub-g</w:t>
      </w:r>
      <w:r w:rsidR="008A7AD0">
        <w:t>roups</w:t>
      </w:r>
      <w:r w:rsidR="001E2735">
        <w:t xml:space="preserve"> with </w:t>
      </w:r>
      <w:proofErr w:type="gramStart"/>
      <w:r w:rsidR="001E2735">
        <w:t>low</w:t>
      </w:r>
      <w:r w:rsidR="00D60309">
        <w:t>er th</w:t>
      </w:r>
      <w:r w:rsidR="00BE4328">
        <w:t>an</w:t>
      </w:r>
      <w:r w:rsidR="00D60309">
        <w:t xml:space="preserve"> average</w:t>
      </w:r>
      <w:proofErr w:type="gramEnd"/>
      <w:r w:rsidR="001E2735">
        <w:t xml:space="preserve"> participation rates </w:t>
      </w:r>
      <w:r w:rsidR="00710F27">
        <w:t>include</w:t>
      </w:r>
      <w:r w:rsidR="00D60309">
        <w:t>d</w:t>
      </w:r>
      <w:r w:rsidR="001E2735">
        <w:t xml:space="preserve"> </w:t>
      </w:r>
      <w:r w:rsidR="00710F27">
        <w:t xml:space="preserve">Aboriginal and Torres Strait Islander people (23 per cent), </w:t>
      </w:r>
      <w:r w:rsidR="003C228A">
        <w:t>residen</w:t>
      </w:r>
      <w:r w:rsidR="00D32614">
        <w:t>ts</w:t>
      </w:r>
      <w:r w:rsidR="003C228A">
        <w:t xml:space="preserve"> in</w:t>
      </w:r>
      <w:r w:rsidR="001E2735">
        <w:t xml:space="preserve"> </w:t>
      </w:r>
      <w:r w:rsidR="00710F27">
        <w:t>very remote areas (</w:t>
      </w:r>
      <w:r w:rsidR="001E2735">
        <w:t>27 per cent</w:t>
      </w:r>
      <w:r w:rsidR="00710F27">
        <w:t>),</w:t>
      </w:r>
      <w:r w:rsidR="004F1B76">
        <w:t xml:space="preserve"> </w:t>
      </w:r>
      <w:r w:rsidR="00710F27">
        <w:t xml:space="preserve">those who speak a language other than English at home (estimated </w:t>
      </w:r>
      <w:r w:rsidR="00380128">
        <w:t xml:space="preserve">at </w:t>
      </w:r>
      <w:r w:rsidR="00710F27">
        <w:t xml:space="preserve">between </w:t>
      </w:r>
      <w:r w:rsidR="004F1B76">
        <w:t>24 per cent and 33 per cent)</w:t>
      </w:r>
      <w:r w:rsidR="00D32614">
        <w:t xml:space="preserve"> and people with a disability (36 per cent)</w:t>
      </w:r>
      <w:r w:rsidR="00B939F5">
        <w:t>.</w:t>
      </w:r>
      <w:r w:rsidR="001E2735">
        <w:t xml:space="preserve"> </w:t>
      </w:r>
    </w:p>
    <w:p w14:paraId="7B5DFEB7" w14:textId="77777777" w:rsidR="00582182" w:rsidRDefault="00236490" w:rsidP="00880DC4">
      <w:pPr>
        <w:pStyle w:val="ExecChartCaption"/>
        <w:keepNext w:val="0"/>
        <w:keepLines w:val="0"/>
      </w:pPr>
      <w:bookmarkStart w:id="43" w:name="_Ref69452537"/>
      <w:r>
        <w:t xml:space="preserve">: </w:t>
      </w:r>
      <w:r w:rsidR="004769BF">
        <w:t>NBCSP participation rate, by age, over time</w:t>
      </w:r>
    </w:p>
    <w:bookmarkEnd w:id="43"/>
    <w:p w14:paraId="1ED14A63" w14:textId="2EB65CDA" w:rsidR="004769BF" w:rsidRPr="006D4DA7" w:rsidRDefault="003F4F6E" w:rsidP="009B7473">
      <w:r w:rsidRPr="009B7473">
        <w:rPr>
          <w:noProof/>
        </w:rPr>
        <w:drawing>
          <wp:inline distT="0" distB="0" distL="0" distR="0" wp14:anchorId="31AE80C4" wp14:editId="314A2BA3">
            <wp:extent cx="4782860" cy="3067050"/>
            <wp:effectExtent l="0" t="0" r="0" b="0"/>
            <wp:docPr id="11" name="Picture 11" descr="Chart ii is a line graph showing the NBCSP participation rate, by age,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ii is a line graph showing the NBCSP participation rate, by age, over tim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11128" cy="3085177"/>
                    </a:xfrm>
                    <a:prstGeom prst="rect">
                      <a:avLst/>
                    </a:prstGeom>
                    <a:noFill/>
                    <a:ln>
                      <a:noFill/>
                    </a:ln>
                  </pic:spPr>
                </pic:pic>
              </a:graphicData>
            </a:graphic>
          </wp:inline>
        </w:drawing>
      </w:r>
    </w:p>
    <w:p w14:paraId="15E5754A" w14:textId="6082CC1C" w:rsidR="004769BF" w:rsidRDefault="004769BF" w:rsidP="004769BF">
      <w:pPr>
        <w:pStyle w:val="Sources"/>
        <w:spacing w:before="0"/>
      </w:pPr>
      <w:r>
        <w:t xml:space="preserve">Source: AIHW, </w:t>
      </w:r>
      <w:r>
        <w:rPr>
          <w:i/>
          <w:iCs w:val="0"/>
        </w:rPr>
        <w:t>Cancer Screening programs: quarterly data</w:t>
      </w:r>
      <w:r>
        <w:t xml:space="preserve"> (2020). </w:t>
      </w:r>
    </w:p>
    <w:p w14:paraId="7F2B940B" w14:textId="494D0398" w:rsidR="00C06BE2" w:rsidRDefault="00C06BE2" w:rsidP="000D4836">
      <w:r>
        <w:t xml:space="preserve">The results of the </w:t>
      </w:r>
      <w:r w:rsidR="001A1858">
        <w:t xml:space="preserve">stakeholder interviews and </w:t>
      </w:r>
      <w:r>
        <w:t xml:space="preserve">consumer survey identified </w:t>
      </w:r>
      <w:proofErr w:type="gramStart"/>
      <w:r>
        <w:t>a number of</w:t>
      </w:r>
      <w:proofErr w:type="gramEnd"/>
      <w:r>
        <w:t xml:space="preserve"> </w:t>
      </w:r>
      <w:r w:rsidR="009B237D">
        <w:t>factors that enabled participation</w:t>
      </w:r>
      <w:r w:rsidR="00727DD9">
        <w:t xml:space="preserve">, as well </w:t>
      </w:r>
      <w:r w:rsidR="000F7A82">
        <w:t>as other</w:t>
      </w:r>
      <w:r w:rsidR="00820DB1">
        <w:t xml:space="preserve"> factors</w:t>
      </w:r>
      <w:r w:rsidR="009B237D">
        <w:t xml:space="preserve"> that acted as a barrier.</w:t>
      </w:r>
    </w:p>
    <w:p w14:paraId="54DEDB68" w14:textId="3AF47E86" w:rsidR="000D4836" w:rsidRDefault="000D4836" w:rsidP="000D4836">
      <w:r w:rsidRPr="00952DA9">
        <w:t>Key enablers to Program participation include</w:t>
      </w:r>
      <w:r>
        <w:t>d:</w:t>
      </w:r>
    </w:p>
    <w:p w14:paraId="3D1D8B9F" w14:textId="4CFF7565" w:rsidR="00A26468" w:rsidRPr="009B7473" w:rsidRDefault="004126EB" w:rsidP="00BE365A">
      <w:pPr>
        <w:pStyle w:val="ListBullet"/>
        <w:spacing w:after="170"/>
      </w:pPr>
      <w:r>
        <w:rPr>
          <w:b/>
          <w:bCs/>
          <w:color w:val="000000" w:themeColor="text1"/>
        </w:rPr>
        <w:t>Pre-invitation letter</w:t>
      </w:r>
      <w:r w:rsidR="00225C81">
        <w:rPr>
          <w:b/>
          <w:bCs/>
          <w:color w:val="000000" w:themeColor="text1"/>
        </w:rPr>
        <w:t>.</w:t>
      </w:r>
      <w:r>
        <w:rPr>
          <w:b/>
          <w:bCs/>
          <w:color w:val="000000" w:themeColor="text1"/>
        </w:rPr>
        <w:t xml:space="preserve"> </w:t>
      </w:r>
      <w:r w:rsidR="000B7019" w:rsidRPr="00537F27">
        <w:t xml:space="preserve">A </w:t>
      </w:r>
      <w:r w:rsidR="000D4836">
        <w:t>pre-invitation letter</w:t>
      </w:r>
      <w:r w:rsidR="000B7019" w:rsidRPr="00537F27">
        <w:t xml:space="preserve"> is consider</w:t>
      </w:r>
      <w:r w:rsidR="000B7019">
        <w:t>ed</w:t>
      </w:r>
      <w:r w:rsidR="000B7019" w:rsidRPr="00537F27">
        <w:t xml:space="preserve"> best-practice in the </w:t>
      </w:r>
      <w:r w:rsidR="000B7019">
        <w:t xml:space="preserve">mail-out </w:t>
      </w:r>
      <w:r w:rsidR="000B7019" w:rsidRPr="00537F27">
        <w:t>cancer screening program literature</w:t>
      </w:r>
      <w:r w:rsidR="000B7019">
        <w:t xml:space="preserve"> and was cited by </w:t>
      </w:r>
      <w:proofErr w:type="gramStart"/>
      <w:r w:rsidR="000B7019">
        <w:t>a number of</w:t>
      </w:r>
      <w:proofErr w:type="gramEnd"/>
      <w:r w:rsidR="000B7019">
        <w:t xml:space="preserve"> stakeholders as important in increasing the readiness of participants (especially first</w:t>
      </w:r>
      <w:r w:rsidR="00805F3A">
        <w:t>-</w:t>
      </w:r>
      <w:r w:rsidR="000B7019">
        <w:t>time participants)</w:t>
      </w:r>
      <w:r w:rsidR="00805F3A">
        <w:t>.</w:t>
      </w:r>
    </w:p>
    <w:p w14:paraId="687A72B0" w14:textId="5C267A01" w:rsidR="00A26468" w:rsidRPr="009B7473" w:rsidRDefault="004126EB" w:rsidP="009B7473">
      <w:pPr>
        <w:pStyle w:val="ListBullet"/>
      </w:pPr>
      <w:r>
        <w:rPr>
          <w:b/>
          <w:bCs/>
          <w:color w:val="000000" w:themeColor="text1"/>
        </w:rPr>
        <w:t>Simplified kit instructions.</w:t>
      </w:r>
      <w:r w:rsidR="00FC76F9">
        <w:rPr>
          <w:b/>
          <w:bCs/>
          <w:color w:val="000000" w:themeColor="text1"/>
        </w:rPr>
        <w:t xml:space="preserve"> </w:t>
      </w:r>
      <w:r w:rsidR="00FC76F9">
        <w:t>The use of plain English and illustrations were seen to be significant improvement to kit instructions by stakeholders consult</w:t>
      </w:r>
      <w:r w:rsidR="00B23BC5">
        <w:t>ed</w:t>
      </w:r>
      <w:r w:rsidR="00FC76F9">
        <w:t>, particularly for people with low literacy levels.</w:t>
      </w:r>
    </w:p>
    <w:p w14:paraId="5E024FA7" w14:textId="515720CB" w:rsidR="00225C81" w:rsidRPr="009B7473" w:rsidRDefault="00225C81" w:rsidP="009B7473">
      <w:pPr>
        <w:pStyle w:val="ListBullet"/>
      </w:pPr>
      <w:r>
        <w:rPr>
          <w:b/>
          <w:bCs/>
          <w:color w:val="000000" w:themeColor="text1"/>
        </w:rPr>
        <w:t>‘Peace of mind’.</w:t>
      </w:r>
      <w:r w:rsidR="00E47CB8" w:rsidRPr="00E47CB8">
        <w:t xml:space="preserve"> </w:t>
      </w:r>
      <w:r w:rsidR="00E47CB8">
        <w:t>The consumer survey found</w:t>
      </w:r>
      <w:r w:rsidR="00E47CB8" w:rsidRPr="00F853FE">
        <w:t xml:space="preserve"> that </w:t>
      </w:r>
      <w:r w:rsidR="00E47CB8">
        <w:t>approximately eight in ten people who participated in the Program did so, in part</w:t>
      </w:r>
      <w:r w:rsidR="00E47CB8" w:rsidRPr="0025167D">
        <w:t>, for</w:t>
      </w:r>
      <w:r w:rsidR="00E47CB8" w:rsidRPr="0025167D">
        <w:rPr>
          <w:i/>
          <w:iCs/>
        </w:rPr>
        <w:t xml:space="preserve"> ‘peace of mind’.</w:t>
      </w:r>
    </w:p>
    <w:p w14:paraId="739B2B9D" w14:textId="7F943034" w:rsidR="008A37C4" w:rsidRPr="009B7473" w:rsidRDefault="00225C81" w:rsidP="00880DC4">
      <w:pPr>
        <w:pStyle w:val="ListBullet"/>
      </w:pPr>
      <w:r w:rsidRPr="0040472C">
        <w:rPr>
          <w:b/>
          <w:bCs/>
        </w:rPr>
        <w:t>C</w:t>
      </w:r>
      <w:r w:rsidR="000D4836" w:rsidRPr="0040472C">
        <w:rPr>
          <w:b/>
          <w:bCs/>
        </w:rPr>
        <w:t>ulturally tailored pathways for people from Aboriginal and Torres Strait Islander backgrounds.</w:t>
      </w:r>
      <w:r w:rsidR="00507E66" w:rsidRPr="0040472C">
        <w:t xml:space="preserve"> </w:t>
      </w:r>
      <w:r w:rsidR="0040472C" w:rsidRPr="0040472C">
        <w:rPr>
          <w:i/>
          <w:iCs/>
        </w:rPr>
        <w:t>See the ‘Appropriateness’ section above for further detail on the Alternative Pathway Pilot.</w:t>
      </w:r>
    </w:p>
    <w:p w14:paraId="3D25E53A" w14:textId="72279565" w:rsidR="000D4836" w:rsidRDefault="000D4836" w:rsidP="000D4836">
      <w:pPr>
        <w:rPr>
          <w:color w:val="000000" w:themeColor="text1"/>
        </w:rPr>
      </w:pPr>
      <w:r>
        <w:rPr>
          <w:color w:val="000000" w:themeColor="text1"/>
        </w:rPr>
        <w:t>Key barriers to Program participation included:</w:t>
      </w:r>
    </w:p>
    <w:p w14:paraId="1C6EFFB9" w14:textId="0D784648" w:rsidR="00A11393" w:rsidRPr="009B7473" w:rsidRDefault="00A11393" w:rsidP="009B7473">
      <w:pPr>
        <w:pStyle w:val="ListBullet"/>
      </w:pPr>
      <w:r>
        <w:rPr>
          <w:b/>
          <w:bCs/>
        </w:rPr>
        <w:t>Procrastination.</w:t>
      </w:r>
      <w:r w:rsidRPr="00E47CB8">
        <w:t xml:space="preserve"> </w:t>
      </w:r>
      <w:r w:rsidR="00F40946">
        <w:t xml:space="preserve">For the consumer survey respondents who received a kit and did not complete another form of screening, the number one reason for non-completion was </w:t>
      </w:r>
      <w:r w:rsidR="00F40946" w:rsidRPr="00E22544">
        <w:rPr>
          <w:i/>
          <w:iCs/>
        </w:rPr>
        <w:t xml:space="preserve">‘wanted to do it but did not get around to it’ </w:t>
      </w:r>
      <w:r w:rsidR="00F40946">
        <w:t>(61 per cent of non-completers</w:t>
      </w:r>
      <w:r w:rsidR="000169CE">
        <w:rPr>
          <w:rStyle w:val="FootnoteReference"/>
          <w:color w:val="000000" w:themeColor="text1"/>
        </w:rPr>
        <w:footnoteReference w:id="10"/>
      </w:r>
      <w:r w:rsidR="00AC1842">
        <w:t>).</w:t>
      </w:r>
    </w:p>
    <w:p w14:paraId="1B3B91AC" w14:textId="18155D87" w:rsidR="007F094C" w:rsidRPr="009B7473" w:rsidRDefault="00A11393" w:rsidP="009B7473">
      <w:pPr>
        <w:pStyle w:val="ListBullet"/>
      </w:pPr>
      <w:r>
        <w:rPr>
          <w:b/>
          <w:bCs/>
        </w:rPr>
        <w:t>Perceived hygiene concerns</w:t>
      </w:r>
      <w:r w:rsidRPr="001E2452">
        <w:rPr>
          <w:b/>
          <w:bCs/>
        </w:rPr>
        <w:t>.</w:t>
      </w:r>
      <w:r>
        <w:rPr>
          <w:b/>
          <w:bCs/>
        </w:rPr>
        <w:t xml:space="preserve"> </w:t>
      </w:r>
      <w:r w:rsidR="00CC1E40">
        <w:t>Following procrastination,</w:t>
      </w:r>
      <w:r w:rsidR="00AC1842" w:rsidRPr="007172F5">
        <w:t xml:space="preserve"> the</w:t>
      </w:r>
      <w:r w:rsidR="00AC1842">
        <w:t xml:space="preserve"> </w:t>
      </w:r>
      <w:r w:rsidR="00AC1842" w:rsidRPr="00C80658">
        <w:t xml:space="preserve">number </w:t>
      </w:r>
      <w:r w:rsidR="00AC1842">
        <w:t>two</w:t>
      </w:r>
      <w:r w:rsidR="00AC1842" w:rsidRPr="00C80658">
        <w:t xml:space="preserve"> reason for non-completion </w:t>
      </w:r>
      <w:r w:rsidR="00AC1842">
        <w:t>was</w:t>
      </w:r>
      <w:r w:rsidR="00AC1842" w:rsidRPr="00C80658">
        <w:t xml:space="preserve"> </w:t>
      </w:r>
      <w:r w:rsidR="00AC1842">
        <w:t>perceived hygiene of the kit and/or personal embarrassment (54</w:t>
      </w:r>
      <w:r w:rsidR="00097A28">
        <w:t xml:space="preserve"> per cent</w:t>
      </w:r>
      <w:r w:rsidR="00AC1842">
        <w:t xml:space="preserve"> of non-completers</w:t>
      </w:r>
      <w:r w:rsidR="006C2CA5">
        <w:t>).</w:t>
      </w:r>
    </w:p>
    <w:p w14:paraId="7820C0BA" w14:textId="77777777" w:rsidR="00424318" w:rsidRDefault="001605BE" w:rsidP="009B7473">
      <w:pPr>
        <w:pStyle w:val="ListBullet"/>
      </w:pPr>
      <w:r w:rsidRPr="007F094C">
        <w:rPr>
          <w:b/>
          <w:bCs/>
        </w:rPr>
        <w:lastRenderedPageBreak/>
        <w:t xml:space="preserve">Strict return </w:t>
      </w:r>
      <w:r w:rsidR="006E2B5A" w:rsidRPr="007F094C">
        <w:rPr>
          <w:b/>
          <w:bCs/>
        </w:rPr>
        <w:t>postage requirements</w:t>
      </w:r>
      <w:r w:rsidR="007F094C">
        <w:rPr>
          <w:b/>
          <w:bCs/>
        </w:rPr>
        <w:t>.</w:t>
      </w:r>
      <w:r w:rsidR="006E2B5A" w:rsidRPr="007F094C">
        <w:rPr>
          <w:b/>
          <w:bCs/>
        </w:rPr>
        <w:t xml:space="preserve"> </w:t>
      </w:r>
      <w:r w:rsidR="007F094C" w:rsidRPr="00D212E2">
        <w:t xml:space="preserve">This was </w:t>
      </w:r>
      <w:r w:rsidR="00D212E2" w:rsidRPr="00D212E2">
        <w:t xml:space="preserve">highlighted as a barrier for people residing in rural </w:t>
      </w:r>
      <w:r w:rsidR="00D212E2">
        <w:t>and</w:t>
      </w:r>
      <w:r w:rsidR="00D212E2" w:rsidRPr="00D212E2">
        <w:t xml:space="preserve"> remote locations</w:t>
      </w:r>
      <w:r w:rsidRPr="007F094C">
        <w:t xml:space="preserve"> </w:t>
      </w:r>
      <w:r w:rsidR="00D212E2">
        <w:t xml:space="preserve">due to their unique barriers </w:t>
      </w:r>
      <w:r w:rsidR="004550E9">
        <w:t>in accessing post offices and post boxes at appropriate times.</w:t>
      </w:r>
      <w:r w:rsidR="00AC0CDE">
        <w:t xml:space="preserve"> The consumer survey showed that the number one change to the Program </w:t>
      </w:r>
      <w:r w:rsidR="00AC0CDE" w:rsidRPr="00AC0CDE">
        <w:t>that would encourage people from rural and remote regions to complete a kit next</w:t>
      </w:r>
      <w:r w:rsidR="00AC0CDE">
        <w:t xml:space="preserve"> time was, </w:t>
      </w:r>
      <w:r w:rsidR="00AC0CDE" w:rsidRPr="00992B1C">
        <w:rPr>
          <w:i/>
          <w:iCs/>
        </w:rPr>
        <w:t>‘I could return the test to a GP, pharmacy or pathology collection centre’</w:t>
      </w:r>
      <w:r w:rsidR="00AC0CDE">
        <w:t>.</w:t>
      </w:r>
    </w:p>
    <w:p w14:paraId="2E70EB58" w14:textId="173F72B8" w:rsidR="00072B35" w:rsidRPr="00424318" w:rsidRDefault="00072B35" w:rsidP="00072B35">
      <w:pPr>
        <w:pStyle w:val="ListBullet"/>
        <w:spacing w:after="170"/>
        <w:rPr>
          <w:color w:val="000000" w:themeColor="text1"/>
        </w:rPr>
      </w:pPr>
      <w:r w:rsidRPr="00424318">
        <w:rPr>
          <w:b/>
          <w:bCs/>
        </w:rPr>
        <w:t xml:space="preserve">Underuse of primary care as a resource. </w:t>
      </w:r>
      <w:r>
        <w:t xml:space="preserve">Currently, GPs are not involved in the screening pathway until the participant has completed the kit. There was consensus across stakeholders consulted that GPs, or other practitioners such as practice nurses or pharmacists, could act as a ‘trusted advisor’ and encourage participation in the Program, through providing education about the benefits of screening and encouraging compliance. </w:t>
      </w:r>
    </w:p>
    <w:p w14:paraId="179E495B" w14:textId="3D016D27" w:rsidR="00072B35" w:rsidRPr="003D16E6" w:rsidRDefault="00072B35" w:rsidP="00424318">
      <w:pPr>
        <w:pStyle w:val="ListBullet"/>
        <w:numPr>
          <w:ilvl w:val="0"/>
          <w:numId w:val="0"/>
        </w:numPr>
        <w:spacing w:after="170"/>
        <w:ind w:left="340"/>
        <w:rPr>
          <w:color w:val="000000" w:themeColor="text1"/>
        </w:rPr>
      </w:pPr>
      <w:r>
        <w:t>GPs and practice nurses could also be used a resource to identify and ‘opt-out’ (via the HPP) patients for whom screening may not be appropriate (</w:t>
      </w:r>
      <w:proofErr w:type="gramStart"/>
      <w:r>
        <w:t>e.g.</w:t>
      </w:r>
      <w:proofErr w:type="gramEnd"/>
      <w:r>
        <w:t xml:space="preserve"> those with overt bleeding or where a colonoscopy is considered too risky) or those who have recently used other forms of screening.</w:t>
      </w:r>
    </w:p>
    <w:p w14:paraId="3660C783" w14:textId="1CB2436E" w:rsidR="000F4B37" w:rsidRDefault="000F4B37" w:rsidP="009B7473">
      <w:pPr>
        <w:pStyle w:val="ListBullet"/>
      </w:pPr>
      <w:r w:rsidRPr="0067520B">
        <w:rPr>
          <w:b/>
          <w:bCs/>
        </w:rPr>
        <w:t>Single mode of kit distribution</w:t>
      </w:r>
      <w:r w:rsidRPr="00DD4E15">
        <w:t xml:space="preserve">. </w:t>
      </w:r>
      <w:r w:rsidR="007C4D20">
        <w:t>Multiple s</w:t>
      </w:r>
      <w:r w:rsidRPr="00DD4E15">
        <w:t>takeholder</w:t>
      </w:r>
      <w:r>
        <w:t xml:space="preserve">s consulted </w:t>
      </w:r>
      <w:r w:rsidR="007C4D20">
        <w:t>held the view that</w:t>
      </w:r>
      <w:r>
        <w:rPr>
          <w:b/>
          <w:bCs/>
        </w:rPr>
        <w:t xml:space="preserve"> </w:t>
      </w:r>
      <w:r w:rsidRPr="005D6438">
        <w:t xml:space="preserve">the </w:t>
      </w:r>
      <w:r>
        <w:t xml:space="preserve">single mode of kit distribution (via the mail) may have contributed to use of alternative at-home kits. It was noted that GPs and pharmacists often promote screening as part of routine health checks, yet the timing of </w:t>
      </w:r>
      <w:r w:rsidR="00B06F06">
        <w:t xml:space="preserve">receipt of the </w:t>
      </w:r>
      <w:r w:rsidR="00745B51">
        <w:t>Program kit</w:t>
      </w:r>
      <w:r>
        <w:t xml:space="preserve"> may not align with the timing of these health checks, resulting in the use of more accessible kits through GPs and pharmacies.</w:t>
      </w:r>
    </w:p>
    <w:p w14:paraId="700B8EB1" w14:textId="04DA3D02" w:rsidR="003771B5" w:rsidRPr="003771B5" w:rsidRDefault="00A32AA1" w:rsidP="009B7473">
      <w:pPr>
        <w:pStyle w:val="ListBullet"/>
      </w:pPr>
      <w:r>
        <w:rPr>
          <w:b/>
          <w:bCs/>
        </w:rPr>
        <w:t>The letter content and kit design.</w:t>
      </w:r>
      <w:r w:rsidR="00D67CC5">
        <w:rPr>
          <w:b/>
          <w:bCs/>
        </w:rPr>
        <w:t xml:space="preserve"> </w:t>
      </w:r>
      <w:r w:rsidR="00F868BC" w:rsidRPr="003771B5">
        <w:t xml:space="preserve">The consumer survey found that </w:t>
      </w:r>
      <w:r w:rsidR="004F1EDA">
        <w:t>39</w:t>
      </w:r>
      <w:r w:rsidR="00F868BC">
        <w:t xml:space="preserve"> per cent</w:t>
      </w:r>
      <w:r w:rsidR="00E2576A">
        <w:t xml:space="preserve"> of non-completers decide to not complete the kit after reading the kit instructions. This suggests that the kit and instructions are an important </w:t>
      </w:r>
      <w:r w:rsidR="00B03DDA">
        <w:t>hook but</w:t>
      </w:r>
      <w:r w:rsidR="00E2576A">
        <w:t xml:space="preserve"> can also act as a deterrent</w:t>
      </w:r>
      <w:r w:rsidR="009407D7">
        <w:t xml:space="preserve"> to participation</w:t>
      </w:r>
      <w:r w:rsidR="003771B5">
        <w:t>.</w:t>
      </w:r>
    </w:p>
    <w:p w14:paraId="2A7C3173" w14:textId="6994D7DA" w:rsidR="00A32AA1" w:rsidRPr="00AC0CDE" w:rsidRDefault="00A32AA1" w:rsidP="009B7473">
      <w:pPr>
        <w:pStyle w:val="ListBullet"/>
      </w:pPr>
      <w:r w:rsidRPr="003771B5">
        <w:rPr>
          <w:b/>
          <w:bCs/>
        </w:rPr>
        <w:t>Health literacy.</w:t>
      </w:r>
      <w:r w:rsidR="00C35FC8" w:rsidRPr="003771B5">
        <w:rPr>
          <w:b/>
          <w:bCs/>
        </w:rPr>
        <w:t xml:space="preserve"> </w:t>
      </w:r>
      <w:r w:rsidR="00C35FC8" w:rsidRPr="003771B5">
        <w:t xml:space="preserve">The </w:t>
      </w:r>
      <w:r w:rsidR="00C35FC8" w:rsidRPr="00C21BBE">
        <w:t xml:space="preserve">consumer survey found that </w:t>
      </w:r>
      <w:r w:rsidR="00F77DF3" w:rsidRPr="00C21BBE">
        <w:t>non-participants</w:t>
      </w:r>
      <w:r w:rsidR="00C35FC8" w:rsidRPr="00C21BBE">
        <w:t xml:space="preserve"> located in rural and remote </w:t>
      </w:r>
      <w:r w:rsidR="00995E32">
        <w:t>areas</w:t>
      </w:r>
      <w:r w:rsidR="00820887" w:rsidRPr="00C21BBE">
        <w:t xml:space="preserve"> </w:t>
      </w:r>
      <w:r w:rsidR="00C35FC8" w:rsidRPr="00C21BBE">
        <w:t>and low socio-economic status were</w:t>
      </w:r>
      <w:r w:rsidR="00C35FC8" w:rsidRPr="003771B5">
        <w:t xml:space="preserve"> more likely to cite </w:t>
      </w:r>
      <w:r w:rsidR="00C35FC8" w:rsidRPr="003771B5">
        <w:rPr>
          <w:i/>
          <w:iCs/>
        </w:rPr>
        <w:t xml:space="preserve">‘did not see the need’ </w:t>
      </w:r>
      <w:r w:rsidR="00C35FC8" w:rsidRPr="003771B5">
        <w:t>as a reason for non-completion, as compared with other groups</w:t>
      </w:r>
      <w:r w:rsidR="003771B5" w:rsidRPr="003771B5">
        <w:t xml:space="preserve"> of non-participants</w:t>
      </w:r>
      <w:r w:rsidR="00C35FC8" w:rsidRPr="003771B5">
        <w:t>.</w:t>
      </w:r>
    </w:p>
    <w:p w14:paraId="3C1A6E19" w14:textId="1C7B55C4" w:rsidR="00AC0CDE" w:rsidRPr="003771B5" w:rsidRDefault="00AC0CDE" w:rsidP="009B7473">
      <w:r>
        <w:t>The survey also showed that people in these groups were more likely to decide not to complete the kit before reading the instructions, suggesting that mechanisms to overcome this barrier should occur outside of modifications to the kit itself (</w:t>
      </w:r>
      <w:proofErr w:type="gramStart"/>
      <w:r>
        <w:t>e.g.</w:t>
      </w:r>
      <w:proofErr w:type="gramEnd"/>
      <w:r>
        <w:t xml:space="preserve"> via education from a healthcare professional, through media </w:t>
      </w:r>
      <w:r w:rsidRPr="009B7473">
        <w:t>campaigns</w:t>
      </w:r>
      <w:r>
        <w:t xml:space="preserve"> or through messaging modifications to the pre-invitation letter, the packaging of the kit or the kit).</w:t>
      </w:r>
    </w:p>
    <w:p w14:paraId="61AC1B2B" w14:textId="114A8F8C" w:rsidR="008038C4" w:rsidRDefault="00A32AA1" w:rsidP="009B7473">
      <w:pPr>
        <w:pStyle w:val="ListBullet"/>
      </w:pPr>
      <w:r>
        <w:rPr>
          <w:b/>
          <w:bCs/>
        </w:rPr>
        <w:t>Fragmented and time-limited communications.</w:t>
      </w:r>
      <w:r w:rsidR="003771B5">
        <w:rPr>
          <w:b/>
          <w:bCs/>
        </w:rPr>
        <w:t xml:space="preserve"> </w:t>
      </w:r>
      <w:r w:rsidR="003771B5" w:rsidRPr="00627F93">
        <w:t>Evidence in the literature shows that public health media and communications campaigns are effective in facilitating behaviour change at their peak, b</w:t>
      </w:r>
      <w:r w:rsidR="003771B5">
        <w:t>ut their benefits gradually diminish over time.</w:t>
      </w:r>
      <w:r w:rsidR="003771B5" w:rsidRPr="005325B7">
        <w:rPr>
          <w:rStyle w:val="EndnoteReference"/>
        </w:rPr>
        <w:endnoteReference w:id="6"/>
      </w:r>
      <w:r w:rsidR="003771B5" w:rsidRPr="005325B7">
        <w:rPr>
          <w:vertAlign w:val="superscript"/>
        </w:rPr>
        <w:t>,</w:t>
      </w:r>
      <w:r w:rsidR="003771B5" w:rsidRPr="005325B7">
        <w:rPr>
          <w:rStyle w:val="EndnoteReference"/>
        </w:rPr>
        <w:endnoteReference w:id="7"/>
      </w:r>
      <w:r w:rsidR="003771B5" w:rsidRPr="005325B7">
        <w:rPr>
          <w:vertAlign w:val="superscript"/>
        </w:rPr>
        <w:t xml:space="preserve"> </w:t>
      </w:r>
      <w:r w:rsidR="00FD09F2">
        <w:t>To date, the Program has not invested in long-term media and communications campaigns.</w:t>
      </w:r>
    </w:p>
    <w:p w14:paraId="00E14E6B" w14:textId="592C8617" w:rsidR="001B0A82" w:rsidRPr="00880DC4" w:rsidRDefault="001B0A82" w:rsidP="009B7473">
      <w:pPr>
        <w:pStyle w:val="ListBullet"/>
      </w:pPr>
      <w:r>
        <w:rPr>
          <w:b/>
          <w:bCs/>
        </w:rPr>
        <w:t>Accessibility for C</w:t>
      </w:r>
      <w:r w:rsidR="00D84AAE">
        <w:rPr>
          <w:b/>
          <w:bCs/>
        </w:rPr>
        <w:t xml:space="preserve">ulturally and Linguistically Diverse (CALD) </w:t>
      </w:r>
      <w:r>
        <w:rPr>
          <w:b/>
          <w:bCs/>
        </w:rPr>
        <w:t>groups</w:t>
      </w:r>
      <w:r w:rsidRPr="00463A41">
        <w:rPr>
          <w:b/>
          <w:bCs/>
        </w:rPr>
        <w:t>.</w:t>
      </w:r>
      <w:r w:rsidRPr="00F93253">
        <w:t xml:space="preserve"> </w:t>
      </w:r>
      <w:r w:rsidRPr="003569FF">
        <w:t xml:space="preserve">The consumer survey showed that </w:t>
      </w:r>
      <w:r>
        <w:t xml:space="preserve">the number one change to the Program that would encourage </w:t>
      </w:r>
      <w:r w:rsidR="00D84AAE">
        <w:t>non-completers</w:t>
      </w:r>
      <w:r>
        <w:t xml:space="preserve"> </w:t>
      </w:r>
      <w:r w:rsidRPr="001B0A82">
        <w:t>from CALD backgrounds</w:t>
      </w:r>
      <w:r w:rsidRPr="001B0A82">
        <w:rPr>
          <w:b/>
          <w:bCs/>
        </w:rPr>
        <w:t xml:space="preserve"> </w:t>
      </w:r>
      <w:r w:rsidRPr="001B0A82">
        <w:t>to complete</w:t>
      </w:r>
      <w:r>
        <w:t xml:space="preserve"> a kit next time was ‘</w:t>
      </w:r>
      <w:r w:rsidRPr="003569FF">
        <w:rPr>
          <w:i/>
          <w:iCs/>
        </w:rPr>
        <w:t>the information provided showed someone I trust talking about screening’</w:t>
      </w:r>
      <w:r>
        <w:t xml:space="preserve">, followed by </w:t>
      </w:r>
      <w:r w:rsidRPr="00992B1C">
        <w:rPr>
          <w:i/>
          <w:iCs/>
        </w:rPr>
        <w:t>’I could see a demonstration through a cartoon or video’</w:t>
      </w:r>
    </w:p>
    <w:p w14:paraId="1C2115EC" w14:textId="0932D183" w:rsidR="00880DC4" w:rsidRDefault="00880DC4" w:rsidP="00880DC4">
      <w:pPr>
        <w:pStyle w:val="Heading4un-numbered"/>
      </w:pPr>
      <w:r>
        <w:t>Opportunities</w:t>
      </w:r>
    </w:p>
    <w:p w14:paraId="6D8E4422" w14:textId="77777777" w:rsidR="00880DC4" w:rsidRDefault="00880DC4" w:rsidP="009B7473">
      <w:pPr>
        <w:pStyle w:val="ListBullet"/>
        <w:rPr>
          <w:lang w:val="en-US"/>
        </w:rPr>
      </w:pPr>
      <w:r w:rsidRPr="00565D3F">
        <w:rPr>
          <w:lang w:val="en-US"/>
        </w:rPr>
        <w:t xml:space="preserve">Implement sustained and coordinated media and communications campaigns. Campaigns should be national in nature (across jurisdictional and cancer charities, where possible) to promote a coordinated message that </w:t>
      </w:r>
      <w:proofErr w:type="spellStart"/>
      <w:r w:rsidRPr="00565D3F">
        <w:rPr>
          <w:lang w:val="en-US"/>
        </w:rPr>
        <w:t>minimises</w:t>
      </w:r>
      <w:proofErr w:type="spellEnd"/>
      <w:r w:rsidRPr="00565D3F">
        <w:rPr>
          <w:lang w:val="en-US"/>
        </w:rPr>
        <w:t xml:space="preserve"> fragmentation and duplication of effort.</w:t>
      </w:r>
    </w:p>
    <w:p w14:paraId="05D8ADB0" w14:textId="747195CB" w:rsidR="00880DC4" w:rsidRPr="00565D3F" w:rsidRDefault="00880DC4" w:rsidP="009B7473">
      <w:pPr>
        <w:pStyle w:val="ListBullet"/>
        <w:rPr>
          <w:lang w:val="en-US"/>
        </w:rPr>
      </w:pPr>
      <w:r w:rsidRPr="00565D3F">
        <w:rPr>
          <w:lang w:val="en-US"/>
        </w:rPr>
        <w:t>Modify kit contents and accessories to mitigate common reasons for non-completion. This may include an action plan for completion contained in the kit instructions (to overcome the procrastination barrier), and/or provision of accessories such as an opaque bag for fridge storage (to overcome perceived hygiene concerns).</w:t>
      </w:r>
    </w:p>
    <w:p w14:paraId="648BEA9D" w14:textId="448C85D5" w:rsidR="00880DC4" w:rsidRDefault="00880DC4" w:rsidP="009B7473">
      <w:pPr>
        <w:pStyle w:val="ListBullet"/>
        <w:rPr>
          <w:lang w:val="en-US"/>
        </w:rPr>
      </w:pPr>
      <w:r w:rsidRPr="00565D3F">
        <w:rPr>
          <w:lang w:val="en-US"/>
        </w:rPr>
        <w:lastRenderedPageBreak/>
        <w:t xml:space="preserve">Explore </w:t>
      </w:r>
      <w:r>
        <w:rPr>
          <w:lang w:val="en-US"/>
        </w:rPr>
        <w:t xml:space="preserve">options to better </w:t>
      </w:r>
      <w:proofErr w:type="spellStart"/>
      <w:r w:rsidRPr="00565D3F">
        <w:rPr>
          <w:lang w:val="en-US"/>
        </w:rPr>
        <w:t>utilis</w:t>
      </w:r>
      <w:r>
        <w:rPr>
          <w:lang w:val="en-US"/>
        </w:rPr>
        <w:t>e</w:t>
      </w:r>
      <w:proofErr w:type="spellEnd"/>
      <w:r w:rsidRPr="00565D3F">
        <w:rPr>
          <w:lang w:val="en-US"/>
        </w:rPr>
        <w:t xml:space="preserve"> the NCSR to improve participation. This could include electronic reminders, streamlined processes for completion of personal details, access to in-language communications, as well as </w:t>
      </w:r>
      <w:proofErr w:type="spellStart"/>
      <w:r w:rsidRPr="00565D3F">
        <w:rPr>
          <w:lang w:val="en-US"/>
        </w:rPr>
        <w:t>personalised</w:t>
      </w:r>
      <w:proofErr w:type="spellEnd"/>
      <w:r w:rsidRPr="00565D3F">
        <w:rPr>
          <w:lang w:val="en-US"/>
        </w:rPr>
        <w:t xml:space="preserve"> invitations based on Program screening history and/or demographic factors. However, given phone/email contact information is unavailable</w:t>
      </w:r>
      <w:r>
        <w:rPr>
          <w:lang w:val="en-US"/>
        </w:rPr>
        <w:t xml:space="preserve"> in the NCSR</w:t>
      </w:r>
      <w:r w:rsidRPr="00565D3F">
        <w:rPr>
          <w:lang w:val="en-US"/>
        </w:rPr>
        <w:t xml:space="preserve"> for first time screeners, mechanisms to collect this information from other government databases, such as MyGov, may be required.</w:t>
      </w:r>
    </w:p>
    <w:p w14:paraId="66B47348" w14:textId="77777777" w:rsidR="00880DC4" w:rsidRDefault="00880DC4" w:rsidP="009B7473">
      <w:pPr>
        <w:pStyle w:val="ListBullet"/>
        <w:rPr>
          <w:bCs/>
          <w:lang w:val="en-US"/>
        </w:rPr>
      </w:pPr>
      <w:r w:rsidRPr="00057BA4">
        <w:rPr>
          <w:bCs/>
          <w:lang w:val="en-US"/>
        </w:rPr>
        <w:t xml:space="preserve">Use the primary care sector as a resource to promote participation through education and opportunistic provision of kits. </w:t>
      </w:r>
      <w:r>
        <w:t>P</w:t>
      </w:r>
      <w:r w:rsidRPr="003E5EB8">
        <w:t>rimary care professionals</w:t>
      </w:r>
      <w:r>
        <w:t xml:space="preserve"> such as </w:t>
      </w:r>
      <w:r w:rsidRPr="003E5EB8">
        <w:t xml:space="preserve">GPs, practice nurses and pharmacists, are </w:t>
      </w:r>
      <w:r>
        <w:t>important</w:t>
      </w:r>
      <w:r w:rsidRPr="003E5EB8">
        <w:t xml:space="preserve"> in prom</w:t>
      </w:r>
      <w:r>
        <w:t>o</w:t>
      </w:r>
      <w:r w:rsidRPr="003E5EB8">
        <w:t>ting patient participation in the Program and</w:t>
      </w:r>
      <w:r>
        <w:t xml:space="preserve"> </w:t>
      </w:r>
      <w:r w:rsidRPr="003E5EB8">
        <w:t>counsel</w:t>
      </w:r>
      <w:r>
        <w:t>ling</w:t>
      </w:r>
      <w:r w:rsidRPr="003E5EB8">
        <w:t xml:space="preserve"> and advis</w:t>
      </w:r>
      <w:r>
        <w:t>ing</w:t>
      </w:r>
      <w:r w:rsidRPr="003E5EB8">
        <w:t xml:space="preserve"> patients throughout the screening, diagnosis, and treatment process.</w:t>
      </w:r>
    </w:p>
    <w:p w14:paraId="33B780BA" w14:textId="7D79E858" w:rsidR="00880DC4" w:rsidRPr="00057BA4" w:rsidRDefault="00880DC4" w:rsidP="009B7473">
      <w:pPr>
        <w:rPr>
          <w:bCs/>
          <w:lang w:val="en-US"/>
        </w:rPr>
      </w:pPr>
      <w:r>
        <w:rPr>
          <w:color w:val="000000" w:themeColor="text1"/>
        </w:rPr>
        <w:t xml:space="preserve">In addition, </w:t>
      </w:r>
      <w:r w:rsidRPr="00057BA4">
        <w:rPr>
          <w:color w:val="000000" w:themeColor="text1"/>
        </w:rPr>
        <w:t>the HPP</w:t>
      </w:r>
      <w:r>
        <w:t xml:space="preserve"> and its integration with primary care management software provides important enabling infrastructure to facilitate the role of primary care in promoting participation. </w:t>
      </w:r>
      <w:r w:rsidRPr="00057BA4">
        <w:rPr>
          <w:color w:val="000000" w:themeColor="text1"/>
        </w:rPr>
        <w:t>The HPP could be used:</w:t>
      </w:r>
    </w:p>
    <w:p w14:paraId="21D224CE" w14:textId="1575F1C9" w:rsidR="00880DC4" w:rsidRPr="0021795B" w:rsidRDefault="00880DC4" w:rsidP="009B7473">
      <w:pPr>
        <w:pStyle w:val="ListBullet2"/>
        <w:rPr>
          <w:lang w:val="en-US"/>
        </w:rPr>
      </w:pPr>
      <w:r w:rsidRPr="009B7473">
        <w:rPr>
          <w:lang w:val="en-US"/>
        </w:rPr>
        <w:t>Within existing Program parameters.</w:t>
      </w:r>
      <w:r w:rsidRPr="0021795B">
        <w:rPr>
          <w:lang w:val="en-US"/>
        </w:rPr>
        <w:t xml:space="preserve"> For example, by initiating conversations about bowel cancer screening, confirming eligibility to participate and appropriate postage details, and following-up patients who have been sent a kit but not completed it. </w:t>
      </w:r>
    </w:p>
    <w:p w14:paraId="15DAC662" w14:textId="18122A7A" w:rsidR="00880DC4" w:rsidRPr="0021795B" w:rsidRDefault="00880DC4" w:rsidP="009B7473">
      <w:pPr>
        <w:pStyle w:val="ListBullet2"/>
        <w:rPr>
          <w:lang w:val="en-US"/>
        </w:rPr>
      </w:pPr>
      <w:r w:rsidRPr="009B7473">
        <w:rPr>
          <w:lang w:val="en-US"/>
        </w:rPr>
        <w:t>Beyond current Program parameters.</w:t>
      </w:r>
      <w:r w:rsidRPr="0021795B">
        <w:rPr>
          <w:lang w:val="en-US"/>
        </w:rPr>
        <w:t xml:space="preserve"> For example, invitees could collect a kit from a registered community pharmacy or a GP, and their participation could be recorded by a practitioner who notifies the NCSR through the HPP. Alternatively, the pre-invitation letter could include a voucher to collect the kit from a pharmacy or a practice.</w:t>
      </w:r>
    </w:p>
    <w:p w14:paraId="04F96563" w14:textId="72AB2099" w:rsidR="00880DC4" w:rsidRPr="00565D3F" w:rsidRDefault="00880DC4" w:rsidP="009B7473">
      <w:pPr>
        <w:pStyle w:val="ListBullet"/>
        <w:rPr>
          <w:lang w:val="en-US"/>
        </w:rPr>
      </w:pPr>
      <w:r w:rsidRPr="00565D3F">
        <w:rPr>
          <w:lang w:val="en-US"/>
        </w:rPr>
        <w:t>Consider piloting sample drop-off points. Trials of this nature should initially be targeted at people in regional areas due to their unique challenges in complying with the strict return postage requirements.</w:t>
      </w:r>
    </w:p>
    <w:p w14:paraId="7D9C3AF2" w14:textId="6EB33AE3" w:rsidR="00880DC4" w:rsidRPr="00880DC4" w:rsidRDefault="00880DC4" w:rsidP="009B7473">
      <w:r w:rsidRPr="00565D3F">
        <w:rPr>
          <w:lang w:val="en-US"/>
        </w:rPr>
        <w:t>Scale up the Alternative Pathway pilot, as appropriate in other population groups. This includes other locations targeted at Aboriginal and Torres Strait Islander people, as well as exploration of how the pilot could be tailored to address access barriers faced by invitees from CALD backgrounds.</w:t>
      </w:r>
    </w:p>
    <w:p w14:paraId="0DA82E9A" w14:textId="23FD6B66" w:rsidR="00FA0183" w:rsidRPr="00880DC4" w:rsidRDefault="00880DC4" w:rsidP="00880DC4">
      <w:pPr>
        <w:pStyle w:val="Heading3un-numbered"/>
      </w:pPr>
      <w:r>
        <w:rPr>
          <w:noProof/>
        </w:rPr>
        <w:drawing>
          <wp:anchor distT="0" distB="0" distL="114300" distR="114300" simplePos="0" relativeHeight="251661336" behindDoc="0" locked="0" layoutInCell="1" allowOverlap="1" wp14:anchorId="693B8EC9" wp14:editId="0578EA7B">
            <wp:simplePos x="0" y="0"/>
            <wp:positionH relativeFrom="margin">
              <wp:align>left</wp:align>
            </wp:positionH>
            <wp:positionV relativeFrom="paragraph">
              <wp:posOffset>186055</wp:posOffset>
            </wp:positionV>
            <wp:extent cx="609600" cy="554990"/>
            <wp:effectExtent l="0" t="0" r="0" b="0"/>
            <wp:wrapSquare wrapText="bothSides"/>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9600" cy="554990"/>
                    </a:xfrm>
                    <a:prstGeom prst="rect">
                      <a:avLst/>
                    </a:prstGeom>
                    <a:noFill/>
                    <a:ln>
                      <a:noFill/>
                    </a:ln>
                  </pic:spPr>
                </pic:pic>
              </a:graphicData>
            </a:graphic>
            <wp14:sizeRelH relativeFrom="page">
              <wp14:pctWidth>0</wp14:pctWidth>
            </wp14:sizeRelH>
            <wp14:sizeRelV relativeFrom="page">
              <wp14:pctHeight>0</wp14:pctHeight>
            </wp14:sizeRelV>
          </wp:anchor>
        </w:drawing>
      </w:r>
      <w:r>
        <w:t>Effectiveness</w:t>
      </w:r>
    </w:p>
    <w:p w14:paraId="2322A7E8" w14:textId="778A9E21" w:rsidR="00FA7D97" w:rsidRPr="00880DC4" w:rsidRDefault="00FA7D97" w:rsidP="00880DC4">
      <w:pPr>
        <w:pStyle w:val="Boxtype"/>
      </w:pPr>
      <w:r w:rsidRPr="00880DC4">
        <w:t xml:space="preserve">The review </w:t>
      </w:r>
      <w:r w:rsidR="00B6241B" w:rsidRPr="00880DC4">
        <w:t>explored</w:t>
      </w:r>
      <w:r w:rsidR="00536F9E" w:rsidRPr="00880DC4" w:rsidDel="001939DA">
        <w:t xml:space="preserve"> </w:t>
      </w:r>
      <w:r w:rsidR="00536F9E" w:rsidRPr="00880DC4">
        <w:t xml:space="preserve">the extent to which the Program is maximising benefits and minimising harm </w:t>
      </w:r>
      <w:r w:rsidR="009447F7" w:rsidRPr="00880DC4">
        <w:t>to individuals wh</w:t>
      </w:r>
      <w:r w:rsidR="00ED3319" w:rsidRPr="00880DC4">
        <w:t xml:space="preserve">o </w:t>
      </w:r>
      <w:r w:rsidR="009447F7" w:rsidRPr="00880DC4">
        <w:t>participate</w:t>
      </w:r>
      <w:r w:rsidR="00ED3319" w:rsidRPr="00880DC4">
        <w:t xml:space="preserve"> in the Program</w:t>
      </w:r>
      <w:r w:rsidR="009447F7" w:rsidRPr="00880DC4">
        <w:t>.</w:t>
      </w:r>
    </w:p>
    <w:p w14:paraId="59C041DD" w14:textId="43407A02" w:rsidR="00CD3FF1" w:rsidRDefault="00E03453" w:rsidP="00C30708">
      <w:r>
        <w:t>As discussed</w:t>
      </w:r>
      <w:r w:rsidR="00ED3319">
        <w:t xml:space="preserve"> earlier under ‘data collection and reporting’</w:t>
      </w:r>
      <w:r>
        <w:t xml:space="preserve">, </w:t>
      </w:r>
      <w:r w:rsidR="001F1D6C">
        <w:t xml:space="preserve">data linkage is required between the NCSR, jurisdictional cancer registries and the National Death Index </w:t>
      </w:r>
      <w:r w:rsidR="00CA6FF8">
        <w:t xml:space="preserve">to assess the impact of the </w:t>
      </w:r>
      <w:r w:rsidR="00D9112F">
        <w:t xml:space="preserve">Program </w:t>
      </w:r>
      <w:r w:rsidR="00CA6FF8">
        <w:t>on earlier detection and better survival.</w:t>
      </w:r>
      <w:r w:rsidR="004406F6">
        <w:t xml:space="preserve"> A data linkage project </w:t>
      </w:r>
      <w:r w:rsidR="004F61D0">
        <w:t xml:space="preserve">of this nature </w:t>
      </w:r>
      <w:r w:rsidR="004406F6">
        <w:t xml:space="preserve">was out of scope for the review, and thus reference is made to AIHW’s </w:t>
      </w:r>
      <w:r w:rsidR="004F61D0">
        <w:t>2018 project</w:t>
      </w:r>
      <w:r w:rsidR="00CD3FF1">
        <w:t xml:space="preserve"> that</w:t>
      </w:r>
      <w:r w:rsidR="004F61D0">
        <w:t xml:space="preserve"> </w:t>
      </w:r>
      <w:r w:rsidR="00C30708" w:rsidRPr="000A30FC">
        <w:t xml:space="preserve">linked data from Program invitees between 2006 and 2010 to </w:t>
      </w:r>
      <w:r w:rsidR="002F79A6">
        <w:t xml:space="preserve">data from jurisdictional cancer registries for </w:t>
      </w:r>
      <w:r w:rsidR="00C30708" w:rsidRPr="000A30FC">
        <w:t xml:space="preserve">people diagnosed with bowel cancer from 2006 to 2015. </w:t>
      </w:r>
    </w:p>
    <w:p w14:paraId="19641343" w14:textId="321CF186" w:rsidR="00C30708" w:rsidRPr="000A30FC" w:rsidRDefault="00C30708" w:rsidP="00C30708">
      <w:r w:rsidRPr="000A30FC">
        <w:t xml:space="preserve">The </w:t>
      </w:r>
      <w:r w:rsidR="00B879F0">
        <w:t>AIHW report</w:t>
      </w:r>
      <w:r w:rsidRPr="000A30FC">
        <w:t xml:space="preserve"> </w:t>
      </w:r>
      <w:r>
        <w:t>observed</w:t>
      </w:r>
      <w:r w:rsidRPr="000A30FC">
        <w:t>:</w:t>
      </w:r>
    </w:p>
    <w:p w14:paraId="2F43A56B" w14:textId="33FC8D46" w:rsidR="00C30708" w:rsidRPr="000A30FC" w:rsidRDefault="00C30708" w:rsidP="009B7473">
      <w:pPr>
        <w:pStyle w:val="ListBullet"/>
      </w:pPr>
      <w:r w:rsidRPr="00FC3F9C">
        <w:rPr>
          <w:b/>
          <w:bCs/>
        </w:rPr>
        <w:t>Stage at detection.</w:t>
      </w:r>
      <w:r>
        <w:t xml:space="preserve"> A</w:t>
      </w:r>
      <w:r w:rsidRPr="000A30FC">
        <w:t>mong invitees, those with screen-detected bowel cancers were more likely to be diagnosed at an earlier stage (1.71 times as likely), compared with bowel cancers later diagnosed in the invitees who did not participate</w:t>
      </w:r>
      <w:r>
        <w:t>.</w:t>
      </w:r>
    </w:p>
    <w:p w14:paraId="60F225F6" w14:textId="55445DA8" w:rsidR="00C30708" w:rsidRDefault="00C30708" w:rsidP="009B7473">
      <w:pPr>
        <w:pStyle w:val="ListBullet"/>
      </w:pPr>
      <w:r w:rsidRPr="00C30708">
        <w:rPr>
          <w:b/>
          <w:bCs/>
        </w:rPr>
        <w:t>Survival.</w:t>
      </w:r>
      <w:r>
        <w:t xml:space="preserve"> A</w:t>
      </w:r>
      <w:r w:rsidRPr="000A30FC">
        <w:t xml:space="preserve">mong </w:t>
      </w:r>
      <w:r w:rsidR="00B94F90">
        <w:t>Program invitees diagnosed with bowel cancer</w:t>
      </w:r>
      <w:r w:rsidRPr="000A30FC">
        <w:t xml:space="preserve">, the risk of death from bowel cancer </w:t>
      </w:r>
      <w:r w:rsidRPr="00D13E15">
        <w:t xml:space="preserve">was </w:t>
      </w:r>
      <w:r w:rsidR="00515D66" w:rsidRPr="00D13E15">
        <w:t xml:space="preserve">half </w:t>
      </w:r>
      <w:r w:rsidR="00B271FF">
        <w:t xml:space="preserve">that of </w:t>
      </w:r>
      <w:r w:rsidR="00515D66" w:rsidRPr="00D13E15">
        <w:t>participants</w:t>
      </w:r>
      <w:r w:rsidR="00515D66">
        <w:t xml:space="preserve"> whose cancer was screen-detected, compared to</w:t>
      </w:r>
      <w:r w:rsidRPr="000A30FC">
        <w:t xml:space="preserve"> </w:t>
      </w:r>
      <w:r w:rsidR="00515D66">
        <w:t>invitees that did not participate</w:t>
      </w:r>
      <w:r w:rsidR="001A76A3">
        <w:t>.</w:t>
      </w:r>
    </w:p>
    <w:p w14:paraId="6BD2C818" w14:textId="2C668348" w:rsidR="00C30708" w:rsidRDefault="00193CCF" w:rsidP="00634FB1">
      <w:r>
        <w:t xml:space="preserve">These findings confirm that Phase One and Two of the Program effectively </w:t>
      </w:r>
      <w:r w:rsidRPr="000A30FC">
        <w:t>contribute</w:t>
      </w:r>
      <w:r>
        <w:t>d</w:t>
      </w:r>
      <w:r w:rsidRPr="000A30FC">
        <w:t xml:space="preserve"> to reducing morbidity and mortality from bowel cancer in Australia</w:t>
      </w:r>
      <w:r>
        <w:t>.</w:t>
      </w:r>
      <w:r w:rsidR="0059544A">
        <w:t xml:space="preserve"> However, the ability to compare </w:t>
      </w:r>
      <w:r w:rsidR="005A67B8">
        <w:t>these findings</w:t>
      </w:r>
      <w:r w:rsidR="0059544A">
        <w:t xml:space="preserve"> with </w:t>
      </w:r>
      <w:r w:rsidR="00DA732B">
        <w:t xml:space="preserve">Program </w:t>
      </w:r>
      <w:r w:rsidR="00B063B3">
        <w:t xml:space="preserve">cohorts </w:t>
      </w:r>
      <w:r w:rsidR="005A67B8">
        <w:t>screened biennially would be valuable</w:t>
      </w:r>
      <w:r w:rsidR="00DA732B">
        <w:t>.</w:t>
      </w:r>
      <w:r w:rsidR="005A67B8">
        <w:t xml:space="preserve">  </w:t>
      </w:r>
    </w:p>
    <w:p w14:paraId="7D480D48" w14:textId="5DFCD9EA" w:rsidR="005F4C95" w:rsidRDefault="00627055" w:rsidP="00922158">
      <w:r w:rsidRPr="000217F6">
        <w:t>Alongside the benefits of the Program</w:t>
      </w:r>
      <w:r w:rsidR="004515C4" w:rsidRPr="000217F6">
        <w:t xml:space="preserve">, there are </w:t>
      </w:r>
      <w:r w:rsidR="00C2723D" w:rsidRPr="00ED044A">
        <w:t>associated harms that may occur as a result of participation</w:t>
      </w:r>
      <w:r w:rsidR="00B879F0" w:rsidRPr="00ED044A">
        <w:t xml:space="preserve">. </w:t>
      </w:r>
      <w:r w:rsidR="00501183" w:rsidRPr="00ED044A">
        <w:t>All</w:t>
      </w:r>
      <w:r w:rsidR="00501183" w:rsidRPr="00D13E15">
        <w:t xml:space="preserve"> colonoscopies have a risk of adverse events and </w:t>
      </w:r>
      <w:r w:rsidR="00EF5185" w:rsidRPr="00D13E15">
        <w:t xml:space="preserve">participants that record a </w:t>
      </w:r>
      <w:r w:rsidR="00617622" w:rsidRPr="00D13E15">
        <w:t xml:space="preserve">false positive </w:t>
      </w:r>
      <w:proofErr w:type="spellStart"/>
      <w:r w:rsidR="00617622" w:rsidRPr="00D13E15">
        <w:t>iFOBT</w:t>
      </w:r>
      <w:proofErr w:type="spellEnd"/>
      <w:r w:rsidR="00617622" w:rsidRPr="00D13E15">
        <w:t xml:space="preserve"> will have associated anxiety until their colonoscopy </w:t>
      </w:r>
      <w:r w:rsidR="00617622" w:rsidRPr="00D13E15">
        <w:lastRenderedPageBreak/>
        <w:t>results are received.</w:t>
      </w:r>
      <w:r w:rsidR="008B26AA" w:rsidRPr="00D13E15">
        <w:t xml:space="preserve"> </w:t>
      </w:r>
      <w:r w:rsidR="005F4C95">
        <w:t>The Program</w:t>
      </w:r>
      <w:r w:rsidR="005F4C95" w:rsidRPr="000A30FC">
        <w:t xml:space="preserve"> minimises harm in this respect, as it uses a test with a</w:t>
      </w:r>
      <w:r w:rsidR="005F4C95">
        <w:t xml:space="preserve"> </w:t>
      </w:r>
      <w:r w:rsidR="005F4C95" w:rsidRPr="000A30FC">
        <w:t xml:space="preserve">high diagnostic value, relative to overseas bowel cancer screening </w:t>
      </w:r>
      <w:r w:rsidR="005F4C95">
        <w:t>p</w:t>
      </w:r>
      <w:r w:rsidR="005F4C95" w:rsidRPr="000A30FC">
        <w:t>rograms.</w:t>
      </w:r>
    </w:p>
    <w:p w14:paraId="1FE49B6D" w14:textId="65751A6E" w:rsidR="00922158" w:rsidRDefault="00E061AA" w:rsidP="00922158">
      <w:r w:rsidRPr="000217F6">
        <w:t>H</w:t>
      </w:r>
      <w:r w:rsidR="008D030B" w:rsidRPr="000217F6">
        <w:t>owever</w:t>
      </w:r>
      <w:r w:rsidRPr="000217F6">
        <w:t>,</w:t>
      </w:r>
      <w:r w:rsidR="008D030B" w:rsidRPr="000217F6">
        <w:t xml:space="preserve"> </w:t>
      </w:r>
      <w:r w:rsidR="008B26AA" w:rsidRPr="000217F6">
        <w:t xml:space="preserve">the </w:t>
      </w:r>
      <w:r w:rsidR="004E3A80" w:rsidRPr="000217F6">
        <w:t xml:space="preserve">availability of </w:t>
      </w:r>
      <w:r w:rsidR="00246DE4" w:rsidRPr="000217F6">
        <w:t xml:space="preserve">complete </w:t>
      </w:r>
      <w:r w:rsidR="004E3A80" w:rsidRPr="000217F6">
        <w:t xml:space="preserve">data </w:t>
      </w:r>
      <w:r w:rsidR="00246DE4" w:rsidRPr="000217F6">
        <w:t xml:space="preserve">sets </w:t>
      </w:r>
      <w:r w:rsidR="004E3A80" w:rsidRPr="000217F6">
        <w:t>to inform the</w:t>
      </w:r>
      <w:r w:rsidR="008B26AA" w:rsidRPr="000217F6">
        <w:t xml:space="preserve"> positive predictive value </w:t>
      </w:r>
      <w:r w:rsidR="0027384C" w:rsidRPr="000217F6">
        <w:t xml:space="preserve">of the </w:t>
      </w:r>
      <w:proofErr w:type="spellStart"/>
      <w:r w:rsidR="0027384C" w:rsidRPr="000217F6">
        <w:t>iFOBT</w:t>
      </w:r>
      <w:proofErr w:type="spellEnd"/>
      <w:r w:rsidR="0027384C" w:rsidRPr="000217F6">
        <w:t xml:space="preserve"> (</w:t>
      </w:r>
      <w:proofErr w:type="gramStart"/>
      <w:r w:rsidR="00F07D2D" w:rsidRPr="000217F6">
        <w:t>i.e.</w:t>
      </w:r>
      <w:proofErr w:type="gramEnd"/>
      <w:r w:rsidR="00F07D2D" w:rsidRPr="000217F6">
        <w:t xml:space="preserve"> </w:t>
      </w:r>
      <w:r w:rsidR="0027384C" w:rsidRPr="000217F6">
        <w:t xml:space="preserve">the extent to which a positive </w:t>
      </w:r>
      <w:proofErr w:type="spellStart"/>
      <w:r w:rsidR="0027384C" w:rsidRPr="000217F6">
        <w:t>iFOBT</w:t>
      </w:r>
      <w:proofErr w:type="spellEnd"/>
      <w:r w:rsidR="0027384C" w:rsidRPr="000217F6">
        <w:t xml:space="preserve"> reflects </w:t>
      </w:r>
      <w:r w:rsidR="003A36D3" w:rsidRPr="000217F6">
        <w:t>true detection of a lesion)</w:t>
      </w:r>
      <w:r w:rsidR="0027384C" w:rsidRPr="000217F6">
        <w:t xml:space="preserve"> </w:t>
      </w:r>
      <w:r w:rsidR="008D030B" w:rsidRPr="000217F6">
        <w:t>would inform a more robust assessment of Program harms.</w:t>
      </w:r>
      <w:r w:rsidR="0027384C" w:rsidRPr="000217F6">
        <w:t xml:space="preserve"> </w:t>
      </w:r>
      <w:r w:rsidR="00922158" w:rsidRPr="000217F6">
        <w:t xml:space="preserve">This </w:t>
      </w:r>
      <w:r w:rsidR="006B19FC" w:rsidRPr="000217F6">
        <w:t xml:space="preserve">assessment </w:t>
      </w:r>
      <w:r w:rsidR="00922158" w:rsidRPr="000217F6">
        <w:t xml:space="preserve">would </w:t>
      </w:r>
      <w:r w:rsidR="00622D78" w:rsidRPr="000217F6">
        <w:t xml:space="preserve">also benefit from </w:t>
      </w:r>
      <w:r w:rsidR="00922158" w:rsidRPr="000217F6">
        <w:t xml:space="preserve">more </w:t>
      </w:r>
      <w:r w:rsidR="00246DE4" w:rsidRPr="000217F6">
        <w:t xml:space="preserve">complete </w:t>
      </w:r>
      <w:r w:rsidR="00922158" w:rsidRPr="000217F6">
        <w:t xml:space="preserve">data on </w:t>
      </w:r>
      <w:r w:rsidR="0027384C" w:rsidRPr="000217F6">
        <w:t xml:space="preserve">adverse </w:t>
      </w:r>
      <w:r w:rsidR="006B19FC" w:rsidRPr="000217F6">
        <w:t xml:space="preserve">events post </w:t>
      </w:r>
      <w:r w:rsidR="003F7F0B" w:rsidRPr="000217F6">
        <w:t xml:space="preserve">colonoscopy </w:t>
      </w:r>
      <w:r w:rsidR="00922158" w:rsidRPr="000217F6">
        <w:t>for Program participants</w:t>
      </w:r>
      <w:r w:rsidR="003F318A">
        <w:t xml:space="preserve"> (</w:t>
      </w:r>
      <w:proofErr w:type="gramStart"/>
      <w:r w:rsidR="003F318A">
        <w:t>e.g.</w:t>
      </w:r>
      <w:proofErr w:type="gramEnd"/>
      <w:r w:rsidR="003F318A">
        <w:t xml:space="preserve"> through a data linkage project with hospital inpatient datasets)</w:t>
      </w:r>
      <w:r w:rsidR="0098533A" w:rsidRPr="000217F6">
        <w:t xml:space="preserve">, as currently the </w:t>
      </w:r>
      <w:r w:rsidR="0086158A" w:rsidRPr="000217F6">
        <w:t>collection of this data is voluntary</w:t>
      </w:r>
      <w:r w:rsidR="00922158" w:rsidRPr="000217F6">
        <w:t>.</w:t>
      </w:r>
      <w:r w:rsidR="00AE49E8" w:rsidRPr="00D13E15">
        <w:t xml:space="preserve"> </w:t>
      </w:r>
    </w:p>
    <w:p w14:paraId="2662C0F9" w14:textId="204333AB" w:rsidR="00DF05E0" w:rsidRDefault="00880DC4" w:rsidP="00880DC4">
      <w:pPr>
        <w:pStyle w:val="Heading3un-numbered"/>
      </w:pPr>
      <w:r>
        <w:t>Efficiency</w:t>
      </w:r>
    </w:p>
    <w:p w14:paraId="43A683F6" w14:textId="0FB33E5B" w:rsidR="001939DA" w:rsidRPr="00880DC4" w:rsidRDefault="00880DC4" w:rsidP="00880DC4">
      <w:pPr>
        <w:pStyle w:val="Boxtype"/>
      </w:pPr>
      <w:r>
        <w:rPr>
          <w:noProof/>
        </w:rPr>
        <w:drawing>
          <wp:anchor distT="0" distB="0" distL="114300" distR="114300" simplePos="0" relativeHeight="251663384" behindDoc="0" locked="0" layoutInCell="1" allowOverlap="1" wp14:anchorId="5AA568F4" wp14:editId="0AC81122">
            <wp:simplePos x="0" y="0"/>
            <wp:positionH relativeFrom="column">
              <wp:posOffset>113665</wp:posOffset>
            </wp:positionH>
            <wp:positionV relativeFrom="paragraph">
              <wp:posOffset>26035</wp:posOffset>
            </wp:positionV>
            <wp:extent cx="673735" cy="600075"/>
            <wp:effectExtent l="0" t="0" r="0" b="9525"/>
            <wp:wrapSquare wrapText="bothSides"/>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3735"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BF432D" w:rsidRPr="00880DC4">
        <w:t xml:space="preserve">The </w:t>
      </w:r>
      <w:r w:rsidR="00A14706" w:rsidRPr="00880DC4">
        <w:t>review undertook a cost-</w:t>
      </w:r>
      <w:r w:rsidR="00797616" w:rsidRPr="00880DC4">
        <w:t>effectiveness</w:t>
      </w:r>
      <w:r w:rsidR="00A14706" w:rsidRPr="00880DC4">
        <w:t xml:space="preserve"> </w:t>
      </w:r>
      <w:r w:rsidR="00797616" w:rsidRPr="00880DC4">
        <w:t>analysis</w:t>
      </w:r>
      <w:r w:rsidR="00A14706" w:rsidRPr="00880DC4">
        <w:t xml:space="preserve"> </w:t>
      </w:r>
      <w:r w:rsidR="00797616" w:rsidRPr="00880DC4">
        <w:t xml:space="preserve">to assess the </w:t>
      </w:r>
      <w:r w:rsidR="00A14706" w:rsidRPr="00880DC4">
        <w:t xml:space="preserve">value </w:t>
      </w:r>
      <w:r w:rsidR="00D42659" w:rsidRPr="00880DC4">
        <w:t>for money of the</w:t>
      </w:r>
      <w:r w:rsidR="00A14706" w:rsidRPr="00880DC4">
        <w:t xml:space="preserve"> current configuration of the Program (biennial screening for those aged 50 to 74) relative to no screening</w:t>
      </w:r>
      <w:r w:rsidR="008F3AF0" w:rsidRPr="00880DC4">
        <w:t>, as well as relative to other target age ranges.</w:t>
      </w:r>
    </w:p>
    <w:p w14:paraId="564F9A33" w14:textId="1654770B" w:rsidR="00E32033" w:rsidRPr="00E32033" w:rsidRDefault="00E32033" w:rsidP="00621E00">
      <w:pPr>
        <w:pStyle w:val="Heading4un-numbered"/>
      </w:pPr>
      <w:r w:rsidRPr="00E32033">
        <w:t xml:space="preserve">Whole of </w:t>
      </w:r>
      <w:r w:rsidR="00642E8B">
        <w:t>population</w:t>
      </w:r>
    </w:p>
    <w:p w14:paraId="700FD503" w14:textId="1B957A11" w:rsidR="00892C05" w:rsidRDefault="00892C05" w:rsidP="00892C05">
      <w:r>
        <w:t xml:space="preserve">A cost-effectiveness analysis (CEA) </w:t>
      </w:r>
      <w:r w:rsidR="0020099F">
        <w:t>assesses</w:t>
      </w:r>
      <w:r>
        <w:t xml:space="preserve"> the value for money of a particular policy or program. A CEA calculates the incremental net costs and benefits of an intervention relative to a comparator, by providing evidence to answer the question – </w:t>
      </w:r>
      <w:r w:rsidRPr="003C7B26">
        <w:rPr>
          <w:i/>
          <w:iCs/>
        </w:rPr>
        <w:t xml:space="preserve">do the extra </w:t>
      </w:r>
      <w:r w:rsidR="00117A54">
        <w:rPr>
          <w:i/>
          <w:iCs/>
        </w:rPr>
        <w:t>benefits</w:t>
      </w:r>
      <w:r w:rsidRPr="003C7B26">
        <w:rPr>
          <w:i/>
          <w:iCs/>
        </w:rPr>
        <w:t xml:space="preserve"> outweigh the extra </w:t>
      </w:r>
      <w:r w:rsidR="00117A54">
        <w:rPr>
          <w:i/>
          <w:iCs/>
        </w:rPr>
        <w:t>costs</w:t>
      </w:r>
      <w:r w:rsidRPr="003C7B26">
        <w:rPr>
          <w:i/>
          <w:iCs/>
        </w:rPr>
        <w:t>?</w:t>
      </w:r>
    </w:p>
    <w:p w14:paraId="33A1BC29" w14:textId="5078A1C3" w:rsidR="00892C05" w:rsidRDefault="00892C05" w:rsidP="00892C05">
      <w:r>
        <w:t>A CEA was performed to assess the value of the current configuration of the Program (</w:t>
      </w:r>
      <w:proofErr w:type="gramStart"/>
      <w:r w:rsidR="00F27528">
        <w:t>i.e.</w:t>
      </w:r>
      <w:proofErr w:type="gramEnd"/>
      <w:r w:rsidR="00F27528">
        <w:t xml:space="preserve"> </w:t>
      </w:r>
      <w:r>
        <w:t>biennial screening for those aged 50 to 74</w:t>
      </w:r>
      <w:r w:rsidR="003A0A38">
        <w:t xml:space="preserve"> </w:t>
      </w:r>
      <w:r w:rsidR="00F27528">
        <w:t>using observed participation rates from Phase Four</w:t>
      </w:r>
      <w:r w:rsidR="00C773D2">
        <w:rPr>
          <w:rStyle w:val="FootnoteReference"/>
        </w:rPr>
        <w:footnoteReference w:id="11"/>
      </w:r>
      <w:r>
        <w:t xml:space="preserve">) relative to no screening. In addition, </w:t>
      </w:r>
      <w:r w:rsidR="00C533B3">
        <w:t>scenario analysis was</w:t>
      </w:r>
      <w:r>
        <w:t xml:space="preserve"> performed on different eligible age ranges and participation rates to assess how changes to Program scope and uptake may impact cost-effectiveness.</w:t>
      </w:r>
    </w:p>
    <w:p w14:paraId="587C51BD" w14:textId="7ED2BCFE" w:rsidR="002B6B86" w:rsidRPr="00424E30" w:rsidRDefault="00EF325F" w:rsidP="00634FB1">
      <w:pPr>
        <w:rPr>
          <w:color w:val="000000" w:themeColor="text1"/>
        </w:rPr>
      </w:pPr>
      <w:r w:rsidRPr="00424E30">
        <w:rPr>
          <w:color w:val="000000" w:themeColor="text1"/>
        </w:rPr>
        <w:t>The analysi</w:t>
      </w:r>
      <w:r w:rsidR="00986797" w:rsidRPr="00424E30">
        <w:rPr>
          <w:color w:val="000000" w:themeColor="text1"/>
        </w:rPr>
        <w:t>s showed th</w:t>
      </w:r>
      <w:r w:rsidR="002B6B86" w:rsidRPr="00424E30">
        <w:rPr>
          <w:color w:val="000000" w:themeColor="text1"/>
        </w:rPr>
        <w:t>e</w:t>
      </w:r>
      <w:r w:rsidR="00634FB1" w:rsidRPr="00424E30">
        <w:rPr>
          <w:color w:val="000000" w:themeColor="text1"/>
        </w:rPr>
        <w:t xml:space="preserve"> Program </w:t>
      </w:r>
      <w:r w:rsidR="00095CBE" w:rsidRPr="00424E30">
        <w:rPr>
          <w:color w:val="000000" w:themeColor="text1"/>
        </w:rPr>
        <w:t>in its current f</w:t>
      </w:r>
      <w:r w:rsidR="00D55425">
        <w:rPr>
          <w:color w:val="000000" w:themeColor="text1"/>
        </w:rPr>
        <w:t>or</w:t>
      </w:r>
      <w:r w:rsidR="00095CBE" w:rsidRPr="00424E30">
        <w:rPr>
          <w:color w:val="000000" w:themeColor="text1"/>
        </w:rPr>
        <w:t>m is highly cost-effective relative to no screening</w:t>
      </w:r>
      <w:r w:rsidR="00634FB1" w:rsidRPr="00424E30">
        <w:rPr>
          <w:color w:val="000000" w:themeColor="text1"/>
        </w:rPr>
        <w:t>, at a value of $</w:t>
      </w:r>
      <w:r w:rsidR="005C4A22" w:rsidRPr="00424E30">
        <w:rPr>
          <w:color w:val="000000" w:themeColor="text1"/>
        </w:rPr>
        <w:t>1,931</w:t>
      </w:r>
      <w:r w:rsidR="00095CBE" w:rsidRPr="00424E30">
        <w:rPr>
          <w:color w:val="000000" w:themeColor="text1"/>
        </w:rPr>
        <w:t xml:space="preserve"> </w:t>
      </w:r>
      <w:r w:rsidR="00634FB1" w:rsidRPr="00424E30">
        <w:rPr>
          <w:color w:val="000000" w:themeColor="text1"/>
        </w:rPr>
        <w:t xml:space="preserve">per </w:t>
      </w:r>
      <w:r w:rsidR="00D53F6D" w:rsidRPr="00424E30">
        <w:rPr>
          <w:color w:val="000000" w:themeColor="text1"/>
        </w:rPr>
        <w:t>D</w:t>
      </w:r>
      <w:r w:rsidR="00D53F6D">
        <w:rPr>
          <w:color w:val="000000" w:themeColor="text1"/>
        </w:rPr>
        <w:t>isability</w:t>
      </w:r>
      <w:r w:rsidR="00424E30">
        <w:rPr>
          <w:color w:val="000000" w:themeColor="text1"/>
        </w:rPr>
        <w:t xml:space="preserve"> </w:t>
      </w:r>
      <w:r w:rsidR="00634FB1" w:rsidRPr="00424E30">
        <w:rPr>
          <w:color w:val="000000" w:themeColor="text1"/>
        </w:rPr>
        <w:t>A</w:t>
      </w:r>
      <w:r w:rsidR="00424E30">
        <w:rPr>
          <w:color w:val="000000" w:themeColor="text1"/>
        </w:rPr>
        <w:t xml:space="preserve">djusted </w:t>
      </w:r>
      <w:r w:rsidR="00D53F6D" w:rsidRPr="00424E30">
        <w:rPr>
          <w:color w:val="000000" w:themeColor="text1"/>
        </w:rPr>
        <w:t>L</w:t>
      </w:r>
      <w:r w:rsidR="00D53F6D">
        <w:rPr>
          <w:color w:val="000000" w:themeColor="text1"/>
        </w:rPr>
        <w:t xml:space="preserve">ife </w:t>
      </w:r>
      <w:r w:rsidR="00577392">
        <w:rPr>
          <w:color w:val="000000" w:themeColor="text1"/>
        </w:rPr>
        <w:t>Y</w:t>
      </w:r>
      <w:r w:rsidR="00D53F6D">
        <w:rPr>
          <w:color w:val="000000" w:themeColor="text1"/>
        </w:rPr>
        <w:t>ear</w:t>
      </w:r>
      <w:r w:rsidR="00577392">
        <w:rPr>
          <w:color w:val="000000" w:themeColor="text1"/>
        </w:rPr>
        <w:t xml:space="preserve"> (DALY)</w:t>
      </w:r>
      <w:r w:rsidR="00D53F6D">
        <w:rPr>
          <w:color w:val="000000" w:themeColor="text1"/>
        </w:rPr>
        <w:t xml:space="preserve"> </w:t>
      </w:r>
      <w:r w:rsidR="00577392">
        <w:rPr>
          <w:color w:val="000000" w:themeColor="text1"/>
        </w:rPr>
        <w:t>a</w:t>
      </w:r>
      <w:r w:rsidR="00634FB1" w:rsidRPr="00424E30">
        <w:rPr>
          <w:color w:val="000000" w:themeColor="text1"/>
        </w:rPr>
        <w:t>voided</w:t>
      </w:r>
      <w:r w:rsidR="000C781C" w:rsidRPr="00424E30">
        <w:rPr>
          <w:color w:val="000000" w:themeColor="text1"/>
        </w:rPr>
        <w:t>, when evaluated from a societal perspective</w:t>
      </w:r>
      <w:r w:rsidR="00C87511">
        <w:rPr>
          <w:color w:val="000000" w:themeColor="text1"/>
        </w:rPr>
        <w:t>;</w:t>
      </w:r>
      <w:r w:rsidR="000C781C" w:rsidRPr="00424E30">
        <w:rPr>
          <w:color w:val="000000" w:themeColor="text1"/>
        </w:rPr>
        <w:t xml:space="preserve"> and $</w:t>
      </w:r>
      <w:r w:rsidR="00854B00" w:rsidRPr="00424E30">
        <w:rPr>
          <w:color w:val="000000" w:themeColor="text1"/>
        </w:rPr>
        <w:t>8,992</w:t>
      </w:r>
      <w:r w:rsidR="000C781C" w:rsidRPr="00424E30">
        <w:rPr>
          <w:color w:val="000000" w:themeColor="text1"/>
        </w:rPr>
        <w:t xml:space="preserve"> per DALY avoided, when evaluated from a he</w:t>
      </w:r>
      <w:r w:rsidR="00F60645" w:rsidRPr="00424E30">
        <w:rPr>
          <w:color w:val="000000" w:themeColor="text1"/>
        </w:rPr>
        <w:t>althcare system perspective</w:t>
      </w:r>
      <w:r w:rsidR="00634FB1" w:rsidRPr="00424E30">
        <w:rPr>
          <w:color w:val="000000" w:themeColor="text1"/>
        </w:rPr>
        <w:t xml:space="preserve">. </w:t>
      </w:r>
      <w:r w:rsidR="00424721" w:rsidRPr="00424E30">
        <w:rPr>
          <w:color w:val="000000" w:themeColor="text1"/>
        </w:rPr>
        <w:t>Both values are</w:t>
      </w:r>
      <w:r w:rsidR="00634FB1" w:rsidRPr="00424E30">
        <w:rPr>
          <w:color w:val="000000" w:themeColor="text1"/>
        </w:rPr>
        <w:t xml:space="preserve"> below</w:t>
      </w:r>
      <w:r w:rsidR="00424721" w:rsidRPr="00424E30">
        <w:rPr>
          <w:color w:val="000000" w:themeColor="text1"/>
        </w:rPr>
        <w:t xml:space="preserve"> the</w:t>
      </w:r>
      <w:r w:rsidR="00634FB1" w:rsidRPr="00424E30">
        <w:rPr>
          <w:color w:val="000000" w:themeColor="text1"/>
        </w:rPr>
        <w:t xml:space="preserve"> commonly used willingness-to-pay threshold of $50,000 per DALY averted. </w:t>
      </w:r>
    </w:p>
    <w:p w14:paraId="469B2FA7" w14:textId="3838E160" w:rsidR="00296E09" w:rsidRDefault="0055249B" w:rsidP="00634FB1">
      <w:pPr>
        <w:rPr>
          <w:color w:val="000000" w:themeColor="text1"/>
        </w:rPr>
      </w:pPr>
      <w:r>
        <w:rPr>
          <w:color w:val="000000" w:themeColor="text1"/>
        </w:rPr>
        <w:t>S</w:t>
      </w:r>
      <w:r w:rsidR="00634FB1" w:rsidRPr="00424E30">
        <w:rPr>
          <w:color w:val="000000" w:themeColor="text1"/>
        </w:rPr>
        <w:t>creening age bracket</w:t>
      </w:r>
      <w:r w:rsidR="00002BA5">
        <w:rPr>
          <w:color w:val="000000" w:themeColor="text1"/>
        </w:rPr>
        <w:t>s</w:t>
      </w:r>
      <w:r w:rsidR="00634FB1" w:rsidRPr="00424E30">
        <w:rPr>
          <w:color w:val="000000" w:themeColor="text1"/>
        </w:rPr>
        <w:t xml:space="preserve"> of </w:t>
      </w:r>
      <w:r w:rsidR="00002BA5">
        <w:rPr>
          <w:color w:val="000000" w:themeColor="text1"/>
        </w:rPr>
        <w:t>4</w:t>
      </w:r>
      <w:r w:rsidR="00531303">
        <w:rPr>
          <w:color w:val="000000" w:themeColor="text1"/>
        </w:rPr>
        <w:t>5</w:t>
      </w:r>
      <w:r w:rsidR="00002BA5">
        <w:rPr>
          <w:color w:val="000000" w:themeColor="text1"/>
        </w:rPr>
        <w:t xml:space="preserve"> to 74 and </w:t>
      </w:r>
      <w:r w:rsidR="00531303" w:rsidRPr="00424E30">
        <w:rPr>
          <w:color w:val="000000" w:themeColor="text1"/>
        </w:rPr>
        <w:t>4</w:t>
      </w:r>
      <w:r w:rsidR="00531303">
        <w:rPr>
          <w:color w:val="000000" w:themeColor="text1"/>
        </w:rPr>
        <w:t>0</w:t>
      </w:r>
      <w:r w:rsidR="00531303" w:rsidRPr="00424E30">
        <w:rPr>
          <w:color w:val="000000" w:themeColor="text1"/>
        </w:rPr>
        <w:t xml:space="preserve"> </w:t>
      </w:r>
      <w:r w:rsidR="00634FB1" w:rsidRPr="00424E30">
        <w:rPr>
          <w:color w:val="000000" w:themeColor="text1"/>
        </w:rPr>
        <w:t xml:space="preserve">to 74 </w:t>
      </w:r>
      <w:r w:rsidR="00AA472A" w:rsidRPr="00424E30">
        <w:rPr>
          <w:color w:val="000000" w:themeColor="text1"/>
        </w:rPr>
        <w:t>w</w:t>
      </w:r>
      <w:r w:rsidR="00AA472A">
        <w:rPr>
          <w:color w:val="000000" w:themeColor="text1"/>
        </w:rPr>
        <w:t>ere</w:t>
      </w:r>
      <w:r w:rsidR="00AA472A" w:rsidRPr="00424E30">
        <w:rPr>
          <w:color w:val="000000" w:themeColor="text1"/>
        </w:rPr>
        <w:t xml:space="preserve"> </w:t>
      </w:r>
      <w:r>
        <w:rPr>
          <w:color w:val="000000" w:themeColor="text1"/>
        </w:rPr>
        <w:t xml:space="preserve">also </w:t>
      </w:r>
      <w:r w:rsidR="00634FB1" w:rsidRPr="00424E30">
        <w:rPr>
          <w:color w:val="000000" w:themeColor="text1"/>
        </w:rPr>
        <w:t>modelled a</w:t>
      </w:r>
      <w:r w:rsidR="00002BA5">
        <w:rPr>
          <w:color w:val="000000" w:themeColor="text1"/>
        </w:rPr>
        <w:t>s</w:t>
      </w:r>
      <w:r w:rsidR="00634FB1" w:rsidRPr="00424E30">
        <w:rPr>
          <w:color w:val="000000" w:themeColor="text1"/>
        </w:rPr>
        <w:t xml:space="preserve"> alternative scenario</w:t>
      </w:r>
      <w:r w:rsidR="00002BA5">
        <w:rPr>
          <w:color w:val="000000" w:themeColor="text1"/>
        </w:rPr>
        <w:t>s</w:t>
      </w:r>
      <w:r w:rsidR="008916E0">
        <w:rPr>
          <w:color w:val="000000" w:themeColor="text1"/>
        </w:rPr>
        <w:t>, relative to no</w:t>
      </w:r>
      <w:r w:rsidR="00C415FC">
        <w:rPr>
          <w:color w:val="000000" w:themeColor="text1"/>
        </w:rPr>
        <w:t xml:space="preserve"> screening</w:t>
      </w:r>
      <w:r w:rsidR="00002BA5">
        <w:rPr>
          <w:color w:val="000000" w:themeColor="text1"/>
        </w:rPr>
        <w:t xml:space="preserve">. </w:t>
      </w:r>
    </w:p>
    <w:p w14:paraId="6376EC7D" w14:textId="3AC9DA10" w:rsidR="00E97D8D" w:rsidRPr="000F06D0" w:rsidRDefault="00226B58" w:rsidP="00B66B09">
      <w:pPr>
        <w:pStyle w:val="ListBullet"/>
      </w:pPr>
      <w:r w:rsidRPr="000F06D0">
        <w:rPr>
          <w:b/>
          <w:bCs/>
        </w:rPr>
        <w:t>45 to 74</w:t>
      </w:r>
      <w:r w:rsidR="004D581E" w:rsidRPr="000F06D0">
        <w:t>:</w:t>
      </w:r>
      <w:r w:rsidR="008916E0">
        <w:t xml:space="preserve"> </w:t>
      </w:r>
      <w:r>
        <w:t>This age bracket was</w:t>
      </w:r>
      <w:r w:rsidR="00634FB1">
        <w:t xml:space="preserve"> found to be</w:t>
      </w:r>
      <w:r w:rsidR="00C62A7A" w:rsidRPr="00424E30">
        <w:rPr>
          <w:color w:val="000000" w:themeColor="text1"/>
        </w:rPr>
        <w:t xml:space="preserve"> </w:t>
      </w:r>
      <w:r w:rsidR="00E948BD" w:rsidRPr="00424E30">
        <w:rPr>
          <w:color w:val="000000" w:themeColor="text1"/>
        </w:rPr>
        <w:t>more cost-effective</w:t>
      </w:r>
      <w:r w:rsidR="00596826">
        <w:rPr>
          <w:color w:val="000000" w:themeColor="text1"/>
        </w:rPr>
        <w:t xml:space="preserve"> than </w:t>
      </w:r>
      <w:r w:rsidR="000D60CC">
        <w:rPr>
          <w:color w:val="000000" w:themeColor="text1"/>
        </w:rPr>
        <w:t xml:space="preserve">the current target age </w:t>
      </w:r>
      <w:proofErr w:type="gramStart"/>
      <w:r w:rsidR="000D60CC">
        <w:rPr>
          <w:color w:val="000000" w:themeColor="text1"/>
        </w:rPr>
        <w:t>range</w:t>
      </w:r>
      <w:proofErr w:type="gramEnd"/>
      <w:r w:rsidR="00E948BD" w:rsidRPr="00424E30">
        <w:rPr>
          <w:color w:val="000000" w:themeColor="text1"/>
        </w:rPr>
        <w:t xml:space="preserve"> from a societal perspective ($</w:t>
      </w:r>
      <w:r w:rsidR="00854B00" w:rsidRPr="00424E30">
        <w:rPr>
          <w:color w:val="000000" w:themeColor="text1"/>
        </w:rPr>
        <w:t>1,381</w:t>
      </w:r>
      <w:r w:rsidR="00E948BD" w:rsidRPr="00424E30">
        <w:rPr>
          <w:color w:val="000000" w:themeColor="text1"/>
        </w:rPr>
        <w:t xml:space="preserve"> per DALY avoided), but </w:t>
      </w:r>
      <w:r w:rsidR="00634FB1" w:rsidRPr="004315B5">
        <w:rPr>
          <w:color w:val="000000" w:themeColor="text1"/>
        </w:rPr>
        <w:t xml:space="preserve">less cost-effective from a </w:t>
      </w:r>
      <w:r w:rsidR="00E948BD" w:rsidRPr="004315B5">
        <w:rPr>
          <w:color w:val="000000" w:themeColor="text1"/>
        </w:rPr>
        <w:t xml:space="preserve">healthcare system </w:t>
      </w:r>
      <w:r w:rsidR="00634FB1" w:rsidRPr="004315B5">
        <w:rPr>
          <w:color w:val="000000" w:themeColor="text1"/>
        </w:rPr>
        <w:t>perspective ($</w:t>
      </w:r>
      <w:r w:rsidR="00424E30" w:rsidRPr="004315B5">
        <w:rPr>
          <w:color w:val="000000" w:themeColor="text1"/>
        </w:rPr>
        <w:t>9,936</w:t>
      </w:r>
      <w:r w:rsidR="00E948BD" w:rsidRPr="004315B5">
        <w:rPr>
          <w:color w:val="000000" w:themeColor="text1"/>
        </w:rPr>
        <w:t xml:space="preserve"> </w:t>
      </w:r>
      <w:r w:rsidR="00634FB1" w:rsidRPr="004315B5">
        <w:rPr>
          <w:color w:val="000000" w:themeColor="text1"/>
        </w:rPr>
        <w:t>per DALY avoided)</w:t>
      </w:r>
      <w:r w:rsidR="00634FB1" w:rsidRPr="00424E30">
        <w:rPr>
          <w:color w:val="000000" w:themeColor="text1"/>
        </w:rPr>
        <w:t>.</w:t>
      </w:r>
    </w:p>
    <w:p w14:paraId="0852B87D" w14:textId="37C79FFF" w:rsidR="00B66B09" w:rsidRPr="00E97D8D" w:rsidRDefault="00B66B09" w:rsidP="009B7473">
      <w:pPr>
        <w:pStyle w:val="ListBullet"/>
      </w:pPr>
      <w:r w:rsidRPr="000F06D0">
        <w:rPr>
          <w:b/>
          <w:bCs/>
        </w:rPr>
        <w:t>40 to 74</w:t>
      </w:r>
      <w:r w:rsidR="004D581E" w:rsidRPr="000F06D0">
        <w:t>:</w:t>
      </w:r>
      <w:r w:rsidR="004D581E" w:rsidRPr="001F4A94">
        <w:t xml:space="preserve"> </w:t>
      </w:r>
      <w:r>
        <w:t xml:space="preserve">This age bracket was found to be </w:t>
      </w:r>
      <w:r w:rsidR="00FA62D5">
        <w:t>both less cost effective</w:t>
      </w:r>
      <w:r w:rsidR="000D60CC">
        <w:t xml:space="preserve"> </w:t>
      </w:r>
      <w:r w:rsidR="000D60CC">
        <w:rPr>
          <w:color w:val="000000" w:themeColor="text1"/>
        </w:rPr>
        <w:t>than the current target age range</w:t>
      </w:r>
      <w:r w:rsidR="00FA62D5">
        <w:t xml:space="preserve"> from a societal perspective ($2,012 per DALY avoided) and </w:t>
      </w:r>
      <w:r w:rsidR="003B544F">
        <w:t>less cost-effective from a healthcare system perspective (</w:t>
      </w:r>
      <w:r w:rsidR="00093934">
        <w:t xml:space="preserve">$12,021 per </w:t>
      </w:r>
      <w:r w:rsidR="008E298E">
        <w:t>DALY avoided).</w:t>
      </w:r>
    </w:p>
    <w:p w14:paraId="71AB2F9F" w14:textId="082AD5F1" w:rsidR="00A26985" w:rsidRDefault="00E97D8D" w:rsidP="009B7473">
      <w:r>
        <w:rPr>
          <w:color w:val="000000" w:themeColor="text1"/>
        </w:rPr>
        <w:t>Th</w:t>
      </w:r>
      <w:r w:rsidR="00C415FC">
        <w:rPr>
          <w:color w:val="000000" w:themeColor="text1"/>
        </w:rPr>
        <w:t>ese</w:t>
      </w:r>
      <w:r w:rsidRPr="00424E30">
        <w:rPr>
          <w:color w:val="000000" w:themeColor="text1"/>
        </w:rPr>
        <w:t xml:space="preserve"> </w:t>
      </w:r>
      <w:r w:rsidR="00A42B16" w:rsidRPr="00424E30">
        <w:rPr>
          <w:color w:val="000000" w:themeColor="text1"/>
        </w:rPr>
        <w:t>results are broadly consistent with Lew et al</w:t>
      </w:r>
      <w:r w:rsidR="00EC238C" w:rsidRPr="00424E30">
        <w:rPr>
          <w:color w:val="000000" w:themeColor="text1"/>
        </w:rPr>
        <w:t>.</w:t>
      </w:r>
      <w:r w:rsidR="00002BA5">
        <w:rPr>
          <w:color w:val="000000" w:themeColor="text1"/>
        </w:rPr>
        <w:t xml:space="preserve"> (2018)</w:t>
      </w:r>
      <w:r w:rsidR="00F15EA9" w:rsidRPr="00424E30">
        <w:rPr>
          <w:color w:val="000000" w:themeColor="text1"/>
        </w:rPr>
        <w:t>,</w:t>
      </w:r>
      <w:r w:rsidR="00A42B16" w:rsidRPr="00424E30">
        <w:rPr>
          <w:color w:val="000000" w:themeColor="text1"/>
        </w:rPr>
        <w:t xml:space="preserve"> </w:t>
      </w:r>
      <w:r w:rsidR="00F15EA9" w:rsidRPr="00424E30">
        <w:rPr>
          <w:color w:val="000000" w:themeColor="text1"/>
        </w:rPr>
        <w:t xml:space="preserve">which found that commencing the Program </w:t>
      </w:r>
      <w:r w:rsidR="00F15EA9">
        <w:t xml:space="preserve">at age 50 is </w:t>
      </w:r>
      <w:r w:rsidR="000D60CC">
        <w:t xml:space="preserve">marginally </w:t>
      </w:r>
      <w:r w:rsidR="00F15EA9">
        <w:t>more cost effective than commencing at age 45</w:t>
      </w:r>
      <w:r w:rsidR="000C4C0C">
        <w:t xml:space="preserve"> or 40</w:t>
      </w:r>
      <w:r w:rsidR="0078373A">
        <w:t xml:space="preserve">, </w:t>
      </w:r>
      <w:r w:rsidR="000D60CC">
        <w:t xml:space="preserve">when </w:t>
      </w:r>
      <w:r w:rsidR="003A4E8E">
        <w:t>evaluated</w:t>
      </w:r>
      <w:r w:rsidR="000D60CC">
        <w:t xml:space="preserve"> from a</w:t>
      </w:r>
      <w:r w:rsidR="0078373A">
        <w:t xml:space="preserve"> healthcare system </w:t>
      </w:r>
      <w:r w:rsidR="0078373A" w:rsidRPr="009B7473">
        <w:t>perspective</w:t>
      </w:r>
      <w:r w:rsidR="00A94EB9">
        <w:t>.</w:t>
      </w:r>
      <w:r w:rsidR="00270DDB">
        <w:rPr>
          <w:rStyle w:val="EndnoteReference"/>
        </w:rPr>
        <w:endnoteReference w:id="8"/>
      </w:r>
      <w:r w:rsidR="00A94EB9">
        <w:t xml:space="preserve"> </w:t>
      </w:r>
    </w:p>
    <w:p w14:paraId="65F1C847" w14:textId="53E04662" w:rsidR="00FC3B3C" w:rsidRDefault="00CD39C8" w:rsidP="00621E00">
      <w:r>
        <w:t xml:space="preserve">Scenario analysis of higher participation rates and diagnostic assessment rates </w:t>
      </w:r>
      <w:r w:rsidR="000247B8" w:rsidRPr="009015DC">
        <w:t>showed that</w:t>
      </w:r>
      <w:r w:rsidR="006D5DB5">
        <w:t xml:space="preserve"> there is benefit in prioritising Program investment</w:t>
      </w:r>
      <w:r w:rsidR="00FC3B3C" w:rsidRPr="009015DC">
        <w:t xml:space="preserve"> efforts to improve Program participation and the rate of diagnostic assessment, as both factors are associated with improved cost-effectiveness</w:t>
      </w:r>
      <w:r w:rsidR="0045249A" w:rsidRPr="009015DC">
        <w:t xml:space="preserve"> ratios</w:t>
      </w:r>
      <w:r w:rsidR="00FC3B3C" w:rsidRPr="009015DC">
        <w:t>.</w:t>
      </w:r>
      <w:r w:rsidR="00FC3B3C" w:rsidRPr="009E2EB6">
        <w:t xml:space="preserve"> </w:t>
      </w:r>
    </w:p>
    <w:p w14:paraId="269B09CB" w14:textId="3D31DA4D" w:rsidR="00E32033" w:rsidRDefault="00E32033" w:rsidP="00621E00">
      <w:pPr>
        <w:pStyle w:val="Heading4un-numbered"/>
      </w:pPr>
      <w:r w:rsidRPr="00E32033">
        <w:t>Aboriginal and Torres Islander people</w:t>
      </w:r>
    </w:p>
    <w:p w14:paraId="014337D0" w14:textId="77777777" w:rsidR="00387E52" w:rsidRPr="00495E4C" w:rsidRDefault="00F04682" w:rsidP="00387E52">
      <w:pPr>
        <w:ind w:right="284"/>
      </w:pPr>
      <w:r w:rsidRPr="00495E4C">
        <w:lastRenderedPageBreak/>
        <w:t>Aboriginal and Torres Strait Islander people represent a distinct cohort within the broader Australian population in relation to their experience of bowel cancer.</w:t>
      </w:r>
      <w:r w:rsidR="00387E52">
        <w:t xml:space="preserve"> </w:t>
      </w:r>
      <w:r w:rsidR="00387E52" w:rsidRPr="00495E4C">
        <w:t>Consequently, there is merit to analysing cost-effectiveness considerations for Aboriginal and Torres Strait Islander people separately.</w:t>
      </w:r>
    </w:p>
    <w:p w14:paraId="0AC0DDCA" w14:textId="5325C49D" w:rsidR="00387E52" w:rsidRDefault="00387E52" w:rsidP="00387E52">
      <w:pPr>
        <w:ind w:right="284"/>
      </w:pPr>
      <w:r w:rsidRPr="00495E4C">
        <w:t>In a pre-published report ‘</w:t>
      </w:r>
      <w:r w:rsidRPr="00495E4C">
        <w:rPr>
          <w:i/>
          <w:iCs/>
        </w:rPr>
        <w:t>The potential for tailored screening to reduce bowel cancer mortality for Aboriginal and Torres Strait Islander peoples in Australia: modelling study</w:t>
      </w:r>
      <w:r w:rsidRPr="00495E4C">
        <w:t xml:space="preserve">’, Lew et al. analysed the cost-effectiveness of different target age ranges for the Aboriginal and Torres Strait Islander cohort. </w:t>
      </w:r>
    </w:p>
    <w:p w14:paraId="269ACE18" w14:textId="77777777" w:rsidR="004254B6" w:rsidRPr="00495E4C" w:rsidRDefault="004254B6" w:rsidP="004254B6">
      <w:r w:rsidRPr="00495E4C">
        <w:t xml:space="preserve">Overall, Lew et al. reports that </w:t>
      </w:r>
      <w:r>
        <w:t xml:space="preserve">the </w:t>
      </w:r>
      <w:r w:rsidRPr="00495E4C">
        <w:t xml:space="preserve">Program is cost-effective for the Aboriginal and Torres Strait Islander cohort at $11,927 per life-year saved compared to a baseline of no-screening, though this estimate is higher than the cost per life-year saved attributed to the broader Australian Program cohort in previous Lew et al. papers. Contributing factors for this result include lower modelled incidence rates, lower participation and lower diagnostic assessment rates in the Aboriginal and Torres Strait Islander cohort. </w:t>
      </w:r>
    </w:p>
    <w:p w14:paraId="1BE14869" w14:textId="5EDD6B40" w:rsidR="004254B6" w:rsidRPr="00495E4C" w:rsidRDefault="004254B6" w:rsidP="004254B6">
      <w:r w:rsidRPr="00495E4C">
        <w:t xml:space="preserve">Lew also modelled scenarios to assess the cost-effectiveness of increasing the Aboriginal and Torres Strait Islander participation rate, as well as extending the screening age cohort for this population. </w:t>
      </w:r>
      <w:r w:rsidR="00BC5802">
        <w:t>T</w:t>
      </w:r>
      <w:r w:rsidRPr="00495E4C">
        <w:t>he following results were reported:</w:t>
      </w:r>
    </w:p>
    <w:p w14:paraId="2CA3A7E2" w14:textId="77777777" w:rsidR="004254B6" w:rsidRPr="00495E4C" w:rsidRDefault="004254B6" w:rsidP="009B7473">
      <w:pPr>
        <w:pStyle w:val="ListBullet"/>
      </w:pPr>
      <w:r w:rsidRPr="00495E4C">
        <w:t>At the current participation rate, extending the screening age cohort from 50 to 74 (the status quo) to 45 to 74 was cost effective at $28,145 per life year saved.</w:t>
      </w:r>
      <w:r w:rsidRPr="00495E4C">
        <w:rPr>
          <w:vertAlign w:val="superscript"/>
        </w:rPr>
        <w:footnoteReference w:id="12"/>
      </w:r>
      <w:r w:rsidRPr="00495E4C">
        <w:t xml:space="preserve"> </w:t>
      </w:r>
    </w:p>
    <w:p w14:paraId="1D6C445F" w14:textId="77777777" w:rsidR="004254B6" w:rsidRPr="00793FE8" w:rsidRDefault="004254B6" w:rsidP="009B7473">
      <w:pPr>
        <w:pStyle w:val="ListBullet"/>
      </w:pPr>
      <w:r w:rsidRPr="00495E4C">
        <w:t>With the current screening age cohort, increasing the participation rate from ~20 per cent to ~40 per cent was also cost-effective at $25,636 per life-year saved.</w:t>
      </w:r>
      <w:r w:rsidRPr="00495E4C">
        <w:rPr>
          <w:vertAlign w:val="superscript"/>
        </w:rPr>
        <w:footnoteReference w:id="13"/>
      </w:r>
      <w:r w:rsidRPr="00495E4C">
        <w:t xml:space="preserve"> </w:t>
      </w:r>
    </w:p>
    <w:p w14:paraId="3B9065B5" w14:textId="48D968A3" w:rsidR="004254B6" w:rsidRDefault="004254B6" w:rsidP="00621E00">
      <w:r w:rsidRPr="00495E4C">
        <w:t>Lew concludes, “The evidence … supports cost-effective screening for Aboriginal and Torres Strait Islander people in their forties, but not for the general population in their forties” (p5).</w:t>
      </w:r>
      <w:r w:rsidRPr="00495E4C">
        <w:rPr>
          <w:vertAlign w:val="superscript"/>
        </w:rPr>
        <w:endnoteReference w:id="9"/>
      </w:r>
      <w:r w:rsidRPr="00495E4C">
        <w:t xml:space="preserve"> </w:t>
      </w:r>
    </w:p>
    <w:p w14:paraId="57900683" w14:textId="602F359B" w:rsidR="00621E00" w:rsidRDefault="00621E00" w:rsidP="00621E00">
      <w:pPr>
        <w:pStyle w:val="Heading3un-numbered"/>
      </w:pPr>
      <w:r>
        <w:t>Conclusion</w:t>
      </w:r>
    </w:p>
    <w:p w14:paraId="3F2EA3C2" w14:textId="77777777" w:rsidR="00621E00" w:rsidRPr="00DB3339" w:rsidRDefault="00621E00" w:rsidP="009B7473">
      <w:pPr>
        <w:pStyle w:val="ListBullet"/>
        <w:rPr>
          <w:lang w:val="en-US"/>
        </w:rPr>
      </w:pPr>
      <w:r w:rsidRPr="00DB3339">
        <w:rPr>
          <w:lang w:val="en-US"/>
        </w:rPr>
        <w:t>Overall, the CEA results show that the Program is highly cost-effective compared to a no screening scenario. The analysis found that the most cost-effective entry age varied slightly depending on the perspective taken, however, overall, there was a marginal difference between starting screening at age 45 or 50. Deciding which entry age is most cost-effective depends on the extent of value placed on a societal perspective versus a healthcare system perspective.</w:t>
      </w:r>
    </w:p>
    <w:p w14:paraId="7B4D1C0B" w14:textId="77777777" w:rsidR="00621E00" w:rsidRPr="00DB3339" w:rsidRDefault="00621E00" w:rsidP="009B7473">
      <w:pPr>
        <w:pStyle w:val="ListBullet"/>
        <w:rPr>
          <w:lang w:val="en-US"/>
        </w:rPr>
      </w:pPr>
      <w:r>
        <w:rPr>
          <w:lang w:val="en-US"/>
        </w:rPr>
        <w:t>A positive return on investment could be achieved by</w:t>
      </w:r>
      <w:r w:rsidRPr="00DB3339">
        <w:rPr>
          <w:lang w:val="en-US"/>
        </w:rPr>
        <w:t xml:space="preserve"> </w:t>
      </w:r>
      <w:proofErr w:type="spellStart"/>
      <w:r w:rsidRPr="00DB3339">
        <w:rPr>
          <w:lang w:val="en-US"/>
        </w:rPr>
        <w:t>prioritis</w:t>
      </w:r>
      <w:r>
        <w:rPr>
          <w:lang w:val="en-US"/>
        </w:rPr>
        <w:t>ing</w:t>
      </w:r>
      <w:proofErr w:type="spellEnd"/>
      <w:r w:rsidRPr="00DB3339">
        <w:rPr>
          <w:lang w:val="en-US"/>
        </w:rPr>
        <w:t xml:space="preserve"> efforts to improve Program participation and the rate of diagnostic assessment, as both factors are associated with improved outcomes and cost-effectiveness ratios. </w:t>
      </w:r>
    </w:p>
    <w:p w14:paraId="5839D8A4" w14:textId="77777777" w:rsidR="00621E00" w:rsidRPr="00DB3339" w:rsidRDefault="00621E00" w:rsidP="009B7473">
      <w:pPr>
        <w:pStyle w:val="ListBullet"/>
        <w:rPr>
          <w:lang w:val="en-US"/>
        </w:rPr>
      </w:pPr>
      <w:r w:rsidRPr="00DB3339">
        <w:rPr>
          <w:lang w:val="en-US"/>
        </w:rPr>
        <w:t xml:space="preserve">Based on Lew et al.’s (pre-published) findings and conclusions, it is worthwhile to consider lowering the starting screening age for Aboriginal and Torres Strait Islander people. When considering a policy change to the Program it is necessary to consider both value for money and equity of access considerations with a view to closing gaps in health disparities for certain population sub-groups. It is on this basis the review supports Lew et al.’s conclusion that there is an opportunity to consider lowering the starting screening age for Aboriginal and Torres Strait Islander people but not the general population. </w:t>
      </w:r>
    </w:p>
    <w:p w14:paraId="3E38F527" w14:textId="77777777" w:rsidR="00621E00" w:rsidRDefault="00621E00" w:rsidP="009B7473">
      <w:pPr>
        <w:pStyle w:val="ListBullet"/>
        <w:rPr>
          <w:lang w:val="en-US"/>
        </w:rPr>
      </w:pPr>
      <w:r w:rsidRPr="00DB3339">
        <w:rPr>
          <w:lang w:val="en-US"/>
        </w:rPr>
        <w:t xml:space="preserve">Given the important role of the Alternative Pathway Pilot in increasing participation for Aboriginal and Torres Strait Islander people it is prudent to consider coupling any </w:t>
      </w:r>
      <w:r w:rsidRPr="00DB3339">
        <w:rPr>
          <w:lang w:val="en-US"/>
        </w:rPr>
        <w:lastRenderedPageBreak/>
        <w:t>lowering of the screening starting age for Aboriginal and Torres Strait Islander people with a scale up of the Alternative Pathway Pilot for this group. This is particularly important given there is a positive correlation between age and participation</w:t>
      </w:r>
      <w:r>
        <w:rPr>
          <w:lang w:val="en-US"/>
        </w:rPr>
        <w:t>.</w:t>
      </w:r>
    </w:p>
    <w:p w14:paraId="0E28681C" w14:textId="618A282B" w:rsidR="00621E00" w:rsidRPr="00621E00" w:rsidRDefault="00621E00" w:rsidP="00621E00">
      <w:pPr>
        <w:pStyle w:val="Heading3un-numbered"/>
      </w:pPr>
      <w:r>
        <w:t>Opportunities</w:t>
      </w:r>
    </w:p>
    <w:p w14:paraId="21592026" w14:textId="1849CBE9" w:rsidR="00F234E5" w:rsidRPr="00AF040C" w:rsidRDefault="00AF040C" w:rsidP="009B7473">
      <w:pPr>
        <w:pStyle w:val="ListBullet"/>
        <w:rPr>
          <w:highlight w:val="yellow"/>
        </w:rPr>
      </w:pPr>
      <w:r w:rsidRPr="009D7EDA">
        <w:rPr>
          <w:lang w:val="en-US"/>
        </w:rPr>
        <w:t xml:space="preserve">Consider </w:t>
      </w:r>
      <w:r>
        <w:rPr>
          <w:lang w:val="en-US"/>
        </w:rPr>
        <w:t xml:space="preserve">the </w:t>
      </w:r>
      <w:r w:rsidRPr="009D7EDA">
        <w:rPr>
          <w:lang w:val="en-US"/>
        </w:rPr>
        <w:t xml:space="preserve">feasibility of lowering </w:t>
      </w:r>
      <w:r w:rsidRPr="00606AD4">
        <w:rPr>
          <w:lang w:val="en-US"/>
        </w:rPr>
        <w:t>screening entry age to 40 or 45 for Aboriginal and Torres Strait Islander people, coupled with scale up of the Alternative Pathway pilot for this group.</w:t>
      </w:r>
    </w:p>
    <w:p w14:paraId="629F273A" w14:textId="1794E98A" w:rsidR="00BF3260" w:rsidRDefault="00E507D5" w:rsidP="006D60ED">
      <w:pPr>
        <w:pStyle w:val="Heading1"/>
      </w:pPr>
      <w:bookmarkStart w:id="44" w:name="_Toc82443088"/>
      <w:bookmarkStart w:id="45" w:name="_Toc82618948"/>
      <w:bookmarkStart w:id="46" w:name="_Toc107837499"/>
      <w:bookmarkEnd w:id="44"/>
      <w:bookmarkEnd w:id="45"/>
      <w:r w:rsidRPr="006D60ED">
        <w:lastRenderedPageBreak/>
        <w:t>Introduction</w:t>
      </w:r>
      <w:bookmarkEnd w:id="46"/>
    </w:p>
    <w:p w14:paraId="661FE6D5" w14:textId="2BC57A94" w:rsidR="00FD4924" w:rsidRPr="00FD4924" w:rsidRDefault="00232C50" w:rsidP="00FD4924">
      <w:pPr>
        <w:pStyle w:val="Sectionintro"/>
      </w:pPr>
      <w:r>
        <w:t>T</w:t>
      </w:r>
      <w:r w:rsidR="00FD4924" w:rsidRPr="00FD4924">
        <w:t>his chapter provides an overview of the Program, the scope of the review, the methodology and the structure of this Report.</w:t>
      </w:r>
    </w:p>
    <w:p w14:paraId="0A49223D" w14:textId="7159D929" w:rsidR="008C3255" w:rsidRPr="006D60ED" w:rsidRDefault="00FD4924" w:rsidP="006D60ED">
      <w:pPr>
        <w:pStyle w:val="Heading2"/>
        <w:rPr>
          <w:lang w:val="da-DK"/>
        </w:rPr>
      </w:pPr>
      <w:bookmarkStart w:id="47" w:name="_Toc107837500"/>
      <w:r>
        <w:t>Backgroun</w:t>
      </w:r>
      <w:r w:rsidR="001637C4">
        <w:t>d</w:t>
      </w:r>
      <w:bookmarkEnd w:id="47"/>
    </w:p>
    <w:p w14:paraId="0EC2AF84" w14:textId="61B42C96" w:rsidR="00E14D53" w:rsidRDefault="003D49FE" w:rsidP="00E14D53">
      <w:pPr>
        <w:pStyle w:val="NoSpacing"/>
        <w:spacing w:after="170" w:line="276" w:lineRule="auto"/>
      </w:pPr>
      <w:r>
        <w:t>In 2017, there were 15,</w:t>
      </w:r>
      <w:r w:rsidR="006C77BD">
        <w:t xml:space="preserve">206 cases of </w:t>
      </w:r>
      <w:r w:rsidR="001637C4">
        <w:t xml:space="preserve">bowel cancer </w:t>
      </w:r>
      <w:r w:rsidR="00FD1FA7">
        <w:t xml:space="preserve">diagnosed in Australia, </w:t>
      </w:r>
      <w:r w:rsidR="001637C4">
        <w:t>and 90</w:t>
      </w:r>
      <w:r w:rsidR="00DF039A">
        <w:t xml:space="preserve"> per cent</w:t>
      </w:r>
      <w:r w:rsidR="001637C4">
        <w:t xml:space="preserve"> of </w:t>
      </w:r>
      <w:r w:rsidR="00BE1622">
        <w:t xml:space="preserve">cases </w:t>
      </w:r>
      <w:r w:rsidR="00972D62">
        <w:t xml:space="preserve">were </w:t>
      </w:r>
      <w:r w:rsidR="00BE1622">
        <w:t xml:space="preserve">in people </w:t>
      </w:r>
      <w:r w:rsidR="001637C4">
        <w:t>aged 50 years or older.</w:t>
      </w:r>
      <w:r w:rsidR="00A47C8E">
        <w:rPr>
          <w:rStyle w:val="EndnoteReference"/>
        </w:rPr>
        <w:endnoteReference w:id="10"/>
      </w:r>
      <w:r w:rsidR="001637C4">
        <w:t xml:space="preserve"> </w:t>
      </w:r>
      <w:r w:rsidR="00494C1B">
        <w:t>Both the</w:t>
      </w:r>
      <w:r w:rsidR="0041364D">
        <w:t xml:space="preserve"> crude rate and the age-standardised rate of bowel cancer </w:t>
      </w:r>
      <w:r w:rsidR="00975ADE">
        <w:t>are</w:t>
      </w:r>
      <w:r w:rsidR="00945990">
        <w:t xml:space="preserve"> </w:t>
      </w:r>
      <w:r w:rsidR="00241FE6">
        <w:t>projected</w:t>
      </w:r>
      <w:r w:rsidR="0041364D">
        <w:t xml:space="preserve"> to decline between 2017 and 2021, </w:t>
      </w:r>
      <w:r w:rsidR="00682E20">
        <w:t>while</w:t>
      </w:r>
      <w:r w:rsidR="00945990">
        <w:t xml:space="preserve"> </w:t>
      </w:r>
      <w:r w:rsidR="00241FE6">
        <w:t>the</w:t>
      </w:r>
      <w:r w:rsidR="00236F3F">
        <w:t xml:space="preserve"> number of </w:t>
      </w:r>
      <w:r w:rsidR="00287D9E">
        <w:t xml:space="preserve">cases </w:t>
      </w:r>
      <w:r w:rsidR="00236F3F">
        <w:t xml:space="preserve">diagnosed </w:t>
      </w:r>
      <w:r w:rsidR="00935119">
        <w:t>is</w:t>
      </w:r>
      <w:r w:rsidR="00CF545C" w:rsidDel="00945990">
        <w:t xml:space="preserve"> </w:t>
      </w:r>
      <w:r w:rsidR="00241FE6">
        <w:t>still projected to</w:t>
      </w:r>
      <w:r w:rsidR="00CF545C">
        <w:t xml:space="preserve"> </w:t>
      </w:r>
      <w:r w:rsidR="00651616">
        <w:t>slightly increase</w:t>
      </w:r>
      <w:r w:rsidR="00945990">
        <w:t>.</w:t>
      </w:r>
      <w:r w:rsidR="00790077" w:rsidDel="007E06AC">
        <w:t xml:space="preserve"> </w:t>
      </w:r>
      <w:r w:rsidR="007E06AC">
        <w:t xml:space="preserve">Bowel cancer incidence can be reduced through the early detection of pre-cancerous growths, and the </w:t>
      </w:r>
      <w:r w:rsidR="00790077">
        <w:t xml:space="preserve">majority of </w:t>
      </w:r>
      <w:proofErr w:type="gramStart"/>
      <w:r w:rsidR="00790077">
        <w:t>early stage</w:t>
      </w:r>
      <w:proofErr w:type="gramEnd"/>
      <w:r w:rsidR="00790077">
        <w:t xml:space="preserve"> bowel cancers can be successfully treated</w:t>
      </w:r>
      <w:r w:rsidR="00DE1894">
        <w:t>. As such</w:t>
      </w:r>
      <w:r w:rsidR="00012E6F">
        <w:t xml:space="preserve">, this </w:t>
      </w:r>
      <w:r w:rsidR="00F06547">
        <w:t>highlights</w:t>
      </w:r>
      <w:r w:rsidR="0065252C">
        <w:t xml:space="preserve"> </w:t>
      </w:r>
      <w:r w:rsidR="00790077">
        <w:t>the potential impact of a screening program with high uptake</w:t>
      </w:r>
      <w:r w:rsidR="00F06547">
        <w:t>,</w:t>
      </w:r>
      <w:r w:rsidR="00790077">
        <w:rPr>
          <w:rStyle w:val="EndnoteReference"/>
        </w:rPr>
        <w:endnoteReference w:id="11"/>
      </w:r>
      <w:r w:rsidR="00790077">
        <w:t xml:space="preserve"> </w:t>
      </w:r>
      <w:r w:rsidR="00F06547">
        <w:t>and</w:t>
      </w:r>
      <w:r w:rsidR="00235B85" w:rsidDel="00B0305C">
        <w:t xml:space="preserve"> the </w:t>
      </w:r>
      <w:r w:rsidR="00452EE0">
        <w:t>importance</w:t>
      </w:r>
      <w:r w:rsidR="00235B85" w:rsidDel="00B0305C">
        <w:t xml:space="preserve"> of </w:t>
      </w:r>
      <w:r w:rsidR="00E171DC">
        <w:t>appropriate</w:t>
      </w:r>
      <w:r w:rsidR="00A2526D">
        <w:t xml:space="preserve"> investment in </w:t>
      </w:r>
      <w:r w:rsidR="004543CF">
        <w:t>prevention</w:t>
      </w:r>
      <w:r w:rsidR="008A6DE2">
        <w:t xml:space="preserve"> and early detection</w:t>
      </w:r>
      <w:r w:rsidR="00452EE0">
        <w:t>.</w:t>
      </w:r>
    </w:p>
    <w:p w14:paraId="1EECED70" w14:textId="3E2F25DF" w:rsidR="001637C4" w:rsidRPr="001637C4" w:rsidRDefault="001637C4" w:rsidP="002C5835">
      <w:pPr>
        <w:pStyle w:val="NoSpacing"/>
        <w:spacing w:after="170" w:line="276" w:lineRule="auto"/>
      </w:pPr>
      <w:r>
        <w:t>The National Bowel Cancer Screening Program (the NBCSP</w:t>
      </w:r>
      <w:r w:rsidR="00107464">
        <w:t xml:space="preserve"> or the Program</w:t>
      </w:r>
      <w:r>
        <w:t>) was implemented in 2006 by the Commonwealth Department of Health (the Department) to address the rising incidence and mortality of bowel cancer. The NBC</w:t>
      </w:r>
      <w:r w:rsidR="008E09BA">
        <w:t>S</w:t>
      </w:r>
      <w:r>
        <w:t>P was implemented in a phased approach, starting with limited age brackets in 2002 and extending to full biennial screening for those aged 50</w:t>
      </w:r>
      <w:r w:rsidR="00040D16">
        <w:t xml:space="preserve"> to </w:t>
      </w:r>
      <w:r>
        <w:t xml:space="preserve">74 </w:t>
      </w:r>
      <w:r w:rsidR="007A7DFB">
        <w:t xml:space="preserve">years </w:t>
      </w:r>
      <w:r>
        <w:t xml:space="preserve">as part of Phase Four. A policy timeline is provided in </w:t>
      </w:r>
      <w:r w:rsidR="0098775E">
        <w:fldChar w:fldCharType="begin"/>
      </w:r>
      <w:r w:rsidR="0098775E">
        <w:instrText xml:space="preserve"> REF _Ref67548537 \r \h </w:instrText>
      </w:r>
      <w:r w:rsidR="0098775E">
        <w:fldChar w:fldCharType="separate"/>
      </w:r>
      <w:r w:rsidR="00F27525">
        <w:t>Figure 1.1</w:t>
      </w:r>
      <w:r w:rsidR="0098775E">
        <w:fldChar w:fldCharType="end"/>
      </w:r>
      <w:r w:rsidR="0098775E">
        <w:t>.</w:t>
      </w:r>
    </w:p>
    <w:p w14:paraId="67757BD3" w14:textId="09B5C169" w:rsidR="001A4D53" w:rsidRDefault="001637C4" w:rsidP="001A4D53">
      <w:pPr>
        <w:pStyle w:val="CaptionFigure"/>
        <w:ind w:left="0"/>
      </w:pPr>
      <w:bookmarkStart w:id="48" w:name="_Ref67548537"/>
      <w:r>
        <w:t>: NBCSP policy timeline</w:t>
      </w:r>
    </w:p>
    <w:p w14:paraId="1CC97FE3" w14:textId="13D6F50E" w:rsidR="00C43FC1" w:rsidRPr="00C43FC1" w:rsidRDefault="00652B34" w:rsidP="00C43FC1">
      <w:r w:rsidRPr="00652B34">
        <w:rPr>
          <w:noProof/>
          <w:lang w:eastAsia="en-AU"/>
        </w:rPr>
        <w:drawing>
          <wp:inline distT="0" distB="0" distL="0" distR="0" wp14:anchorId="55F3056F" wp14:editId="55F6724F">
            <wp:extent cx="5731510" cy="2580640"/>
            <wp:effectExtent l="0" t="0" r="0" b="0"/>
            <wp:docPr id="38" name="Picture 38" descr="Figure 1.1 is a screen capture of the National Cervical Cancer screening program policy time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Figure 1.1 is a screen capture of the National Cervical Cancer screening program policy timeline.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2580640"/>
                    </a:xfrm>
                    <a:prstGeom prst="rect">
                      <a:avLst/>
                    </a:prstGeom>
                    <a:noFill/>
                    <a:ln>
                      <a:noFill/>
                    </a:ln>
                  </pic:spPr>
                </pic:pic>
              </a:graphicData>
            </a:graphic>
          </wp:inline>
        </w:drawing>
      </w:r>
    </w:p>
    <w:bookmarkEnd w:id="48"/>
    <w:p w14:paraId="44AFF1C6" w14:textId="62DF5CBF" w:rsidR="00381638" w:rsidRDefault="0098775E" w:rsidP="00E57E06">
      <w:pPr>
        <w:pStyle w:val="Sources"/>
      </w:pPr>
      <w:r w:rsidRPr="0098775E">
        <w:t xml:space="preserve"> </w:t>
      </w:r>
      <w:r w:rsidR="00381638">
        <w:t>Source: Deloitte Access Economics</w:t>
      </w:r>
      <w:r w:rsidR="004671CA">
        <w:t>.</w:t>
      </w:r>
    </w:p>
    <w:p w14:paraId="144B6B60" w14:textId="15B30EEF" w:rsidR="008368A0" w:rsidRDefault="0098775E" w:rsidP="0098775E">
      <w:pPr>
        <w:spacing w:line="276" w:lineRule="auto"/>
      </w:pPr>
      <w:r>
        <w:t xml:space="preserve">In addition, Phase Four included a transition from the National Bowel Cancer Screening Register (administered by </w:t>
      </w:r>
      <w:r w:rsidR="009C4ECD">
        <w:t>Services Australia</w:t>
      </w:r>
      <w:r>
        <w:t>) to the new National Cancer Screening Register (NCSR)</w:t>
      </w:r>
      <w:r w:rsidR="008368A0">
        <w:t>. M</w:t>
      </w:r>
      <w:r w:rsidR="00DD5E50">
        <w:t>igration</w:t>
      </w:r>
      <w:r w:rsidR="008368A0">
        <w:t xml:space="preserve"> to the NCSR</w:t>
      </w:r>
      <w:r w:rsidR="00DD5E50">
        <w:t xml:space="preserve"> </w:t>
      </w:r>
      <w:r w:rsidR="00950477">
        <w:t xml:space="preserve">occurred in </w:t>
      </w:r>
      <w:r w:rsidRPr="00BD22A3">
        <w:t>September</w:t>
      </w:r>
      <w:r w:rsidRPr="000820FA">
        <w:t xml:space="preserve"> 2019</w:t>
      </w:r>
      <w:r w:rsidR="00CB1442">
        <w:t>, following migration for the National Cervical Cancer Screening Program</w:t>
      </w:r>
      <w:r w:rsidR="00F144BA">
        <w:t xml:space="preserve"> in 2017</w:t>
      </w:r>
      <w:r>
        <w:t xml:space="preserve">. </w:t>
      </w:r>
    </w:p>
    <w:p w14:paraId="7426D0BE" w14:textId="3B61914C" w:rsidR="0098775E" w:rsidRDefault="0098775E" w:rsidP="0098775E">
      <w:pPr>
        <w:spacing w:line="276" w:lineRule="auto"/>
      </w:pPr>
      <w:r>
        <w:t xml:space="preserve">The NCSR </w:t>
      </w:r>
      <w:r w:rsidR="00E256CD">
        <w:t>provided</w:t>
      </w:r>
      <w:r>
        <w:t xml:space="preserve"> digital infrastructure for the collection, storage, analysis and reporting of screening data. It facilitates invitations for screening, mailing of test kits, participant support, clinical decision making, and </w:t>
      </w:r>
      <w:r w:rsidR="006504EC">
        <w:t xml:space="preserve">seeks to improve </w:t>
      </w:r>
      <w:r>
        <w:t>eas</w:t>
      </w:r>
      <w:r w:rsidR="006504EC">
        <w:t>e of</w:t>
      </w:r>
      <w:r>
        <w:t xml:space="preserve"> reporting for health care providers. Another key change as part of Phase Four included the </w:t>
      </w:r>
      <w:r w:rsidR="00260A8E">
        <w:t xml:space="preserve">pilot </w:t>
      </w:r>
      <w:r>
        <w:t xml:space="preserve">of the </w:t>
      </w:r>
      <w:r w:rsidR="00E62FEE">
        <w:t xml:space="preserve">National </w:t>
      </w:r>
      <w:r w:rsidR="005953C8">
        <w:t>A</w:t>
      </w:r>
      <w:r>
        <w:t xml:space="preserve">lternative </w:t>
      </w:r>
      <w:r w:rsidR="005953C8">
        <w:t>P</w:t>
      </w:r>
      <w:r>
        <w:t>athway</w:t>
      </w:r>
      <w:r w:rsidR="005953C8">
        <w:t xml:space="preserve"> to the NBCSP (Alternative Pathway)</w:t>
      </w:r>
      <w:r>
        <w:t xml:space="preserve"> for </w:t>
      </w:r>
      <w:r w:rsidR="00260A8E">
        <w:t xml:space="preserve">Aboriginal and Torres Strait Islander </w:t>
      </w:r>
      <w:r>
        <w:t>people.</w:t>
      </w:r>
    </w:p>
    <w:p w14:paraId="12CF75D1" w14:textId="02059C48" w:rsidR="0098775E" w:rsidRDefault="0098775E" w:rsidP="0098775E">
      <w:pPr>
        <w:pStyle w:val="Heading2"/>
      </w:pPr>
      <w:bookmarkStart w:id="49" w:name="_Toc107837501"/>
      <w:r>
        <w:lastRenderedPageBreak/>
        <w:t>Review of the NBCSP</w:t>
      </w:r>
      <w:bookmarkEnd w:id="49"/>
    </w:p>
    <w:p w14:paraId="2C6A43A8" w14:textId="13E26B6A" w:rsidR="0098775E" w:rsidRDefault="0098775E" w:rsidP="0098775E">
      <w:r>
        <w:t>In September 2020, the Department commissioned Deloitte Access Economics to undertake an independent review of the P</w:t>
      </w:r>
      <w:r w:rsidR="00541C65">
        <w:t>rogram</w:t>
      </w:r>
      <w:r w:rsidR="00654229">
        <w:t xml:space="preserve"> with a focus on the implementation of Phase Four</w:t>
      </w:r>
      <w:r>
        <w:t xml:space="preserve">. </w:t>
      </w:r>
      <w:r w:rsidR="00D01869">
        <w:t xml:space="preserve">Researchers from the </w:t>
      </w:r>
      <w:r w:rsidR="003F4ED0">
        <w:t xml:space="preserve">Centre for </w:t>
      </w:r>
      <w:r w:rsidR="003E0D4E">
        <w:t>Behavioural Economics</w:t>
      </w:r>
      <w:r w:rsidR="003F4ED0">
        <w:t>, Society and Technology at the</w:t>
      </w:r>
      <w:r w:rsidR="00D01869">
        <w:t xml:space="preserve"> Queensland University of Technology </w:t>
      </w:r>
      <w:r w:rsidR="003F4ED0">
        <w:t>supported the review.</w:t>
      </w:r>
      <w:r w:rsidR="00D01869">
        <w:t xml:space="preserve"> </w:t>
      </w:r>
      <w:r>
        <w:t xml:space="preserve">A review of the Program had not been undertaken since </w:t>
      </w:r>
      <w:r w:rsidR="00A10E04">
        <w:t xml:space="preserve">2012 </w:t>
      </w:r>
      <w:r>
        <w:t>(Phase Two).</w:t>
      </w:r>
    </w:p>
    <w:p w14:paraId="03B24034" w14:textId="7D4E9640" w:rsidR="0098775E" w:rsidRDefault="0098775E" w:rsidP="0098775E">
      <w:r>
        <w:t>The purpose of the</w:t>
      </w:r>
      <w:r w:rsidR="00954921">
        <w:t xml:space="preserve"> Program</w:t>
      </w:r>
      <w:r w:rsidR="00152FF7">
        <w:t xml:space="preserve"> </w:t>
      </w:r>
      <w:r>
        <w:t xml:space="preserve">review was to generate new and novel evidence on the implementation, outcomes, and cost-effectiveness of providing the NBCSP. </w:t>
      </w:r>
      <w:r w:rsidR="00742B78">
        <w:t>U</w:t>
      </w:r>
      <w:r>
        <w:t>nderstanding the Program’s strengths and areas for</w:t>
      </w:r>
      <w:r w:rsidR="00954921">
        <w:t xml:space="preserve"> future</w:t>
      </w:r>
      <w:r>
        <w:t xml:space="preserve"> improvement</w:t>
      </w:r>
      <w:r w:rsidR="00742B78">
        <w:t xml:space="preserve"> </w:t>
      </w:r>
      <w:r w:rsidR="00501FD5">
        <w:t xml:space="preserve">or innovation </w:t>
      </w:r>
      <w:r w:rsidR="00954921">
        <w:t xml:space="preserve">will </w:t>
      </w:r>
      <w:r w:rsidR="00742B78">
        <w:t>enable</w:t>
      </w:r>
      <w:r>
        <w:t xml:space="preserve"> the Department</w:t>
      </w:r>
      <w:r w:rsidR="0048042B">
        <w:t xml:space="preserve"> </w:t>
      </w:r>
      <w:r w:rsidR="00742B78">
        <w:t>to</w:t>
      </w:r>
      <w:r>
        <w:t xml:space="preserve"> make informed</w:t>
      </w:r>
      <w:r w:rsidR="00654229">
        <w:t>, evidence-based</w:t>
      </w:r>
      <w:r>
        <w:t xml:space="preserve"> decisions regarding ongoing Program investment to maximise the benefits</w:t>
      </w:r>
      <w:r w:rsidR="00E815D1">
        <w:t xml:space="preserve"> and minimise harms</w:t>
      </w:r>
      <w:r>
        <w:t xml:space="preserve"> for all participants.</w:t>
      </w:r>
    </w:p>
    <w:p w14:paraId="6855B8E5" w14:textId="3DA954CF" w:rsidR="0098775E" w:rsidRDefault="0098775E" w:rsidP="0098775E">
      <w:r>
        <w:t xml:space="preserve">The scope of the review included aspects related to the implementation of the </w:t>
      </w:r>
      <w:r w:rsidR="00051017">
        <w:t xml:space="preserve">Program </w:t>
      </w:r>
      <w:r>
        <w:t xml:space="preserve">as well as the outcomes achieved for participants and the broader healthcare system. Key focus areas for assessment included: </w:t>
      </w:r>
    </w:p>
    <w:p w14:paraId="3BA31743" w14:textId="2C293424" w:rsidR="0098775E" w:rsidRDefault="0098775E" w:rsidP="0098775E">
      <w:pPr>
        <w:pStyle w:val="ListBullet"/>
      </w:pPr>
      <w:r>
        <w:t>Program adoption, efficacy, efficiency (</w:t>
      </w:r>
      <w:proofErr w:type="gramStart"/>
      <w:r>
        <w:t>i.e.</w:t>
      </w:r>
      <w:proofErr w:type="gramEnd"/>
      <w:r>
        <w:t xml:space="preserve"> value for money assessment), equity of access and appropriateness of the clinical pathway</w:t>
      </w:r>
    </w:p>
    <w:p w14:paraId="7AC038A8" w14:textId="43C204DF" w:rsidR="0098775E" w:rsidRDefault="0098775E" w:rsidP="0098775E">
      <w:pPr>
        <w:pStyle w:val="ListBullet"/>
      </w:pPr>
      <w:r>
        <w:t>attitudes, behaviours and the drivers of participation, with a view to using this information to maximise uptake</w:t>
      </w:r>
    </w:p>
    <w:p w14:paraId="3B4A84A2" w14:textId="0541B6E8" w:rsidR="0098775E" w:rsidRDefault="0098775E" w:rsidP="0098775E">
      <w:pPr>
        <w:pStyle w:val="ListBullet"/>
      </w:pPr>
      <w:r>
        <w:t>effectiveness of Program delivery, including recruitment and invitation methods, governance, diagnostics, reporting and key performance indicators (KPIs)</w:t>
      </w:r>
    </w:p>
    <w:p w14:paraId="34CF2194" w14:textId="4512983B" w:rsidR="0098775E" w:rsidRDefault="0098775E" w:rsidP="0098775E">
      <w:pPr>
        <w:pStyle w:val="ListBullet"/>
      </w:pPr>
      <w:r>
        <w:t>new Program features including enhanced data collections, reporting and pathway pilots</w:t>
      </w:r>
    </w:p>
    <w:p w14:paraId="2C493A6B" w14:textId="44707280" w:rsidR="0098775E" w:rsidRDefault="0098775E" w:rsidP="0098775E">
      <w:pPr>
        <w:pStyle w:val="ListBullet"/>
      </w:pPr>
      <w:r>
        <w:t>compliance with the Phase Four Policy Framework.</w:t>
      </w:r>
    </w:p>
    <w:p w14:paraId="7B943B76" w14:textId="77777777" w:rsidR="003A4553" w:rsidRDefault="003A4553" w:rsidP="006D60ED">
      <w:pPr>
        <w:pStyle w:val="Heading3"/>
      </w:pPr>
      <w:r>
        <w:t>Out of scope</w:t>
      </w:r>
    </w:p>
    <w:p w14:paraId="7538E4F6" w14:textId="3882B5C7" w:rsidR="009F448E" w:rsidRPr="0098775E" w:rsidRDefault="00D0156D" w:rsidP="006D60ED">
      <w:r>
        <w:t xml:space="preserve">An evaluation of the functionality of the NCSR will be conducted </w:t>
      </w:r>
      <w:proofErr w:type="gramStart"/>
      <w:r>
        <w:t>separately, and</w:t>
      </w:r>
      <w:proofErr w:type="gramEnd"/>
      <w:r>
        <w:t xml:space="preserve"> was thus out of scope for the review. The Healthcare Provider Portal</w:t>
      </w:r>
      <w:r w:rsidR="00E40C8A">
        <w:t xml:space="preserve"> (HPP)</w:t>
      </w:r>
      <w:r>
        <w:t xml:space="preserve"> is a second piece of enabling infrastructure for the Program, which was piloted during Phase Four. An evaluation of the implementation and functionality of the</w:t>
      </w:r>
      <w:r w:rsidR="00E40C8A">
        <w:t xml:space="preserve"> HPP</w:t>
      </w:r>
      <w:r>
        <w:t xml:space="preserve"> was also out of scope for the review. </w:t>
      </w:r>
    </w:p>
    <w:p w14:paraId="28460F3B" w14:textId="0D4D79E2" w:rsidR="0098775E" w:rsidRDefault="0098775E" w:rsidP="0098775E">
      <w:pPr>
        <w:pStyle w:val="Heading2"/>
        <w:spacing w:before="0" w:line="276" w:lineRule="auto"/>
      </w:pPr>
      <w:bookmarkStart w:id="50" w:name="_Toc66951766"/>
      <w:bookmarkStart w:id="51" w:name="_Toc107837502"/>
      <w:r>
        <w:t>NBCSP participant clinical pathway</w:t>
      </w:r>
      <w:bookmarkEnd w:id="50"/>
      <w:bookmarkEnd w:id="51"/>
    </w:p>
    <w:p w14:paraId="4FC82CEB" w14:textId="148EC7B3" w:rsidR="00930E4F" w:rsidRDefault="00930E4F" w:rsidP="00930E4F">
      <w:r>
        <w:t xml:space="preserve">An overview of the NBCSP participant pathway and how it aligns with the five steps in the Australian Population Based Screening Framework (recruitment, screening, assessment, </w:t>
      </w:r>
      <w:proofErr w:type="gramStart"/>
      <w:r>
        <w:t>diagnosis</w:t>
      </w:r>
      <w:proofErr w:type="gramEnd"/>
      <w:r>
        <w:t xml:space="preserve"> and outcomes) is provided in </w:t>
      </w:r>
      <w:r w:rsidR="000647FF">
        <w:fldChar w:fldCharType="begin"/>
      </w:r>
      <w:r w:rsidR="000647FF">
        <w:instrText xml:space="preserve"> REF _Ref67548732 \r \h </w:instrText>
      </w:r>
      <w:r w:rsidR="000647FF">
        <w:fldChar w:fldCharType="separate"/>
      </w:r>
      <w:r w:rsidR="00F27525">
        <w:t>Figure 1.2</w:t>
      </w:r>
      <w:r w:rsidR="000647FF">
        <w:fldChar w:fldCharType="end"/>
      </w:r>
      <w:r>
        <w:t xml:space="preserve"> and described in further detail below.</w:t>
      </w:r>
    </w:p>
    <w:p w14:paraId="659837CC" w14:textId="77777777" w:rsidR="002D7F10" w:rsidRDefault="002D7F10" w:rsidP="002D7F10">
      <w:pPr>
        <w:pStyle w:val="CaptionFigure"/>
        <w:ind w:left="0"/>
      </w:pPr>
      <w:bookmarkStart w:id="52" w:name="_Ref67548732"/>
      <w:r>
        <w:t>: NBCSP participant pathway</w:t>
      </w:r>
      <w:bookmarkEnd w:id="52"/>
    </w:p>
    <w:p w14:paraId="1AF71E71" w14:textId="53C16BAC" w:rsidR="002D7F10" w:rsidRPr="00791915" w:rsidRDefault="00F53A52" w:rsidP="002D7F10">
      <w:r w:rsidRPr="00F53A52">
        <w:rPr>
          <w:noProof/>
          <w:lang w:eastAsia="en-AU"/>
        </w:rPr>
        <w:drawing>
          <wp:inline distT="0" distB="0" distL="0" distR="0" wp14:anchorId="5DD8FF22" wp14:editId="22FB365A">
            <wp:extent cx="5731510" cy="2269490"/>
            <wp:effectExtent l="0" t="0" r="2540" b="0"/>
            <wp:docPr id="49" name="Picture 49" descr="NBSCP Participant Path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NBSCP Participant Pathwa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2269490"/>
                    </a:xfrm>
                    <a:prstGeom prst="rect">
                      <a:avLst/>
                    </a:prstGeom>
                    <a:noFill/>
                    <a:ln>
                      <a:noFill/>
                    </a:ln>
                  </pic:spPr>
                </pic:pic>
              </a:graphicData>
            </a:graphic>
          </wp:inline>
        </w:drawing>
      </w:r>
    </w:p>
    <w:p w14:paraId="5D42C54E" w14:textId="414DF03F" w:rsidR="002D7F10" w:rsidRDefault="002D7F10" w:rsidP="002D7F10">
      <w:pPr>
        <w:pStyle w:val="Sources"/>
        <w:spacing w:before="0"/>
      </w:pPr>
      <w:r>
        <w:t>Source: Deloitte Access Economics diagram, using Department of Health</w:t>
      </w:r>
      <w:r w:rsidR="00823702">
        <w:t xml:space="preserve"> information</w:t>
      </w:r>
      <w:r>
        <w:t>.</w:t>
      </w:r>
      <w:r w:rsidR="00EA5AC5">
        <w:rPr>
          <w:rStyle w:val="EndnoteReference"/>
        </w:rPr>
        <w:endnoteReference w:id="12"/>
      </w:r>
    </w:p>
    <w:p w14:paraId="4D7022CA" w14:textId="3B8D2B23" w:rsidR="00930E4F" w:rsidRDefault="00930E4F" w:rsidP="00825541">
      <w:pPr>
        <w:pStyle w:val="Heading3"/>
        <w:numPr>
          <w:ilvl w:val="0"/>
          <w:numId w:val="0"/>
        </w:numPr>
        <w:ind w:left="1021" w:hanging="1021"/>
      </w:pPr>
      <w:r>
        <w:lastRenderedPageBreak/>
        <w:t>Invit</w:t>
      </w:r>
      <w:r w:rsidR="00110C85">
        <w:t>ation</w:t>
      </w:r>
      <w:r>
        <w:t xml:space="preserve"> and </w:t>
      </w:r>
      <w:r w:rsidR="00573D18">
        <w:t>participation</w:t>
      </w:r>
    </w:p>
    <w:p w14:paraId="1A65ADBF" w14:textId="489874BB" w:rsidR="002D7F10" w:rsidRDefault="008379BF" w:rsidP="00930E4F">
      <w:r>
        <w:t xml:space="preserve">The invitation </w:t>
      </w:r>
      <w:r w:rsidR="00F93CE9">
        <w:t xml:space="preserve">part of the pathway starts with </w:t>
      </w:r>
      <w:r w:rsidR="00930E4F">
        <w:t>a participant (age</w:t>
      </w:r>
      <w:r w:rsidR="00D413AA">
        <w:t>d</w:t>
      </w:r>
      <w:r w:rsidR="00930E4F">
        <w:t xml:space="preserve"> 50</w:t>
      </w:r>
      <w:r w:rsidR="004A1248">
        <w:t xml:space="preserve"> to </w:t>
      </w:r>
      <w:r w:rsidR="00930E4F">
        <w:t>74 years) receiv</w:t>
      </w:r>
      <w:r w:rsidR="00F93CE9">
        <w:t>ing</w:t>
      </w:r>
      <w:r w:rsidR="00930E4F">
        <w:t xml:space="preserve"> a pre-invitation letter, followed by a home test kit </w:t>
      </w:r>
      <w:r w:rsidR="00EC2CBA">
        <w:t>four</w:t>
      </w:r>
      <w:r w:rsidR="00930E4F">
        <w:t xml:space="preserve"> weeks later. The participant then completes the test kit and the Participant Details Forms and sends it directly to the pathology laboratory</w:t>
      </w:r>
      <w:r w:rsidR="00D03275">
        <w:t xml:space="preserve"> </w:t>
      </w:r>
      <w:r w:rsidR="00144A39">
        <w:t xml:space="preserve">by </w:t>
      </w:r>
      <w:r w:rsidR="0072580E">
        <w:t>returning</w:t>
      </w:r>
      <w:r w:rsidR="00144A39">
        <w:t xml:space="preserve"> a</w:t>
      </w:r>
      <w:r w:rsidR="00D03275">
        <w:t xml:space="preserve"> pre-paid envelope</w:t>
      </w:r>
      <w:r w:rsidR="00983EB4">
        <w:t xml:space="preserve"> </w:t>
      </w:r>
      <w:r w:rsidR="008B1F01">
        <w:t>to a post office or a pillar box (in the afternoon before 6pm)</w:t>
      </w:r>
      <w:r w:rsidR="00930E4F">
        <w:t xml:space="preserve">. The kit results </w:t>
      </w:r>
      <w:r w:rsidR="00FC168C">
        <w:t xml:space="preserve">(both positive and negative results) </w:t>
      </w:r>
      <w:r w:rsidR="00930E4F">
        <w:t xml:space="preserve">will be shared with the participant and the nominated </w:t>
      </w:r>
      <w:r w:rsidR="00CB16F3">
        <w:t>general practitioner (GP)</w:t>
      </w:r>
      <w:r w:rsidR="00930E4F">
        <w:t xml:space="preserve">. If the result is negative, the patient will exit the pathway and be sent another kit in </w:t>
      </w:r>
      <w:r w:rsidR="00EC2CBA">
        <w:t>two</w:t>
      </w:r>
      <w:r w:rsidR="00930E4F">
        <w:t xml:space="preserve"> years.</w:t>
      </w:r>
    </w:p>
    <w:p w14:paraId="5510EAC8" w14:textId="483A269C" w:rsidR="00930E4F" w:rsidRDefault="00930E4F" w:rsidP="00825541">
      <w:pPr>
        <w:pStyle w:val="Heading3"/>
        <w:numPr>
          <w:ilvl w:val="0"/>
          <w:numId w:val="0"/>
        </w:numPr>
        <w:ind w:left="1021" w:hanging="1021"/>
      </w:pPr>
      <w:r>
        <w:t>Follow-up and referral</w:t>
      </w:r>
      <w:r w:rsidR="00986B1B">
        <w:t xml:space="preserve"> (part of usual care model)</w:t>
      </w:r>
    </w:p>
    <w:p w14:paraId="14D8E623" w14:textId="1BC2FC35" w:rsidR="00664596" w:rsidRDefault="00930E4F" w:rsidP="00930E4F">
      <w:r>
        <w:t xml:space="preserve">If the </w:t>
      </w:r>
      <w:r w:rsidR="003F7694">
        <w:t>immunochemical faecal occult blood test (</w:t>
      </w:r>
      <w:proofErr w:type="spellStart"/>
      <w:r>
        <w:t>iFOBT</w:t>
      </w:r>
      <w:proofErr w:type="spellEnd"/>
      <w:r w:rsidR="003F7694">
        <w:t>)</w:t>
      </w:r>
      <w:r>
        <w:t xml:space="preserve"> result is positive, it is recommended that the participant talks to the GP within two weeks. </w:t>
      </w:r>
      <w:r w:rsidR="00E11BCA">
        <w:t>If the NCSR does not receive a record of the participant seeing a GP,</w:t>
      </w:r>
      <w:r>
        <w:t xml:space="preserve"> a reminder letter will be sent at 8 weeks </w:t>
      </w:r>
      <w:r w:rsidR="0066778C">
        <w:t xml:space="preserve">with a phone call from </w:t>
      </w:r>
      <w:r w:rsidR="00664596">
        <w:t xml:space="preserve">a Participant Follow Up Function (PFUF) officer at 12 weeks. </w:t>
      </w:r>
      <w:r w:rsidR="00060FB7">
        <w:t>If the NCSR does not receive a record of the participant seeing a GP</w:t>
      </w:r>
      <w:r w:rsidR="00664596">
        <w:t>, another letter will be sent at</w:t>
      </w:r>
      <w:r>
        <w:t xml:space="preserve"> 26 weeks, and a reminder phone call </w:t>
      </w:r>
      <w:r w:rsidR="00B1558F">
        <w:t xml:space="preserve">from a </w:t>
      </w:r>
      <w:r>
        <w:t xml:space="preserve">PFUF </w:t>
      </w:r>
      <w:r w:rsidR="00B1558F">
        <w:t xml:space="preserve">officer </w:t>
      </w:r>
      <w:r w:rsidR="00664596">
        <w:t>at</w:t>
      </w:r>
      <w:r>
        <w:t xml:space="preserve"> 30 weeks.</w:t>
      </w:r>
    </w:p>
    <w:p w14:paraId="050BE80E" w14:textId="225241AA" w:rsidR="00930E4F" w:rsidRDefault="006121F1" w:rsidP="00930E4F">
      <w:r>
        <w:t>The Guidelines advise the GP to</w:t>
      </w:r>
      <w:r w:rsidR="00930E4F">
        <w:t xml:space="preserve"> ask the participant about symptoms and family history</w:t>
      </w:r>
      <w:r w:rsidR="00317CF7">
        <w:t>,</w:t>
      </w:r>
      <w:r w:rsidR="00930E4F">
        <w:t xml:space="preserve"> will suggest next steps and may refer the participant to a colonoscopy. If no colonoscopy is reported a reminder letter will be sent at 8 weeks and 16 weeks </w:t>
      </w:r>
      <w:r w:rsidR="00A46A0E">
        <w:t xml:space="preserve">post GP follow-up </w:t>
      </w:r>
      <w:r w:rsidR="00930E4F">
        <w:t>and a reminder phone call from a PFUF officer will occur at 12 weeks and 20 weeks</w:t>
      </w:r>
      <w:r w:rsidR="002776A3">
        <w:t xml:space="preserve"> post GP follow-up</w:t>
      </w:r>
      <w:r w:rsidR="00930E4F">
        <w:t>.</w:t>
      </w:r>
    </w:p>
    <w:p w14:paraId="34D21C0E" w14:textId="6F4010F0" w:rsidR="00930E4F" w:rsidRDefault="00930E4F" w:rsidP="00825541">
      <w:pPr>
        <w:pStyle w:val="Heading3"/>
        <w:numPr>
          <w:ilvl w:val="0"/>
          <w:numId w:val="0"/>
        </w:numPr>
        <w:ind w:left="1021" w:hanging="1021"/>
      </w:pPr>
      <w:r>
        <w:t>Diagnosis</w:t>
      </w:r>
      <w:r w:rsidR="00986B1B">
        <w:t xml:space="preserve"> (part of usual care model)</w:t>
      </w:r>
    </w:p>
    <w:p w14:paraId="7B8B1D0C" w14:textId="5848B4D5" w:rsidR="00930E4F" w:rsidRDefault="00930E4F" w:rsidP="00930E4F">
      <w:r>
        <w:t>If the colonoscopy detects abnormalities, a specialist and GP will discuss the results with the participant and suggest options for follow-up</w:t>
      </w:r>
      <w:r w:rsidR="002A0DDF">
        <w:t xml:space="preserve"> as part of ‘usual-care’ protocol</w:t>
      </w:r>
      <w:r>
        <w:t xml:space="preserve">. This clinical care continues outside of the Program. If the colonoscopy detects no abnormalities, a specialist and GP will discuss the results with the participant; the participant will be re-invited to screen </w:t>
      </w:r>
      <w:r w:rsidR="004A1248">
        <w:t>four</w:t>
      </w:r>
      <w:r>
        <w:t xml:space="preserve"> years following the negative colonoscopy.</w:t>
      </w:r>
    </w:p>
    <w:p w14:paraId="22E65F01" w14:textId="1AF18027" w:rsidR="00930E4F" w:rsidRDefault="00930E4F" w:rsidP="00825541">
      <w:pPr>
        <w:pStyle w:val="Heading3"/>
        <w:numPr>
          <w:ilvl w:val="0"/>
          <w:numId w:val="0"/>
        </w:numPr>
        <w:ind w:left="1021" w:hanging="1021"/>
      </w:pPr>
      <w:r>
        <w:t>Treatment and outcomes</w:t>
      </w:r>
    </w:p>
    <w:p w14:paraId="7AD776C3" w14:textId="1299E0EB" w:rsidR="00930E4F" w:rsidRDefault="00930E4F" w:rsidP="00930E4F">
      <w:r>
        <w:t>Following a positive colonoscopy, the participant will undergo clinical care outside of the screening pathway. Stage at diagnosis and mortality outcomes will be assessed</w:t>
      </w:r>
      <w:r w:rsidR="003D7311">
        <w:t>, with details</w:t>
      </w:r>
      <w:r>
        <w:t xml:space="preserve"> recorded in the </w:t>
      </w:r>
      <w:r w:rsidR="005173B0">
        <w:t>Australian Cancer Database (</w:t>
      </w:r>
      <w:r>
        <w:t>ACD</w:t>
      </w:r>
      <w:r w:rsidR="005173B0">
        <w:t>)</w:t>
      </w:r>
      <w:r>
        <w:t xml:space="preserve"> and jurisdictional cancer registries</w:t>
      </w:r>
      <w:r w:rsidR="003D7311">
        <w:t xml:space="preserve"> according to reporting guidelines</w:t>
      </w:r>
      <w:r>
        <w:t>.</w:t>
      </w:r>
    </w:p>
    <w:p w14:paraId="182EB51B" w14:textId="68A3AB07" w:rsidR="00930E4F" w:rsidRDefault="000647FF" w:rsidP="000B1A39">
      <w:pPr>
        <w:pStyle w:val="Heading2"/>
      </w:pPr>
      <w:bookmarkStart w:id="53" w:name="_Toc107837503"/>
      <w:r>
        <w:t>Methodology</w:t>
      </w:r>
      <w:bookmarkEnd w:id="53"/>
    </w:p>
    <w:p w14:paraId="2DC164E7" w14:textId="5D454972" w:rsidR="00930E4F" w:rsidRDefault="000647FF" w:rsidP="00930E4F">
      <w:r w:rsidRPr="000647FF">
        <w:t>Deloitte Access Economics undertook a four-step approach to inform th</w:t>
      </w:r>
      <w:r w:rsidR="00487179">
        <w:t>e</w:t>
      </w:r>
      <w:r w:rsidRPr="000647FF">
        <w:t xml:space="preserve"> review over the period September 2020 to </w:t>
      </w:r>
      <w:r w:rsidR="004F1F4D">
        <w:t>April</w:t>
      </w:r>
      <w:r w:rsidR="00E927D4" w:rsidRPr="000647FF">
        <w:t xml:space="preserve"> </w:t>
      </w:r>
      <w:r w:rsidRPr="000647FF">
        <w:t xml:space="preserve">2021. </w:t>
      </w:r>
      <w:r w:rsidR="00931F30">
        <w:fldChar w:fldCharType="begin"/>
      </w:r>
      <w:r w:rsidR="00931F30">
        <w:instrText xml:space="preserve"> REF _Ref67662633 \r \h </w:instrText>
      </w:r>
      <w:r w:rsidR="00931F30">
        <w:fldChar w:fldCharType="separate"/>
      </w:r>
      <w:r w:rsidR="00F27525">
        <w:t>Figure 1.3</w:t>
      </w:r>
      <w:r w:rsidR="00931F30">
        <w:fldChar w:fldCharType="end"/>
      </w:r>
      <w:r w:rsidR="00931F30">
        <w:t xml:space="preserve"> </w:t>
      </w:r>
      <w:r w:rsidRPr="000647FF">
        <w:t>provides an overview of this approach, with additional detail provided in subsequent paragraphs.</w:t>
      </w:r>
    </w:p>
    <w:p w14:paraId="59C6DB28" w14:textId="1452AFBC" w:rsidR="000647FF" w:rsidRDefault="000647FF" w:rsidP="009E06D0">
      <w:pPr>
        <w:pStyle w:val="CaptionFigure"/>
        <w:ind w:left="0"/>
      </w:pPr>
      <w:bookmarkStart w:id="54" w:name="_Ref67662633"/>
      <w:r>
        <w:t>: Overview of approach to the review</w:t>
      </w:r>
      <w:bookmarkEnd w:id="54"/>
    </w:p>
    <w:p w14:paraId="691BBD6D" w14:textId="6444B154" w:rsidR="003A5C14" w:rsidRPr="004C358A" w:rsidRDefault="00EC79CB" w:rsidP="009C4ECD">
      <w:r w:rsidRPr="00EC79CB">
        <w:rPr>
          <w:noProof/>
          <w:lang w:eastAsia="en-AU"/>
        </w:rPr>
        <w:drawing>
          <wp:inline distT="0" distB="0" distL="0" distR="0" wp14:anchorId="08ECB8F5" wp14:editId="0B2DD16A">
            <wp:extent cx="4637970" cy="2076450"/>
            <wp:effectExtent l="0" t="0" r="0" b="0"/>
            <wp:docPr id="1489793603" name="Picture 1489793603" descr="Figure 1.3 is a screen capture of the overview of approach to the review. Detail of the overview is provided in subsequent para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793603" name="Picture 1489793603" descr="Figure 1.3 is a screen capture of the overview of approach to the review. Detail of the overview is provided in subsequent paragraph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79339" cy="2094971"/>
                    </a:xfrm>
                    <a:prstGeom prst="rect">
                      <a:avLst/>
                    </a:prstGeom>
                    <a:noFill/>
                    <a:ln>
                      <a:noFill/>
                    </a:ln>
                  </pic:spPr>
                </pic:pic>
              </a:graphicData>
            </a:graphic>
          </wp:inline>
        </w:drawing>
      </w:r>
    </w:p>
    <w:p w14:paraId="022DB47B" w14:textId="19428CFC" w:rsidR="00AE158A" w:rsidRDefault="00AE158A" w:rsidP="00AE158A">
      <w:pPr>
        <w:pStyle w:val="Sources"/>
        <w:spacing w:before="0"/>
      </w:pPr>
      <w:r>
        <w:t>Source: Deloitte Access Economics</w:t>
      </w:r>
      <w:r w:rsidR="0062313C">
        <w:t>.</w:t>
      </w:r>
    </w:p>
    <w:p w14:paraId="44633A30" w14:textId="535F3389" w:rsidR="000647FF" w:rsidRPr="000647FF" w:rsidRDefault="000647FF" w:rsidP="00886E63">
      <w:pPr>
        <w:keepNext/>
        <w:keepLines/>
        <w:numPr>
          <w:ilvl w:val="2"/>
          <w:numId w:val="2"/>
        </w:numPr>
        <w:spacing w:after="0" w:line="276" w:lineRule="auto"/>
        <w:outlineLvl w:val="2"/>
        <w:rPr>
          <w:rFonts w:eastAsiaTheme="majorEastAsia" w:cstheme="majorBidi"/>
          <w:b/>
          <w:bCs/>
        </w:rPr>
      </w:pPr>
      <w:r w:rsidRPr="000647FF">
        <w:rPr>
          <w:rFonts w:eastAsiaTheme="majorEastAsia" w:cstheme="majorBidi"/>
          <w:b/>
          <w:bCs/>
        </w:rPr>
        <w:lastRenderedPageBreak/>
        <w:t>Evaluation planning</w:t>
      </w:r>
    </w:p>
    <w:p w14:paraId="2DBC290B" w14:textId="433C8AF0" w:rsidR="000647FF" w:rsidRPr="000647FF" w:rsidRDefault="000C7A20" w:rsidP="000647FF">
      <w:pPr>
        <w:spacing w:line="276" w:lineRule="auto"/>
      </w:pPr>
      <w:r w:rsidRPr="000C7A20">
        <w:rPr>
          <w:noProof/>
          <w:lang w:eastAsia="en-AU"/>
        </w:rPr>
        <w:drawing>
          <wp:anchor distT="0" distB="0" distL="114300" distR="114300" simplePos="0" relativeHeight="251658257" behindDoc="0" locked="0" layoutInCell="1" allowOverlap="1" wp14:anchorId="0DBB536A" wp14:editId="2CA1E18B">
            <wp:simplePos x="0" y="0"/>
            <wp:positionH relativeFrom="column">
              <wp:posOffset>0</wp:posOffset>
            </wp:positionH>
            <wp:positionV relativeFrom="paragraph">
              <wp:posOffset>49530</wp:posOffset>
            </wp:positionV>
            <wp:extent cx="596900" cy="544830"/>
            <wp:effectExtent l="0" t="0" r="0" b="7620"/>
            <wp:wrapSquare wrapText="bothSides"/>
            <wp:docPr id="1489793604" name="Picture 14897936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793604" name="Picture 1489793604">
                      <a:extLst>
                        <a:ext uri="{C183D7F6-B498-43B3-948B-1728B52AA6E4}">
                          <adec:decorative xmlns:adec="http://schemas.microsoft.com/office/drawing/2017/decorative" val="1"/>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6900" cy="544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47FF" w:rsidRPr="000647FF">
        <w:t>During the project inception phase, an Evaluation Plan was co-designed with the Department. The Evaluation Plan included a program logic, set out the key lines of investigation to pursue as part of the evaluation, and identified data sources to inform each area of the investigation. The Evaluation Plan canvassed both an implementation evaluation and an outcome evaluation. The key questions assessed underneath each evaluation type is</w:t>
      </w:r>
      <w:r w:rsidR="000647FF" w:rsidRPr="000647FF">
        <w:rPr>
          <w:color w:val="000000" w:themeColor="text1"/>
        </w:rPr>
        <w:t xml:space="preserve"> outlined in</w:t>
      </w:r>
      <w:r w:rsidR="00110C85">
        <w:rPr>
          <w:color w:val="000000" w:themeColor="text1"/>
        </w:rPr>
        <w:t xml:space="preserve"> </w:t>
      </w:r>
      <w:r w:rsidR="00110C85">
        <w:rPr>
          <w:color w:val="000000" w:themeColor="text1"/>
        </w:rPr>
        <w:fldChar w:fldCharType="begin"/>
      </w:r>
      <w:r w:rsidR="00110C85">
        <w:rPr>
          <w:color w:val="000000" w:themeColor="text1"/>
        </w:rPr>
        <w:instrText xml:space="preserve"> REF _Ref67559648 \r \h </w:instrText>
      </w:r>
      <w:r w:rsidR="00110C85">
        <w:rPr>
          <w:color w:val="000000" w:themeColor="text1"/>
        </w:rPr>
      </w:r>
      <w:r w:rsidR="00110C85">
        <w:rPr>
          <w:color w:val="000000" w:themeColor="text1"/>
        </w:rPr>
        <w:fldChar w:fldCharType="separate"/>
      </w:r>
      <w:r w:rsidR="00F27525">
        <w:rPr>
          <w:color w:val="000000" w:themeColor="text1"/>
        </w:rPr>
        <w:t>Table 1.1</w:t>
      </w:r>
      <w:r w:rsidR="00110C85">
        <w:rPr>
          <w:color w:val="000000" w:themeColor="text1"/>
        </w:rPr>
        <w:fldChar w:fldCharType="end"/>
      </w:r>
      <w:r w:rsidR="0063464C">
        <w:rPr>
          <w:color w:val="000000" w:themeColor="text1"/>
        </w:rPr>
        <w:t>.</w:t>
      </w:r>
    </w:p>
    <w:p w14:paraId="267F4A2A" w14:textId="1AD2E58D" w:rsidR="000647FF" w:rsidRDefault="000647FF" w:rsidP="000647FF">
      <w:pPr>
        <w:pStyle w:val="CaptionTable"/>
      </w:pPr>
      <w:bookmarkStart w:id="55" w:name="_Ref67559648"/>
      <w:r>
        <w:t xml:space="preserve">: </w:t>
      </w:r>
      <w:r w:rsidRPr="000647FF">
        <w:t>Evaluation questions used to guide the scope of the review</w:t>
      </w:r>
      <w:bookmarkEnd w:id="55"/>
    </w:p>
    <w:p w14:paraId="27BD14B0" w14:textId="1CD539C5" w:rsidR="000B1A39" w:rsidRPr="000B1A39" w:rsidRDefault="000B1A39" w:rsidP="000B1A39">
      <w:r w:rsidRPr="000B1A39">
        <w:t>Implementation evaluation</w:t>
      </w:r>
    </w:p>
    <w:tbl>
      <w:tblPr>
        <w:tblStyle w:val="Deloittetable"/>
        <w:tblW w:w="0" w:type="auto"/>
        <w:tblLook w:val="06A0" w:firstRow="1" w:lastRow="0" w:firstColumn="1" w:lastColumn="0" w:noHBand="1" w:noVBand="1"/>
      </w:tblPr>
      <w:tblGrid>
        <w:gridCol w:w="1842"/>
        <w:gridCol w:w="7174"/>
      </w:tblGrid>
      <w:tr w:rsidR="000647FF" w:rsidRPr="006D60ED" w14:paraId="2BB3DBAC" w14:textId="77777777" w:rsidTr="000B1A39">
        <w:trPr>
          <w:cnfStyle w:val="100000000000" w:firstRow="1" w:lastRow="0" w:firstColumn="0" w:lastColumn="0" w:oddVBand="0" w:evenVBand="0" w:oddHBand="0" w:evenHBand="0" w:firstRowFirstColumn="0" w:firstRowLastColumn="0" w:lastRowFirstColumn="0" w:lastRowLastColumn="0"/>
          <w:trHeight w:val="340"/>
          <w:tblHeader/>
        </w:trPr>
        <w:tc>
          <w:tcPr>
            <w:tcW w:w="1842" w:type="dxa"/>
          </w:tcPr>
          <w:p w14:paraId="7C4CE573" w14:textId="77777777" w:rsidR="000647FF" w:rsidRPr="006D60ED" w:rsidRDefault="000647FF" w:rsidP="006D60ED">
            <w:pPr>
              <w:spacing w:before="0" w:after="0"/>
            </w:pPr>
            <w:r w:rsidRPr="006D60ED">
              <w:t>Domain</w:t>
            </w:r>
          </w:p>
        </w:tc>
        <w:tc>
          <w:tcPr>
            <w:tcW w:w="7174" w:type="dxa"/>
          </w:tcPr>
          <w:p w14:paraId="2D0B75D3" w14:textId="60D6C6AE" w:rsidR="000647FF" w:rsidRPr="006D60ED" w:rsidRDefault="000647FF" w:rsidP="006D60ED">
            <w:r w:rsidRPr="006D60ED">
              <w:t>Evaluation question(s)</w:t>
            </w:r>
          </w:p>
        </w:tc>
      </w:tr>
      <w:tr w:rsidR="00510B55" w:rsidRPr="006D60ED" w14:paraId="158328BF" w14:textId="77777777" w:rsidTr="000B1A39">
        <w:tc>
          <w:tcPr>
            <w:tcW w:w="1842" w:type="dxa"/>
          </w:tcPr>
          <w:p w14:paraId="1426622C" w14:textId="77777777" w:rsidR="00510B55" w:rsidRPr="006D60ED" w:rsidRDefault="00510B55" w:rsidP="006D60ED">
            <w:r w:rsidRPr="006D60ED">
              <w:t>Appropriateness</w:t>
            </w:r>
          </w:p>
        </w:tc>
        <w:tc>
          <w:tcPr>
            <w:tcW w:w="7174" w:type="dxa"/>
          </w:tcPr>
          <w:p w14:paraId="1F90EA8F" w14:textId="77777777" w:rsidR="00510B55" w:rsidRPr="006D60ED" w:rsidRDefault="00510B55" w:rsidP="006D60ED">
            <w:r w:rsidRPr="006D60ED">
              <w:t>To what extent is the Program facilitating the provision of timely, appropriate, high-quality, and safe diagnostic assessment services for Program participants?</w:t>
            </w:r>
          </w:p>
        </w:tc>
      </w:tr>
      <w:tr w:rsidR="000647FF" w:rsidRPr="006D60ED" w14:paraId="2EBCEBF6" w14:textId="77777777" w:rsidTr="000B1A39">
        <w:tc>
          <w:tcPr>
            <w:tcW w:w="1842" w:type="dxa"/>
          </w:tcPr>
          <w:p w14:paraId="080BDE34" w14:textId="39F4C1B9" w:rsidR="000647FF" w:rsidRPr="006D60ED" w:rsidRDefault="000647FF" w:rsidP="006D60ED">
            <w:r w:rsidRPr="006D60ED">
              <w:t>Fidelity</w:t>
            </w:r>
          </w:p>
        </w:tc>
        <w:tc>
          <w:tcPr>
            <w:tcW w:w="7174" w:type="dxa"/>
          </w:tcPr>
          <w:p w14:paraId="4A582258" w14:textId="26083865" w:rsidR="000647FF" w:rsidRPr="006D60ED" w:rsidRDefault="000647FF" w:rsidP="006D60ED">
            <w:r w:rsidRPr="006D60ED">
              <w:t>Was the Program delivered as it was intended?</w:t>
            </w:r>
          </w:p>
          <w:p w14:paraId="322A5F50" w14:textId="77777777" w:rsidR="000647FF" w:rsidRPr="006D60ED" w:rsidRDefault="000647FF" w:rsidP="006D60ED">
            <w:r w:rsidRPr="006D60ED">
              <w:t>To what extent did Phase Four address the recommendations of the previous evaluation?</w:t>
            </w:r>
          </w:p>
          <w:p w14:paraId="1E9755A2" w14:textId="77777777" w:rsidR="000647FF" w:rsidRPr="006D60ED" w:rsidRDefault="000647FF" w:rsidP="006D60ED">
            <w:r w:rsidRPr="006D60ED">
              <w:t xml:space="preserve">To what extent are governance structures operating effectively? </w:t>
            </w:r>
          </w:p>
        </w:tc>
      </w:tr>
      <w:tr w:rsidR="00510B55" w:rsidRPr="006D60ED" w14:paraId="458C3599" w14:textId="77777777" w:rsidTr="000B1A39">
        <w:tc>
          <w:tcPr>
            <w:tcW w:w="1842" w:type="dxa"/>
          </w:tcPr>
          <w:p w14:paraId="6EF83B16" w14:textId="77777777" w:rsidR="00510B55" w:rsidRPr="006D60ED" w:rsidRDefault="00510B55" w:rsidP="006D60ED">
            <w:r w:rsidRPr="006D60ED">
              <w:t>Awareness and adoption</w:t>
            </w:r>
          </w:p>
        </w:tc>
        <w:tc>
          <w:tcPr>
            <w:tcW w:w="7174" w:type="dxa"/>
          </w:tcPr>
          <w:p w14:paraId="43FFC097" w14:textId="77777777" w:rsidR="00510B55" w:rsidRPr="006D60ED" w:rsidRDefault="00510B55" w:rsidP="006D60ED">
            <w:r w:rsidRPr="006D60ED">
              <w:t>To what extent is the Program achieving participation levels that maximise the population benefit of early detection of bowel cancer in the target population (</w:t>
            </w:r>
            <w:proofErr w:type="gramStart"/>
            <w:r w:rsidRPr="006D60ED">
              <w:t xml:space="preserve">50 to 74-year </w:t>
            </w:r>
            <w:proofErr w:type="spellStart"/>
            <w:r w:rsidRPr="006D60ED">
              <w:t>olds</w:t>
            </w:r>
            <w:proofErr w:type="spellEnd"/>
            <w:proofErr w:type="gramEnd"/>
            <w:r w:rsidRPr="006D60ED">
              <w:t>)?</w:t>
            </w:r>
          </w:p>
        </w:tc>
      </w:tr>
      <w:tr w:rsidR="000647FF" w:rsidRPr="006D60ED" w14:paraId="5DA0B141" w14:textId="77777777" w:rsidTr="000B1A39">
        <w:tc>
          <w:tcPr>
            <w:tcW w:w="1842" w:type="dxa"/>
          </w:tcPr>
          <w:p w14:paraId="20B51A7B" w14:textId="77777777" w:rsidR="000647FF" w:rsidRPr="006D60ED" w:rsidRDefault="000647FF" w:rsidP="006D60ED">
            <w:r w:rsidRPr="006D60ED">
              <w:t>Sustainability</w:t>
            </w:r>
          </w:p>
        </w:tc>
        <w:tc>
          <w:tcPr>
            <w:tcW w:w="7174" w:type="dxa"/>
          </w:tcPr>
          <w:p w14:paraId="5EC5998D" w14:textId="77777777" w:rsidR="000647FF" w:rsidRPr="006D60ED" w:rsidRDefault="000647FF" w:rsidP="006D60ED">
            <w:r w:rsidRPr="006D60ED">
              <w:t>Are there opportunities to improve the Program and maximise its ability to meet its policy objectives?</w:t>
            </w:r>
          </w:p>
        </w:tc>
      </w:tr>
    </w:tbl>
    <w:p w14:paraId="3B15FB88" w14:textId="27F98119" w:rsidR="000B1A39" w:rsidRDefault="000B1A39">
      <w:r w:rsidRPr="006D60ED">
        <w:t>Outcome evaluation</w:t>
      </w:r>
    </w:p>
    <w:tbl>
      <w:tblPr>
        <w:tblStyle w:val="Deloittetable"/>
        <w:tblW w:w="0" w:type="auto"/>
        <w:tblLook w:val="06A0" w:firstRow="1" w:lastRow="0" w:firstColumn="1" w:lastColumn="0" w:noHBand="1" w:noVBand="1"/>
      </w:tblPr>
      <w:tblGrid>
        <w:gridCol w:w="1842"/>
        <w:gridCol w:w="7174"/>
      </w:tblGrid>
      <w:tr w:rsidR="000B1A39" w:rsidRPr="006D60ED" w14:paraId="796EDD9E" w14:textId="77777777" w:rsidTr="000B1A39">
        <w:trPr>
          <w:cnfStyle w:val="100000000000" w:firstRow="1" w:lastRow="0" w:firstColumn="0" w:lastColumn="0" w:oddVBand="0" w:evenVBand="0" w:oddHBand="0" w:evenHBand="0" w:firstRowFirstColumn="0" w:firstRowLastColumn="0" w:lastRowFirstColumn="0" w:lastRowLastColumn="0"/>
        </w:trPr>
        <w:tc>
          <w:tcPr>
            <w:tcW w:w="1842" w:type="dxa"/>
          </w:tcPr>
          <w:p w14:paraId="06B7AF78" w14:textId="6CB736DF" w:rsidR="000B1A39" w:rsidRPr="006D60ED" w:rsidRDefault="000B1A39" w:rsidP="006D60ED">
            <w:r>
              <w:t>Domain</w:t>
            </w:r>
          </w:p>
        </w:tc>
        <w:tc>
          <w:tcPr>
            <w:tcW w:w="7174" w:type="dxa"/>
          </w:tcPr>
          <w:p w14:paraId="4FD354F3" w14:textId="5D4B4BA5" w:rsidR="000B1A39" w:rsidRPr="006D60ED" w:rsidRDefault="000B1A39" w:rsidP="006D60ED">
            <w:r>
              <w:t>Evaluation question (s)</w:t>
            </w:r>
          </w:p>
        </w:tc>
      </w:tr>
      <w:tr w:rsidR="000647FF" w:rsidRPr="006D60ED" w14:paraId="4F222816" w14:textId="77777777" w:rsidTr="000B1A39">
        <w:tc>
          <w:tcPr>
            <w:tcW w:w="1842" w:type="dxa"/>
          </w:tcPr>
          <w:p w14:paraId="4D1B55BD" w14:textId="77777777" w:rsidR="000647FF" w:rsidRPr="006D60ED" w:rsidRDefault="000647FF" w:rsidP="006D60ED">
            <w:r w:rsidRPr="006D60ED">
              <w:t>Effectiveness</w:t>
            </w:r>
          </w:p>
        </w:tc>
        <w:tc>
          <w:tcPr>
            <w:tcW w:w="7174" w:type="dxa"/>
          </w:tcPr>
          <w:p w14:paraId="38A2F260" w14:textId="43AEDC9B" w:rsidR="000647FF" w:rsidRPr="006D60ED" w:rsidRDefault="000647FF" w:rsidP="006D60ED">
            <w:r w:rsidRPr="006D60ED">
              <w:t>To what extent is the Program maximising the benefits and minimising harm to individuals participating in the Program?</w:t>
            </w:r>
          </w:p>
          <w:p w14:paraId="5E391687" w14:textId="77777777" w:rsidR="000647FF" w:rsidRPr="006D60ED" w:rsidRDefault="000647FF" w:rsidP="006D60ED">
            <w:r w:rsidRPr="006D60ED">
              <w:t>Are there opportunities to change or enhance the role of states and territories to better support the achievement of NBCSP outcomes?</w:t>
            </w:r>
          </w:p>
        </w:tc>
      </w:tr>
      <w:tr w:rsidR="000647FF" w:rsidRPr="006D60ED" w14:paraId="4E3AD366" w14:textId="77777777" w:rsidTr="000B1A39">
        <w:tc>
          <w:tcPr>
            <w:tcW w:w="1842" w:type="dxa"/>
          </w:tcPr>
          <w:p w14:paraId="6C68B52C" w14:textId="77777777" w:rsidR="000647FF" w:rsidRPr="006D60ED" w:rsidRDefault="000647FF" w:rsidP="006D60ED">
            <w:r w:rsidRPr="006D60ED">
              <w:t>Equity</w:t>
            </w:r>
          </w:p>
        </w:tc>
        <w:tc>
          <w:tcPr>
            <w:tcW w:w="7174" w:type="dxa"/>
          </w:tcPr>
          <w:p w14:paraId="07FB4961" w14:textId="4A8C7F21" w:rsidR="000647FF" w:rsidRPr="006D60ED" w:rsidRDefault="000647FF" w:rsidP="006D60ED">
            <w:r w:rsidRPr="006D60ED">
              <w:t>To what extent is the Program enabling equitable access for the target population, irrespective of their geographic, socioeconomic, disability</w:t>
            </w:r>
            <w:r w:rsidR="008A5E24" w:rsidRPr="006D60ED">
              <w:t xml:space="preserve"> </w:t>
            </w:r>
            <w:r w:rsidRPr="006D60ED">
              <w:t>or cultural background, to achieve representative participation?</w:t>
            </w:r>
          </w:p>
        </w:tc>
      </w:tr>
      <w:tr w:rsidR="000647FF" w:rsidRPr="006D60ED" w14:paraId="0CD8EC08" w14:textId="77777777" w:rsidTr="000B1A39">
        <w:tc>
          <w:tcPr>
            <w:tcW w:w="1842" w:type="dxa"/>
          </w:tcPr>
          <w:p w14:paraId="41CCBCA2" w14:textId="77777777" w:rsidR="000647FF" w:rsidRPr="006D60ED" w:rsidRDefault="000647FF" w:rsidP="006D60ED">
            <w:r w:rsidRPr="006D60ED">
              <w:t xml:space="preserve">Efficiency </w:t>
            </w:r>
          </w:p>
        </w:tc>
        <w:tc>
          <w:tcPr>
            <w:tcW w:w="7174" w:type="dxa"/>
          </w:tcPr>
          <w:p w14:paraId="666D5EC0" w14:textId="77777777" w:rsidR="000647FF" w:rsidRPr="006D60ED" w:rsidRDefault="000647FF" w:rsidP="006D60ED">
            <w:r w:rsidRPr="006D60ED">
              <w:t>To what extent is the Program cost effective?</w:t>
            </w:r>
          </w:p>
        </w:tc>
      </w:tr>
    </w:tbl>
    <w:p w14:paraId="289C18F8" w14:textId="0C7B31FF" w:rsidR="000647FF" w:rsidRDefault="000647FF" w:rsidP="000647FF">
      <w:pPr>
        <w:pStyle w:val="Heading3"/>
        <w:spacing w:line="276" w:lineRule="auto"/>
      </w:pPr>
      <w:r>
        <w:t>Data collection</w:t>
      </w:r>
    </w:p>
    <w:p w14:paraId="07769E7D" w14:textId="2D8014D3" w:rsidR="000647FF" w:rsidRDefault="001F2A98" w:rsidP="000647FF">
      <w:pPr>
        <w:spacing w:line="276" w:lineRule="auto"/>
      </w:pPr>
      <w:r w:rsidRPr="001F2A98">
        <w:rPr>
          <w:noProof/>
          <w:lang w:eastAsia="en-AU"/>
        </w:rPr>
        <w:drawing>
          <wp:anchor distT="0" distB="0" distL="114300" distR="114300" simplePos="0" relativeHeight="251658258" behindDoc="0" locked="0" layoutInCell="1" allowOverlap="1" wp14:anchorId="23BE2E62" wp14:editId="59565ADA">
            <wp:simplePos x="0" y="0"/>
            <wp:positionH relativeFrom="column">
              <wp:posOffset>0</wp:posOffset>
            </wp:positionH>
            <wp:positionV relativeFrom="paragraph">
              <wp:posOffset>41275</wp:posOffset>
            </wp:positionV>
            <wp:extent cx="625596" cy="543600"/>
            <wp:effectExtent l="0" t="0" r="3175" b="8890"/>
            <wp:wrapSquare wrapText="bothSides"/>
            <wp:docPr id="1489793605" name="Picture 14897936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793605" name="Picture 1489793605">
                      <a:extLst>
                        <a:ext uri="{C183D7F6-B498-43B3-948B-1728B52AA6E4}">
                          <adec:decorative xmlns:adec="http://schemas.microsoft.com/office/drawing/2017/decorative" val="1"/>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5596" cy="54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47FF">
        <w:t>Following the planning phase, data collection occurred over the period November 2020 to January 2021. A mixed-methods approach was adopted, drawing upon a range of primary and secondary data sources. The sections below provide an overview of this mixed-methods approach.</w:t>
      </w:r>
    </w:p>
    <w:p w14:paraId="13395EAC" w14:textId="77777777" w:rsidR="00442B37" w:rsidRDefault="00442B37" w:rsidP="00442B37">
      <w:pPr>
        <w:pStyle w:val="Heading4un-numbered"/>
        <w:spacing w:line="276" w:lineRule="auto"/>
      </w:pPr>
      <w:r>
        <w:t>Secondary data collection</w:t>
      </w:r>
    </w:p>
    <w:p w14:paraId="1AF1A489" w14:textId="76FE2A34" w:rsidR="00442B37" w:rsidRPr="007242AF" w:rsidRDefault="00442B37" w:rsidP="006D60ED">
      <w:r>
        <w:t xml:space="preserve">The review drew upon the following </w:t>
      </w:r>
      <w:r w:rsidRPr="006D60ED">
        <w:t>secondary</w:t>
      </w:r>
      <w:r>
        <w:t xml:space="preserve"> data sources:</w:t>
      </w:r>
    </w:p>
    <w:p w14:paraId="4341CA26" w14:textId="77777777" w:rsidR="00442B37" w:rsidRPr="006D60ED" w:rsidRDefault="00442B37" w:rsidP="006D60ED">
      <w:r w:rsidRPr="006D60ED">
        <w:rPr>
          <w:rStyle w:val="Strong"/>
        </w:rPr>
        <w:t>Australian Institute of Health and Welfare (AIHW) Program Monitoring and Operational Reports</w:t>
      </w:r>
      <w:r w:rsidRPr="006D60ED">
        <w:t>. These reports routinely record data on the Program against the KPIs listed in the Phase Four Policy Framework, including participation rates, timeliness of follow-up, compliance with the clinical pathway, and adverse events (data permitting).</w:t>
      </w:r>
    </w:p>
    <w:p w14:paraId="4DF4FE5A" w14:textId="77777777" w:rsidR="00442B37" w:rsidRPr="006D60ED" w:rsidRDefault="00442B37" w:rsidP="006D60ED">
      <w:r w:rsidRPr="006D60ED">
        <w:rPr>
          <w:rStyle w:val="Strong"/>
        </w:rPr>
        <w:t>National Cancer Screening Register</w:t>
      </w:r>
      <w:r w:rsidRPr="006D60ED">
        <w:t xml:space="preserve">. The NCSR is a register containing a single electronic record for each person in Australia who receives an invitation to participate in the NBCSP. Data from the NCSR was used to measure indicators relating to participation </w:t>
      </w:r>
      <w:r w:rsidRPr="006D60ED">
        <w:lastRenderedPageBreak/>
        <w:t>rates, compliance with the clinical pathway, as well as the impact of the PFUF officers on follow-up rates.</w:t>
      </w:r>
    </w:p>
    <w:p w14:paraId="4ACEA7C6" w14:textId="6FDCF92A" w:rsidR="00442B37" w:rsidRPr="006D60ED" w:rsidRDefault="00442B37" w:rsidP="006D60ED">
      <w:r w:rsidRPr="006D60ED">
        <w:rPr>
          <w:rStyle w:val="Strong"/>
        </w:rPr>
        <w:t>Literature scan on best practice approaches</w:t>
      </w:r>
      <w:r w:rsidRPr="006D60ED">
        <w:t>. A literature scan was</w:t>
      </w:r>
      <w:r w:rsidR="00502ACB" w:rsidRPr="006D60ED">
        <w:t xml:space="preserve"> undertaken</w:t>
      </w:r>
      <w:r w:rsidR="008D3FC8" w:rsidRPr="006D60ED">
        <w:t xml:space="preserve"> </w:t>
      </w:r>
      <w:r w:rsidRPr="006D60ED">
        <w:t>to identify and appraise similar cancer screening programs in local and overseas jurisdictions, with a view of drawing comparisons and learnings. Additionally, the literature scan identified and appraised alternative testing options, screening intervals and age brackets. The literature scan comprised 82 articles, addressing one of more of the following questions:</w:t>
      </w:r>
    </w:p>
    <w:p w14:paraId="7507320A" w14:textId="77777777" w:rsidR="00442B37" w:rsidRDefault="00442B37" w:rsidP="00442B37">
      <w:pPr>
        <w:pStyle w:val="ListBullet"/>
      </w:pPr>
      <w:r>
        <w:t>f</w:t>
      </w:r>
      <w:r w:rsidRPr="000A3560">
        <w:t xml:space="preserve">or comparable </w:t>
      </w:r>
      <w:r>
        <w:t xml:space="preserve">screening </w:t>
      </w:r>
      <w:r w:rsidRPr="000A3560">
        <w:t xml:space="preserve">programs, </w:t>
      </w:r>
      <w:r>
        <w:t>how do they perform against key implementation performance indictors (</w:t>
      </w:r>
      <w:proofErr w:type="gramStart"/>
      <w:r>
        <w:t>e.g.</w:t>
      </w:r>
      <w:proofErr w:type="gramEnd"/>
      <w:r>
        <w:t xml:space="preserve"> participation, timeliness etc.)?</w:t>
      </w:r>
    </w:p>
    <w:p w14:paraId="3017A50A" w14:textId="77777777" w:rsidR="00442B37" w:rsidRDefault="00442B37" w:rsidP="00442B37">
      <w:pPr>
        <w:pStyle w:val="ListBullet"/>
      </w:pPr>
      <w:r>
        <w:t>what opportunities or innovations can be learned from comparable programs to inform improvements to the NBCSP?</w:t>
      </w:r>
    </w:p>
    <w:p w14:paraId="162350C5" w14:textId="77777777" w:rsidR="00442B37" w:rsidRPr="000A3560" w:rsidRDefault="00442B37" w:rsidP="00442B37">
      <w:pPr>
        <w:pStyle w:val="ListBullet"/>
      </w:pPr>
      <w:r>
        <w:t xml:space="preserve">what is the diagnostic value of alternative testing options to the </w:t>
      </w:r>
      <w:proofErr w:type="spellStart"/>
      <w:r>
        <w:t>iFOBT</w:t>
      </w:r>
      <w:proofErr w:type="spellEnd"/>
      <w:r>
        <w:t>?</w:t>
      </w:r>
    </w:p>
    <w:p w14:paraId="04852491" w14:textId="50A924FE" w:rsidR="00442B37" w:rsidRDefault="00442B37" w:rsidP="006D60ED">
      <w:pPr>
        <w:pStyle w:val="ListBullet"/>
      </w:pPr>
      <w:r>
        <w:t xml:space="preserve">what is the most appropriate screening interval and target population for </w:t>
      </w:r>
      <w:r w:rsidR="00032E22">
        <w:t xml:space="preserve">the </w:t>
      </w:r>
      <w:r>
        <w:t>NBCSP?</w:t>
      </w:r>
    </w:p>
    <w:p w14:paraId="6CAAE452" w14:textId="77777777" w:rsidR="000647FF" w:rsidRDefault="000647FF" w:rsidP="000647FF">
      <w:pPr>
        <w:pStyle w:val="Heading4un-numbered"/>
        <w:spacing w:line="276" w:lineRule="auto"/>
      </w:pPr>
      <w:r>
        <w:t>Primary data collection</w:t>
      </w:r>
    </w:p>
    <w:p w14:paraId="254299D8" w14:textId="02519DA3" w:rsidR="00AC5BA9" w:rsidRDefault="000647FF" w:rsidP="000647FF">
      <w:pPr>
        <w:spacing w:line="276" w:lineRule="auto"/>
      </w:pPr>
      <w:r>
        <w:t xml:space="preserve">The objective of the primary </w:t>
      </w:r>
      <w:r w:rsidR="00F8582F">
        <w:t xml:space="preserve">data </w:t>
      </w:r>
      <w:r>
        <w:t xml:space="preserve">collection was to gain a holistic understanding of the Program’s implementation and outcomes, by soliciting a broad range of views, gauging opinion and gathering important qualitative insights across a diverse group of stakeholders. </w:t>
      </w:r>
    </w:p>
    <w:p w14:paraId="42EB51CA" w14:textId="77777777" w:rsidR="0036750D" w:rsidRDefault="000647FF" w:rsidP="000647FF">
      <w:pPr>
        <w:spacing w:line="276" w:lineRule="auto"/>
      </w:pPr>
      <w:r>
        <w:t xml:space="preserve">Stakeholders were consulted through a virtual semi-structured interview or focus group. In total, </w:t>
      </w:r>
      <w:r w:rsidRPr="00EF36E5">
        <w:t>67 consult</w:t>
      </w:r>
      <w:r w:rsidR="0036750D">
        <w:t>ation</w:t>
      </w:r>
      <w:r w:rsidRPr="00EF36E5">
        <w:t xml:space="preserve">s were undertaken with </w:t>
      </w:r>
      <w:r w:rsidR="0036750D">
        <w:t xml:space="preserve">a total of </w:t>
      </w:r>
      <w:r w:rsidRPr="00EF36E5">
        <w:t xml:space="preserve">117 </w:t>
      </w:r>
      <w:r w:rsidRPr="0000094F">
        <w:t>stakeholders</w:t>
      </w:r>
      <w:r w:rsidR="0036750D">
        <w:t xml:space="preserve"> participating</w:t>
      </w:r>
      <w:r>
        <w:t>. Stakeholders consulted included</w:t>
      </w:r>
      <w:r w:rsidR="0036750D">
        <w:t>:</w:t>
      </w:r>
    </w:p>
    <w:p w14:paraId="5D8BF7E0" w14:textId="2924D754" w:rsidR="003D7311" w:rsidRDefault="000647FF" w:rsidP="003D7311">
      <w:pPr>
        <w:pStyle w:val="ListBullet"/>
      </w:pPr>
      <w:r>
        <w:t>members of the Clinical Advisory Group (CAG)</w:t>
      </w:r>
    </w:p>
    <w:p w14:paraId="4181C4A6" w14:textId="77777777" w:rsidR="003D7311" w:rsidRDefault="000647FF" w:rsidP="003D7311">
      <w:pPr>
        <w:pStyle w:val="ListBullet"/>
      </w:pPr>
      <w:r>
        <w:t>members of the Program Delivery Advisory Group (PDAG)</w:t>
      </w:r>
    </w:p>
    <w:p w14:paraId="4F920BF6" w14:textId="77777777" w:rsidR="003D7311" w:rsidRDefault="000647FF" w:rsidP="003D7311">
      <w:pPr>
        <w:pStyle w:val="ListBullet"/>
      </w:pPr>
      <w:r>
        <w:t>relevant federal department branches and divisions</w:t>
      </w:r>
    </w:p>
    <w:p w14:paraId="0E49E5C1" w14:textId="77777777" w:rsidR="003D7311" w:rsidRDefault="000647FF" w:rsidP="003D7311">
      <w:pPr>
        <w:pStyle w:val="ListBullet"/>
      </w:pPr>
      <w:r>
        <w:t>PFUF officers</w:t>
      </w:r>
    </w:p>
    <w:p w14:paraId="2873104D" w14:textId="2E0BDDA9" w:rsidR="003D7311" w:rsidRDefault="001969D6" w:rsidP="003D7311">
      <w:pPr>
        <w:pStyle w:val="ListBullet"/>
      </w:pPr>
      <w:r>
        <w:t>vendors</w:t>
      </w:r>
    </w:p>
    <w:p w14:paraId="16AB26A8" w14:textId="6CE28713" w:rsidR="003D7311" w:rsidRDefault="001969D6" w:rsidP="003D7311">
      <w:pPr>
        <w:pStyle w:val="ListBullet"/>
      </w:pPr>
      <w:r>
        <w:t>clinicians</w:t>
      </w:r>
    </w:p>
    <w:p w14:paraId="69529206" w14:textId="77777777" w:rsidR="003D7311" w:rsidRDefault="000647FF" w:rsidP="003D7311">
      <w:pPr>
        <w:pStyle w:val="ListBullet"/>
      </w:pPr>
      <w:r>
        <w:t>government agencies</w:t>
      </w:r>
    </w:p>
    <w:p w14:paraId="4C37C7DA" w14:textId="77777777" w:rsidR="003D7311" w:rsidRDefault="003D7311" w:rsidP="003D7311">
      <w:pPr>
        <w:pStyle w:val="ListBullet"/>
      </w:pPr>
      <w:r>
        <w:t>time-limited Program</w:t>
      </w:r>
      <w:r w:rsidR="000647FF">
        <w:t xml:space="preserve"> working groups</w:t>
      </w:r>
    </w:p>
    <w:p w14:paraId="19A23D12" w14:textId="08CC264E" w:rsidR="003D7311" w:rsidRDefault="000647FF" w:rsidP="003D7311">
      <w:pPr>
        <w:pStyle w:val="ListBullet"/>
      </w:pPr>
      <w:r>
        <w:t>Primary Healthcare Networks</w:t>
      </w:r>
      <w:r w:rsidR="005E474C">
        <w:t xml:space="preserve"> (PHNs)</w:t>
      </w:r>
    </w:p>
    <w:p w14:paraId="6D5A6B64" w14:textId="77777777" w:rsidR="003D7311" w:rsidRDefault="000647FF" w:rsidP="003D7311">
      <w:pPr>
        <w:pStyle w:val="ListBullet"/>
      </w:pPr>
      <w:r>
        <w:t>peak bodies</w:t>
      </w:r>
    </w:p>
    <w:p w14:paraId="6E1CF32A" w14:textId="77777777" w:rsidR="003D7311" w:rsidRDefault="000647FF" w:rsidP="003D7311">
      <w:pPr>
        <w:pStyle w:val="ListBullet"/>
      </w:pPr>
      <w:r>
        <w:t>academics</w:t>
      </w:r>
    </w:p>
    <w:p w14:paraId="7FBECF80" w14:textId="77777777" w:rsidR="003D7311" w:rsidRDefault="000647FF" w:rsidP="003D7311">
      <w:pPr>
        <w:pStyle w:val="ListBullet"/>
      </w:pPr>
      <w:r>
        <w:t>non-government organisations</w:t>
      </w:r>
    </w:p>
    <w:p w14:paraId="5D2EC74F" w14:textId="27F809B0" w:rsidR="003D7311" w:rsidRDefault="000647FF" w:rsidP="006D60ED">
      <w:pPr>
        <w:pStyle w:val="ListBullet"/>
      </w:pPr>
      <w:r>
        <w:t xml:space="preserve">state and territory policy officers. </w:t>
      </w:r>
    </w:p>
    <w:p w14:paraId="48277F95" w14:textId="34336145" w:rsidR="000647FF" w:rsidRDefault="000647FF" w:rsidP="000647FF">
      <w:pPr>
        <w:spacing w:line="276" w:lineRule="auto"/>
      </w:pPr>
      <w:r>
        <w:t>A</w:t>
      </w:r>
      <w:r w:rsidR="00226E6F">
        <w:t xml:space="preserve"> complete</w:t>
      </w:r>
      <w:r>
        <w:t xml:space="preserve"> list of organisations consulted i</w:t>
      </w:r>
      <w:r w:rsidR="00B436BB">
        <w:t>s</w:t>
      </w:r>
      <w:r>
        <w:t xml:space="preserve"> </w:t>
      </w:r>
      <w:r w:rsidRPr="002D1C0F">
        <w:rPr>
          <w:color w:val="000000" w:themeColor="text1"/>
        </w:rPr>
        <w:t>provided in</w:t>
      </w:r>
      <w:r w:rsidR="00A9513C">
        <w:rPr>
          <w:color w:val="000000" w:themeColor="text1"/>
        </w:rPr>
        <w:t xml:space="preserve"> Appendix A.</w:t>
      </w:r>
      <w:r w:rsidR="00022C2C" w:rsidRPr="002D1C0F">
        <w:rPr>
          <w:color w:val="000000" w:themeColor="text1"/>
        </w:rPr>
        <w:t xml:space="preserve"> </w:t>
      </w:r>
      <w:r>
        <w:t xml:space="preserve">In addition, </w:t>
      </w:r>
      <w:r w:rsidR="002A56A1">
        <w:t xml:space="preserve">a consumer </w:t>
      </w:r>
      <w:r>
        <w:t xml:space="preserve">survey </w:t>
      </w:r>
      <w:r w:rsidR="002A56A1">
        <w:t>and a clinic</w:t>
      </w:r>
      <w:r w:rsidR="00293829">
        <w:t>ian</w:t>
      </w:r>
      <w:r w:rsidR="002A56A1">
        <w:t xml:space="preserve"> survey</w:t>
      </w:r>
      <w:r>
        <w:t xml:space="preserve"> were administered</w:t>
      </w:r>
      <w:r w:rsidR="00190DD5">
        <w:t>.</w:t>
      </w:r>
    </w:p>
    <w:p w14:paraId="35FA4903" w14:textId="414F2852" w:rsidR="00FF5AE4" w:rsidRDefault="00190DD5" w:rsidP="00FF5AE4">
      <w:r>
        <w:t>The</w:t>
      </w:r>
      <w:r w:rsidR="000647FF">
        <w:t xml:space="preserve"> </w:t>
      </w:r>
      <w:r w:rsidR="000647FF" w:rsidRPr="00EA01A0">
        <w:rPr>
          <w:b/>
        </w:rPr>
        <w:t>consumer survey</w:t>
      </w:r>
      <w:r w:rsidR="000647FF">
        <w:t xml:space="preserve"> was administered </w:t>
      </w:r>
      <w:r w:rsidR="00695DBA">
        <w:t xml:space="preserve">by a market </w:t>
      </w:r>
      <w:r w:rsidR="002C7E13">
        <w:t xml:space="preserve">research provider </w:t>
      </w:r>
      <w:r w:rsidR="000647FF">
        <w:t>in December 2020 and remained in field for a period of two</w:t>
      </w:r>
      <w:r w:rsidR="000647FF" w:rsidRPr="00397034">
        <w:t xml:space="preserve"> months</w:t>
      </w:r>
      <w:r w:rsidR="000647FF">
        <w:t xml:space="preserve">. </w:t>
      </w:r>
      <w:r w:rsidR="00495576">
        <w:t xml:space="preserve">Respondents to the survey were </w:t>
      </w:r>
      <w:r w:rsidR="00CF40A5">
        <w:t>sourced from the market research provider’s panel</w:t>
      </w:r>
      <w:r w:rsidR="00801FD2">
        <w:t xml:space="preserve">, </w:t>
      </w:r>
      <w:r w:rsidR="004C6A93">
        <w:t>where the provider</w:t>
      </w:r>
      <w:r w:rsidR="00FF5AE4">
        <w:rPr>
          <w:color w:val="222222"/>
        </w:rPr>
        <w:t xml:space="preserve"> runs “open enrolment” and “by-invitation-only” recruitment campaigns. </w:t>
      </w:r>
      <w:r w:rsidR="00F075C5">
        <w:rPr>
          <w:color w:val="222222"/>
        </w:rPr>
        <w:t>Participation was voluntary, with</w:t>
      </w:r>
      <w:r w:rsidR="003B5B2E">
        <w:rPr>
          <w:color w:val="222222"/>
        </w:rPr>
        <w:t xml:space="preserve"> any respondents below the age of 50 </w:t>
      </w:r>
      <w:r w:rsidR="00372561">
        <w:rPr>
          <w:color w:val="222222"/>
        </w:rPr>
        <w:t xml:space="preserve">screened out. </w:t>
      </w:r>
      <w:r w:rsidR="005633AF">
        <w:t>The sample included Program participants and non-participants</w:t>
      </w:r>
      <w:r w:rsidR="00E02C12">
        <w:t>, including those who screened via other methods.</w:t>
      </w:r>
    </w:p>
    <w:p w14:paraId="2E5645E1" w14:textId="679F05D5" w:rsidR="000647FF" w:rsidRDefault="001164A8" w:rsidP="000647FF">
      <w:pPr>
        <w:pStyle w:val="ListBullet"/>
        <w:numPr>
          <w:ilvl w:val="0"/>
          <w:numId w:val="0"/>
        </w:numPr>
        <w:spacing w:after="170" w:line="276" w:lineRule="auto"/>
      </w:pPr>
      <w:r>
        <w:t>The</w:t>
      </w:r>
      <w:r w:rsidR="000647FF">
        <w:t xml:space="preserve"> </w:t>
      </w:r>
      <w:r w:rsidR="00717C94">
        <w:t>survey</w:t>
      </w:r>
      <w:r w:rsidR="000647FF">
        <w:t xml:space="preserve"> achieved a sample of over </w:t>
      </w:r>
      <w:r w:rsidR="000647FF" w:rsidRPr="00397034">
        <w:t>2,000 res</w:t>
      </w:r>
      <w:r w:rsidR="000647FF">
        <w:t xml:space="preserve">ponses, </w:t>
      </w:r>
      <w:r w:rsidR="009B34EC">
        <w:t>with a</w:t>
      </w:r>
      <w:r w:rsidR="000647FF">
        <w:t xml:space="preserve"> further sample of 200 respondents who identified as Culturally and Linguistically Diverse (CALD). </w:t>
      </w:r>
      <w:r w:rsidR="00A96320">
        <w:t>Prior to analysis,</w:t>
      </w:r>
      <w:r w:rsidR="009B34EC">
        <w:t xml:space="preserve"> the sample was standardised to </w:t>
      </w:r>
      <w:r w:rsidR="00451663">
        <w:t xml:space="preserve">the Australian population by age and gender. </w:t>
      </w:r>
      <w:r w:rsidR="009B67DC">
        <w:t>Responses were complete</w:t>
      </w:r>
      <w:r w:rsidR="00BB12A1">
        <w:t xml:space="preserve">, and thus statistical techniques to deal with missing data </w:t>
      </w:r>
      <w:r w:rsidR="008C2727">
        <w:t>were not</w:t>
      </w:r>
      <w:r w:rsidR="00BB12A1">
        <w:t xml:space="preserve"> employed.</w:t>
      </w:r>
    </w:p>
    <w:p w14:paraId="3EC39EE8" w14:textId="4DD5D7C6" w:rsidR="000647FF" w:rsidRDefault="00942709" w:rsidP="000647FF">
      <w:pPr>
        <w:pStyle w:val="ListBullet"/>
        <w:numPr>
          <w:ilvl w:val="0"/>
          <w:numId w:val="0"/>
        </w:numPr>
        <w:spacing w:after="170" w:line="276" w:lineRule="auto"/>
      </w:pPr>
      <w:r>
        <w:lastRenderedPageBreak/>
        <w:t>The</w:t>
      </w:r>
      <w:r w:rsidRPr="004C6429">
        <w:t xml:space="preserve"> </w:t>
      </w:r>
      <w:r w:rsidR="000647FF" w:rsidRPr="004C6429">
        <w:rPr>
          <w:b/>
          <w:bCs/>
        </w:rPr>
        <w:t>clinician survey</w:t>
      </w:r>
      <w:r w:rsidR="000647FF" w:rsidRPr="004C6429">
        <w:t xml:space="preserve"> was administered in December 2020 and remained in field for a period of </w:t>
      </w:r>
      <w:r w:rsidR="00AD6F8D">
        <w:t>two</w:t>
      </w:r>
      <w:r w:rsidR="000647FF" w:rsidRPr="004C6429">
        <w:t xml:space="preserve"> months. The </w:t>
      </w:r>
      <w:r w:rsidR="00C96105">
        <w:t>clinician</w:t>
      </w:r>
      <w:r w:rsidR="000647FF" w:rsidRPr="004C6429">
        <w:t xml:space="preserve"> survey achieved a sample of 147 </w:t>
      </w:r>
      <w:r w:rsidR="005F7B4A">
        <w:t xml:space="preserve">completed </w:t>
      </w:r>
      <w:r w:rsidR="000647FF" w:rsidRPr="004C6429">
        <w:t>responses</w:t>
      </w:r>
      <w:r w:rsidR="001E2BD7">
        <w:rPr>
          <w:rStyle w:val="FootnoteReference"/>
        </w:rPr>
        <w:footnoteReference w:id="14"/>
      </w:r>
      <w:r w:rsidR="000647FF" w:rsidRPr="004C6429">
        <w:t xml:space="preserve">, </w:t>
      </w:r>
      <w:r w:rsidR="002D2DEC">
        <w:t>comprising</w:t>
      </w:r>
      <w:r w:rsidR="000647FF" w:rsidRPr="004C6429">
        <w:t xml:space="preserve">: </w:t>
      </w:r>
      <w:r w:rsidR="004964F8">
        <w:t xml:space="preserve">GPs </w:t>
      </w:r>
      <w:r w:rsidR="002D2DEC">
        <w:t>(</w:t>
      </w:r>
      <w:r w:rsidR="000647FF" w:rsidRPr="004C6429">
        <w:t>3</w:t>
      </w:r>
      <w:r w:rsidR="00CC4EE5">
        <w:t>6</w:t>
      </w:r>
      <w:r w:rsidR="002D2DEC">
        <w:t xml:space="preserve"> per cent)</w:t>
      </w:r>
      <w:r w:rsidR="000647FF" w:rsidRPr="004C6429">
        <w:t>, colorectal surgeon</w:t>
      </w:r>
      <w:r w:rsidR="002D2DEC">
        <w:t>s (</w:t>
      </w:r>
      <w:r w:rsidR="002D2DEC" w:rsidRPr="004C6429">
        <w:t>21</w:t>
      </w:r>
      <w:r w:rsidR="002D2DEC">
        <w:t xml:space="preserve"> per cent)</w:t>
      </w:r>
      <w:r w:rsidR="000647FF" w:rsidRPr="004C6429">
        <w:t xml:space="preserve">, </w:t>
      </w:r>
      <w:r w:rsidR="004964F8">
        <w:t xml:space="preserve">practice </w:t>
      </w:r>
      <w:r w:rsidR="000647FF" w:rsidRPr="004C6429">
        <w:t>nurs</w:t>
      </w:r>
      <w:r w:rsidR="004964F8">
        <w:t>es</w:t>
      </w:r>
      <w:r w:rsidR="000647FF" w:rsidRPr="004C6429">
        <w:t xml:space="preserve"> (</w:t>
      </w:r>
      <w:r w:rsidR="002D2DEC" w:rsidRPr="004C6429">
        <w:t>20</w:t>
      </w:r>
      <w:r w:rsidR="002D2DEC">
        <w:t xml:space="preserve"> per cent</w:t>
      </w:r>
      <w:r w:rsidR="000647FF" w:rsidRPr="004C6429">
        <w:t>), Primary Health Network officer</w:t>
      </w:r>
      <w:r w:rsidR="004964F8">
        <w:t>s (5 per cent)</w:t>
      </w:r>
      <w:r w:rsidR="000647FF" w:rsidRPr="004C6429">
        <w:t xml:space="preserve">, </w:t>
      </w:r>
      <w:r w:rsidR="004964F8">
        <w:t xml:space="preserve">other </w:t>
      </w:r>
      <w:r w:rsidR="000647FF" w:rsidRPr="004C6429">
        <w:t>public health and/or policy officer</w:t>
      </w:r>
      <w:r w:rsidR="004964F8">
        <w:t>s (3 per cent)</w:t>
      </w:r>
      <w:r w:rsidR="000647FF" w:rsidRPr="004C6429">
        <w:t>, general surgeon</w:t>
      </w:r>
      <w:r w:rsidR="009F0718">
        <w:t>s</w:t>
      </w:r>
      <w:r w:rsidR="004964F8">
        <w:t xml:space="preserve"> (3 per cent), and other (</w:t>
      </w:r>
      <w:r w:rsidR="004964F8" w:rsidRPr="004C6429">
        <w:t>1</w:t>
      </w:r>
      <w:r w:rsidR="004964F8">
        <w:t>3 per cent).</w:t>
      </w:r>
    </w:p>
    <w:p w14:paraId="609BE4DD" w14:textId="5AB22A8B" w:rsidR="00E56F96" w:rsidRPr="006D60ED" w:rsidRDefault="007955A9" w:rsidP="006D60ED">
      <w:r w:rsidRPr="006D60ED">
        <w:rPr>
          <w:rStyle w:val="Strong"/>
        </w:rPr>
        <w:t xml:space="preserve">Online </w:t>
      </w:r>
      <w:r w:rsidR="00983032" w:rsidRPr="006D60ED">
        <w:rPr>
          <w:rStyle w:val="Strong"/>
        </w:rPr>
        <w:t>submissions</w:t>
      </w:r>
      <w:r w:rsidRPr="00983032">
        <w:t xml:space="preserve"> were also </w:t>
      </w:r>
      <w:r w:rsidR="00983032" w:rsidRPr="00983032">
        <w:t>received</w:t>
      </w:r>
      <w:r w:rsidRPr="00983032">
        <w:t xml:space="preserve"> through the </w:t>
      </w:r>
      <w:r w:rsidR="00983032" w:rsidRPr="00983032">
        <w:t>Dep</w:t>
      </w:r>
      <w:r w:rsidR="00980CBC">
        <w:t>a</w:t>
      </w:r>
      <w:r w:rsidR="00983032" w:rsidRPr="00983032">
        <w:t>rtment’s website</w:t>
      </w:r>
      <w:r w:rsidR="00983032">
        <w:t>. A t</w:t>
      </w:r>
      <w:r w:rsidR="00AC5BA9">
        <w:t>o</w:t>
      </w:r>
      <w:r w:rsidR="00983032">
        <w:t>tal of 36 submission</w:t>
      </w:r>
      <w:r w:rsidR="00C67D7C">
        <w:t>s</w:t>
      </w:r>
      <w:r w:rsidR="00983032">
        <w:t xml:space="preserve"> were received from </w:t>
      </w:r>
      <w:r w:rsidR="00004C34">
        <w:t xml:space="preserve">a range of </w:t>
      </w:r>
      <w:r w:rsidR="00AC5BA9">
        <w:t>stakeholders</w:t>
      </w:r>
      <w:r w:rsidR="003457EC">
        <w:t xml:space="preserve"> including </w:t>
      </w:r>
      <w:r w:rsidR="00CB4457">
        <w:t>non-government organisations, professional bodies</w:t>
      </w:r>
      <w:r w:rsidR="00983032">
        <w:t xml:space="preserve">, </w:t>
      </w:r>
      <w:r w:rsidR="00980CBC">
        <w:t>clinicians</w:t>
      </w:r>
      <w:r w:rsidR="00D10404">
        <w:t>,</w:t>
      </w:r>
      <w:r w:rsidR="00AC5BA9">
        <w:t xml:space="preserve"> and consumers.</w:t>
      </w:r>
    </w:p>
    <w:p w14:paraId="75B51220" w14:textId="026CC966" w:rsidR="000647FF" w:rsidRPr="006D60ED" w:rsidRDefault="00556B61" w:rsidP="006D60ED">
      <w:r w:rsidRPr="006D60ED">
        <w:t xml:space="preserve">It should be noted that primary data collection to inform the review </w:t>
      </w:r>
      <w:r w:rsidR="00491778" w:rsidRPr="006D60ED">
        <w:t xml:space="preserve">was </w:t>
      </w:r>
      <w:r w:rsidRPr="006D60ED">
        <w:t xml:space="preserve">carried out over the period October 2020 to February 2021. The calendar year 2020 included unique challenges and changes which affected the Program’s business as usual processes. This included the impact of the 2019/2020 bushfires and COVID-19 on Program operations, as well as the migration to the NCSR. While stakeholders were asked to reflect on the complete Phase Four period, observations from stakeholders should be considered </w:t>
      </w:r>
      <w:proofErr w:type="gramStart"/>
      <w:r w:rsidRPr="006D60ED">
        <w:t>in light of</w:t>
      </w:r>
      <w:proofErr w:type="gramEnd"/>
      <w:r w:rsidRPr="006D60ED">
        <w:t xml:space="preserve"> these factors. </w:t>
      </w:r>
    </w:p>
    <w:p w14:paraId="3E853C94" w14:textId="1379A554" w:rsidR="000647FF" w:rsidRDefault="000647FF" w:rsidP="000647FF">
      <w:pPr>
        <w:pStyle w:val="Heading3"/>
        <w:spacing w:line="276" w:lineRule="auto"/>
      </w:pPr>
      <w:r>
        <w:t>Data analysis</w:t>
      </w:r>
    </w:p>
    <w:p w14:paraId="1871C36C" w14:textId="734AA540" w:rsidR="000647FF" w:rsidRDefault="00AA1DC0" w:rsidP="000647FF">
      <w:pPr>
        <w:spacing w:line="276" w:lineRule="auto"/>
      </w:pPr>
      <w:r w:rsidRPr="00AA1DC0">
        <w:rPr>
          <w:noProof/>
          <w:lang w:eastAsia="en-AU"/>
        </w:rPr>
        <w:drawing>
          <wp:anchor distT="0" distB="0" distL="114300" distR="114300" simplePos="0" relativeHeight="251658259" behindDoc="0" locked="0" layoutInCell="1" allowOverlap="1" wp14:anchorId="2F635546" wp14:editId="60E8305D">
            <wp:simplePos x="0" y="0"/>
            <wp:positionH relativeFrom="column">
              <wp:posOffset>0</wp:posOffset>
            </wp:positionH>
            <wp:positionV relativeFrom="paragraph">
              <wp:posOffset>11430</wp:posOffset>
            </wp:positionV>
            <wp:extent cx="576882" cy="543600"/>
            <wp:effectExtent l="0" t="0" r="0" b="8890"/>
            <wp:wrapSquare wrapText="bothSides"/>
            <wp:docPr id="1489793606" name="Picture 14897936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793606" name="Picture 1489793606">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882" cy="54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47FF" w:rsidRPr="003D3457">
        <w:t xml:space="preserve">The analytical techniques </w:t>
      </w:r>
      <w:r w:rsidR="000647FF">
        <w:t>used</w:t>
      </w:r>
      <w:r w:rsidR="000647FF" w:rsidRPr="003D3457">
        <w:t xml:space="preserve"> to mine, synthesis</w:t>
      </w:r>
      <w:r w:rsidR="00EC4371">
        <w:t>e</w:t>
      </w:r>
      <w:r w:rsidR="000647FF" w:rsidRPr="003D3457">
        <w:t xml:space="preserve"> and summarise the key findings </w:t>
      </w:r>
      <w:r w:rsidR="000647FF">
        <w:t>across each of the data sources</w:t>
      </w:r>
      <w:r w:rsidR="000647FF" w:rsidRPr="003D3457">
        <w:t xml:space="preserve"> </w:t>
      </w:r>
      <w:r w:rsidR="000647FF">
        <w:t>is</w:t>
      </w:r>
      <w:r w:rsidR="000647FF" w:rsidRPr="003D3457">
        <w:t xml:space="preserve"> described below.</w:t>
      </w:r>
    </w:p>
    <w:p w14:paraId="5F62CEEA" w14:textId="77777777" w:rsidR="000647FF" w:rsidRDefault="000647FF" w:rsidP="000647FF">
      <w:pPr>
        <w:pStyle w:val="Heading4un-numbered"/>
        <w:spacing w:line="276" w:lineRule="auto"/>
      </w:pPr>
      <w:r>
        <w:t>Analysis of qualitative data</w:t>
      </w:r>
    </w:p>
    <w:p w14:paraId="6CA8C830" w14:textId="388E6112" w:rsidR="000647FF" w:rsidRDefault="000647FF" w:rsidP="000647FF">
      <w:pPr>
        <w:spacing w:line="276" w:lineRule="auto"/>
      </w:pPr>
      <w:r w:rsidRPr="00EA0F5A">
        <w:t>All insights gathered through the various qualitative data collection activities (</w:t>
      </w:r>
      <w:proofErr w:type="gramStart"/>
      <w:r w:rsidRPr="00EA0F5A">
        <w:t>i.e.</w:t>
      </w:r>
      <w:proofErr w:type="gramEnd"/>
      <w:r w:rsidRPr="00EA0F5A">
        <w:t xml:space="preserve"> interviews, literature scan, qualitative questions in surveys</w:t>
      </w:r>
      <w:r w:rsidR="007249D6">
        <w:t>) were analysed thematically</w:t>
      </w:r>
      <w:r w:rsidRPr="00EA0F5A">
        <w:t xml:space="preserve"> </w:t>
      </w:r>
      <w:r>
        <w:t>using</w:t>
      </w:r>
      <w:r w:rsidRPr="00EA0F5A">
        <w:t xml:space="preserve"> a structured process of review, reflection, and refinement</w:t>
      </w:r>
      <w:r>
        <w:t>:</w:t>
      </w:r>
    </w:p>
    <w:p w14:paraId="2214C9D5" w14:textId="77777777" w:rsidR="000647FF" w:rsidRDefault="000647FF" w:rsidP="000647FF">
      <w:pPr>
        <w:pStyle w:val="ListBullet"/>
      </w:pPr>
      <w:r w:rsidRPr="000C5564">
        <w:rPr>
          <w:b/>
          <w:bCs/>
        </w:rPr>
        <w:t>review</w:t>
      </w:r>
      <w:r w:rsidRPr="000C5564">
        <w:rPr>
          <w:b/>
        </w:rPr>
        <w:t>:</w:t>
      </w:r>
      <w:r>
        <w:t xml:space="preserve"> collation of information, and coding of topics and key issues</w:t>
      </w:r>
    </w:p>
    <w:p w14:paraId="128FB58A" w14:textId="77777777" w:rsidR="000647FF" w:rsidRDefault="000647FF" w:rsidP="000647FF">
      <w:pPr>
        <w:pStyle w:val="ListBullet"/>
      </w:pPr>
      <w:r w:rsidRPr="000C5564">
        <w:rPr>
          <w:b/>
          <w:bCs/>
        </w:rPr>
        <w:t>reflection</w:t>
      </w:r>
      <w:r w:rsidRPr="000C5564">
        <w:rPr>
          <w:b/>
        </w:rPr>
        <w:t>:</w:t>
      </w:r>
      <w:r>
        <w:t xml:space="preserve"> team discussion of the key emergent themes, including an assessment of their ‘substantive significance’</w:t>
      </w:r>
    </w:p>
    <w:p w14:paraId="2E343BB6" w14:textId="77777777" w:rsidR="000647FF" w:rsidRDefault="000647FF" w:rsidP="009B7473">
      <w:pPr>
        <w:pStyle w:val="ListBullet"/>
      </w:pPr>
      <w:r w:rsidRPr="000C5564">
        <w:rPr>
          <w:b/>
          <w:bCs/>
        </w:rPr>
        <w:t>refinement</w:t>
      </w:r>
      <w:r w:rsidRPr="000C5564">
        <w:rPr>
          <w:b/>
        </w:rPr>
        <w:t>:</w:t>
      </w:r>
      <w:r>
        <w:t xml:space="preserve"> describing the key themes clearly </w:t>
      </w:r>
      <w:r w:rsidRPr="009B7473">
        <w:t>and</w:t>
      </w:r>
      <w:r>
        <w:t xml:space="preserve"> concisely. </w:t>
      </w:r>
    </w:p>
    <w:p w14:paraId="46D976BB" w14:textId="77777777" w:rsidR="000647FF" w:rsidRDefault="000647FF" w:rsidP="000647FF">
      <w:pPr>
        <w:pStyle w:val="Heading4un-numbered"/>
        <w:spacing w:line="276" w:lineRule="auto"/>
      </w:pPr>
      <w:r>
        <w:t>Analysis of quantitative data</w:t>
      </w:r>
    </w:p>
    <w:p w14:paraId="1FACBC93" w14:textId="492EC3C2" w:rsidR="000647FF" w:rsidRDefault="000647FF" w:rsidP="000647FF">
      <w:pPr>
        <w:spacing w:line="276" w:lineRule="auto"/>
      </w:pPr>
      <w:r>
        <w:t>The analytical approaches used to analyse quantitative data include</w:t>
      </w:r>
      <w:r w:rsidR="007249D6">
        <w:t>d</w:t>
      </w:r>
      <w:r>
        <w:t>:</w:t>
      </w:r>
    </w:p>
    <w:p w14:paraId="40CB28AC" w14:textId="77777777" w:rsidR="000647FF" w:rsidRDefault="000647FF" w:rsidP="009B7473">
      <w:pPr>
        <w:pStyle w:val="ListBullet"/>
      </w:pPr>
      <w:r>
        <w:t>descriptive statistics to identify key trends and patterns over time</w:t>
      </w:r>
    </w:p>
    <w:p w14:paraId="4CE41D15" w14:textId="77777777" w:rsidR="000647FF" w:rsidRDefault="000647FF" w:rsidP="009B7473">
      <w:pPr>
        <w:pStyle w:val="ListBullet"/>
      </w:pPr>
      <w:r>
        <w:t>benchmarking of results across regions and subgroups</w:t>
      </w:r>
    </w:p>
    <w:p w14:paraId="663C9D39" w14:textId="77777777" w:rsidR="000647FF" w:rsidRDefault="000647FF" w:rsidP="009B7473">
      <w:pPr>
        <w:pStyle w:val="ListBullet"/>
      </w:pPr>
      <w:r>
        <w:t>correlation analysis to understand drivers of outcomes (</w:t>
      </w:r>
      <w:proofErr w:type="gramStart"/>
      <w:r>
        <w:t>e.g.</w:t>
      </w:r>
      <w:proofErr w:type="gramEnd"/>
      <w:r>
        <w:t xml:space="preserve"> participation rates)</w:t>
      </w:r>
    </w:p>
    <w:p w14:paraId="3E687171" w14:textId="6291B734" w:rsidR="000647FF" w:rsidRDefault="000647FF" w:rsidP="009B7473">
      <w:pPr>
        <w:pStyle w:val="ListBullet"/>
      </w:pPr>
      <w:r>
        <w:t xml:space="preserve">cost-effectiveness analysis (using a cohort Markov model) to understand the cost per Disability Adjusted Life Year (DALY) </w:t>
      </w:r>
      <w:r w:rsidR="00980CBC">
        <w:t>averted</w:t>
      </w:r>
      <w:r>
        <w:t xml:space="preserve"> as a result of the </w:t>
      </w:r>
      <w:r w:rsidR="00980CBC">
        <w:t xml:space="preserve">Program </w:t>
      </w:r>
      <w:r>
        <w:t>compared to the comparator of no screening</w:t>
      </w:r>
      <w:r w:rsidR="0028310E">
        <w:t xml:space="preserve">, with </w:t>
      </w:r>
      <w:r w:rsidR="00D642E5">
        <w:t>sensitivity analysis performed</w:t>
      </w:r>
      <w:r w:rsidR="0028310E">
        <w:t xml:space="preserve"> to assess the impact of alternative age brackets, participation rates and diagnostic assessment rates.</w:t>
      </w:r>
    </w:p>
    <w:p w14:paraId="47D4DECE" w14:textId="3BCAAAA2" w:rsidR="000647FF" w:rsidRDefault="000647FF" w:rsidP="000647FF">
      <w:pPr>
        <w:pStyle w:val="Heading3"/>
        <w:spacing w:line="276" w:lineRule="auto"/>
      </w:pPr>
      <w:r>
        <w:t>Reporting</w:t>
      </w:r>
    </w:p>
    <w:p w14:paraId="4C746E1C" w14:textId="3B7A62F8" w:rsidR="000647FF" w:rsidRPr="00E85067" w:rsidRDefault="00D376F2" w:rsidP="000647FF">
      <w:pPr>
        <w:spacing w:line="276" w:lineRule="auto"/>
      </w:pPr>
      <w:r w:rsidRPr="009D11F8">
        <w:rPr>
          <w:noProof/>
          <w:lang w:eastAsia="en-AU"/>
        </w:rPr>
        <w:drawing>
          <wp:anchor distT="0" distB="0" distL="114300" distR="114300" simplePos="0" relativeHeight="251658260" behindDoc="0" locked="0" layoutInCell="1" allowOverlap="1" wp14:anchorId="72078B26" wp14:editId="46945174">
            <wp:simplePos x="0" y="0"/>
            <wp:positionH relativeFrom="column">
              <wp:posOffset>0</wp:posOffset>
            </wp:positionH>
            <wp:positionV relativeFrom="paragraph">
              <wp:posOffset>46355</wp:posOffset>
            </wp:positionV>
            <wp:extent cx="602368" cy="543600"/>
            <wp:effectExtent l="0" t="0" r="7620" b="8890"/>
            <wp:wrapSquare wrapText="bothSides"/>
            <wp:docPr id="1489793609" name="Picture 14897936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793609" name="Picture 1489793609">
                      <a:extLst>
                        <a:ext uri="{C183D7F6-B498-43B3-948B-1728B52AA6E4}">
                          <adec:decorative xmlns:adec="http://schemas.microsoft.com/office/drawing/2017/decorative" val="1"/>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2368" cy="543600"/>
                    </a:xfrm>
                    <a:prstGeom prst="rect">
                      <a:avLst/>
                    </a:prstGeom>
                    <a:noFill/>
                    <a:ln>
                      <a:noFill/>
                    </a:ln>
                  </pic:spPr>
                </pic:pic>
              </a:graphicData>
            </a:graphic>
          </wp:anchor>
        </w:drawing>
      </w:r>
      <w:r w:rsidR="000647FF">
        <w:t>The emergent findings were synthesised across all data sources and summarised by each evaluation question in the Evaluation Report (this document). In response to the key findings</w:t>
      </w:r>
      <w:r w:rsidR="00227B6D">
        <w:t xml:space="preserve"> </w:t>
      </w:r>
      <w:r w:rsidR="00D1401A">
        <w:t>generated through the</w:t>
      </w:r>
      <w:r w:rsidR="00227B6D">
        <w:t xml:space="preserve"> review</w:t>
      </w:r>
      <w:r w:rsidR="000647FF">
        <w:t xml:space="preserve">, the report culminates in a set of </w:t>
      </w:r>
      <w:r w:rsidR="00227B6D">
        <w:t>opportunities</w:t>
      </w:r>
      <w:r w:rsidR="000647FF">
        <w:t xml:space="preserve"> to guide the ongoing improvement and sustainability of the Program.</w:t>
      </w:r>
    </w:p>
    <w:p w14:paraId="29B109E1" w14:textId="77777777" w:rsidR="000647FF" w:rsidRDefault="000647FF" w:rsidP="000647FF">
      <w:pPr>
        <w:pStyle w:val="Heading2"/>
      </w:pPr>
      <w:bookmarkStart w:id="56" w:name="_Toc66951768"/>
      <w:bookmarkStart w:id="57" w:name="_Ref68948040"/>
      <w:bookmarkStart w:id="58" w:name="_Toc107837504"/>
      <w:r>
        <w:lastRenderedPageBreak/>
        <w:t>Limitations of the review</w:t>
      </w:r>
      <w:bookmarkEnd w:id="56"/>
      <w:bookmarkEnd w:id="57"/>
      <w:bookmarkEnd w:id="58"/>
    </w:p>
    <w:p w14:paraId="07D4D130" w14:textId="334060BC" w:rsidR="000647FF" w:rsidRDefault="000647FF" w:rsidP="000647FF">
      <w:r>
        <w:t xml:space="preserve">The review of Phase Four of the </w:t>
      </w:r>
      <w:r w:rsidR="00D1401A">
        <w:t>Program</w:t>
      </w:r>
      <w:r>
        <w:t xml:space="preserve"> was limited by the following factors:</w:t>
      </w:r>
    </w:p>
    <w:p w14:paraId="431850CE" w14:textId="12CE17A0" w:rsidR="00EF6D30" w:rsidRDefault="00EF6D30" w:rsidP="00EF6D30">
      <w:r w:rsidRPr="006D60ED">
        <w:rPr>
          <w:rStyle w:val="Strong"/>
        </w:rPr>
        <w:t>Data Quality</w:t>
      </w:r>
      <w:r w:rsidRPr="009829BF">
        <w:rPr>
          <w:b/>
        </w:rPr>
        <w:t>:</w:t>
      </w:r>
      <w:r>
        <w:t xml:space="preserve"> A longstanding challenge to the Program is the non-compulsory provision of data related to participant outcomes from stakeholders. While the NCSR is able to capture data related to activities where the Department</w:t>
      </w:r>
      <w:r w:rsidR="00E91C1D">
        <w:t xml:space="preserve"> </w:t>
      </w:r>
      <w:r>
        <w:t>has direct oversight (</w:t>
      </w:r>
      <w:proofErr w:type="gramStart"/>
      <w:r>
        <w:t>e.g.</w:t>
      </w:r>
      <w:proofErr w:type="gramEnd"/>
      <w:r>
        <w:t xml:space="preserve"> invitations and </w:t>
      </w:r>
      <w:proofErr w:type="spellStart"/>
      <w:r w:rsidR="00E87D78">
        <w:t>i</w:t>
      </w:r>
      <w:r>
        <w:t>FOBT</w:t>
      </w:r>
      <w:proofErr w:type="spellEnd"/>
      <w:r>
        <w:t xml:space="preserve"> results), participant follow-up with primary health care providers and specialists is not systematically captured. This issue affects the reporting of key Program performance indicators, notably </w:t>
      </w:r>
      <w:r w:rsidR="002C6CAD">
        <w:t>diag</w:t>
      </w:r>
      <w:r w:rsidR="002C6922">
        <w:t>nostic</w:t>
      </w:r>
      <w:r w:rsidR="002C6CAD">
        <w:t xml:space="preserve"> assessment rates</w:t>
      </w:r>
      <w:r w:rsidR="002C6922">
        <w:t>,</w:t>
      </w:r>
      <w:r>
        <w:t xml:space="preserve"> adenoma and colorectal cancer detection rate</w:t>
      </w:r>
      <w:r w:rsidR="00F86BF7">
        <w:t>s</w:t>
      </w:r>
      <w:r w:rsidR="0087741C">
        <w:t>, interval rates,</w:t>
      </w:r>
      <w:r>
        <w:t xml:space="preserve"> and adverse events. Data reporting issues associated with </w:t>
      </w:r>
      <w:r w:rsidR="000C57D7">
        <w:t xml:space="preserve">these </w:t>
      </w:r>
      <w:r>
        <w:t xml:space="preserve">indicators are summarised annually in the AIHW’s publicly available Program Monitoring Reports. </w:t>
      </w:r>
    </w:p>
    <w:p w14:paraId="16E0DA5C" w14:textId="0A25962B" w:rsidR="00EF6D30" w:rsidRDefault="00EF6D30" w:rsidP="00EF6D30">
      <w:r>
        <w:t xml:space="preserve">Consequently, the review had limited ability to reliably report on participant follow-up rates, colonoscopy outcomes and adverse events. </w:t>
      </w:r>
    </w:p>
    <w:p w14:paraId="4B25C800" w14:textId="7AE9EBC9" w:rsidR="00EF6D30" w:rsidRDefault="00EF6D30" w:rsidP="00EF6D30">
      <w:r w:rsidRPr="006D60ED">
        <w:rPr>
          <w:rStyle w:val="Strong"/>
        </w:rPr>
        <w:t>Inability to compare cancer-related outcomes for participants vs. non-participants</w:t>
      </w:r>
      <w:r w:rsidR="0058361A">
        <w:t xml:space="preserve">: </w:t>
      </w:r>
      <w:r>
        <w:t xml:space="preserve">To assess outcomes of the Program, data linkage is required between: </w:t>
      </w:r>
    </w:p>
    <w:p w14:paraId="037673E8" w14:textId="7B0774A5" w:rsidR="00EF6D30" w:rsidRDefault="00EF6D30" w:rsidP="00EF6D30">
      <w:pPr>
        <w:pStyle w:val="ListBullet"/>
      </w:pPr>
      <w:r>
        <w:t xml:space="preserve">information on Program participants and non-participants in the </w:t>
      </w:r>
      <w:r w:rsidR="001652CD">
        <w:t>NCSR</w:t>
      </w:r>
    </w:p>
    <w:p w14:paraId="72493ED4" w14:textId="32276584" w:rsidR="00EF6D30" w:rsidRDefault="00EF6D30" w:rsidP="00EF6D30">
      <w:pPr>
        <w:pStyle w:val="ListBullet"/>
      </w:pPr>
      <w:r>
        <w:t>diagnosis information from jurisdictional cancer registries</w:t>
      </w:r>
    </w:p>
    <w:p w14:paraId="7EFC4A04" w14:textId="77777777" w:rsidR="00EF6D30" w:rsidRDefault="00EF6D30" w:rsidP="00EF6D30">
      <w:pPr>
        <w:pStyle w:val="ListBullet"/>
        <w:spacing w:after="170"/>
      </w:pPr>
      <w:r>
        <w:t>death records from the National Death Index.</w:t>
      </w:r>
    </w:p>
    <w:p w14:paraId="19E8588A" w14:textId="7DDA7162" w:rsidR="00EF6D30" w:rsidRDefault="00EF6D30" w:rsidP="006D60ED">
      <w:r>
        <w:t xml:space="preserve">An updated data linkage study was not in scope for the review. The most recent project of this nature was the 2018 AIHW report: </w:t>
      </w:r>
      <w:r w:rsidRPr="004536FB">
        <w:rPr>
          <w:i/>
          <w:iCs/>
        </w:rPr>
        <w:t>Analysis of bowel cancer outcomes for the National Bowel Cancer Screening Program</w:t>
      </w:r>
      <w:r>
        <w:t xml:space="preserve">, which used data from Program invitees between 2006 and 2010. </w:t>
      </w:r>
      <w:r w:rsidR="00421C97">
        <w:t>In addition, s</w:t>
      </w:r>
      <w:r>
        <w:t>ignificant lag times are required between the cohort under analysis and the project study date in order to compare incidence and mortality outcomes for Program participants and non-participants. This preclude</w:t>
      </w:r>
      <w:r w:rsidR="001374B2">
        <w:t>d</w:t>
      </w:r>
      <w:r>
        <w:t xml:space="preserve"> the ability to report cancer-related outcomes specifically linked to Phase Four. In the absence of Phase Four-specific data, the review instead refers to the 2018 AIHW report as an indication of the impact of the Program on earlier detection and better survival.</w:t>
      </w:r>
    </w:p>
    <w:p w14:paraId="1B48D5EF" w14:textId="77777777" w:rsidR="000647FF" w:rsidRPr="003422C4" w:rsidRDefault="000647FF" w:rsidP="000647FF">
      <w:pPr>
        <w:pStyle w:val="Heading2"/>
        <w:spacing w:before="0" w:line="276" w:lineRule="auto"/>
      </w:pPr>
      <w:bookmarkStart w:id="59" w:name="_Toc61249384"/>
      <w:bookmarkStart w:id="60" w:name="_Toc66951769"/>
      <w:bookmarkStart w:id="61" w:name="_Toc107837505"/>
      <w:r>
        <w:t>Structure of this report</w:t>
      </w:r>
      <w:bookmarkEnd w:id="59"/>
      <w:bookmarkEnd w:id="60"/>
      <w:bookmarkEnd w:id="61"/>
    </w:p>
    <w:p w14:paraId="5443E29A" w14:textId="77777777" w:rsidR="000647FF" w:rsidRDefault="000647FF" w:rsidP="000647FF">
      <w:pPr>
        <w:spacing w:line="276" w:lineRule="auto"/>
      </w:pPr>
      <w:r>
        <w:t xml:space="preserve">The remainder of the report is structured as follows: </w:t>
      </w:r>
    </w:p>
    <w:p w14:paraId="32F98B45" w14:textId="3EE3A639" w:rsidR="000647FF" w:rsidRPr="003D1E23" w:rsidRDefault="000647FF" w:rsidP="006D60ED">
      <w:r w:rsidRPr="006D60ED">
        <w:rPr>
          <w:rStyle w:val="Strong"/>
        </w:rPr>
        <w:t xml:space="preserve">Chapter </w:t>
      </w:r>
      <w:r w:rsidR="00601F56" w:rsidRPr="006D60ED">
        <w:rPr>
          <w:rStyle w:val="Strong"/>
        </w:rPr>
        <w:t>2</w:t>
      </w:r>
      <w:r w:rsidRPr="006D60ED">
        <w:rPr>
          <w:rStyle w:val="Strong"/>
        </w:rPr>
        <w:t>: Appropriateness</w:t>
      </w:r>
      <w:r w:rsidRPr="003D1E23">
        <w:t xml:space="preserve">. This chapter </w:t>
      </w:r>
      <w:r>
        <w:t>addresses</w:t>
      </w:r>
      <w:r w:rsidRPr="003D1E23">
        <w:t xml:space="preserve"> the appropriateness of the Program</w:t>
      </w:r>
      <w:r>
        <w:t xml:space="preserve"> design, including </w:t>
      </w:r>
      <w:r w:rsidRPr="006D60ED">
        <w:t>the</w:t>
      </w:r>
      <w:r>
        <w:t xml:space="preserve"> clinical pathway, alternative pathway pilots, and diagnostics.</w:t>
      </w:r>
    </w:p>
    <w:p w14:paraId="2A6096CE" w14:textId="26ACA9CC" w:rsidR="000647FF" w:rsidRPr="006D60ED" w:rsidRDefault="000647FF" w:rsidP="006D60ED">
      <w:r w:rsidRPr="006D60ED">
        <w:rPr>
          <w:rStyle w:val="Strong"/>
        </w:rPr>
        <w:t xml:space="preserve">Chapter </w:t>
      </w:r>
      <w:r w:rsidR="00601F56" w:rsidRPr="006D60ED">
        <w:rPr>
          <w:rStyle w:val="Strong"/>
        </w:rPr>
        <w:t>3</w:t>
      </w:r>
      <w:r w:rsidRPr="006D60ED">
        <w:rPr>
          <w:rStyle w:val="Strong"/>
        </w:rPr>
        <w:t>: Fidelity</w:t>
      </w:r>
      <w:r w:rsidRPr="006D60ED">
        <w:t xml:space="preserve">. </w:t>
      </w:r>
      <w:r w:rsidR="00B17B16" w:rsidRPr="006D60ED">
        <w:t>This chapter addresses the extent to which the Program was implemented as intended, canvassing Program delivery and data collection and reporting aspects, as well as the efficacy of Program governance structures.</w:t>
      </w:r>
    </w:p>
    <w:p w14:paraId="3D9CCE0C" w14:textId="455F2B31" w:rsidR="00557A27" w:rsidRPr="003D1E23" w:rsidRDefault="00557A27" w:rsidP="006D60ED">
      <w:r w:rsidRPr="006D60ED">
        <w:rPr>
          <w:rStyle w:val="Strong"/>
        </w:rPr>
        <w:t xml:space="preserve">Chapter </w:t>
      </w:r>
      <w:r w:rsidR="00601F56" w:rsidRPr="006D60ED">
        <w:rPr>
          <w:rStyle w:val="Strong"/>
        </w:rPr>
        <w:t>4</w:t>
      </w:r>
      <w:r w:rsidRPr="006D60ED">
        <w:rPr>
          <w:rStyle w:val="Strong"/>
        </w:rPr>
        <w:t>: Awareness and adoption</w:t>
      </w:r>
      <w:r>
        <w:t xml:space="preserve">. </w:t>
      </w:r>
      <w:r w:rsidR="00A17AAB">
        <w:t>This chapter addresses the extent to which consumers and clinicians are aware of, and have adopted, the Program</w:t>
      </w:r>
      <w:r w:rsidR="00045C2D">
        <w:t>.</w:t>
      </w:r>
    </w:p>
    <w:p w14:paraId="56863447" w14:textId="76A09EF8" w:rsidR="000647FF" w:rsidRPr="003D1E23" w:rsidRDefault="000647FF" w:rsidP="006D60ED">
      <w:r w:rsidRPr="006D60ED">
        <w:rPr>
          <w:rStyle w:val="Strong"/>
        </w:rPr>
        <w:t xml:space="preserve">Chapter </w:t>
      </w:r>
      <w:r w:rsidR="00601F56" w:rsidRPr="006D60ED">
        <w:rPr>
          <w:rStyle w:val="Strong"/>
        </w:rPr>
        <w:t>5</w:t>
      </w:r>
      <w:r w:rsidRPr="006D60ED">
        <w:rPr>
          <w:rStyle w:val="Strong"/>
        </w:rPr>
        <w:t>: Effectiveness</w:t>
      </w:r>
      <w:r w:rsidRPr="003D1E23">
        <w:t xml:space="preserve">. This chapter </w:t>
      </w:r>
      <w:r>
        <w:t>addresses the extent to which</w:t>
      </w:r>
      <w:r w:rsidRPr="003D1E23">
        <w:t xml:space="preserve"> </w:t>
      </w:r>
      <w:r>
        <w:t xml:space="preserve">the Program was effective in achieving its </w:t>
      </w:r>
      <w:r w:rsidRPr="006D60ED">
        <w:t>stated</w:t>
      </w:r>
      <w:r>
        <w:t xml:space="preserve"> objectives, including in supporting earlier detection and reducing mortality.</w:t>
      </w:r>
    </w:p>
    <w:p w14:paraId="759060A8" w14:textId="074CFC6F" w:rsidR="000647FF" w:rsidRPr="003D1E23" w:rsidRDefault="000647FF" w:rsidP="006D60ED">
      <w:r w:rsidRPr="006D60ED">
        <w:rPr>
          <w:rStyle w:val="Strong"/>
        </w:rPr>
        <w:t xml:space="preserve">Chapter </w:t>
      </w:r>
      <w:r w:rsidR="00601F56" w:rsidRPr="006D60ED">
        <w:rPr>
          <w:rStyle w:val="Strong"/>
        </w:rPr>
        <w:t>6</w:t>
      </w:r>
      <w:r w:rsidRPr="006D60ED">
        <w:rPr>
          <w:rStyle w:val="Strong"/>
        </w:rPr>
        <w:t>: Efficiency</w:t>
      </w:r>
      <w:r w:rsidRPr="003D1E23">
        <w:t xml:space="preserve">. This chapter </w:t>
      </w:r>
      <w:r>
        <w:t>addresses the</w:t>
      </w:r>
      <w:r w:rsidRPr="003D1E23">
        <w:t xml:space="preserve"> cost-effectiveness of the Program</w:t>
      </w:r>
      <w:r>
        <w:t xml:space="preserve"> relative to no screening, across different age brackets and participation rates.</w:t>
      </w:r>
    </w:p>
    <w:p w14:paraId="3ED8F734" w14:textId="662E58CA" w:rsidR="000647FF" w:rsidRPr="006D60ED" w:rsidRDefault="000647FF" w:rsidP="006D60ED">
      <w:r w:rsidRPr="006D60ED">
        <w:rPr>
          <w:rStyle w:val="Strong"/>
        </w:rPr>
        <w:t xml:space="preserve">Chapter </w:t>
      </w:r>
      <w:r w:rsidR="00601F56" w:rsidRPr="006D60ED">
        <w:rPr>
          <w:rStyle w:val="Strong"/>
        </w:rPr>
        <w:t>7</w:t>
      </w:r>
      <w:r w:rsidRPr="006D60ED">
        <w:rPr>
          <w:rStyle w:val="Strong"/>
        </w:rPr>
        <w:t>: Concluding remarks and opportunities for improvement</w:t>
      </w:r>
      <w:r w:rsidRPr="004218EA">
        <w:rPr>
          <w:b/>
          <w:bCs/>
        </w:rPr>
        <w:t xml:space="preserve">. </w:t>
      </w:r>
      <w:r w:rsidRPr="00C87C9A">
        <w:t>This chapter provides concluding remarks on the Program and summaries the key opportunities for improvement to maximise benefit for the population.</w:t>
      </w:r>
    </w:p>
    <w:p w14:paraId="24906E91" w14:textId="53FF85BF" w:rsidR="000647FF" w:rsidRPr="0008049B" w:rsidRDefault="000647FF" w:rsidP="006D60ED">
      <w:r w:rsidRPr="0008049B">
        <w:t xml:space="preserve">Note: A separate chapter focused on the domain of Equity is not included, as equity considerations are included in the </w:t>
      </w:r>
      <w:r w:rsidR="006633DD">
        <w:t>C</w:t>
      </w:r>
      <w:r w:rsidRPr="0008049B">
        <w:t>hapter</w:t>
      </w:r>
      <w:r w:rsidR="006633DD">
        <w:t xml:space="preserve"> </w:t>
      </w:r>
      <w:r w:rsidR="00023B18">
        <w:t>2</w:t>
      </w:r>
      <w:r w:rsidRPr="0008049B">
        <w:t xml:space="preserve"> (</w:t>
      </w:r>
      <w:r w:rsidR="00F22F0B">
        <w:t>s</w:t>
      </w:r>
      <w:r w:rsidRPr="00883E3E">
        <w:t>ection</w:t>
      </w:r>
      <w:r w:rsidR="005B0820">
        <w:t xml:space="preserve"> </w:t>
      </w:r>
      <w:r w:rsidR="005B0820">
        <w:fldChar w:fldCharType="begin"/>
      </w:r>
      <w:r w:rsidR="005B0820">
        <w:instrText xml:space="preserve"> REF _Ref68595156 \r \h </w:instrText>
      </w:r>
      <w:r w:rsidR="005B0820">
        <w:fldChar w:fldCharType="separate"/>
      </w:r>
      <w:r w:rsidR="00F27525">
        <w:t>2.1.1.2</w:t>
      </w:r>
      <w:r w:rsidR="005B0820">
        <w:fldChar w:fldCharType="end"/>
      </w:r>
      <w:r w:rsidR="00F0047D">
        <w:t xml:space="preserve"> and section </w:t>
      </w:r>
      <w:r w:rsidR="00F0047D">
        <w:fldChar w:fldCharType="begin"/>
      </w:r>
      <w:r w:rsidR="00F0047D">
        <w:instrText xml:space="preserve"> REF _Ref67563079 \r \h </w:instrText>
      </w:r>
      <w:r w:rsidR="00F0047D">
        <w:fldChar w:fldCharType="separate"/>
      </w:r>
      <w:r w:rsidR="00F27525">
        <w:t>2.1.1.6</w:t>
      </w:r>
      <w:r w:rsidR="00F0047D">
        <w:fldChar w:fldCharType="end"/>
      </w:r>
      <w:r w:rsidR="00F0047D">
        <w:t>)</w:t>
      </w:r>
      <w:r w:rsidR="00EA59D4">
        <w:t xml:space="preserve"> </w:t>
      </w:r>
      <w:r w:rsidRPr="0008049B">
        <w:t>and</w:t>
      </w:r>
      <w:r w:rsidR="00023B18">
        <w:t xml:space="preserve"> Chapter 4 </w:t>
      </w:r>
      <w:r w:rsidR="00023B18" w:rsidRPr="0008049B">
        <w:t>(</w:t>
      </w:r>
      <w:r w:rsidR="00F22F0B">
        <w:t>s</w:t>
      </w:r>
      <w:r w:rsidR="00023B18">
        <w:t>ection</w:t>
      </w:r>
      <w:r w:rsidR="00023B18" w:rsidRPr="0008049B">
        <w:t xml:space="preserve"> </w:t>
      </w:r>
      <w:r w:rsidR="00B24F21">
        <w:fldChar w:fldCharType="begin"/>
      </w:r>
      <w:r w:rsidR="00B24F21">
        <w:instrText xml:space="preserve"> REF _Ref67834144 \r \h </w:instrText>
      </w:r>
      <w:r w:rsidR="00B24F21">
        <w:fldChar w:fldCharType="separate"/>
      </w:r>
      <w:r w:rsidR="00F27525">
        <w:t>4.1.3</w:t>
      </w:r>
      <w:r w:rsidR="00B24F21">
        <w:fldChar w:fldCharType="end"/>
      </w:r>
      <w:r w:rsidR="00023B18" w:rsidRPr="0008049B">
        <w:t>)</w:t>
      </w:r>
      <w:r w:rsidRPr="0008049B">
        <w:t>. A separate chapter on Sustainability is not included as each chapter concludes by considering the key opportunities to improve the Program. I</w:t>
      </w:r>
      <w:r>
        <w:t xml:space="preserve">n </w:t>
      </w:r>
      <w:r w:rsidRPr="0008049B">
        <w:t xml:space="preserve">addition, </w:t>
      </w:r>
      <w:r>
        <w:t xml:space="preserve">a </w:t>
      </w:r>
      <w:r w:rsidR="002254AE">
        <w:t xml:space="preserve">consolidated </w:t>
      </w:r>
      <w:r>
        <w:t xml:space="preserve">summary of the key </w:t>
      </w:r>
      <w:r w:rsidRPr="006D60ED">
        <w:t>opportunities</w:t>
      </w:r>
      <w:r>
        <w:t xml:space="preserve"> to improve the Program is included in Chapter 7.</w:t>
      </w:r>
    </w:p>
    <w:p w14:paraId="6846D3E9" w14:textId="5D6DE972" w:rsidR="00AD2B0F" w:rsidRPr="00AD2B0F" w:rsidRDefault="00601F56" w:rsidP="00452F12">
      <w:pPr>
        <w:pStyle w:val="Heading1"/>
      </w:pPr>
      <w:bookmarkStart w:id="62" w:name="_Toc107837506"/>
      <w:bookmarkStart w:id="63" w:name="_Toc447626781"/>
      <w:r>
        <w:lastRenderedPageBreak/>
        <w:t>Appropriateness</w:t>
      </w:r>
      <w:bookmarkEnd w:id="62"/>
    </w:p>
    <w:bookmarkEnd w:id="63"/>
    <w:p w14:paraId="5D754E36" w14:textId="77777777" w:rsidR="005F5394" w:rsidRPr="006D60ED" w:rsidRDefault="005F5394" w:rsidP="006D60ED">
      <w:pPr>
        <w:pStyle w:val="Sectionintro"/>
      </w:pPr>
      <w:r w:rsidRPr="006D60ED">
        <w:t>This chapter addresses the appropriateness of the Program design, including the clinical pathway, alternative pathway pilots, and diagnostics.</w:t>
      </w:r>
    </w:p>
    <w:p w14:paraId="4E8F2E28" w14:textId="0989D851" w:rsidR="005F5394" w:rsidRDefault="005F5394" w:rsidP="006D60ED">
      <w:pPr>
        <w:pStyle w:val="Heading2"/>
      </w:pPr>
      <w:bookmarkStart w:id="64" w:name="_Toc66951774"/>
      <w:bookmarkStart w:id="65" w:name="_Toc107837507"/>
      <w:r w:rsidRPr="00AC35FA">
        <w:t>To what extent is the Program facilitating the provision of timely, appropriate, high-quality, and safe diagnostic assessment services for Program participants?</w:t>
      </w:r>
      <w:bookmarkEnd w:id="64"/>
      <w:bookmarkEnd w:id="65"/>
    </w:p>
    <w:p w14:paraId="4289E326" w14:textId="77777777" w:rsidR="00BC653E" w:rsidRDefault="00BC653E" w:rsidP="00BC653E">
      <w:r>
        <w:t>This section outlines the appropriateness of different aspects of the clinical pathway, encompassing:</w:t>
      </w:r>
    </w:p>
    <w:p w14:paraId="3EDBFBAD" w14:textId="77777777" w:rsidR="00BC653E" w:rsidRPr="006D60ED" w:rsidRDefault="00BC653E" w:rsidP="006D60ED">
      <w:pPr>
        <w:pStyle w:val="ListBullet"/>
      </w:pPr>
      <w:r w:rsidRPr="006D60ED">
        <w:t>invitation and participation</w:t>
      </w:r>
    </w:p>
    <w:p w14:paraId="1852F1A5" w14:textId="77777777" w:rsidR="00BC653E" w:rsidRPr="006D60ED" w:rsidRDefault="00BC653E" w:rsidP="006D60ED">
      <w:pPr>
        <w:pStyle w:val="ListBullet"/>
      </w:pPr>
      <w:r w:rsidRPr="006D60ED">
        <w:t>follow up and referral</w:t>
      </w:r>
    </w:p>
    <w:p w14:paraId="410CF998" w14:textId="4D1B5DB6" w:rsidR="00BC653E" w:rsidRPr="006D60ED" w:rsidRDefault="00BC653E" w:rsidP="006D60ED">
      <w:pPr>
        <w:pStyle w:val="ListBullet"/>
      </w:pPr>
      <w:r w:rsidRPr="006D60ED">
        <w:t>diagnosis.</w:t>
      </w:r>
    </w:p>
    <w:p w14:paraId="083C5952" w14:textId="18CFD6DB" w:rsidR="00BC653E" w:rsidRDefault="00BC653E" w:rsidP="00BC653E">
      <w:pPr>
        <w:pStyle w:val="Heading3"/>
      </w:pPr>
      <w:r>
        <w:t>Invit</w:t>
      </w:r>
      <w:r w:rsidR="00006686">
        <w:t>ation</w:t>
      </w:r>
      <w:r>
        <w:t xml:space="preserve"> an</w:t>
      </w:r>
      <w:r w:rsidR="00006686">
        <w:t>d</w:t>
      </w:r>
      <w:r>
        <w:t xml:space="preserve"> participat</w:t>
      </w:r>
      <w:r w:rsidR="00472F89">
        <w:t>ion</w:t>
      </w:r>
      <w:r w:rsidR="00082D23">
        <w:t xml:space="preserve"> component of the pathway</w:t>
      </w:r>
    </w:p>
    <w:p w14:paraId="0AAA6F98" w14:textId="7D90D489" w:rsidR="00BC653E" w:rsidRDefault="00006686" w:rsidP="006D60ED">
      <w:r w:rsidRPr="00006686">
        <w:t>This subsection outlines the appropriateness of the invit</w:t>
      </w:r>
      <w:r>
        <w:t>ation</w:t>
      </w:r>
      <w:r w:rsidRPr="00006686">
        <w:t xml:space="preserve"> and participation component of the clinical pathway, including the age bracket and screening interval, kit distribution methods, kit instructions, as well as the diagnostic appropriateness of the </w:t>
      </w:r>
      <w:proofErr w:type="spellStart"/>
      <w:r w:rsidRPr="00006686">
        <w:t>iFOBT</w:t>
      </w:r>
      <w:proofErr w:type="spellEnd"/>
      <w:r w:rsidRPr="00006686">
        <w:t>.</w:t>
      </w:r>
    </w:p>
    <w:p w14:paraId="2CE3895A" w14:textId="6E727F9B" w:rsidR="00006686" w:rsidRDefault="00006686" w:rsidP="00FD418F">
      <w:pPr>
        <w:pStyle w:val="CaptionFigure"/>
        <w:ind w:left="0"/>
      </w:pPr>
      <w:r>
        <w:t xml:space="preserve">: </w:t>
      </w:r>
      <w:r w:rsidR="00D00176">
        <w:t>I</w:t>
      </w:r>
      <w:r>
        <w:t>nvitation and participation component of the NBCSP participant pathway</w:t>
      </w:r>
    </w:p>
    <w:p w14:paraId="1E872F4A" w14:textId="3411FF64" w:rsidR="00A451DE" w:rsidRPr="00A451DE" w:rsidRDefault="00F36551" w:rsidP="00A451DE">
      <w:r w:rsidRPr="00F36551">
        <w:rPr>
          <w:noProof/>
          <w:lang w:eastAsia="en-AU"/>
        </w:rPr>
        <w:drawing>
          <wp:inline distT="0" distB="0" distL="0" distR="0" wp14:anchorId="06B126F9" wp14:editId="42FA394D">
            <wp:extent cx="5731510" cy="2433320"/>
            <wp:effectExtent l="0" t="0" r="2540" b="0"/>
            <wp:docPr id="30" name="Picture 30" descr="Figure 2.1: Invitation and participation component of the NBCSP participant path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Figure 2.1: Invitation and participation component of the NBCSP participant pathway"/>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2433320"/>
                    </a:xfrm>
                    <a:prstGeom prst="rect">
                      <a:avLst/>
                    </a:prstGeom>
                    <a:noFill/>
                    <a:ln>
                      <a:noFill/>
                    </a:ln>
                  </pic:spPr>
                </pic:pic>
              </a:graphicData>
            </a:graphic>
          </wp:inline>
        </w:drawing>
      </w:r>
    </w:p>
    <w:p w14:paraId="16B9518F" w14:textId="6A7600AC" w:rsidR="00DE5007" w:rsidRDefault="00DE5007" w:rsidP="00DE5007">
      <w:pPr>
        <w:pStyle w:val="Sources"/>
        <w:spacing w:before="0"/>
      </w:pPr>
      <w:r>
        <w:t>Source: Deloitte Access Economics</w:t>
      </w:r>
      <w:r w:rsidR="006E239A">
        <w:t xml:space="preserve"> using Department of Health</w:t>
      </w:r>
      <w:r w:rsidR="00823702">
        <w:t xml:space="preserve"> information.</w:t>
      </w:r>
      <w:r w:rsidR="00823702">
        <w:rPr>
          <w:rStyle w:val="EndnoteReference"/>
        </w:rPr>
        <w:endnoteReference w:id="13"/>
      </w:r>
    </w:p>
    <w:p w14:paraId="0A2F1857" w14:textId="60B61422" w:rsidR="00494102" w:rsidRDefault="00340D74" w:rsidP="00340D74">
      <w:pPr>
        <w:pStyle w:val="Heading4"/>
      </w:pPr>
      <w:bookmarkStart w:id="66" w:name="_Ref68595156"/>
      <w:r>
        <w:t>Age bracket and screening interval</w:t>
      </w:r>
      <w:bookmarkEnd w:id="66"/>
    </w:p>
    <w:p w14:paraId="5D112F47" w14:textId="78CB594B" w:rsidR="00340D74" w:rsidRPr="00195E90" w:rsidRDefault="00340D74" w:rsidP="00195E90">
      <w:pPr>
        <w:pStyle w:val="Pullout"/>
      </w:pPr>
      <w:r w:rsidRPr="00195E90">
        <w:t>The current age bracket and screening interval reflects best practice and the economic evidence</w:t>
      </w:r>
      <w:r w:rsidR="00696AC0" w:rsidRPr="00195E90">
        <w:t xml:space="preserve"> at a whole-of-population level</w:t>
      </w:r>
      <w:r w:rsidRPr="00195E90">
        <w:t>.</w:t>
      </w:r>
    </w:p>
    <w:p w14:paraId="474630A8" w14:textId="47297D42" w:rsidR="00340D74" w:rsidRDefault="00340D74" w:rsidP="00340D74">
      <w:r w:rsidRPr="00364358">
        <w:t xml:space="preserve">The </w:t>
      </w:r>
      <w:r>
        <w:t xml:space="preserve">Program’s </w:t>
      </w:r>
      <w:r w:rsidRPr="00364358">
        <w:t>age bracket and screening interval</w:t>
      </w:r>
      <w:r>
        <w:t xml:space="preserve"> (biennial for </w:t>
      </w:r>
      <w:r w:rsidR="00F65E19">
        <w:t xml:space="preserve">people aged between </w:t>
      </w:r>
      <w:r>
        <w:t xml:space="preserve">50 </w:t>
      </w:r>
      <w:r w:rsidR="00F65E19">
        <w:t xml:space="preserve">and </w:t>
      </w:r>
      <w:r>
        <w:t>74)</w:t>
      </w:r>
      <w:r w:rsidRPr="00364358">
        <w:t xml:space="preserve"> </w:t>
      </w:r>
      <w:r>
        <w:t xml:space="preserve">is aligned with the </w:t>
      </w:r>
      <w:r w:rsidR="00404911">
        <w:t>NHMRC</w:t>
      </w:r>
      <w:r w:rsidR="00B22AEE">
        <w:t>-</w:t>
      </w:r>
      <w:r w:rsidR="001734D9">
        <w:t>approved</w:t>
      </w:r>
      <w:r>
        <w:t xml:space="preserve"> </w:t>
      </w:r>
      <w:r w:rsidR="00703CDA">
        <w:rPr>
          <w:i/>
          <w:iCs/>
        </w:rPr>
        <w:t>Cl</w:t>
      </w:r>
      <w:r w:rsidR="00735DDF" w:rsidRPr="00703CDA">
        <w:rPr>
          <w:i/>
          <w:iCs/>
        </w:rPr>
        <w:t xml:space="preserve">inical practice guidelines </w:t>
      </w:r>
      <w:r w:rsidR="001440D0" w:rsidRPr="00703CDA">
        <w:rPr>
          <w:i/>
          <w:iCs/>
        </w:rPr>
        <w:t>for the prevention, early detection, and management of colorectal cancer</w:t>
      </w:r>
      <w:r w:rsidR="00C457F3">
        <w:t xml:space="preserve">. </w:t>
      </w:r>
      <w:r>
        <w:t xml:space="preserve">The </w:t>
      </w:r>
      <w:r w:rsidR="00C6175C">
        <w:t xml:space="preserve">Guidelines </w:t>
      </w:r>
      <w:r w:rsidR="001734D9">
        <w:t>(</w:t>
      </w:r>
      <w:r>
        <w:t xml:space="preserve">last updated in </w:t>
      </w:r>
      <w:r w:rsidRPr="00BA0797">
        <w:t>2017</w:t>
      </w:r>
      <w:r>
        <w:t xml:space="preserve"> </w:t>
      </w:r>
      <w:r w:rsidR="001734D9">
        <w:t xml:space="preserve">and </w:t>
      </w:r>
      <w:r w:rsidR="00CC6A43">
        <w:t xml:space="preserve">approved until October </w:t>
      </w:r>
      <w:r>
        <w:t xml:space="preserve">2022), </w:t>
      </w:r>
      <w:r w:rsidRPr="00FD29AB">
        <w:t>recommend</w:t>
      </w:r>
      <w:r>
        <w:t>s</w:t>
      </w:r>
      <w:r w:rsidRPr="00FD29AB">
        <w:t xml:space="preserve"> </w:t>
      </w:r>
      <w:proofErr w:type="spellStart"/>
      <w:r>
        <w:t>iFOBT</w:t>
      </w:r>
      <w:proofErr w:type="spellEnd"/>
      <w:r w:rsidRPr="00FD29AB">
        <w:t xml:space="preserve"> testing every two years, starting at age 50 and continuing to age 74</w:t>
      </w:r>
      <w:r>
        <w:t xml:space="preserve"> for </w:t>
      </w:r>
      <w:r w:rsidRPr="00FD29AB">
        <w:t xml:space="preserve">those </w:t>
      </w:r>
      <w:r w:rsidR="00704F65">
        <w:t>with</w:t>
      </w:r>
      <w:r w:rsidRPr="00FD29AB">
        <w:t xml:space="preserve"> average risk of bowel cancer and without relevant symptoms</w:t>
      </w:r>
      <w:r w:rsidRPr="00A85175">
        <w:t>.</w:t>
      </w:r>
      <w:r>
        <w:rPr>
          <w:rStyle w:val="EndnoteReference"/>
        </w:rPr>
        <w:endnoteReference w:id="14"/>
      </w:r>
      <w:r>
        <w:t xml:space="preserve"> </w:t>
      </w:r>
    </w:p>
    <w:p w14:paraId="3446802E" w14:textId="74ECE4BD" w:rsidR="00921E86" w:rsidRDefault="00340D74" w:rsidP="00340D74">
      <w:proofErr w:type="gramStart"/>
      <w:r>
        <w:t>With regard to</w:t>
      </w:r>
      <w:proofErr w:type="gramEnd"/>
      <w:r>
        <w:t xml:space="preserve"> </w:t>
      </w:r>
      <w:r w:rsidR="0017107B">
        <w:t xml:space="preserve">the </w:t>
      </w:r>
      <w:r>
        <w:t>economic evidence, a cost-effectiveness analysis was undertaken as part of the current review (presented in</w:t>
      </w:r>
      <w:r w:rsidR="00704F65">
        <w:t xml:space="preserve"> Chapter </w:t>
      </w:r>
      <w:r w:rsidR="00704F65">
        <w:fldChar w:fldCharType="begin"/>
      </w:r>
      <w:r w:rsidR="00704F65">
        <w:instrText xml:space="preserve"> REF _Ref67833835 \r \h </w:instrText>
      </w:r>
      <w:r w:rsidR="00704F65">
        <w:fldChar w:fldCharType="separate"/>
      </w:r>
      <w:r w:rsidR="00F27525">
        <w:t>6</w:t>
      </w:r>
      <w:r w:rsidR="00704F65">
        <w:fldChar w:fldCharType="end"/>
      </w:r>
      <w:r>
        <w:t>)</w:t>
      </w:r>
      <w:r w:rsidR="005E7D44">
        <w:t xml:space="preserve">. The analysis </w:t>
      </w:r>
      <w:r>
        <w:t xml:space="preserve">found that commencing screening at age 50 was more cost-effective than commencing screening </w:t>
      </w:r>
      <w:r w:rsidR="009E074B">
        <w:t xml:space="preserve">at </w:t>
      </w:r>
      <w:r>
        <w:t xml:space="preserve">age 45, </w:t>
      </w:r>
      <w:r>
        <w:lastRenderedPageBreak/>
        <w:t xml:space="preserve">when evaluated from a healthcare </w:t>
      </w:r>
      <w:r w:rsidR="004B3852">
        <w:t>system</w:t>
      </w:r>
      <w:r>
        <w:t xml:space="preserve"> perspective</w:t>
      </w:r>
      <w:r w:rsidR="009F1100">
        <w:t>, but slightly less cost-</w:t>
      </w:r>
      <w:r w:rsidR="00222765">
        <w:t>effective when evaluated from a societal perspective</w:t>
      </w:r>
      <w:r>
        <w:t xml:space="preserve">. </w:t>
      </w:r>
      <w:r w:rsidR="00921E86">
        <w:t xml:space="preserve">However, overall, </w:t>
      </w:r>
      <w:r w:rsidR="00FD4D04">
        <w:t xml:space="preserve">across both perspectives, </w:t>
      </w:r>
      <w:r w:rsidR="009529C2">
        <w:t xml:space="preserve">there was a marginal difference between the </w:t>
      </w:r>
      <w:r w:rsidR="00175DF4">
        <w:t>cost-effectiveness</w:t>
      </w:r>
      <w:r w:rsidR="009529C2">
        <w:t xml:space="preserve"> ratios for both screening entry ages.</w:t>
      </w:r>
    </w:p>
    <w:p w14:paraId="4E27DA3C" w14:textId="15EBCD85" w:rsidR="00EC5F24" w:rsidRDefault="00340D74" w:rsidP="00340D74">
      <w:r>
        <w:t xml:space="preserve">These results are </w:t>
      </w:r>
      <w:r w:rsidR="00B303DD">
        <w:t>consistent with an</w:t>
      </w:r>
      <w:r>
        <w:t xml:space="preserve"> Australian study from 2018 which found that </w:t>
      </w:r>
      <w:r w:rsidRPr="005E44C9">
        <w:t xml:space="preserve">starting screening at </w:t>
      </w:r>
      <w:r w:rsidR="00D56812">
        <w:t xml:space="preserve">age </w:t>
      </w:r>
      <w:r w:rsidRPr="005E44C9">
        <w:t xml:space="preserve">50 was the most cost-effective </w:t>
      </w:r>
      <w:r>
        <w:t>entry age</w:t>
      </w:r>
      <w:r w:rsidR="009E074B">
        <w:t xml:space="preserve">, when evaluated from a healthcare </w:t>
      </w:r>
      <w:r w:rsidR="004B3852">
        <w:t>system</w:t>
      </w:r>
      <w:r w:rsidR="009E074B">
        <w:t xml:space="preserve"> perspective</w:t>
      </w:r>
      <w:r w:rsidRPr="005E44C9">
        <w:t>.</w:t>
      </w:r>
      <w:r>
        <w:rPr>
          <w:rStyle w:val="EndnoteReference"/>
        </w:rPr>
        <w:endnoteReference w:id="15"/>
      </w:r>
      <w:r w:rsidRPr="005E44C9">
        <w:t xml:space="preserve"> Th</w:t>
      </w:r>
      <w:r w:rsidR="00D30FE9">
        <w:t>is</w:t>
      </w:r>
      <w:r w:rsidRPr="005E44C9">
        <w:t xml:space="preserve"> study also highlighted the burden to colonoscopy services if the age bracket was expanded</w:t>
      </w:r>
      <w:r>
        <w:t>, estimating a demand increase of 3 to 14 per cent if the age bracket was lowered to 45.</w:t>
      </w:r>
    </w:p>
    <w:p w14:paraId="2485BD0D" w14:textId="699E7ECE" w:rsidR="005E0D90" w:rsidRDefault="00110C85" w:rsidP="00340D74">
      <w:r>
        <w:t>W</w:t>
      </w:r>
      <w:r w:rsidR="00340D74" w:rsidRPr="0086371C">
        <w:t>hen compared with other countries using</w:t>
      </w:r>
      <w:r w:rsidR="00B303DD">
        <w:t xml:space="preserve"> FOBT </w:t>
      </w:r>
      <w:r w:rsidR="00340D74" w:rsidRPr="0086371C">
        <w:t xml:space="preserve">kits via a mail-out method, Australia </w:t>
      </w:r>
      <w:r w:rsidR="00340D74">
        <w:t xml:space="preserve">already </w:t>
      </w:r>
      <w:r w:rsidR="00BA49E4">
        <w:t>targets the</w:t>
      </w:r>
      <w:r w:rsidR="00340D74" w:rsidRPr="0086371C">
        <w:t xml:space="preserve"> widest age bracket, with </w:t>
      </w:r>
      <w:r w:rsidR="00340D74">
        <w:t>most</w:t>
      </w:r>
      <w:r w:rsidR="00340D74" w:rsidRPr="0086371C">
        <w:t xml:space="preserve"> countries targeting individuals</w:t>
      </w:r>
      <w:r w:rsidR="004B727A">
        <w:t xml:space="preserve"> </w:t>
      </w:r>
      <w:r w:rsidR="00915838">
        <w:t>age</w:t>
      </w:r>
      <w:r w:rsidR="00340B78">
        <w:t>d</w:t>
      </w:r>
      <w:r w:rsidR="00915838">
        <w:t xml:space="preserve"> </w:t>
      </w:r>
      <w:r w:rsidR="00340D74" w:rsidRPr="0086371C">
        <w:t xml:space="preserve">60 </w:t>
      </w:r>
      <w:r w:rsidR="00340D74">
        <w:t>to 74,</w:t>
      </w:r>
      <w:r w:rsidR="00340D74" w:rsidRPr="0086371C">
        <w:t xml:space="preserve"> or</w:t>
      </w:r>
      <w:r w:rsidR="004B727A">
        <w:t xml:space="preserve"> </w:t>
      </w:r>
      <w:r w:rsidR="00340D74" w:rsidRPr="0086371C">
        <w:t>65 to 74</w:t>
      </w:r>
      <w:r w:rsidR="00DB4986">
        <w:t xml:space="preserve"> (</w:t>
      </w:r>
      <w:r w:rsidR="00060D9A">
        <w:t>see</w:t>
      </w:r>
      <w:r w:rsidR="004610AD">
        <w:t xml:space="preserve"> section</w:t>
      </w:r>
      <w:r w:rsidR="00060D9A">
        <w:t xml:space="preserve"> </w:t>
      </w:r>
      <w:r w:rsidR="00060D9A">
        <w:fldChar w:fldCharType="begin"/>
      </w:r>
      <w:r w:rsidR="00060D9A">
        <w:instrText xml:space="preserve"> REF _Ref67834144 \r \h </w:instrText>
      </w:r>
      <w:r w:rsidR="00060D9A">
        <w:fldChar w:fldCharType="separate"/>
      </w:r>
      <w:r w:rsidR="00F27525">
        <w:t>4.1.3</w:t>
      </w:r>
      <w:r w:rsidR="00060D9A">
        <w:fldChar w:fldCharType="end"/>
      </w:r>
      <w:r w:rsidR="00060D9A">
        <w:t xml:space="preserve"> for a more complete overview of </w:t>
      </w:r>
      <w:r w:rsidR="004610AD">
        <w:t xml:space="preserve">the characteristics of </w:t>
      </w:r>
      <w:r w:rsidR="0000247B">
        <w:t xml:space="preserve">comparable </w:t>
      </w:r>
      <w:r w:rsidR="004610AD">
        <w:t xml:space="preserve">overseas </w:t>
      </w:r>
      <w:r w:rsidR="00F87C89">
        <w:t>p</w:t>
      </w:r>
      <w:r w:rsidR="004610AD">
        <w:t>rograms)</w:t>
      </w:r>
      <w:r w:rsidR="00340D74" w:rsidRPr="0086371C">
        <w:t>.</w:t>
      </w:r>
      <w:r w:rsidR="00340D74">
        <w:rPr>
          <w:color w:val="FFFFFF" w:themeColor="background1"/>
        </w:rPr>
        <w:t xml:space="preserve"> </w:t>
      </w:r>
      <w:r w:rsidR="00F87C89">
        <w:rPr>
          <w:color w:val="000000" w:themeColor="text1"/>
        </w:rPr>
        <w:t>I</w:t>
      </w:r>
      <w:r w:rsidR="000A4776">
        <w:rPr>
          <w:color w:val="000000" w:themeColor="text1"/>
        </w:rPr>
        <w:t>t is</w:t>
      </w:r>
      <w:r w:rsidR="00F87C89">
        <w:rPr>
          <w:color w:val="000000" w:themeColor="text1"/>
        </w:rPr>
        <w:t xml:space="preserve"> noted that the</w:t>
      </w:r>
      <w:r w:rsidR="00340D74" w:rsidRPr="007F3327">
        <w:rPr>
          <w:color w:val="000000" w:themeColor="text1"/>
        </w:rPr>
        <w:t xml:space="preserve"> target </w:t>
      </w:r>
      <w:r w:rsidR="00340D74">
        <w:t xml:space="preserve">age bracket for the colonoscopy-based </w:t>
      </w:r>
      <w:r w:rsidR="00F87C89">
        <w:t>screening</w:t>
      </w:r>
      <w:r w:rsidR="00340D74">
        <w:t xml:space="preserve"> </w:t>
      </w:r>
      <w:r w:rsidR="00F87C89">
        <w:t>p</w:t>
      </w:r>
      <w:r w:rsidR="00340D74">
        <w:t>rogram</w:t>
      </w:r>
      <w:r w:rsidR="00BE19F9">
        <w:t xml:space="preserve"> in the United States</w:t>
      </w:r>
      <w:r w:rsidR="00340D74">
        <w:t xml:space="preserve"> was recently lowered to </w:t>
      </w:r>
      <w:r w:rsidR="004B727A">
        <w:t xml:space="preserve">age </w:t>
      </w:r>
      <w:r w:rsidR="00340D74">
        <w:t>45,</w:t>
      </w:r>
      <w:r w:rsidR="00BE19F9">
        <w:t xml:space="preserve"> however</w:t>
      </w:r>
      <w:r w:rsidR="00340D74">
        <w:t xml:space="preserve"> there are several country-specific </w:t>
      </w:r>
      <w:r w:rsidR="00195627">
        <w:t>factors under</w:t>
      </w:r>
      <w:r w:rsidR="00751488">
        <w:t>lying</w:t>
      </w:r>
      <w:r w:rsidR="00340D74">
        <w:t xml:space="preserve"> </w:t>
      </w:r>
      <w:r w:rsidR="00195627">
        <w:t>this change</w:t>
      </w:r>
      <w:r w:rsidR="00340D74">
        <w:t xml:space="preserve"> (as described in Box </w:t>
      </w:r>
      <w:r w:rsidR="00F015D4">
        <w:t>1</w:t>
      </w:r>
      <w:r w:rsidR="00340D74">
        <w:t>).</w:t>
      </w:r>
      <w:r w:rsidR="00D647E2" w:rsidRPr="00D647E2">
        <w:t xml:space="preserve"> </w:t>
      </w:r>
    </w:p>
    <w:p w14:paraId="320CB61A" w14:textId="3D778744" w:rsidR="00340D74" w:rsidRPr="00F87C89" w:rsidRDefault="00950375" w:rsidP="00340D74">
      <w:pPr>
        <w:rPr>
          <w:color w:val="FFFFFF" w:themeColor="background1"/>
        </w:rPr>
      </w:pPr>
      <w:r>
        <w:t>Regarding</w:t>
      </w:r>
      <w:r w:rsidR="004217FE">
        <w:t xml:space="preserve"> s</w:t>
      </w:r>
      <w:r w:rsidR="00D647E2">
        <w:t>takeholder sentiment</w:t>
      </w:r>
      <w:r w:rsidR="00CF10BB">
        <w:t xml:space="preserve">, </w:t>
      </w:r>
      <w:r w:rsidR="003322BD">
        <w:t xml:space="preserve">stakeholders </w:t>
      </w:r>
      <w:r w:rsidR="00D647E2">
        <w:t>broadly agreed that</w:t>
      </w:r>
      <w:r w:rsidR="00DA04E8">
        <w:t xml:space="preserve"> Program</w:t>
      </w:r>
      <w:r w:rsidR="00D647E2">
        <w:t xml:space="preserve"> resources may be more optimally invested in increasing participation in the existing cohort</w:t>
      </w:r>
      <w:r w:rsidR="003A0D06">
        <w:t xml:space="preserve"> (</w:t>
      </w:r>
      <w:proofErr w:type="gramStart"/>
      <w:r w:rsidR="003A0D06">
        <w:t>i.e.</w:t>
      </w:r>
      <w:proofErr w:type="gramEnd"/>
      <w:r w:rsidR="003A0D06">
        <w:t xml:space="preserve"> </w:t>
      </w:r>
      <w:r>
        <w:t>reaching older unscreened individuals)</w:t>
      </w:r>
      <w:r w:rsidR="00D647E2">
        <w:t xml:space="preserve"> rather than expanding the age bracket. </w:t>
      </w:r>
    </w:p>
    <w:p w14:paraId="004F6E53" w14:textId="77777777" w:rsidR="009B7473" w:rsidRPr="00F61ADD" w:rsidRDefault="009B7473" w:rsidP="009B7473">
      <w:pPr>
        <w:pStyle w:val="Boxtype2"/>
      </w:pPr>
      <w:r w:rsidRPr="00F61ADD">
        <w:t xml:space="preserve">Box </w:t>
      </w:r>
      <w:r>
        <w:t>1</w:t>
      </w:r>
      <w:r w:rsidRPr="00F61ADD">
        <w:t>: Insights from the recent age bracket expansion in the United States</w:t>
      </w:r>
      <w:r>
        <w:t xml:space="preserve"> compared to Australia</w:t>
      </w:r>
    </w:p>
    <w:p w14:paraId="0248136A" w14:textId="606B4868" w:rsidR="009B7473" w:rsidRPr="00F61ADD" w:rsidRDefault="009B7473" w:rsidP="009B7473">
      <w:pPr>
        <w:pStyle w:val="Boxtype2"/>
      </w:pPr>
      <w:r w:rsidRPr="00F61ADD">
        <w:t>In October 2020 the US Preventative Services Taskforce recommended lower</w:t>
      </w:r>
      <w:r>
        <w:t>ing</w:t>
      </w:r>
      <w:r w:rsidRPr="00F61ADD">
        <w:t xml:space="preserve"> the age bracket for </w:t>
      </w:r>
      <w:r>
        <w:t xml:space="preserve">colonoscopy-based </w:t>
      </w:r>
      <w:r w:rsidRPr="00F61ADD">
        <w:t xml:space="preserve">colorectal cancer screening from 50 to 74 to 45 to 74. The draft recommendation was based on data showing that </w:t>
      </w:r>
      <w:r>
        <w:t>bowel</w:t>
      </w:r>
      <w:r w:rsidRPr="00F61ADD">
        <w:t xml:space="preserve"> cancer incidence in 45- to 49-year-olds is </w:t>
      </w:r>
      <w:proofErr w:type="gramStart"/>
      <w:r w:rsidRPr="00F61ADD">
        <w:t>similar to</w:t>
      </w:r>
      <w:proofErr w:type="gramEnd"/>
      <w:r w:rsidRPr="00F61ADD">
        <w:t xml:space="preserve"> the incidence rates for those aged 50</w:t>
      </w:r>
      <w:r>
        <w:t>-</w:t>
      </w:r>
      <w:r w:rsidRPr="00F61ADD">
        <w:t>years and older (before accounting for the effect of screening).</w:t>
      </w:r>
      <w:r w:rsidRPr="00F61ADD">
        <w:rPr>
          <w:vertAlign w:val="superscript"/>
        </w:rPr>
        <w:endnoteReference w:id="16"/>
      </w:r>
      <w:r w:rsidRPr="00F61ADD">
        <w:t xml:space="preserve"> </w:t>
      </w:r>
    </w:p>
    <w:p w14:paraId="2B4BE6D3" w14:textId="221D71E6" w:rsidR="009B7473" w:rsidRDefault="009B7473" w:rsidP="009B7473">
      <w:pPr>
        <w:pStyle w:val="Boxtype2"/>
      </w:pPr>
      <w:r>
        <w:t xml:space="preserve">However, it </w:t>
      </w:r>
      <w:r w:rsidRPr="00F61ADD">
        <w:t>should be noted that in comparison to the Australian Program, participation in the Unite</w:t>
      </w:r>
      <w:r>
        <w:t>d</w:t>
      </w:r>
      <w:r w:rsidRPr="00F61ADD">
        <w:t xml:space="preserve"> States Program is relatively high, at 67</w:t>
      </w:r>
      <w:r>
        <w:t xml:space="preserve"> </w:t>
      </w:r>
      <w:r w:rsidRPr="00F61ADD">
        <w:t>per cent of eligible adults in 2016, supporting the investment in younger age groups.</w:t>
      </w:r>
    </w:p>
    <w:p w14:paraId="6B069673" w14:textId="21BF6D0B" w:rsidR="00340D74" w:rsidRPr="00460D3E" w:rsidRDefault="00340D74" w:rsidP="00195E90">
      <w:r w:rsidRPr="00460D3E">
        <w:t xml:space="preserve">With </w:t>
      </w:r>
      <w:r>
        <w:t xml:space="preserve">bowel cancer </w:t>
      </w:r>
      <w:r w:rsidRPr="00460D3E">
        <w:t>incidence rates</w:t>
      </w:r>
      <w:r>
        <w:t xml:space="preserve"> rising</w:t>
      </w:r>
      <w:r w:rsidRPr="00460D3E">
        <w:t xml:space="preserve"> in younger age groups, the appropriateness of the target age bracket should </w:t>
      </w:r>
      <w:r>
        <w:t xml:space="preserve">continue to </w:t>
      </w:r>
      <w:r w:rsidRPr="00460D3E">
        <w:t>be monitored</w:t>
      </w:r>
      <w:r>
        <w:t xml:space="preserve"> over time</w:t>
      </w:r>
      <w:r w:rsidRPr="00460D3E">
        <w:t>.</w:t>
      </w:r>
    </w:p>
    <w:p w14:paraId="20E6AFE9" w14:textId="6E7E2E97" w:rsidR="0000247B" w:rsidRDefault="00340D74" w:rsidP="00340D74">
      <w:r>
        <w:t>Stakeholders consulted agreed that while the current target age bracket is appropriate, there is a trend of rising bowel cancer incidence rates</w:t>
      </w:r>
      <w:r w:rsidR="00454BF6">
        <w:t xml:space="preserve"> for</w:t>
      </w:r>
      <w:r>
        <w:t xml:space="preserve"> younger age groups</w:t>
      </w:r>
      <w:r w:rsidR="00082D23">
        <w:t xml:space="preserve"> (shown in </w:t>
      </w:r>
      <w:r w:rsidR="00082D23">
        <w:fldChar w:fldCharType="begin"/>
      </w:r>
      <w:r w:rsidR="00082D23">
        <w:instrText xml:space="preserve"> REF _Ref67551019 \r \h </w:instrText>
      </w:r>
      <w:r w:rsidR="00082D23">
        <w:fldChar w:fldCharType="separate"/>
      </w:r>
      <w:r w:rsidR="00F27525">
        <w:t>Chart 2.1</w:t>
      </w:r>
      <w:r w:rsidR="00082D23">
        <w:fldChar w:fldCharType="end"/>
      </w:r>
      <w:r w:rsidR="00082D23">
        <w:t>)</w:t>
      </w:r>
      <w:r>
        <w:t xml:space="preserve">, and the appropriateness of the target age bracket should continue to be monitored. </w:t>
      </w:r>
    </w:p>
    <w:p w14:paraId="76C69869" w14:textId="0CE6A565" w:rsidR="00340D74" w:rsidRPr="00364358" w:rsidRDefault="00AF403F" w:rsidP="00340D74">
      <w:r>
        <w:t>A</w:t>
      </w:r>
      <w:r w:rsidR="00340D74" w:rsidRPr="00003F42">
        <w:t xml:space="preserve">IHW statistics show that </w:t>
      </w:r>
      <w:r w:rsidR="00340D74">
        <w:t xml:space="preserve">the </w:t>
      </w:r>
      <w:r w:rsidR="00340D74" w:rsidRPr="00003F42">
        <w:t xml:space="preserve">incidence </w:t>
      </w:r>
      <w:r w:rsidR="00340D74">
        <w:t>rate</w:t>
      </w:r>
      <w:r w:rsidR="00340D74" w:rsidRPr="00003F42">
        <w:t xml:space="preserve"> for those </w:t>
      </w:r>
      <w:r w:rsidR="00340D74">
        <w:t xml:space="preserve">under </w:t>
      </w:r>
      <w:r w:rsidR="00BE1CF4">
        <w:t xml:space="preserve">the </w:t>
      </w:r>
      <w:r>
        <w:t xml:space="preserve">age </w:t>
      </w:r>
      <w:r w:rsidR="00BE1CF4">
        <w:t>of</w:t>
      </w:r>
      <w:r>
        <w:t xml:space="preserve"> </w:t>
      </w:r>
      <w:r w:rsidR="00340D74">
        <w:t xml:space="preserve">50 has increased at </w:t>
      </w:r>
      <w:r>
        <w:t xml:space="preserve">a </w:t>
      </w:r>
      <w:r w:rsidR="00340D74">
        <w:t xml:space="preserve">faster rate than for those over </w:t>
      </w:r>
      <w:r w:rsidR="00A45286">
        <w:t xml:space="preserve">the </w:t>
      </w:r>
      <w:r>
        <w:t xml:space="preserve">age </w:t>
      </w:r>
      <w:r w:rsidR="00A45286">
        <w:t>of</w:t>
      </w:r>
      <w:r>
        <w:t xml:space="preserve"> </w:t>
      </w:r>
      <w:r w:rsidR="00340D74">
        <w:t>50</w:t>
      </w:r>
      <w:r w:rsidR="00340D74" w:rsidRPr="00003F42">
        <w:t>, however the</w:t>
      </w:r>
      <w:r w:rsidR="00340D74">
        <w:t xml:space="preserve"> current rates</w:t>
      </w:r>
      <w:r w:rsidR="00340D74" w:rsidRPr="00003F42">
        <w:t xml:space="preserve"> are still relatively low compared to the rates for older age groups</w:t>
      </w:r>
      <w:r w:rsidR="00340D74">
        <w:t xml:space="preserve">. For example, in 2020, the incidence of bowel cancer in </w:t>
      </w:r>
      <w:proofErr w:type="gramStart"/>
      <w:r w:rsidR="00340D74">
        <w:t>50 to 54</w:t>
      </w:r>
      <w:r w:rsidR="00924645">
        <w:t>-</w:t>
      </w:r>
      <w:r w:rsidR="00340D74">
        <w:t xml:space="preserve">year </w:t>
      </w:r>
      <w:proofErr w:type="spellStart"/>
      <w:r w:rsidR="00340D74">
        <w:t>old</w:t>
      </w:r>
      <w:r w:rsidR="00924645">
        <w:t>s</w:t>
      </w:r>
      <w:proofErr w:type="spellEnd"/>
      <w:proofErr w:type="gramEnd"/>
      <w:r w:rsidR="00340D74">
        <w:t xml:space="preserve"> was 51 per 100,000 persons, compared to </w:t>
      </w:r>
      <w:r w:rsidR="000A3AF4">
        <w:t xml:space="preserve">37 </w:t>
      </w:r>
      <w:r w:rsidR="00340D74">
        <w:t>per 100,000 persons for 45 to 50</w:t>
      </w:r>
      <w:r w:rsidR="00924645">
        <w:t xml:space="preserve">-year </w:t>
      </w:r>
      <w:proofErr w:type="spellStart"/>
      <w:r w:rsidR="00924645">
        <w:t>olds</w:t>
      </w:r>
      <w:proofErr w:type="spellEnd"/>
      <w:r w:rsidR="00340D74">
        <w:t>.</w:t>
      </w:r>
      <w:r w:rsidR="00340D74">
        <w:rPr>
          <w:rStyle w:val="EndnoteReference"/>
        </w:rPr>
        <w:endnoteReference w:id="17"/>
      </w:r>
      <w:r w:rsidR="00340D74" w:rsidRPr="00364358">
        <w:t xml:space="preserve"> </w:t>
      </w:r>
      <w:r w:rsidR="00E433D9">
        <w:t>This is noted with the caveat that tren</w:t>
      </w:r>
      <w:r w:rsidR="00737A70">
        <w:t>d</w:t>
      </w:r>
      <w:r w:rsidR="00E433D9">
        <w:t>s over time are not directly comparable between age brackets</w:t>
      </w:r>
      <w:r w:rsidR="00EC1897">
        <w:t xml:space="preserve"> ove</w:t>
      </w:r>
      <w:r w:rsidR="00E110D1">
        <w:t>r and under age 50</w:t>
      </w:r>
      <w:r w:rsidR="00E433D9">
        <w:t>, as</w:t>
      </w:r>
      <w:r w:rsidR="00952291">
        <w:t xml:space="preserve"> recent</w:t>
      </w:r>
      <w:r w:rsidR="00E433D9">
        <w:t xml:space="preserve"> </w:t>
      </w:r>
      <w:r w:rsidR="00851151">
        <w:t xml:space="preserve">rates </w:t>
      </w:r>
      <w:r w:rsidR="009A3B68">
        <w:t xml:space="preserve">for </w:t>
      </w:r>
      <w:r w:rsidR="00E110D1">
        <w:t>people over age</w:t>
      </w:r>
      <w:r w:rsidR="009A3B68">
        <w:t xml:space="preserve"> </w:t>
      </w:r>
      <w:r w:rsidR="0081201C">
        <w:t xml:space="preserve">50 </w:t>
      </w:r>
      <w:r w:rsidR="007B5208">
        <w:t>are</w:t>
      </w:r>
      <w:r w:rsidR="009A3B68">
        <w:t xml:space="preserve"> </w:t>
      </w:r>
      <w:r w:rsidR="003D7291">
        <w:t>affected by the</w:t>
      </w:r>
      <w:r w:rsidR="009A3B68">
        <w:t xml:space="preserve"> impact of the Program on adenoma detection</w:t>
      </w:r>
      <w:r w:rsidR="007B5208">
        <w:t>,</w:t>
      </w:r>
      <w:r w:rsidR="003D7291">
        <w:t xml:space="preserve"> </w:t>
      </w:r>
      <w:r w:rsidR="00E433D9">
        <w:t>which</w:t>
      </w:r>
      <w:r w:rsidR="007B5208">
        <w:t xml:space="preserve"> leads to a</w:t>
      </w:r>
      <w:r w:rsidR="00E433D9">
        <w:t xml:space="preserve"> reduc</w:t>
      </w:r>
      <w:r w:rsidR="007B5208">
        <w:t>tion in</w:t>
      </w:r>
      <w:r w:rsidR="00E433D9">
        <w:t xml:space="preserve"> </w:t>
      </w:r>
      <w:r w:rsidR="003D7291">
        <w:t>cancer incidence</w:t>
      </w:r>
      <w:r w:rsidR="009A3B68">
        <w:t xml:space="preserve">. </w:t>
      </w:r>
    </w:p>
    <w:p w14:paraId="442F3A76" w14:textId="7A3FE3B1" w:rsidR="00340D74" w:rsidRPr="002F6AF9" w:rsidRDefault="00E83E31" w:rsidP="00F678D8">
      <w:pPr>
        <w:pStyle w:val="CaptionChart"/>
        <w:ind w:left="6663" w:hanging="6379"/>
      </w:pPr>
      <w:bookmarkStart w:id="67" w:name="_Ref67551019"/>
      <w:r w:rsidRPr="002F6AF9">
        <w:lastRenderedPageBreak/>
        <w:t xml:space="preserve">: Bowel cancer incidence rates, by age, </w:t>
      </w:r>
      <w:bookmarkEnd w:id="67"/>
      <w:r w:rsidR="00AB2F60" w:rsidRPr="002F6AF9">
        <w:t>2000 to 2020</w:t>
      </w:r>
    </w:p>
    <w:p w14:paraId="78A638F5" w14:textId="210FC286" w:rsidR="00E83E31" w:rsidRDefault="00E83E31" w:rsidP="00E83E31">
      <w:r w:rsidRPr="000829BA">
        <w:rPr>
          <w:noProof/>
          <w:lang w:eastAsia="en-AU"/>
        </w:rPr>
        <w:drawing>
          <wp:inline distT="0" distB="0" distL="0" distR="0" wp14:anchorId="161162A0" wp14:editId="2E1F9262">
            <wp:extent cx="5565139" cy="3072384"/>
            <wp:effectExtent l="0" t="0" r="0" b="0"/>
            <wp:docPr id="33" name="Picture 33" descr="Bowel cancer incidence rates by age from 2000 to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Bowel cancer incidence rates by age from 2000 to 2020"/>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3387"/>
                    <a:stretch/>
                  </pic:blipFill>
                  <pic:spPr bwMode="auto">
                    <a:xfrm>
                      <a:off x="0" y="0"/>
                      <a:ext cx="5568165" cy="3074054"/>
                    </a:xfrm>
                    <a:prstGeom prst="rect">
                      <a:avLst/>
                    </a:prstGeom>
                    <a:noFill/>
                    <a:ln>
                      <a:noFill/>
                    </a:ln>
                    <a:extLst>
                      <a:ext uri="{53640926-AAD7-44D8-BBD7-CCE9431645EC}">
                        <a14:shadowObscured xmlns:a14="http://schemas.microsoft.com/office/drawing/2010/main"/>
                      </a:ext>
                    </a:extLst>
                  </pic:spPr>
                </pic:pic>
              </a:graphicData>
            </a:graphic>
          </wp:inline>
        </w:drawing>
      </w:r>
    </w:p>
    <w:p w14:paraId="661DB4F9" w14:textId="4D81224B" w:rsidR="00845A04" w:rsidRDefault="00845A04" w:rsidP="009D7EDA">
      <w:pPr>
        <w:pStyle w:val="Source"/>
        <w:spacing w:line="0" w:lineRule="atLeast"/>
        <w:rPr>
          <w:rStyle w:val="SourcesChar"/>
        </w:rPr>
      </w:pPr>
      <w:r>
        <w:rPr>
          <w:rStyle w:val="SourcesChar"/>
        </w:rPr>
        <w:t xml:space="preserve">Notes: </w:t>
      </w:r>
      <w:r>
        <w:t>Trends over time are not directly comparable between age brackets over and under age 50, as recent rates for people over age 50 are affected by the impact of the Program on adenoma detection, which leads to a reduction in cancer incidence.</w:t>
      </w:r>
    </w:p>
    <w:p w14:paraId="74A65436" w14:textId="14FDC28F" w:rsidR="00E83E31" w:rsidRDefault="00E83E31">
      <w:pPr>
        <w:spacing w:line="0" w:lineRule="atLeast"/>
        <w:rPr>
          <w:rStyle w:val="SourcesChar"/>
        </w:rPr>
      </w:pPr>
      <w:r w:rsidRPr="00170B95">
        <w:rPr>
          <w:rStyle w:val="SourcesChar"/>
        </w:rPr>
        <w:t xml:space="preserve">Source: </w:t>
      </w:r>
      <w:r w:rsidRPr="00C37F76">
        <w:rPr>
          <w:color w:val="75787B" w:themeColor="accent6"/>
          <w:sz w:val="14"/>
        </w:rPr>
        <w:t>AIHW</w:t>
      </w:r>
      <w:r w:rsidR="006A067C" w:rsidRPr="00C37F76">
        <w:rPr>
          <w:iCs/>
          <w:color w:val="75787B" w:themeColor="accent6"/>
          <w:sz w:val="14"/>
        </w:rPr>
        <w:t xml:space="preserve">, </w:t>
      </w:r>
      <w:r w:rsidR="00CC2ECC">
        <w:rPr>
          <w:i/>
          <w:iCs/>
          <w:color w:val="75787B" w:themeColor="accent6"/>
          <w:sz w:val="14"/>
        </w:rPr>
        <w:t>Cancer data in Australia</w:t>
      </w:r>
      <w:r w:rsidR="006A067C" w:rsidRPr="00C37F76">
        <w:rPr>
          <w:iCs/>
          <w:color w:val="75787B" w:themeColor="accent6"/>
          <w:sz w:val="14"/>
        </w:rPr>
        <w:t xml:space="preserve">, </w:t>
      </w:r>
      <w:r w:rsidR="00CC2ECC">
        <w:rPr>
          <w:color w:val="75787B" w:themeColor="accent6"/>
          <w:sz w:val="14"/>
        </w:rPr>
        <w:t xml:space="preserve">November </w:t>
      </w:r>
      <w:r w:rsidRPr="00C37F76">
        <w:rPr>
          <w:color w:val="75787B" w:themeColor="accent6"/>
          <w:sz w:val="14"/>
        </w:rPr>
        <w:t>2020</w:t>
      </w:r>
      <w:r w:rsidR="006A067C">
        <w:rPr>
          <w:iCs/>
          <w:color w:val="75787B" w:themeColor="accent6"/>
          <w:sz w:val="14"/>
        </w:rPr>
        <w:t>.</w:t>
      </w:r>
    </w:p>
    <w:p w14:paraId="4F5E4971" w14:textId="7EBC81DD" w:rsidR="00616A44" w:rsidRDefault="00342C56" w:rsidP="00E83E31">
      <w:r>
        <w:t xml:space="preserve">Stakeholders noted that if the age bracket was lowered, a risk-stratified approach could be considered. However, it was agreed that more evidence is required to determine what physiological and behavioural factors </w:t>
      </w:r>
      <w:r w:rsidR="00B8102E">
        <w:t>could</w:t>
      </w:r>
      <w:r>
        <w:t xml:space="preserve"> be used to objectively identify those at elevated risk (noting those with family history should already be under</w:t>
      </w:r>
      <w:r w:rsidR="00F22F0B">
        <w:t>going</w:t>
      </w:r>
      <w:r>
        <w:t xml:space="preserve"> surveillance</w:t>
      </w:r>
      <w:r w:rsidR="00F22F0B">
        <w:t xml:space="preserve"> with colonoscopy</w:t>
      </w:r>
      <w:r>
        <w:t xml:space="preserve">). </w:t>
      </w:r>
    </w:p>
    <w:p w14:paraId="49D64DEC" w14:textId="7D6DC986" w:rsidR="00DA05CA" w:rsidRPr="00815EA5" w:rsidRDefault="00DA05CA" w:rsidP="00195E90">
      <w:bookmarkStart w:id="68" w:name="_Hlk68598112"/>
      <w:r w:rsidRPr="00815EA5">
        <w:t xml:space="preserve">Consider feasibility of lowering screening entry age to 40 </w:t>
      </w:r>
      <w:r w:rsidR="000A4138">
        <w:t>or</w:t>
      </w:r>
      <w:r w:rsidRPr="00815EA5">
        <w:t xml:space="preserve"> 45 for Aboriginal and Torres Strait Islander people, coupled with scale up of the Alternative Pathway pilot for this group.</w:t>
      </w:r>
    </w:p>
    <w:p w14:paraId="4B532F3A" w14:textId="774B8D12" w:rsidR="00772ACB" w:rsidRDefault="00A667D5" w:rsidP="00070C67">
      <w:r>
        <w:fldChar w:fldCharType="begin"/>
      </w:r>
      <w:r>
        <w:instrText xml:space="preserve"> REF _Ref67911457 \r \h </w:instrText>
      </w:r>
      <w:r>
        <w:fldChar w:fldCharType="separate"/>
      </w:r>
      <w:r w:rsidR="00F27525">
        <w:t>Table 2.1</w:t>
      </w:r>
      <w:r>
        <w:fldChar w:fldCharType="end"/>
      </w:r>
      <w:r>
        <w:t xml:space="preserve"> </w:t>
      </w:r>
      <w:r w:rsidR="004C148E" w:rsidRPr="00700D56">
        <w:rPr>
          <w:color w:val="000000" w:themeColor="text1"/>
        </w:rPr>
        <w:t>shows tha</w:t>
      </w:r>
      <w:r w:rsidR="00F30F86">
        <w:rPr>
          <w:color w:val="000000" w:themeColor="text1"/>
        </w:rPr>
        <w:t>t</w:t>
      </w:r>
      <w:r w:rsidR="004C148E" w:rsidRPr="00700D56">
        <w:rPr>
          <w:color w:val="000000" w:themeColor="text1"/>
        </w:rPr>
        <w:t xml:space="preserve"> </w:t>
      </w:r>
      <w:r w:rsidR="000C40F7">
        <w:rPr>
          <w:color w:val="000000" w:themeColor="text1"/>
        </w:rPr>
        <w:t xml:space="preserve">bowel cancer </w:t>
      </w:r>
      <w:r w:rsidR="004C148E" w:rsidRPr="00700D56">
        <w:rPr>
          <w:color w:val="000000" w:themeColor="text1"/>
        </w:rPr>
        <w:t>incidence rates</w:t>
      </w:r>
      <w:r w:rsidR="00243716">
        <w:rPr>
          <w:color w:val="000000" w:themeColor="text1"/>
        </w:rPr>
        <w:t xml:space="preserve"> </w:t>
      </w:r>
      <w:r w:rsidR="003D1F2A">
        <w:rPr>
          <w:color w:val="000000" w:themeColor="text1"/>
        </w:rPr>
        <w:t>are lower for</w:t>
      </w:r>
      <w:r w:rsidR="000C40F7">
        <w:rPr>
          <w:color w:val="000000" w:themeColor="text1"/>
        </w:rPr>
        <w:t xml:space="preserve"> </w:t>
      </w:r>
      <w:r w:rsidR="006459D2">
        <w:rPr>
          <w:color w:val="000000" w:themeColor="text1"/>
        </w:rPr>
        <w:t xml:space="preserve">Aboriginal and Torres Strait Islander </w:t>
      </w:r>
      <w:r w:rsidR="000C40F7">
        <w:rPr>
          <w:color w:val="000000" w:themeColor="text1"/>
        </w:rPr>
        <w:t>people</w:t>
      </w:r>
      <w:r w:rsidR="003D1F2A">
        <w:rPr>
          <w:color w:val="000000" w:themeColor="text1"/>
        </w:rPr>
        <w:t xml:space="preserve"> relative to non-</w:t>
      </w:r>
      <w:r w:rsidR="006459D2">
        <w:rPr>
          <w:color w:val="000000" w:themeColor="text1"/>
        </w:rPr>
        <w:t>Aboriginal and Torres Strait Islander people</w:t>
      </w:r>
      <w:r w:rsidR="00243716">
        <w:rPr>
          <w:color w:val="000000" w:themeColor="text1"/>
        </w:rPr>
        <w:t xml:space="preserve">, </w:t>
      </w:r>
      <w:r w:rsidR="003D1F2A">
        <w:rPr>
          <w:color w:val="000000" w:themeColor="text1"/>
        </w:rPr>
        <w:t>however survival rates are poorer.</w:t>
      </w:r>
      <w:r w:rsidR="00397C16">
        <w:t xml:space="preserve"> Worse survival outcomes</w:t>
      </w:r>
      <w:r w:rsidR="00E50512">
        <w:t xml:space="preserve"> </w:t>
      </w:r>
      <w:r w:rsidR="00941D18">
        <w:t xml:space="preserve">may reflect </w:t>
      </w:r>
      <w:r w:rsidR="00E50512">
        <w:t>cancer being detected at a</w:t>
      </w:r>
      <w:r w:rsidR="008149D0">
        <w:t xml:space="preserve"> more advanced</w:t>
      </w:r>
      <w:r w:rsidR="00E50512">
        <w:t xml:space="preserve"> stage.</w:t>
      </w:r>
      <w:r w:rsidR="00AF28EB">
        <w:rPr>
          <w:rStyle w:val="EndnoteReference"/>
        </w:rPr>
        <w:endnoteReference w:id="18"/>
      </w:r>
      <w:r w:rsidR="00980262">
        <w:t xml:space="preserve"> </w:t>
      </w:r>
      <w:r w:rsidR="005D3143">
        <w:t xml:space="preserve">Evidence from </w:t>
      </w:r>
      <w:r w:rsidR="00C12281">
        <w:t xml:space="preserve">the NSW Cancer Registry </w:t>
      </w:r>
      <w:r w:rsidR="00741938">
        <w:t>also show</w:t>
      </w:r>
      <w:r w:rsidR="00691EB4">
        <w:t>ed</w:t>
      </w:r>
      <w:r w:rsidR="00741938">
        <w:t xml:space="preserve"> that Aboriginal and Torres Strait Islander people were diagnosed an average of </w:t>
      </w:r>
      <w:r w:rsidR="00844EF7">
        <w:t>seven years younger than the non-Indigenous population.</w:t>
      </w:r>
      <w:r w:rsidR="00844EF7">
        <w:rPr>
          <w:rStyle w:val="EndnoteReference"/>
        </w:rPr>
        <w:endnoteReference w:id="19"/>
      </w:r>
    </w:p>
    <w:p w14:paraId="7F52F426" w14:textId="64D6D642" w:rsidR="00070C67" w:rsidRDefault="008F27EF" w:rsidP="00070C67">
      <w:r>
        <w:t>Recognition of worse outcomes in Aboriginal and Torres Strait Islander people</w:t>
      </w:r>
      <w:r w:rsidR="00641FD4">
        <w:t xml:space="preserve"> </w:t>
      </w:r>
      <w:r w:rsidR="00226297">
        <w:t>diagnosed with bowel cancer</w:t>
      </w:r>
      <w:r w:rsidR="00937994">
        <w:t xml:space="preserve"> </w:t>
      </w:r>
      <w:r w:rsidR="00772ACB">
        <w:t xml:space="preserve">has </w:t>
      </w:r>
      <w:r w:rsidR="00523182">
        <w:t>prompted</w:t>
      </w:r>
      <w:r w:rsidR="00F97A81">
        <w:t xml:space="preserve"> research regarding whether </w:t>
      </w:r>
      <w:r w:rsidR="00E13AB1">
        <w:t xml:space="preserve">lowering the age bracket may be beneficial </w:t>
      </w:r>
      <w:r>
        <w:t>in this cohort</w:t>
      </w:r>
      <w:r w:rsidR="00E13AB1">
        <w:t xml:space="preserve">. </w:t>
      </w:r>
      <w:r w:rsidR="00B13546">
        <w:t xml:space="preserve">Please refer to </w:t>
      </w:r>
      <w:r w:rsidR="00321A73">
        <w:t>s</w:t>
      </w:r>
      <w:r w:rsidR="00B13546">
        <w:t xml:space="preserve">ection </w:t>
      </w:r>
      <w:r w:rsidR="00B13546">
        <w:fldChar w:fldCharType="begin"/>
      </w:r>
      <w:r w:rsidR="00B13546">
        <w:instrText xml:space="preserve"> REF _Ref74292669 \n \h </w:instrText>
      </w:r>
      <w:r w:rsidR="00B13546">
        <w:fldChar w:fldCharType="separate"/>
      </w:r>
      <w:r w:rsidR="00F27525">
        <w:t>6.1.5</w:t>
      </w:r>
      <w:r w:rsidR="00B13546">
        <w:fldChar w:fldCharType="end"/>
      </w:r>
      <w:r w:rsidR="00B13546">
        <w:t xml:space="preserve"> for a review of Lew et al. </w:t>
      </w:r>
      <w:r w:rsidR="00A6177D">
        <w:t>(pre-published)</w:t>
      </w:r>
      <w:r w:rsidR="00B13546">
        <w:t xml:space="preserve"> on this issue. Any</w:t>
      </w:r>
      <w:r w:rsidR="00616A44">
        <w:t xml:space="preserve"> decision to lower the age bracket for Aboriginal and Torres Strait Islander people should </w:t>
      </w:r>
      <w:r w:rsidR="00BB4A20">
        <w:t>consider</w:t>
      </w:r>
      <w:r w:rsidR="00132BE1">
        <w:t xml:space="preserve"> </w:t>
      </w:r>
      <w:r w:rsidR="00235A14">
        <w:t xml:space="preserve">the existing barriers to participation in this cohort, and </w:t>
      </w:r>
      <w:r w:rsidR="00AB63C3">
        <w:t>associated</w:t>
      </w:r>
      <w:r w:rsidR="00B30006">
        <w:t xml:space="preserve"> </w:t>
      </w:r>
      <w:r w:rsidR="006B3F51">
        <w:t xml:space="preserve">investment in alternative </w:t>
      </w:r>
      <w:r w:rsidR="006E698D">
        <w:t>pathway</w:t>
      </w:r>
      <w:r w:rsidR="0056499A">
        <w:t>s</w:t>
      </w:r>
      <w:r w:rsidR="006B3F51">
        <w:t xml:space="preserve"> </w:t>
      </w:r>
      <w:r w:rsidR="00C21F25">
        <w:t>to</w:t>
      </w:r>
      <w:r w:rsidR="006E698D">
        <w:t xml:space="preserve"> </w:t>
      </w:r>
      <w:r w:rsidR="00AB63C3">
        <w:t>optimise</w:t>
      </w:r>
      <w:r w:rsidR="000D165B">
        <w:t xml:space="preserve"> participation </w:t>
      </w:r>
      <w:r w:rsidR="005F622D">
        <w:t xml:space="preserve">across the screening pathway. </w:t>
      </w:r>
      <w:r w:rsidR="00070C67">
        <w:br w:type="page"/>
      </w:r>
    </w:p>
    <w:p w14:paraId="6B7A38F7" w14:textId="6453135C" w:rsidR="005E1363" w:rsidRDefault="005E1363" w:rsidP="005E1363">
      <w:pPr>
        <w:pStyle w:val="CaptionTable"/>
      </w:pPr>
      <w:bookmarkStart w:id="69" w:name="_Ref67911457"/>
      <w:bookmarkEnd w:id="68"/>
      <w:r>
        <w:lastRenderedPageBreak/>
        <w:t xml:space="preserve">: </w:t>
      </w:r>
      <w:r w:rsidR="00134C08">
        <w:t xml:space="preserve">Bowel cancer incidence </w:t>
      </w:r>
      <w:r w:rsidR="00F22A5E">
        <w:t xml:space="preserve">(per 100,000 persons) </w:t>
      </w:r>
      <w:r w:rsidR="00700D56">
        <w:t>and five-year</w:t>
      </w:r>
      <w:r w:rsidR="00C55B88">
        <w:t xml:space="preserve"> relative</w:t>
      </w:r>
      <w:r w:rsidR="00700D56">
        <w:t xml:space="preserve"> survival </w:t>
      </w:r>
      <w:r w:rsidR="00134C08">
        <w:t>rates in 2016, by age, Indigenous and non-In</w:t>
      </w:r>
      <w:r w:rsidR="0025065A">
        <w:t>dig</w:t>
      </w:r>
      <w:r w:rsidR="00134C08">
        <w:t>enous Australians</w:t>
      </w:r>
      <w:bookmarkEnd w:id="69"/>
    </w:p>
    <w:tbl>
      <w:tblPr>
        <w:tblStyle w:val="Deloittetable"/>
        <w:tblW w:w="0" w:type="auto"/>
        <w:tblLook w:val="04A0" w:firstRow="1" w:lastRow="0" w:firstColumn="1" w:lastColumn="0" w:noHBand="0" w:noVBand="1"/>
      </w:tblPr>
      <w:tblGrid>
        <w:gridCol w:w="1400"/>
        <w:gridCol w:w="3755"/>
        <w:gridCol w:w="3755"/>
      </w:tblGrid>
      <w:tr w:rsidR="005E1363" w14:paraId="108F1A4D" w14:textId="77777777" w:rsidTr="003C54B7">
        <w:trPr>
          <w:cnfStyle w:val="100000000000" w:firstRow="1" w:lastRow="0" w:firstColumn="0" w:lastColumn="0" w:oddVBand="0" w:evenVBand="0" w:oddHBand="0" w:evenHBand="0" w:firstRowFirstColumn="0" w:firstRowLastColumn="0" w:lastRowFirstColumn="0" w:lastRowLastColumn="0"/>
        </w:trPr>
        <w:tc>
          <w:tcPr>
            <w:tcW w:w="1400" w:type="dxa"/>
          </w:tcPr>
          <w:p w14:paraId="71B8F6F3" w14:textId="2A31B317" w:rsidR="005E1363" w:rsidRPr="00C46BFF" w:rsidRDefault="00C00969" w:rsidP="00CC7B41">
            <w:pPr>
              <w:spacing w:after="0"/>
              <w:rPr>
                <w:b w:val="0"/>
                <w:bCs/>
                <w:color w:val="62B5E5" w:themeColor="accent3"/>
              </w:rPr>
            </w:pPr>
            <w:r w:rsidRPr="00C46BFF">
              <w:rPr>
                <w:bCs/>
                <w:color w:val="62B5E5" w:themeColor="accent3"/>
              </w:rPr>
              <w:t>Age</w:t>
            </w:r>
          </w:p>
        </w:tc>
        <w:tc>
          <w:tcPr>
            <w:tcW w:w="3755" w:type="dxa"/>
          </w:tcPr>
          <w:p w14:paraId="5FE6C867" w14:textId="0A7FB616" w:rsidR="005E1363" w:rsidRPr="00C46BFF" w:rsidRDefault="00FE5BE9" w:rsidP="00BD1806">
            <w:pPr>
              <w:spacing w:after="0"/>
              <w:jc w:val="right"/>
              <w:rPr>
                <w:b w:val="0"/>
                <w:bCs/>
                <w:color w:val="62B5E5" w:themeColor="accent3"/>
              </w:rPr>
            </w:pPr>
            <w:r w:rsidRPr="00C46BFF">
              <w:rPr>
                <w:bCs/>
                <w:color w:val="62B5E5" w:themeColor="accent3"/>
              </w:rPr>
              <w:t>Indigenous</w:t>
            </w:r>
            <w:r w:rsidR="00C00969" w:rsidRPr="00C46BFF">
              <w:rPr>
                <w:bCs/>
                <w:color w:val="62B5E5" w:themeColor="accent3"/>
              </w:rPr>
              <w:t xml:space="preserve"> population</w:t>
            </w:r>
          </w:p>
        </w:tc>
        <w:tc>
          <w:tcPr>
            <w:tcW w:w="3755" w:type="dxa"/>
          </w:tcPr>
          <w:p w14:paraId="33A308A3" w14:textId="0A9F5CD0" w:rsidR="005E1363" w:rsidRPr="00C46BFF" w:rsidRDefault="00C00969" w:rsidP="00BD1806">
            <w:pPr>
              <w:spacing w:after="0"/>
              <w:jc w:val="right"/>
              <w:rPr>
                <w:b w:val="0"/>
                <w:bCs/>
                <w:color w:val="62B5E5" w:themeColor="accent3"/>
              </w:rPr>
            </w:pPr>
            <w:r w:rsidRPr="00C46BFF">
              <w:rPr>
                <w:bCs/>
                <w:color w:val="62B5E5" w:themeColor="accent3"/>
              </w:rPr>
              <w:t>Non-Indigenous population</w:t>
            </w:r>
          </w:p>
        </w:tc>
      </w:tr>
      <w:tr w:rsidR="005E1363" w14:paraId="5924863B" w14:textId="77777777" w:rsidTr="003C54B7">
        <w:tc>
          <w:tcPr>
            <w:tcW w:w="1400" w:type="dxa"/>
          </w:tcPr>
          <w:p w14:paraId="0B5667E3" w14:textId="2A7C0AE1" w:rsidR="005E1363" w:rsidRDefault="00FE5BE9" w:rsidP="00CC7B41">
            <w:pPr>
              <w:spacing w:after="0"/>
            </w:pPr>
            <w:r>
              <w:t>25 to 44</w:t>
            </w:r>
          </w:p>
        </w:tc>
        <w:tc>
          <w:tcPr>
            <w:tcW w:w="3755" w:type="dxa"/>
          </w:tcPr>
          <w:p w14:paraId="0BC44A10" w14:textId="26CFC64C" w:rsidR="005E1363" w:rsidRDefault="00696B27" w:rsidP="00967927">
            <w:pPr>
              <w:spacing w:after="0"/>
              <w:jc w:val="right"/>
            </w:pPr>
            <w:r>
              <w:t xml:space="preserve">Incidence: 8.7 </w:t>
            </w:r>
          </w:p>
          <w:p w14:paraId="0CDC15D5" w14:textId="29E4418F" w:rsidR="00696B27" w:rsidRDefault="00820AAE" w:rsidP="00967927">
            <w:pPr>
              <w:spacing w:after="0"/>
              <w:jc w:val="right"/>
            </w:pPr>
            <w:r>
              <w:t>Five-year</w:t>
            </w:r>
            <w:r w:rsidR="00696B27">
              <w:t xml:space="preserve"> survival</w:t>
            </w:r>
            <w:r w:rsidR="00967927">
              <w:t>:</w:t>
            </w:r>
            <w:r w:rsidR="00696B27">
              <w:t xml:space="preserve"> 50.4% </w:t>
            </w:r>
          </w:p>
        </w:tc>
        <w:tc>
          <w:tcPr>
            <w:tcW w:w="3755" w:type="dxa"/>
          </w:tcPr>
          <w:p w14:paraId="44820464" w14:textId="0BF71DD1" w:rsidR="005E1363" w:rsidRDefault="00696B27" w:rsidP="00967927">
            <w:pPr>
              <w:spacing w:after="0"/>
              <w:jc w:val="right"/>
            </w:pPr>
            <w:r>
              <w:t xml:space="preserve">Incidence: </w:t>
            </w:r>
            <w:r w:rsidR="00E65EA6">
              <w:t>9</w:t>
            </w:r>
            <w:r w:rsidR="00006AE7">
              <w:t>.</w:t>
            </w:r>
            <w:r w:rsidR="00E65EA6">
              <w:t>1</w:t>
            </w:r>
            <w:r>
              <w:t xml:space="preserve"> </w:t>
            </w:r>
          </w:p>
          <w:p w14:paraId="723E3FDA" w14:textId="6A53DA43" w:rsidR="00696B27" w:rsidRDefault="00820AAE" w:rsidP="00967927">
            <w:pPr>
              <w:spacing w:after="0"/>
              <w:jc w:val="right"/>
            </w:pPr>
            <w:r>
              <w:t>Five-year</w:t>
            </w:r>
            <w:r w:rsidR="00696B27">
              <w:t xml:space="preserve"> survival</w:t>
            </w:r>
            <w:r w:rsidR="00967927">
              <w:t>:</w:t>
            </w:r>
            <w:r w:rsidR="00696B27">
              <w:t xml:space="preserve"> </w:t>
            </w:r>
            <w:r w:rsidR="00A710F8">
              <w:t>71.8</w:t>
            </w:r>
            <w:r w:rsidR="00696B27">
              <w:t>%</w:t>
            </w:r>
          </w:p>
        </w:tc>
      </w:tr>
      <w:tr w:rsidR="00696B27" w14:paraId="60548728" w14:textId="77777777" w:rsidTr="003C54B7">
        <w:tc>
          <w:tcPr>
            <w:tcW w:w="1400" w:type="dxa"/>
          </w:tcPr>
          <w:p w14:paraId="693E5EF9" w14:textId="0C6FCE0D" w:rsidR="00696B27" w:rsidRDefault="00696B27" w:rsidP="00CC7B41">
            <w:pPr>
              <w:spacing w:after="0"/>
            </w:pPr>
            <w:r>
              <w:t>45 to 64</w:t>
            </w:r>
          </w:p>
        </w:tc>
        <w:tc>
          <w:tcPr>
            <w:tcW w:w="3755" w:type="dxa"/>
          </w:tcPr>
          <w:p w14:paraId="6C8B3E33" w14:textId="223F83FD" w:rsidR="00696B27" w:rsidRDefault="00696B27" w:rsidP="00967927">
            <w:pPr>
              <w:spacing w:after="0"/>
              <w:jc w:val="right"/>
            </w:pPr>
            <w:r>
              <w:t xml:space="preserve">Incidence: </w:t>
            </w:r>
            <w:r w:rsidR="00627ABE">
              <w:t>64.1</w:t>
            </w:r>
            <w:r>
              <w:t xml:space="preserve"> </w:t>
            </w:r>
          </w:p>
          <w:p w14:paraId="18CE529F" w14:textId="73D2F142" w:rsidR="00696B27" w:rsidRDefault="00820AAE" w:rsidP="00967927">
            <w:pPr>
              <w:spacing w:after="0"/>
              <w:jc w:val="right"/>
            </w:pPr>
            <w:r>
              <w:t>Five-year</w:t>
            </w:r>
            <w:r w:rsidR="00696B27">
              <w:t xml:space="preserve"> survival</w:t>
            </w:r>
            <w:r w:rsidR="00967927">
              <w:t xml:space="preserve">: </w:t>
            </w:r>
            <w:r w:rsidR="00A710F8">
              <w:t>61.1</w:t>
            </w:r>
            <w:r w:rsidR="00696B27">
              <w:t xml:space="preserve">% </w:t>
            </w:r>
          </w:p>
        </w:tc>
        <w:tc>
          <w:tcPr>
            <w:tcW w:w="3755" w:type="dxa"/>
          </w:tcPr>
          <w:p w14:paraId="4A1A19AE" w14:textId="79B74910" w:rsidR="00696B27" w:rsidRDefault="00696B27" w:rsidP="00967927">
            <w:pPr>
              <w:spacing w:after="0"/>
              <w:jc w:val="right"/>
            </w:pPr>
            <w:r>
              <w:t xml:space="preserve">Incidence: </w:t>
            </w:r>
            <w:r w:rsidR="00627ABE">
              <w:t>70.4</w:t>
            </w:r>
            <w:r>
              <w:t xml:space="preserve"> </w:t>
            </w:r>
          </w:p>
          <w:p w14:paraId="3E446146" w14:textId="6649033D" w:rsidR="00696B27" w:rsidRDefault="00820AAE" w:rsidP="00967927">
            <w:pPr>
              <w:spacing w:after="0"/>
              <w:jc w:val="right"/>
            </w:pPr>
            <w:r>
              <w:t>Five-year</w:t>
            </w:r>
            <w:r w:rsidR="00696B27">
              <w:t xml:space="preserve"> </w:t>
            </w:r>
            <w:r w:rsidR="00967927">
              <w:t xml:space="preserve">survival: </w:t>
            </w:r>
            <w:r w:rsidR="00A710F8">
              <w:t>72.1</w:t>
            </w:r>
            <w:r w:rsidR="00696B27">
              <w:t>%</w:t>
            </w:r>
          </w:p>
        </w:tc>
      </w:tr>
      <w:tr w:rsidR="00696B27" w14:paraId="6835E474" w14:textId="77777777" w:rsidTr="003C54B7">
        <w:tc>
          <w:tcPr>
            <w:tcW w:w="1400" w:type="dxa"/>
          </w:tcPr>
          <w:p w14:paraId="25D1E35F" w14:textId="4F33A0AA" w:rsidR="00696B27" w:rsidRDefault="00696B27" w:rsidP="00CC7B41">
            <w:pPr>
              <w:spacing w:after="0"/>
            </w:pPr>
            <w:r>
              <w:t>65+</w:t>
            </w:r>
          </w:p>
        </w:tc>
        <w:tc>
          <w:tcPr>
            <w:tcW w:w="3755" w:type="dxa"/>
          </w:tcPr>
          <w:p w14:paraId="4BC46EB2" w14:textId="077AE7F2" w:rsidR="00696B27" w:rsidRDefault="00696B27" w:rsidP="00967927">
            <w:pPr>
              <w:spacing w:after="0"/>
              <w:jc w:val="right"/>
            </w:pPr>
            <w:r>
              <w:t xml:space="preserve">Incidence: </w:t>
            </w:r>
            <w:r w:rsidR="00627ABE">
              <w:t>242.5</w:t>
            </w:r>
            <w:r>
              <w:t xml:space="preserve"> </w:t>
            </w:r>
          </w:p>
          <w:p w14:paraId="000C8530" w14:textId="549D79E3" w:rsidR="00696B27" w:rsidRDefault="00820AAE" w:rsidP="00967927">
            <w:pPr>
              <w:spacing w:after="0"/>
              <w:jc w:val="right"/>
            </w:pPr>
            <w:r>
              <w:t>Five-year</w:t>
            </w:r>
            <w:r w:rsidR="00696B27">
              <w:t xml:space="preserve"> survival</w:t>
            </w:r>
            <w:r w:rsidR="00967927">
              <w:t xml:space="preserve">: </w:t>
            </w:r>
            <w:r w:rsidR="00696B27">
              <w:t>5</w:t>
            </w:r>
            <w:r w:rsidR="00A710F8">
              <w:t>5</w:t>
            </w:r>
            <w:r w:rsidR="00696B27">
              <w:t>.</w:t>
            </w:r>
            <w:r w:rsidR="00A710F8">
              <w:t>1</w:t>
            </w:r>
            <w:r w:rsidR="00696B27">
              <w:t xml:space="preserve">% </w:t>
            </w:r>
          </w:p>
        </w:tc>
        <w:tc>
          <w:tcPr>
            <w:tcW w:w="3755" w:type="dxa"/>
          </w:tcPr>
          <w:p w14:paraId="69FE5BF9" w14:textId="1120EF95" w:rsidR="00696B27" w:rsidRDefault="00696B27" w:rsidP="00967927">
            <w:pPr>
              <w:spacing w:after="0"/>
              <w:jc w:val="right"/>
            </w:pPr>
            <w:r>
              <w:t xml:space="preserve">Incidence: </w:t>
            </w:r>
            <w:r w:rsidR="00A710F8">
              <w:t>295.6</w:t>
            </w:r>
            <w:r>
              <w:t xml:space="preserve"> </w:t>
            </w:r>
          </w:p>
          <w:p w14:paraId="7B5E3576" w14:textId="2A3FA78D" w:rsidR="00696B27" w:rsidRDefault="00820AAE" w:rsidP="00967927">
            <w:pPr>
              <w:spacing w:after="0"/>
              <w:jc w:val="right"/>
            </w:pPr>
            <w:r>
              <w:t>Five-year</w:t>
            </w:r>
            <w:r w:rsidR="00696B27">
              <w:t xml:space="preserve"> survival</w:t>
            </w:r>
            <w:r w:rsidR="00967927">
              <w:t xml:space="preserve">: </w:t>
            </w:r>
            <w:r w:rsidR="00A710F8">
              <w:t>64.7</w:t>
            </w:r>
            <w:r w:rsidR="00696B27">
              <w:t>%</w:t>
            </w:r>
          </w:p>
        </w:tc>
      </w:tr>
    </w:tbl>
    <w:p w14:paraId="62E1A7D3" w14:textId="114C3AFE" w:rsidR="00AA047D" w:rsidRDefault="00AA047D" w:rsidP="00AA047D">
      <w:pPr>
        <w:pStyle w:val="Source"/>
      </w:pPr>
      <w:r>
        <w:t xml:space="preserve">Source: </w:t>
      </w:r>
      <w:r w:rsidR="00042988" w:rsidRPr="00C37F76">
        <w:rPr>
          <w:iCs w:val="0"/>
        </w:rPr>
        <w:t>AIHW,</w:t>
      </w:r>
      <w:r w:rsidR="00B53E74">
        <w:rPr>
          <w:iCs w:val="0"/>
        </w:rPr>
        <w:t xml:space="preserve"> </w:t>
      </w:r>
      <w:r w:rsidR="003213CC" w:rsidRPr="00881029">
        <w:rPr>
          <w:i/>
        </w:rPr>
        <w:t>C</w:t>
      </w:r>
      <w:r w:rsidR="00B53E74" w:rsidRPr="00881029">
        <w:rPr>
          <w:i/>
        </w:rPr>
        <w:t>ancer in Aboriginal and Torres Islander people in Australia</w:t>
      </w:r>
      <w:r w:rsidR="00042988" w:rsidRPr="00C37F76">
        <w:rPr>
          <w:iCs w:val="0"/>
        </w:rPr>
        <w:t xml:space="preserve">, </w:t>
      </w:r>
      <w:r w:rsidR="00B53E74">
        <w:rPr>
          <w:iCs w:val="0"/>
        </w:rPr>
        <w:t>March 2018</w:t>
      </w:r>
      <w:r w:rsidR="00306E52">
        <w:rPr>
          <w:iCs w:val="0"/>
        </w:rPr>
        <w:t>.</w:t>
      </w:r>
    </w:p>
    <w:p w14:paraId="7183313A" w14:textId="77777777" w:rsidR="0022417E" w:rsidRPr="0022417E" w:rsidRDefault="00342C56" w:rsidP="0022417E">
      <w:pPr>
        <w:pStyle w:val="Heading4"/>
      </w:pPr>
      <w:bookmarkStart w:id="70" w:name="_Ref67583914"/>
      <w:r w:rsidRPr="0022417E">
        <w:t>Kit distribution methods</w:t>
      </w:r>
      <w:bookmarkEnd w:id="70"/>
    </w:p>
    <w:p w14:paraId="64B2ABA0" w14:textId="08D51494" w:rsidR="00342C56" w:rsidRPr="0022417E" w:rsidRDefault="00342C56" w:rsidP="00195E90">
      <w:pPr>
        <w:pStyle w:val="Pullout"/>
      </w:pPr>
      <w:r w:rsidRPr="0022417E">
        <w:t xml:space="preserve">The mail-out approach (with pre-invitation letter) is considered broadly appropriate. </w:t>
      </w:r>
    </w:p>
    <w:p w14:paraId="356F0D44" w14:textId="37C454CB" w:rsidR="00342C56" w:rsidRDefault="00342C56" w:rsidP="00342C56">
      <w:r>
        <w:t xml:space="preserve">The </w:t>
      </w:r>
      <w:r w:rsidR="009830E1">
        <w:t xml:space="preserve">mail-out approach with </w:t>
      </w:r>
      <w:r>
        <w:t>pre-invitation letter</w:t>
      </w:r>
      <w:r w:rsidRPr="00537F27">
        <w:t xml:space="preserve"> </w:t>
      </w:r>
      <w:r>
        <w:t xml:space="preserve">is consistent with </w:t>
      </w:r>
      <w:r w:rsidRPr="00537F27">
        <w:t>best practice</w:t>
      </w:r>
      <w:r>
        <w:t xml:space="preserve"> as a way of increasing participant readiness and promoting participation.</w:t>
      </w:r>
      <w:r>
        <w:rPr>
          <w:rStyle w:val="EndnoteReference"/>
        </w:rPr>
        <w:endnoteReference w:id="20"/>
      </w:r>
      <w:r>
        <w:t xml:space="preserve"> Many stakeholders agreed</w:t>
      </w:r>
      <w:r w:rsidR="009830E1">
        <w:t xml:space="preserve"> that a mail out approach </w:t>
      </w:r>
      <w:r w:rsidR="00E95BBC">
        <w:t>is</w:t>
      </w:r>
      <w:r w:rsidR="009830E1">
        <w:t xml:space="preserve"> appropriate</w:t>
      </w:r>
      <w:r>
        <w:t xml:space="preserve">, noting </w:t>
      </w:r>
      <w:r w:rsidR="00A55918">
        <w:t xml:space="preserve">that </w:t>
      </w:r>
      <w:r w:rsidR="00C038D8">
        <w:t>other methods</w:t>
      </w:r>
      <w:r w:rsidRPr="00686656">
        <w:t xml:space="preserve"> of kit provision would not achieve broad coverage of the population in an equitable manner. </w:t>
      </w:r>
      <w:r>
        <w:t xml:space="preserve">In addition, as people are mailed kits directly, there is no reliance on people’s awareness of bowel cancer screening or motivation to seek out more information to participate in the </w:t>
      </w:r>
      <w:r w:rsidR="00203F88">
        <w:t>Program</w:t>
      </w:r>
      <w:r>
        <w:t xml:space="preserve">. </w:t>
      </w:r>
    </w:p>
    <w:p w14:paraId="005CB203" w14:textId="5389955C" w:rsidR="00342C56" w:rsidRDefault="00342C56" w:rsidP="00342C56">
      <w:r>
        <w:rPr>
          <w:color w:val="000000" w:themeColor="text1"/>
        </w:rPr>
        <w:t>Despite the merits of the mail-out approach, there are some indicat</w:t>
      </w:r>
      <w:r w:rsidR="00E92990">
        <w:rPr>
          <w:color w:val="000000" w:themeColor="text1"/>
        </w:rPr>
        <w:t>ions</w:t>
      </w:r>
      <w:r>
        <w:rPr>
          <w:color w:val="000000" w:themeColor="text1"/>
        </w:rPr>
        <w:t xml:space="preserve"> that </w:t>
      </w:r>
      <w:r>
        <w:t>not all eligible Australians are receiving their kits.</w:t>
      </w:r>
      <w:r>
        <w:rPr>
          <w:color w:val="000000" w:themeColor="text1"/>
        </w:rPr>
        <w:t xml:space="preserve"> T</w:t>
      </w:r>
      <w:r w:rsidRPr="00C55126">
        <w:rPr>
          <w:color w:val="000000" w:themeColor="text1"/>
        </w:rPr>
        <w:t>he consumer survey found that 9 per cent of eligible participants (who did not opt-out of the Program) had not received a kit in the past two years</w:t>
      </w:r>
      <w:r>
        <w:rPr>
          <w:color w:val="000000" w:themeColor="text1"/>
        </w:rPr>
        <w:t>.</w:t>
      </w:r>
      <w:r w:rsidRPr="00C55126">
        <w:rPr>
          <w:color w:val="000000" w:themeColor="text1"/>
        </w:rPr>
        <w:t xml:space="preserve"> </w:t>
      </w:r>
      <w:r>
        <w:rPr>
          <w:color w:val="000000" w:themeColor="text1"/>
        </w:rPr>
        <w:t xml:space="preserve">Potential contributing factors cited through stakeholder consultations </w:t>
      </w:r>
      <w:r w:rsidR="00B46B1B">
        <w:rPr>
          <w:color w:val="000000" w:themeColor="text1"/>
        </w:rPr>
        <w:t xml:space="preserve">and program advisers </w:t>
      </w:r>
      <w:r>
        <w:rPr>
          <w:color w:val="000000" w:themeColor="text1"/>
        </w:rPr>
        <w:t>included</w:t>
      </w:r>
      <w:r>
        <w:t xml:space="preserve">: </w:t>
      </w:r>
    </w:p>
    <w:p w14:paraId="7F25DB6D" w14:textId="718FBB33" w:rsidR="00342C56" w:rsidRDefault="00BA411B" w:rsidP="002A4C09">
      <w:pPr>
        <w:pStyle w:val="ListBullet"/>
        <w:spacing w:after="170"/>
      </w:pPr>
      <w:r>
        <w:rPr>
          <w:b/>
          <w:bCs/>
        </w:rPr>
        <w:t>I</w:t>
      </w:r>
      <w:r w:rsidR="00342C56" w:rsidRPr="00672846">
        <w:rPr>
          <w:b/>
          <w:bCs/>
        </w:rPr>
        <w:t>ncorrect addresses in Medicare</w:t>
      </w:r>
      <w:r>
        <w:t xml:space="preserve">. It </w:t>
      </w:r>
      <w:r w:rsidR="00342C56">
        <w:t xml:space="preserve">was noted </w:t>
      </w:r>
      <w:r w:rsidR="00342C56" w:rsidRPr="009C5CB5">
        <w:rPr>
          <w:szCs w:val="18"/>
        </w:rPr>
        <w:t>that people are often unaware of the importance of updating Medicare details or checking that Medicare</w:t>
      </w:r>
      <w:r w:rsidR="00342C56" w:rsidRPr="00626E5E">
        <w:t xml:space="preserve"> details are </w:t>
      </w:r>
      <w:r w:rsidR="00411AE5" w:rsidRPr="00626E5E">
        <w:t>up to date</w:t>
      </w:r>
      <w:r w:rsidR="00536F8E">
        <w:t>.</w:t>
      </w:r>
    </w:p>
    <w:p w14:paraId="7C916453" w14:textId="4AA7C479" w:rsidR="00342C56" w:rsidRDefault="00BA411B" w:rsidP="002A4C09">
      <w:pPr>
        <w:pStyle w:val="ListBullet"/>
        <w:spacing w:after="170"/>
      </w:pPr>
      <w:r>
        <w:rPr>
          <w:b/>
          <w:bCs/>
        </w:rPr>
        <w:t>P</w:t>
      </w:r>
      <w:r w:rsidR="00342C56">
        <w:rPr>
          <w:b/>
          <w:bCs/>
        </w:rPr>
        <w:t xml:space="preserve">ostal issues </w:t>
      </w:r>
      <w:r w:rsidR="00342C56" w:rsidRPr="00672846">
        <w:rPr>
          <w:b/>
          <w:bCs/>
        </w:rPr>
        <w:t>for individuals residing in rural and remote locations</w:t>
      </w:r>
      <w:r>
        <w:t xml:space="preserve">. </w:t>
      </w:r>
      <w:r w:rsidR="00573966">
        <w:t>Stakeholders noted that postal services do not</w:t>
      </w:r>
      <w:r w:rsidR="00342C56">
        <w:t xml:space="preserve"> deliver to certain remote regions and </w:t>
      </w:r>
      <w:r w:rsidR="00F873D0">
        <w:t>that</w:t>
      </w:r>
      <w:r w:rsidR="001F12DC">
        <w:t xml:space="preserve"> consumers are often not aware they can update their address </w:t>
      </w:r>
      <w:r w:rsidR="008B2068">
        <w:t xml:space="preserve">for kit delivery </w:t>
      </w:r>
      <w:r w:rsidR="001F12DC">
        <w:t>to a</w:t>
      </w:r>
      <w:r w:rsidR="00F873D0">
        <w:t xml:space="preserve"> PO box</w:t>
      </w:r>
      <w:r w:rsidR="00342C56">
        <w:t>.</w:t>
      </w:r>
      <w:r w:rsidR="00F00C8D">
        <w:t xml:space="preserve"> </w:t>
      </w:r>
    </w:p>
    <w:p w14:paraId="6531D69F" w14:textId="01F5AEEA" w:rsidR="008A5331" w:rsidRDefault="00342C56" w:rsidP="00342C56">
      <w:pPr>
        <w:rPr>
          <w:color w:val="000000" w:themeColor="text1"/>
        </w:rPr>
      </w:pPr>
      <w:r>
        <w:rPr>
          <w:color w:val="000000" w:themeColor="text1"/>
        </w:rPr>
        <w:t>A Healthcare Provider Portal</w:t>
      </w:r>
      <w:r w:rsidR="001C3594">
        <w:rPr>
          <w:color w:val="000000" w:themeColor="text1"/>
        </w:rPr>
        <w:t xml:space="preserve"> (HPP)</w:t>
      </w:r>
      <w:r>
        <w:rPr>
          <w:color w:val="000000" w:themeColor="text1"/>
        </w:rPr>
        <w:t xml:space="preserve"> linked to the NCSR was</w:t>
      </w:r>
      <w:r w:rsidR="00F015D4">
        <w:rPr>
          <w:color w:val="000000" w:themeColor="text1"/>
        </w:rPr>
        <w:t xml:space="preserve"> </w:t>
      </w:r>
      <w:r>
        <w:rPr>
          <w:color w:val="000000" w:themeColor="text1"/>
        </w:rPr>
        <w:t>implemented</w:t>
      </w:r>
      <w:r w:rsidR="00AF74F6">
        <w:rPr>
          <w:color w:val="000000" w:themeColor="text1"/>
        </w:rPr>
        <w:t xml:space="preserve"> in October 2020</w:t>
      </w:r>
      <w:r>
        <w:rPr>
          <w:color w:val="000000" w:themeColor="text1"/>
        </w:rPr>
        <w:t xml:space="preserve">. The </w:t>
      </w:r>
      <w:r w:rsidR="0090443F">
        <w:rPr>
          <w:color w:val="000000" w:themeColor="text1"/>
        </w:rPr>
        <w:t xml:space="preserve">portal </w:t>
      </w:r>
      <w:r>
        <w:rPr>
          <w:color w:val="000000" w:themeColor="text1"/>
        </w:rPr>
        <w:t>allows healthcare practitioners to</w:t>
      </w:r>
      <w:r w:rsidR="00D019AD">
        <w:rPr>
          <w:color w:val="000000" w:themeColor="text1"/>
        </w:rPr>
        <w:t xml:space="preserve"> </w:t>
      </w:r>
      <w:r w:rsidR="00D019AD" w:rsidRPr="00D019AD">
        <w:rPr>
          <w:color w:val="000000" w:themeColor="text1"/>
        </w:rPr>
        <w:t>access and submit screening data electronically</w:t>
      </w:r>
      <w:r w:rsidR="00407F92">
        <w:rPr>
          <w:color w:val="000000" w:themeColor="text1"/>
        </w:rPr>
        <w:t xml:space="preserve">. </w:t>
      </w:r>
      <w:r w:rsidR="004D34DE">
        <w:rPr>
          <w:color w:val="000000" w:themeColor="text1"/>
        </w:rPr>
        <w:t xml:space="preserve">With patient consent, </w:t>
      </w:r>
      <w:r w:rsidR="00C827EF">
        <w:rPr>
          <w:color w:val="000000" w:themeColor="text1"/>
        </w:rPr>
        <w:t>t</w:t>
      </w:r>
      <w:r w:rsidR="00E53B94">
        <w:rPr>
          <w:color w:val="000000" w:themeColor="text1"/>
        </w:rPr>
        <w:t>he HPP also</w:t>
      </w:r>
      <w:r w:rsidR="00407F92">
        <w:rPr>
          <w:color w:val="000000" w:themeColor="text1"/>
        </w:rPr>
        <w:t xml:space="preserve"> allows </w:t>
      </w:r>
      <w:r w:rsidR="00F07AC0">
        <w:rPr>
          <w:color w:val="000000" w:themeColor="text1"/>
        </w:rPr>
        <w:t>practitioners</w:t>
      </w:r>
      <w:r w:rsidR="00407F92">
        <w:rPr>
          <w:color w:val="000000" w:themeColor="text1"/>
        </w:rPr>
        <w:t xml:space="preserve"> to </w:t>
      </w:r>
      <w:r>
        <w:rPr>
          <w:color w:val="000000" w:themeColor="text1"/>
        </w:rPr>
        <w:t xml:space="preserve">update </w:t>
      </w:r>
      <w:r w:rsidR="002715D7">
        <w:rPr>
          <w:color w:val="000000" w:themeColor="text1"/>
        </w:rPr>
        <w:t>participant</w:t>
      </w:r>
      <w:r>
        <w:rPr>
          <w:color w:val="000000" w:themeColor="text1"/>
        </w:rPr>
        <w:t xml:space="preserve"> </w:t>
      </w:r>
      <w:r w:rsidR="00F015D4">
        <w:rPr>
          <w:color w:val="000000" w:themeColor="text1"/>
        </w:rPr>
        <w:t>details</w:t>
      </w:r>
      <w:r w:rsidR="004D34DE">
        <w:rPr>
          <w:color w:val="000000" w:themeColor="text1"/>
        </w:rPr>
        <w:t>,</w:t>
      </w:r>
      <w:r w:rsidR="00F015D4">
        <w:rPr>
          <w:color w:val="000000" w:themeColor="text1"/>
        </w:rPr>
        <w:t xml:space="preserve"> nominate </w:t>
      </w:r>
      <w:r w:rsidR="0090443F">
        <w:rPr>
          <w:color w:val="000000" w:themeColor="text1"/>
        </w:rPr>
        <w:t xml:space="preserve">an </w:t>
      </w:r>
      <w:r w:rsidR="00F015D4">
        <w:rPr>
          <w:color w:val="000000" w:themeColor="text1"/>
        </w:rPr>
        <w:t>alternative postage address (</w:t>
      </w:r>
      <w:proofErr w:type="gramStart"/>
      <w:r w:rsidR="00F015D4">
        <w:rPr>
          <w:color w:val="000000" w:themeColor="text1"/>
        </w:rPr>
        <w:t>e.g.</w:t>
      </w:r>
      <w:proofErr w:type="gramEnd"/>
      <w:r w:rsidR="00F015D4">
        <w:rPr>
          <w:color w:val="000000" w:themeColor="text1"/>
        </w:rPr>
        <w:t xml:space="preserve"> a </w:t>
      </w:r>
      <w:r w:rsidR="00F015D4">
        <w:t>GP or community health centre)</w:t>
      </w:r>
      <w:r w:rsidR="00C827EF">
        <w:t>,</w:t>
      </w:r>
      <w:r w:rsidR="004D34DE">
        <w:t xml:space="preserve"> order a kit</w:t>
      </w:r>
      <w:r w:rsidR="00C827EF">
        <w:t xml:space="preserve"> (or replacement)</w:t>
      </w:r>
      <w:r w:rsidR="004D34DE">
        <w:t xml:space="preserve"> for an eligible participant, and to opt-in or opt-out their patients to the </w:t>
      </w:r>
      <w:r w:rsidR="00800D78">
        <w:t>Program</w:t>
      </w:r>
      <w:r>
        <w:rPr>
          <w:color w:val="000000" w:themeColor="text1"/>
        </w:rPr>
        <w:t xml:space="preserve">. </w:t>
      </w:r>
      <w:r w:rsidR="007D6366">
        <w:rPr>
          <w:color w:val="000000" w:themeColor="text1"/>
        </w:rPr>
        <w:t xml:space="preserve">Integration between the NCSR and </w:t>
      </w:r>
      <w:r w:rsidR="00697C82">
        <w:rPr>
          <w:color w:val="000000" w:themeColor="text1"/>
        </w:rPr>
        <w:t>practice software started in Phase Four and is ongoing</w:t>
      </w:r>
      <w:r w:rsidR="00747ABA">
        <w:rPr>
          <w:color w:val="000000" w:themeColor="text1"/>
        </w:rPr>
        <w:t xml:space="preserve">. </w:t>
      </w:r>
      <w:r w:rsidR="009D3723">
        <w:rPr>
          <w:color w:val="000000" w:themeColor="text1"/>
        </w:rPr>
        <w:t>T</w:t>
      </w:r>
      <w:r w:rsidR="00D24086">
        <w:rPr>
          <w:color w:val="000000" w:themeColor="text1"/>
        </w:rPr>
        <w:t>he</w:t>
      </w:r>
      <w:r w:rsidR="00F015D4">
        <w:rPr>
          <w:color w:val="000000" w:themeColor="text1"/>
        </w:rPr>
        <w:t xml:space="preserve"> capability of the </w:t>
      </w:r>
      <w:r w:rsidR="009D3723">
        <w:rPr>
          <w:color w:val="000000" w:themeColor="text1"/>
        </w:rPr>
        <w:t>NCSR has</w:t>
      </w:r>
      <w:r w:rsidR="00053CBC">
        <w:rPr>
          <w:color w:val="000000" w:themeColor="text1"/>
        </w:rPr>
        <w:t xml:space="preserve"> also</w:t>
      </w:r>
      <w:r w:rsidR="00D24086">
        <w:rPr>
          <w:color w:val="000000" w:themeColor="text1"/>
        </w:rPr>
        <w:t xml:space="preserve"> expand</w:t>
      </w:r>
      <w:r w:rsidR="009D3723">
        <w:rPr>
          <w:color w:val="000000" w:themeColor="text1"/>
        </w:rPr>
        <w:t>ed</w:t>
      </w:r>
      <w:r w:rsidR="00D24086">
        <w:rPr>
          <w:color w:val="000000" w:themeColor="text1"/>
        </w:rPr>
        <w:t xml:space="preserve"> to</w:t>
      </w:r>
      <w:r w:rsidR="00F015D4">
        <w:rPr>
          <w:color w:val="000000" w:themeColor="text1"/>
        </w:rPr>
        <w:t xml:space="preserve"> include a Participant Portal</w:t>
      </w:r>
      <w:r w:rsidR="00053CBC">
        <w:rPr>
          <w:color w:val="000000" w:themeColor="text1"/>
        </w:rPr>
        <w:t>,</w:t>
      </w:r>
      <w:r w:rsidR="00C87464">
        <w:rPr>
          <w:color w:val="000000" w:themeColor="text1"/>
        </w:rPr>
        <w:t xml:space="preserve"> which offer</w:t>
      </w:r>
      <w:r w:rsidR="009D3723">
        <w:rPr>
          <w:color w:val="000000" w:themeColor="text1"/>
        </w:rPr>
        <w:t>s</w:t>
      </w:r>
      <w:r w:rsidR="00C87464">
        <w:rPr>
          <w:color w:val="000000" w:themeColor="text1"/>
        </w:rPr>
        <w:t xml:space="preserve"> similar features to </w:t>
      </w:r>
      <w:r w:rsidR="002715D7">
        <w:rPr>
          <w:color w:val="000000" w:themeColor="text1"/>
        </w:rPr>
        <w:t>participants</w:t>
      </w:r>
      <w:r w:rsidR="00C87464">
        <w:rPr>
          <w:color w:val="000000" w:themeColor="text1"/>
        </w:rPr>
        <w:t>.</w:t>
      </w:r>
    </w:p>
    <w:p w14:paraId="05D1F009" w14:textId="15E879E8" w:rsidR="00342C56" w:rsidRDefault="00342C56" w:rsidP="00342C56">
      <w:pPr>
        <w:rPr>
          <w:color w:val="000000" w:themeColor="text1"/>
        </w:rPr>
      </w:pPr>
      <w:r w:rsidRPr="00815EA5">
        <w:rPr>
          <w:color w:val="000000" w:themeColor="text1"/>
        </w:rPr>
        <w:t xml:space="preserve">The HPP provides an important mechanism </w:t>
      </w:r>
      <w:r w:rsidR="00842864" w:rsidRPr="00815EA5">
        <w:rPr>
          <w:color w:val="000000" w:themeColor="text1"/>
        </w:rPr>
        <w:t>for</w:t>
      </w:r>
      <w:r w:rsidRPr="00815EA5">
        <w:rPr>
          <w:color w:val="000000" w:themeColor="text1"/>
        </w:rPr>
        <w:t xml:space="preserve"> reduc</w:t>
      </w:r>
      <w:r w:rsidR="00842864" w:rsidRPr="00815EA5">
        <w:rPr>
          <w:color w:val="000000" w:themeColor="text1"/>
        </w:rPr>
        <w:t>ing</w:t>
      </w:r>
      <w:r w:rsidRPr="00815EA5">
        <w:rPr>
          <w:color w:val="000000" w:themeColor="text1"/>
        </w:rPr>
        <w:t xml:space="preserve"> </w:t>
      </w:r>
      <w:r w:rsidR="00AF74F6" w:rsidRPr="00815EA5">
        <w:rPr>
          <w:color w:val="000000" w:themeColor="text1"/>
        </w:rPr>
        <w:t xml:space="preserve">the rate of kits not </w:t>
      </w:r>
      <w:r w:rsidR="00F02730" w:rsidRPr="00815EA5">
        <w:rPr>
          <w:color w:val="000000" w:themeColor="text1"/>
        </w:rPr>
        <w:t>received</w:t>
      </w:r>
      <w:r w:rsidRPr="00815EA5">
        <w:rPr>
          <w:color w:val="000000" w:themeColor="text1"/>
        </w:rPr>
        <w:t xml:space="preserve"> </w:t>
      </w:r>
      <w:r w:rsidR="00F02730" w:rsidRPr="00815EA5">
        <w:rPr>
          <w:color w:val="000000" w:themeColor="text1"/>
        </w:rPr>
        <w:t>by participants</w:t>
      </w:r>
      <w:r w:rsidR="003F377A" w:rsidRPr="00815EA5">
        <w:rPr>
          <w:color w:val="000000" w:themeColor="text1"/>
        </w:rPr>
        <w:t xml:space="preserve">, and thereby, a more accurate assessment of the true participation rate. </w:t>
      </w:r>
      <w:proofErr w:type="gramStart"/>
      <w:r w:rsidR="003F377A" w:rsidRPr="00277C89">
        <w:rPr>
          <w:color w:val="000000" w:themeColor="text1"/>
        </w:rPr>
        <w:t>H</w:t>
      </w:r>
      <w:r w:rsidRPr="00277C89">
        <w:rPr>
          <w:color w:val="000000" w:themeColor="text1"/>
        </w:rPr>
        <w:t>owever</w:t>
      </w:r>
      <w:proofErr w:type="gramEnd"/>
      <w:r w:rsidR="009D1377" w:rsidRPr="00277C89">
        <w:rPr>
          <w:color w:val="000000" w:themeColor="text1"/>
        </w:rPr>
        <w:t xml:space="preserve"> the benefit of the HPP</w:t>
      </w:r>
      <w:r w:rsidRPr="00277C89">
        <w:rPr>
          <w:color w:val="000000" w:themeColor="text1"/>
        </w:rPr>
        <w:t xml:space="preserve"> is contingent on education of the primary care sector</w:t>
      </w:r>
      <w:r w:rsidR="00F015D4" w:rsidRPr="00277C89">
        <w:rPr>
          <w:color w:val="000000" w:themeColor="text1"/>
        </w:rPr>
        <w:t xml:space="preserve"> </w:t>
      </w:r>
      <w:r w:rsidRPr="00277C89">
        <w:rPr>
          <w:color w:val="000000" w:themeColor="text1"/>
        </w:rPr>
        <w:t xml:space="preserve">to ensure </w:t>
      </w:r>
      <w:r w:rsidR="00D5155D" w:rsidRPr="00277C89">
        <w:rPr>
          <w:color w:val="000000" w:themeColor="text1"/>
        </w:rPr>
        <w:t xml:space="preserve">stakeholders </w:t>
      </w:r>
      <w:r w:rsidRPr="00277C89">
        <w:rPr>
          <w:color w:val="000000" w:themeColor="text1"/>
        </w:rPr>
        <w:t xml:space="preserve">understand </w:t>
      </w:r>
      <w:r w:rsidR="00D5155D" w:rsidRPr="00277C89">
        <w:rPr>
          <w:color w:val="000000" w:themeColor="text1"/>
        </w:rPr>
        <w:t xml:space="preserve">how and when to use </w:t>
      </w:r>
      <w:r w:rsidRPr="00277C89">
        <w:rPr>
          <w:color w:val="000000" w:themeColor="text1"/>
        </w:rPr>
        <w:t xml:space="preserve">the HPP to confirm </w:t>
      </w:r>
      <w:r w:rsidR="006728E4" w:rsidRPr="00277C89">
        <w:rPr>
          <w:color w:val="000000" w:themeColor="text1"/>
        </w:rPr>
        <w:t>participant</w:t>
      </w:r>
      <w:r w:rsidRPr="00277C89">
        <w:rPr>
          <w:color w:val="000000" w:themeColor="text1"/>
        </w:rPr>
        <w:t xml:space="preserve"> contact details. </w:t>
      </w:r>
    </w:p>
    <w:p w14:paraId="344EB4E1" w14:textId="77777777" w:rsidR="00F015D4" w:rsidRPr="00FB53AD" w:rsidRDefault="00F015D4" w:rsidP="00195E90">
      <w:r>
        <w:t>There is an opportunity to combine the mail-out approach with opportunistic provision and return of kits through GPs, pharmacies and/or other trusted practitioners.</w:t>
      </w:r>
    </w:p>
    <w:p w14:paraId="4A7DDDCA" w14:textId="52B58986" w:rsidR="00F015D4" w:rsidRDefault="00622678" w:rsidP="00F015D4">
      <w:r>
        <w:t xml:space="preserve">Results from the consumer survey (described further in </w:t>
      </w:r>
      <w:r w:rsidRPr="009E06D0">
        <w:t>section</w:t>
      </w:r>
      <w:r w:rsidR="0023696A" w:rsidRPr="009E06D0">
        <w:t xml:space="preserve"> </w:t>
      </w:r>
      <w:r w:rsidR="0023696A" w:rsidRPr="009E06D0">
        <w:fldChar w:fldCharType="begin"/>
      </w:r>
      <w:r w:rsidR="0023696A" w:rsidRPr="009E06D0">
        <w:instrText xml:space="preserve"> REF _Ref67663156 \r \h </w:instrText>
      </w:r>
      <w:r w:rsidR="0023696A" w:rsidRPr="009E06D0">
        <w:fldChar w:fldCharType="separate"/>
      </w:r>
      <w:r w:rsidR="00F27525">
        <w:t>4.1.4.2</w:t>
      </w:r>
      <w:r w:rsidR="0023696A" w:rsidRPr="009E06D0">
        <w:fldChar w:fldCharType="end"/>
      </w:r>
      <w:r>
        <w:t xml:space="preserve">) and insights </w:t>
      </w:r>
      <w:r w:rsidR="00C16C82">
        <w:t xml:space="preserve">gleaned </w:t>
      </w:r>
      <w:r>
        <w:t xml:space="preserve">from clinicians consulted suggest that the </w:t>
      </w:r>
      <w:r w:rsidR="00F015D4" w:rsidRPr="00403534">
        <w:t xml:space="preserve">inflexibility of </w:t>
      </w:r>
      <w:r w:rsidR="00F015D4">
        <w:t>the mail-only approach</w:t>
      </w:r>
      <w:r>
        <w:t xml:space="preserve"> to </w:t>
      </w:r>
      <w:r w:rsidRPr="00403534">
        <w:t>kit distribution</w:t>
      </w:r>
      <w:r w:rsidR="00F015D4">
        <w:t xml:space="preserve"> with strict return post requirements, </w:t>
      </w:r>
      <w:r w:rsidR="009D01A3">
        <w:t>may have</w:t>
      </w:r>
      <w:r w:rsidR="00F015D4" w:rsidRPr="00403534">
        <w:t xml:space="preserve"> </w:t>
      </w:r>
      <w:r w:rsidR="00F015D4">
        <w:t>contributed to:</w:t>
      </w:r>
    </w:p>
    <w:p w14:paraId="59B2597F" w14:textId="77777777" w:rsidR="00F015D4" w:rsidRDefault="00F015D4" w:rsidP="00886E63">
      <w:pPr>
        <w:pStyle w:val="ListParagraph"/>
        <w:numPr>
          <w:ilvl w:val="0"/>
          <w:numId w:val="19"/>
        </w:numPr>
      </w:pPr>
      <w:r w:rsidRPr="00403534">
        <w:t>the use of alternative kits that are more accessible</w:t>
      </w:r>
      <w:r>
        <w:t xml:space="preserve"> </w:t>
      </w:r>
    </w:p>
    <w:p w14:paraId="2A204DD5" w14:textId="77777777" w:rsidR="00F015D4" w:rsidRDefault="00F015D4" w:rsidP="00886E63">
      <w:pPr>
        <w:pStyle w:val="ListParagraph"/>
        <w:numPr>
          <w:ilvl w:val="0"/>
          <w:numId w:val="19"/>
        </w:numPr>
      </w:pPr>
      <w:r>
        <w:lastRenderedPageBreak/>
        <w:t>lack of support available for participants to fully understand the importance of the Program in the detection and prevention of bowel cancer, and what would be involved in the screening pathway</w:t>
      </w:r>
    </w:p>
    <w:p w14:paraId="34569F0C" w14:textId="76BB2555" w:rsidR="00F015D4" w:rsidRPr="00A21BA1" w:rsidRDefault="00F015D4" w:rsidP="00886E63">
      <w:pPr>
        <w:pStyle w:val="ListParagraph"/>
        <w:numPr>
          <w:ilvl w:val="0"/>
          <w:numId w:val="19"/>
        </w:numPr>
      </w:pPr>
      <w:r>
        <w:t xml:space="preserve">difficulty complying with the return post requirements </w:t>
      </w:r>
      <w:proofErr w:type="gramStart"/>
      <w:r>
        <w:t>i.e.</w:t>
      </w:r>
      <w:proofErr w:type="gramEnd"/>
      <w:r>
        <w:t xml:space="preserve"> the </w:t>
      </w:r>
      <w:r w:rsidRPr="00A21BA1">
        <w:t>need to post</w:t>
      </w:r>
      <w:r w:rsidR="00BC21C0">
        <w:t xml:space="preserve"> the</w:t>
      </w:r>
      <w:r>
        <w:t xml:space="preserve"> kit at a post-office during business hours, or if via a post box, in the afternoon before 6pm.</w:t>
      </w:r>
    </w:p>
    <w:p w14:paraId="7A2071D0" w14:textId="0583793A" w:rsidR="00F015D4" w:rsidRDefault="00F015D4" w:rsidP="00F015D4">
      <w:r>
        <w:t>Opportunistic issuing and/or return of kits via GPs, pharmacies or other trusted practitioners in addition to the current mail-out approach (</w:t>
      </w:r>
      <w:proofErr w:type="gramStart"/>
      <w:r>
        <w:t>i.e.</w:t>
      </w:r>
      <w:proofErr w:type="gramEnd"/>
      <w:r>
        <w:t xml:space="preserve"> a mixed-method approach) could help to overcome these barriers</w:t>
      </w:r>
      <w:r w:rsidR="006553FD">
        <w:t xml:space="preserve">. The consumer survey found </w:t>
      </w:r>
      <w:r w:rsidR="007A3E09">
        <w:t>that this wa</w:t>
      </w:r>
      <w:r w:rsidR="00A4274F">
        <w:t>s o</w:t>
      </w:r>
      <w:r w:rsidR="007A3E09">
        <w:t>ne of the key</w:t>
      </w:r>
      <w:r w:rsidR="002E218E">
        <w:rPr>
          <w:color w:val="000000" w:themeColor="text1"/>
        </w:rPr>
        <w:t xml:space="preserve"> </w:t>
      </w:r>
      <w:r w:rsidR="007A3E09">
        <w:rPr>
          <w:color w:val="000000" w:themeColor="text1"/>
        </w:rPr>
        <w:t>Program changes</w:t>
      </w:r>
      <w:r w:rsidR="002E218E">
        <w:rPr>
          <w:color w:val="000000" w:themeColor="text1"/>
        </w:rPr>
        <w:t xml:space="preserve"> that would encourage </w:t>
      </w:r>
      <w:r w:rsidR="00A4274F">
        <w:rPr>
          <w:color w:val="000000" w:themeColor="text1"/>
        </w:rPr>
        <w:t xml:space="preserve">non-completers </w:t>
      </w:r>
      <w:r w:rsidR="002E218E">
        <w:rPr>
          <w:color w:val="000000" w:themeColor="text1"/>
        </w:rPr>
        <w:t xml:space="preserve">to complete </w:t>
      </w:r>
      <w:r w:rsidR="006F729E">
        <w:rPr>
          <w:color w:val="000000" w:themeColor="text1"/>
        </w:rPr>
        <w:t>the</w:t>
      </w:r>
      <w:r w:rsidR="002E218E">
        <w:rPr>
          <w:color w:val="000000" w:themeColor="text1"/>
        </w:rPr>
        <w:t xml:space="preserve"> kit next time</w:t>
      </w:r>
      <w:r w:rsidR="00A4274F">
        <w:t>. This is discussed</w:t>
      </w:r>
      <w:r>
        <w:t xml:space="preserve"> </w:t>
      </w:r>
      <w:r w:rsidR="005951BD">
        <w:t>further in</w:t>
      </w:r>
      <w:r w:rsidR="009D01A3">
        <w:t xml:space="preserve"> </w:t>
      </w:r>
      <w:r w:rsidR="009D01A3" w:rsidRPr="009E06D0">
        <w:t>section</w:t>
      </w:r>
      <w:r w:rsidR="00C22CA5" w:rsidRPr="009E06D0">
        <w:t xml:space="preserve"> </w:t>
      </w:r>
      <w:r w:rsidR="00C22CA5" w:rsidRPr="009E06D0">
        <w:fldChar w:fldCharType="begin"/>
      </w:r>
      <w:r w:rsidR="00C22CA5" w:rsidRPr="009E06D0">
        <w:instrText xml:space="preserve"> REF _Ref67662996 \r \h </w:instrText>
      </w:r>
      <w:r w:rsidR="00C22CA5" w:rsidRPr="009E06D0">
        <w:fldChar w:fldCharType="separate"/>
      </w:r>
      <w:r w:rsidR="00F27525">
        <w:t>4.1.4</w:t>
      </w:r>
      <w:r w:rsidR="00C22CA5" w:rsidRPr="009E06D0">
        <w:fldChar w:fldCharType="end"/>
      </w:r>
      <w:r>
        <w:t>.</w:t>
      </w:r>
    </w:p>
    <w:p w14:paraId="5633DD61" w14:textId="7F3F15DB" w:rsidR="007C2DBF" w:rsidRDefault="007C2DBF" w:rsidP="0022417E">
      <w:pPr>
        <w:pStyle w:val="Heading4"/>
      </w:pPr>
      <w:r>
        <w:t xml:space="preserve">The </w:t>
      </w:r>
      <w:r w:rsidR="000771E7">
        <w:t>Hot Zone policy</w:t>
      </w:r>
    </w:p>
    <w:p w14:paraId="4014C0D4" w14:textId="00DF9C93" w:rsidR="006959F0" w:rsidRPr="00195E90" w:rsidRDefault="003F4073" w:rsidP="00195E90">
      <w:pPr>
        <w:pStyle w:val="Pullout"/>
      </w:pPr>
      <w:r w:rsidRPr="00195E90">
        <w:t>The Hot Zone policy</w:t>
      </w:r>
      <w:r w:rsidR="009A32ED" w:rsidRPr="00195E90">
        <w:t xml:space="preserve"> is </w:t>
      </w:r>
      <w:r w:rsidR="00155489" w:rsidRPr="00195E90">
        <w:t xml:space="preserve">appropriate for the logistical challenges of administering the Program in </w:t>
      </w:r>
      <w:r w:rsidR="006959F0" w:rsidRPr="00195E90">
        <w:t>Australia.</w:t>
      </w:r>
    </w:p>
    <w:p w14:paraId="1805B0D4" w14:textId="4B14789B" w:rsidR="00437906" w:rsidRPr="006959F0" w:rsidRDefault="00437906" w:rsidP="00437906">
      <w:r>
        <w:rPr>
          <w:rFonts w:cs="Arial"/>
        </w:rPr>
        <w:t xml:space="preserve">The </w:t>
      </w:r>
      <w:proofErr w:type="spellStart"/>
      <w:r>
        <w:rPr>
          <w:rFonts w:cs="Arial"/>
        </w:rPr>
        <w:t>iFOBT</w:t>
      </w:r>
      <w:proofErr w:type="spellEnd"/>
      <w:r>
        <w:rPr>
          <w:rFonts w:cs="Arial"/>
        </w:rPr>
        <w:t xml:space="preserve"> test used by the Program (</w:t>
      </w:r>
      <w:proofErr w:type="gramStart"/>
      <w:r>
        <w:rPr>
          <w:rFonts w:cs="Arial"/>
        </w:rPr>
        <w:t>i.e.</w:t>
      </w:r>
      <w:proofErr w:type="gramEnd"/>
      <w:r>
        <w:rPr>
          <w:rFonts w:cs="Arial"/>
        </w:rPr>
        <w:t xml:space="preserve"> </w:t>
      </w:r>
      <w:proofErr w:type="spellStart"/>
      <w:r>
        <w:rPr>
          <w:rFonts w:cs="Arial"/>
        </w:rPr>
        <w:t>Eiken</w:t>
      </w:r>
      <w:proofErr w:type="spellEnd"/>
      <w:r>
        <w:rPr>
          <w:rFonts w:cs="Arial"/>
        </w:rPr>
        <w:t xml:space="preserve"> OC Sensor) is listed on the Australian Register for Therapeutic Goods, alongside a set of requirements for appropriate use. Of </w:t>
      </w:r>
      <w:proofErr w:type="gramStart"/>
      <w:r>
        <w:rPr>
          <w:rFonts w:cs="Arial"/>
        </w:rPr>
        <w:t>particular relevance</w:t>
      </w:r>
      <w:proofErr w:type="gramEnd"/>
      <w:r>
        <w:rPr>
          <w:rFonts w:cs="Arial"/>
        </w:rPr>
        <w:t xml:space="preserve"> to Program administration are conditions related to temperature</w:t>
      </w:r>
      <w:r w:rsidR="00E92EEE">
        <w:rPr>
          <w:rFonts w:cs="Arial"/>
        </w:rPr>
        <w:t>, to which the Program must adhere</w:t>
      </w:r>
      <w:r>
        <w:rPr>
          <w:rFonts w:cs="Arial"/>
        </w:rPr>
        <w:t>.</w:t>
      </w:r>
      <w:r w:rsidR="002209B3">
        <w:rPr>
          <w:rFonts w:cs="Arial"/>
        </w:rPr>
        <w:t xml:space="preserve"> The </w:t>
      </w:r>
      <w:r w:rsidR="009F0068">
        <w:rPr>
          <w:rFonts w:cs="Arial"/>
        </w:rPr>
        <w:t>OC-</w:t>
      </w:r>
      <w:r w:rsidR="00872AD8">
        <w:rPr>
          <w:rFonts w:cs="Arial"/>
        </w:rPr>
        <w:t xml:space="preserve">Auto Sampling Bottle has storage instructions of </w:t>
      </w:r>
      <w:r w:rsidR="009549E9">
        <w:rPr>
          <w:rFonts w:cs="Arial"/>
        </w:rPr>
        <w:t xml:space="preserve">1-30 </w:t>
      </w:r>
      <w:r w:rsidR="00E50CE9">
        <w:rPr>
          <w:rFonts w:cs="Arial"/>
        </w:rPr>
        <w:t>°</w:t>
      </w:r>
      <w:r w:rsidR="009549E9">
        <w:rPr>
          <w:rFonts w:cs="Arial"/>
        </w:rPr>
        <w:t xml:space="preserve"> Celsius</w:t>
      </w:r>
      <w:r w:rsidR="00E50CE9">
        <w:rPr>
          <w:rFonts w:cs="Arial"/>
        </w:rPr>
        <w:t xml:space="preserve"> (C)</w:t>
      </w:r>
      <w:r w:rsidR="009549E9">
        <w:rPr>
          <w:rFonts w:cs="Arial"/>
        </w:rPr>
        <w:t xml:space="preserve">, </w:t>
      </w:r>
      <w:r w:rsidR="00A221C8">
        <w:rPr>
          <w:rFonts w:cs="Arial"/>
        </w:rPr>
        <w:t xml:space="preserve">and the following recovery rate of </w:t>
      </w:r>
      <w:r w:rsidR="004637A2">
        <w:rPr>
          <w:rFonts w:cs="Arial"/>
        </w:rPr>
        <w:t>haemoglobin</w:t>
      </w:r>
      <w:r w:rsidR="00A221C8">
        <w:rPr>
          <w:rFonts w:cs="Arial"/>
        </w:rPr>
        <w:t xml:space="preserve"> has been reported</w:t>
      </w:r>
      <w:r w:rsidR="00374139">
        <w:rPr>
          <w:rFonts w:cs="Arial"/>
        </w:rPr>
        <w:t xml:space="preserve"> by the manufacturer </w:t>
      </w:r>
      <w:r w:rsidR="008E6ABC">
        <w:rPr>
          <w:rFonts w:cs="Arial"/>
        </w:rPr>
        <w:t xml:space="preserve">in </w:t>
      </w:r>
      <w:r w:rsidR="00B16D2D">
        <w:rPr>
          <w:rFonts w:cs="Arial"/>
        </w:rPr>
        <w:fldChar w:fldCharType="begin"/>
      </w:r>
      <w:r w:rsidR="00B16D2D">
        <w:rPr>
          <w:rFonts w:cs="Arial"/>
        </w:rPr>
        <w:instrText xml:space="preserve"> REF _Ref74312119 \n \h </w:instrText>
      </w:r>
      <w:r w:rsidR="00B16D2D">
        <w:rPr>
          <w:rFonts w:cs="Arial"/>
        </w:rPr>
      </w:r>
      <w:r w:rsidR="00B16D2D">
        <w:rPr>
          <w:rFonts w:cs="Arial"/>
        </w:rPr>
        <w:fldChar w:fldCharType="separate"/>
      </w:r>
      <w:r w:rsidR="00F27525">
        <w:rPr>
          <w:rFonts w:cs="Arial"/>
        </w:rPr>
        <w:t>Table 2.2</w:t>
      </w:r>
      <w:r w:rsidR="00B16D2D">
        <w:rPr>
          <w:rFonts w:cs="Arial"/>
        </w:rPr>
        <w:fldChar w:fldCharType="end"/>
      </w:r>
      <w:r w:rsidR="00374139">
        <w:rPr>
          <w:rFonts w:cs="Arial"/>
        </w:rPr>
        <w:t>.</w:t>
      </w:r>
      <w:r w:rsidR="004637A2">
        <w:rPr>
          <w:rStyle w:val="EndnoteReference"/>
          <w:rFonts w:cs="Arial"/>
        </w:rPr>
        <w:endnoteReference w:id="21"/>
      </w:r>
      <w:r w:rsidR="00733A2E">
        <w:rPr>
          <w:rFonts w:cs="Arial"/>
        </w:rPr>
        <w:t xml:space="preserve"> As shown, sample storage temperatures below 30 </w:t>
      </w:r>
      <w:r w:rsidR="00733A2E" w:rsidRPr="00DD6080">
        <w:rPr>
          <w:rFonts w:cs="Arial"/>
        </w:rPr>
        <w:t>°C</w:t>
      </w:r>
      <w:r w:rsidR="00733A2E">
        <w:rPr>
          <w:rFonts w:cs="Arial"/>
        </w:rPr>
        <w:t xml:space="preserve"> have a higher haemoglobin recovery rate, which reduces the risk of false negative results</w:t>
      </w:r>
      <w:r w:rsidR="009A0CD5">
        <w:rPr>
          <w:rFonts w:cs="Arial"/>
        </w:rPr>
        <w:t>.</w:t>
      </w:r>
    </w:p>
    <w:p w14:paraId="7F9F7076" w14:textId="7CCA4678" w:rsidR="008E6ABC" w:rsidRDefault="008E6ABC" w:rsidP="00815EA5">
      <w:pPr>
        <w:pStyle w:val="CaptionTable"/>
      </w:pPr>
      <w:r w:rsidDel="00633FC6">
        <w:t xml:space="preserve"> </w:t>
      </w:r>
      <w:bookmarkStart w:id="71" w:name="_Ref74312119"/>
      <w:r>
        <w:t xml:space="preserve">Performance testing of Program </w:t>
      </w:r>
      <w:proofErr w:type="spellStart"/>
      <w:r>
        <w:t>iFOBT</w:t>
      </w:r>
      <w:bookmarkEnd w:id="71"/>
      <w:proofErr w:type="spellEnd"/>
    </w:p>
    <w:tbl>
      <w:tblPr>
        <w:tblStyle w:val="Deloittetable"/>
        <w:tblW w:w="8122" w:type="dxa"/>
        <w:tblLook w:val="04A0" w:firstRow="1" w:lastRow="0" w:firstColumn="1" w:lastColumn="0" w:noHBand="0" w:noVBand="1"/>
      </w:tblPr>
      <w:tblGrid>
        <w:gridCol w:w="2156"/>
        <w:gridCol w:w="2568"/>
        <w:gridCol w:w="3398"/>
      </w:tblGrid>
      <w:tr w:rsidR="00374139" w:rsidRPr="00374139" w14:paraId="6CFD6D50" w14:textId="77777777" w:rsidTr="003C54B7">
        <w:trPr>
          <w:cnfStyle w:val="100000000000" w:firstRow="1" w:lastRow="0" w:firstColumn="0" w:lastColumn="0" w:oddVBand="0" w:evenVBand="0" w:oddHBand="0" w:evenHBand="0" w:firstRowFirstColumn="0" w:firstRowLastColumn="0" w:lastRowFirstColumn="0" w:lastRowLastColumn="0"/>
          <w:trHeight w:val="212"/>
        </w:trPr>
        <w:tc>
          <w:tcPr>
            <w:tcW w:w="2156" w:type="dxa"/>
          </w:tcPr>
          <w:p w14:paraId="1E25D222" w14:textId="60992D73" w:rsidR="00374139" w:rsidRPr="00F678D8" w:rsidRDefault="00E50CE9" w:rsidP="00326DB7">
            <w:pPr>
              <w:spacing w:after="0"/>
              <w:rPr>
                <w:rFonts w:cs="Arial"/>
                <w:b w:val="0"/>
                <w:bCs/>
                <w:color w:val="62B5E5" w:themeColor="accent3"/>
              </w:rPr>
            </w:pPr>
            <w:r w:rsidRPr="00F678D8">
              <w:rPr>
                <w:rFonts w:cs="Arial"/>
                <w:bCs/>
                <w:color w:val="62B5E5" w:themeColor="accent3"/>
              </w:rPr>
              <w:t xml:space="preserve">Sample storage temperature </w:t>
            </w:r>
            <w:r w:rsidR="00587E0E">
              <w:rPr>
                <w:rFonts w:cs="Arial"/>
                <w:bCs/>
                <w:color w:val="62B5E5" w:themeColor="accent3"/>
              </w:rPr>
              <w:t>(</w:t>
            </w:r>
            <w:r w:rsidR="00587E0E" w:rsidRPr="00F678D8">
              <w:rPr>
                <w:rFonts w:cs="Arial"/>
                <w:bCs/>
                <w:color w:val="62B5E5" w:themeColor="accent3"/>
              </w:rPr>
              <w:t>°C)</w:t>
            </w:r>
          </w:p>
        </w:tc>
        <w:tc>
          <w:tcPr>
            <w:tcW w:w="2568" w:type="dxa"/>
          </w:tcPr>
          <w:p w14:paraId="2BFB1EBF" w14:textId="2FB8C707" w:rsidR="00374139" w:rsidRPr="00F678D8" w:rsidRDefault="00E50CE9" w:rsidP="00326DB7">
            <w:pPr>
              <w:spacing w:after="0"/>
              <w:rPr>
                <w:rFonts w:cs="Arial"/>
                <w:b w:val="0"/>
                <w:bCs/>
                <w:color w:val="62B5E5" w:themeColor="accent3"/>
              </w:rPr>
            </w:pPr>
            <w:r w:rsidRPr="00F678D8">
              <w:rPr>
                <w:rFonts w:cs="Arial"/>
                <w:bCs/>
                <w:color w:val="62B5E5" w:themeColor="accent3"/>
              </w:rPr>
              <w:t>Storage length</w:t>
            </w:r>
            <w:r w:rsidR="0090046D" w:rsidRPr="00F678D8">
              <w:rPr>
                <w:rFonts w:cs="Arial"/>
                <w:bCs/>
                <w:color w:val="62B5E5" w:themeColor="accent3"/>
              </w:rPr>
              <w:t xml:space="preserve"> (days)</w:t>
            </w:r>
          </w:p>
        </w:tc>
        <w:tc>
          <w:tcPr>
            <w:tcW w:w="3398" w:type="dxa"/>
          </w:tcPr>
          <w:p w14:paraId="5BD7484C" w14:textId="39923884" w:rsidR="00374139" w:rsidRPr="00F678D8" w:rsidRDefault="00E50CE9" w:rsidP="00326DB7">
            <w:pPr>
              <w:spacing w:after="0"/>
              <w:rPr>
                <w:rFonts w:cs="Arial"/>
                <w:b w:val="0"/>
                <w:bCs/>
                <w:color w:val="62B5E5" w:themeColor="accent3"/>
              </w:rPr>
            </w:pPr>
            <w:r w:rsidRPr="00F678D8">
              <w:rPr>
                <w:rFonts w:cs="Arial"/>
                <w:bCs/>
                <w:color w:val="62B5E5" w:themeColor="accent3"/>
              </w:rPr>
              <w:t xml:space="preserve">Haemoglobin recovery rate </w:t>
            </w:r>
            <w:r w:rsidR="001536A8" w:rsidRPr="00F678D8">
              <w:rPr>
                <w:rFonts w:cs="Arial"/>
                <w:bCs/>
                <w:color w:val="62B5E5" w:themeColor="accent3"/>
              </w:rPr>
              <w:t xml:space="preserve">                        </w:t>
            </w:r>
            <w:proofErr w:type="gramStart"/>
            <w:r w:rsidR="001536A8" w:rsidRPr="00F678D8">
              <w:rPr>
                <w:rFonts w:cs="Arial"/>
                <w:bCs/>
                <w:color w:val="62B5E5" w:themeColor="accent3"/>
              </w:rPr>
              <w:t xml:space="preserve">   </w:t>
            </w:r>
            <w:r w:rsidRPr="00F678D8">
              <w:rPr>
                <w:rFonts w:cs="Arial"/>
                <w:bCs/>
                <w:color w:val="62B5E5" w:themeColor="accent3"/>
              </w:rPr>
              <w:t>(</w:t>
            </w:r>
            <w:proofErr w:type="gramEnd"/>
            <w:r w:rsidRPr="00F678D8">
              <w:rPr>
                <w:rFonts w:cs="Arial"/>
                <w:bCs/>
                <w:color w:val="62B5E5" w:themeColor="accent3"/>
              </w:rPr>
              <w:t>% ± 2 standard deviations)</w:t>
            </w:r>
          </w:p>
        </w:tc>
      </w:tr>
      <w:tr w:rsidR="00374139" w:rsidRPr="00374139" w14:paraId="65242638" w14:textId="77777777" w:rsidTr="00326DB7">
        <w:trPr>
          <w:trHeight w:val="223"/>
        </w:trPr>
        <w:tc>
          <w:tcPr>
            <w:tcW w:w="2156" w:type="dxa"/>
          </w:tcPr>
          <w:p w14:paraId="515790DF" w14:textId="56F87D4C" w:rsidR="00374139" w:rsidRPr="00F678D8" w:rsidRDefault="00E50CE9" w:rsidP="00326DB7">
            <w:pPr>
              <w:spacing w:after="0"/>
              <w:rPr>
                <w:rFonts w:cs="Arial"/>
              </w:rPr>
            </w:pPr>
            <w:r>
              <w:rPr>
                <w:rFonts w:cs="Arial"/>
              </w:rPr>
              <w:t>2-10</w:t>
            </w:r>
          </w:p>
        </w:tc>
        <w:tc>
          <w:tcPr>
            <w:tcW w:w="2568" w:type="dxa"/>
          </w:tcPr>
          <w:p w14:paraId="275D89C3" w14:textId="7366031E" w:rsidR="00374139" w:rsidRPr="00F678D8" w:rsidRDefault="00AA68E3" w:rsidP="00326DB7">
            <w:pPr>
              <w:spacing w:after="0"/>
              <w:rPr>
                <w:rFonts w:cs="Arial"/>
              </w:rPr>
            </w:pPr>
            <w:r>
              <w:rPr>
                <w:rFonts w:cs="Arial"/>
              </w:rPr>
              <w:t xml:space="preserve">28 </w:t>
            </w:r>
          </w:p>
        </w:tc>
        <w:tc>
          <w:tcPr>
            <w:tcW w:w="3398" w:type="dxa"/>
          </w:tcPr>
          <w:p w14:paraId="4A7AD402" w14:textId="32694702" w:rsidR="00374139" w:rsidRPr="00F678D8" w:rsidRDefault="0090046D" w:rsidP="00326DB7">
            <w:pPr>
              <w:spacing w:after="0"/>
              <w:rPr>
                <w:rFonts w:cs="Arial"/>
              </w:rPr>
            </w:pPr>
            <w:r>
              <w:rPr>
                <w:rFonts w:cs="Arial"/>
              </w:rPr>
              <w:t>95 ±14.7 %</w:t>
            </w:r>
          </w:p>
        </w:tc>
      </w:tr>
      <w:tr w:rsidR="00374139" w:rsidRPr="00374139" w14:paraId="722A9AAC" w14:textId="77777777" w:rsidTr="00326DB7">
        <w:trPr>
          <w:trHeight w:val="223"/>
        </w:trPr>
        <w:tc>
          <w:tcPr>
            <w:tcW w:w="2156" w:type="dxa"/>
          </w:tcPr>
          <w:p w14:paraId="36DB15D9" w14:textId="370301AC" w:rsidR="00374139" w:rsidRPr="00F678D8" w:rsidRDefault="00AA68E3" w:rsidP="00326DB7">
            <w:pPr>
              <w:spacing w:after="0"/>
              <w:rPr>
                <w:rFonts w:cs="Arial"/>
              </w:rPr>
            </w:pPr>
            <w:r>
              <w:rPr>
                <w:rFonts w:cs="Arial"/>
              </w:rPr>
              <w:t>25</w:t>
            </w:r>
          </w:p>
        </w:tc>
        <w:tc>
          <w:tcPr>
            <w:tcW w:w="2568" w:type="dxa"/>
          </w:tcPr>
          <w:p w14:paraId="0DE20811" w14:textId="4355D7B6" w:rsidR="00374139" w:rsidRPr="00F678D8" w:rsidRDefault="0090046D" w:rsidP="00326DB7">
            <w:pPr>
              <w:spacing w:after="0"/>
              <w:rPr>
                <w:rFonts w:cs="Arial"/>
              </w:rPr>
            </w:pPr>
            <w:r>
              <w:rPr>
                <w:rFonts w:cs="Arial"/>
              </w:rPr>
              <w:t>7</w:t>
            </w:r>
          </w:p>
        </w:tc>
        <w:tc>
          <w:tcPr>
            <w:tcW w:w="3398" w:type="dxa"/>
          </w:tcPr>
          <w:p w14:paraId="335C2CAC" w14:textId="07A8856D" w:rsidR="00374139" w:rsidRPr="00F678D8" w:rsidRDefault="001536A8" w:rsidP="00326DB7">
            <w:pPr>
              <w:spacing w:after="0"/>
              <w:rPr>
                <w:rFonts w:cs="Arial"/>
              </w:rPr>
            </w:pPr>
            <w:r>
              <w:rPr>
                <w:rFonts w:cs="Arial"/>
              </w:rPr>
              <w:t>96 ±20.4 %</w:t>
            </w:r>
          </w:p>
        </w:tc>
      </w:tr>
      <w:tr w:rsidR="0090046D" w:rsidRPr="0090046D" w14:paraId="4F3D5340" w14:textId="77777777" w:rsidTr="00326DB7">
        <w:trPr>
          <w:trHeight w:val="215"/>
        </w:trPr>
        <w:tc>
          <w:tcPr>
            <w:tcW w:w="2156" w:type="dxa"/>
          </w:tcPr>
          <w:p w14:paraId="4BB20CE9" w14:textId="77777777" w:rsidR="0090046D" w:rsidRDefault="0090046D" w:rsidP="00326DB7">
            <w:pPr>
              <w:spacing w:after="0"/>
              <w:rPr>
                <w:rFonts w:cs="Arial"/>
              </w:rPr>
            </w:pPr>
          </w:p>
        </w:tc>
        <w:tc>
          <w:tcPr>
            <w:tcW w:w="2568" w:type="dxa"/>
          </w:tcPr>
          <w:p w14:paraId="08A62129" w14:textId="602792F0" w:rsidR="0090046D" w:rsidRPr="0090046D" w:rsidRDefault="001536A8" w:rsidP="00326DB7">
            <w:pPr>
              <w:spacing w:after="0"/>
              <w:rPr>
                <w:rFonts w:cs="Arial"/>
              </w:rPr>
            </w:pPr>
            <w:r>
              <w:rPr>
                <w:rFonts w:cs="Arial"/>
              </w:rPr>
              <w:t>14</w:t>
            </w:r>
          </w:p>
        </w:tc>
        <w:tc>
          <w:tcPr>
            <w:tcW w:w="3398" w:type="dxa"/>
          </w:tcPr>
          <w:p w14:paraId="6852E58D" w14:textId="1628087E" w:rsidR="0090046D" w:rsidRPr="0090046D" w:rsidRDefault="001536A8" w:rsidP="00326DB7">
            <w:pPr>
              <w:spacing w:after="0"/>
              <w:rPr>
                <w:rFonts w:cs="Arial"/>
              </w:rPr>
            </w:pPr>
            <w:r>
              <w:rPr>
                <w:rFonts w:cs="Arial"/>
              </w:rPr>
              <w:t>93 ±23.5 %</w:t>
            </w:r>
          </w:p>
        </w:tc>
      </w:tr>
      <w:tr w:rsidR="00374139" w:rsidRPr="00374139" w14:paraId="6410D157" w14:textId="77777777" w:rsidTr="00326DB7">
        <w:trPr>
          <w:trHeight w:val="223"/>
        </w:trPr>
        <w:tc>
          <w:tcPr>
            <w:tcW w:w="2156" w:type="dxa"/>
          </w:tcPr>
          <w:p w14:paraId="677CB0AB" w14:textId="66AD1CB7" w:rsidR="00374139" w:rsidRPr="00F678D8" w:rsidRDefault="00AA68E3" w:rsidP="00326DB7">
            <w:pPr>
              <w:spacing w:after="0"/>
              <w:rPr>
                <w:rFonts w:cs="Arial"/>
              </w:rPr>
            </w:pPr>
            <w:r>
              <w:rPr>
                <w:rFonts w:cs="Arial"/>
              </w:rPr>
              <w:t>30</w:t>
            </w:r>
          </w:p>
        </w:tc>
        <w:tc>
          <w:tcPr>
            <w:tcW w:w="2568" w:type="dxa"/>
          </w:tcPr>
          <w:p w14:paraId="35927773" w14:textId="54CA29B3" w:rsidR="00374139" w:rsidRPr="00F678D8" w:rsidRDefault="001536A8" w:rsidP="00326DB7">
            <w:pPr>
              <w:spacing w:after="0"/>
              <w:rPr>
                <w:rFonts w:cs="Arial"/>
              </w:rPr>
            </w:pPr>
            <w:r>
              <w:rPr>
                <w:rFonts w:cs="Arial"/>
              </w:rPr>
              <w:t>7</w:t>
            </w:r>
          </w:p>
        </w:tc>
        <w:tc>
          <w:tcPr>
            <w:tcW w:w="3398" w:type="dxa"/>
          </w:tcPr>
          <w:p w14:paraId="4EFD3CC3" w14:textId="743DE399" w:rsidR="00374139" w:rsidRPr="00F678D8" w:rsidRDefault="001536A8" w:rsidP="00326DB7">
            <w:pPr>
              <w:spacing w:after="0"/>
              <w:rPr>
                <w:rFonts w:cs="Arial"/>
              </w:rPr>
            </w:pPr>
            <w:r>
              <w:rPr>
                <w:rFonts w:cs="Arial"/>
              </w:rPr>
              <w:t>89 ±20.5 %</w:t>
            </w:r>
          </w:p>
        </w:tc>
      </w:tr>
      <w:tr w:rsidR="0090046D" w:rsidRPr="0090046D" w14:paraId="710DDA9D" w14:textId="77777777" w:rsidTr="00326DB7">
        <w:trPr>
          <w:trHeight w:val="9"/>
        </w:trPr>
        <w:tc>
          <w:tcPr>
            <w:tcW w:w="2156" w:type="dxa"/>
          </w:tcPr>
          <w:p w14:paraId="2E548098" w14:textId="77777777" w:rsidR="0090046D" w:rsidRDefault="0090046D" w:rsidP="00326DB7">
            <w:pPr>
              <w:spacing w:after="0"/>
              <w:rPr>
                <w:rFonts w:cs="Arial"/>
              </w:rPr>
            </w:pPr>
          </w:p>
        </w:tc>
        <w:tc>
          <w:tcPr>
            <w:tcW w:w="2568" w:type="dxa"/>
          </w:tcPr>
          <w:p w14:paraId="7AD6228E" w14:textId="0DEDB0EC" w:rsidR="0090046D" w:rsidRPr="0090046D" w:rsidRDefault="00587E0E" w:rsidP="00326DB7">
            <w:pPr>
              <w:spacing w:after="0"/>
              <w:rPr>
                <w:rFonts w:cs="Arial"/>
              </w:rPr>
            </w:pPr>
            <w:r>
              <w:rPr>
                <w:rFonts w:cs="Arial"/>
              </w:rPr>
              <w:t>14</w:t>
            </w:r>
          </w:p>
        </w:tc>
        <w:tc>
          <w:tcPr>
            <w:tcW w:w="3398" w:type="dxa"/>
          </w:tcPr>
          <w:p w14:paraId="03F88B8A" w14:textId="32053341" w:rsidR="0090046D" w:rsidRPr="0090046D" w:rsidRDefault="00587E0E" w:rsidP="00326DB7">
            <w:pPr>
              <w:spacing w:after="0"/>
              <w:rPr>
                <w:rFonts w:cs="Arial"/>
              </w:rPr>
            </w:pPr>
            <w:r>
              <w:rPr>
                <w:rFonts w:cs="Arial"/>
              </w:rPr>
              <w:t>84 ±23.6 %</w:t>
            </w:r>
          </w:p>
        </w:tc>
      </w:tr>
    </w:tbl>
    <w:p w14:paraId="5B24D782" w14:textId="27DBA5E8" w:rsidR="00374139" w:rsidRDefault="00587E0E" w:rsidP="00437906">
      <w:pPr>
        <w:rPr>
          <w:rStyle w:val="SourcesChar"/>
          <w:iCs w:val="0"/>
        </w:rPr>
      </w:pPr>
      <w:r w:rsidRPr="00F678D8">
        <w:rPr>
          <w:rStyle w:val="SourcesChar"/>
        </w:rPr>
        <w:t xml:space="preserve">Source: </w:t>
      </w:r>
      <w:r w:rsidR="00550C53" w:rsidRPr="00F678D8">
        <w:rPr>
          <w:rStyle w:val="SourcesChar"/>
        </w:rPr>
        <w:t xml:space="preserve">In-house data from </w:t>
      </w:r>
      <w:proofErr w:type="spellStart"/>
      <w:r w:rsidR="00550C53" w:rsidRPr="00F678D8">
        <w:rPr>
          <w:rStyle w:val="SourcesChar"/>
        </w:rPr>
        <w:t>Eiken</w:t>
      </w:r>
      <w:proofErr w:type="spellEnd"/>
      <w:r w:rsidR="00550C53" w:rsidRPr="00F678D8">
        <w:rPr>
          <w:rStyle w:val="SourcesChar"/>
        </w:rPr>
        <w:t xml:space="preserve"> Che</w:t>
      </w:r>
      <w:r w:rsidR="008E6ABC" w:rsidRPr="00F678D8">
        <w:rPr>
          <w:rStyle w:val="SourcesChar"/>
        </w:rPr>
        <w:t>m</w:t>
      </w:r>
      <w:r w:rsidR="00550C53" w:rsidRPr="00F678D8">
        <w:rPr>
          <w:rStyle w:val="SourcesChar"/>
        </w:rPr>
        <w:t xml:space="preserve">ical Co., Ltd. </w:t>
      </w:r>
    </w:p>
    <w:p w14:paraId="2A6A7796" w14:textId="073749A5" w:rsidR="0002336F" w:rsidRPr="00F678D8" w:rsidRDefault="0002336F" w:rsidP="00437906">
      <w:pPr>
        <w:rPr>
          <w:rStyle w:val="SourcesChar"/>
        </w:rPr>
      </w:pPr>
      <w:r>
        <w:rPr>
          <w:rStyle w:val="SourcesChar"/>
          <w:iCs w:val="0"/>
        </w:rPr>
        <w:t xml:space="preserve">Note: </w:t>
      </w:r>
      <w:r w:rsidRPr="00F678D8">
        <w:rPr>
          <w:rStyle w:val="SourcesChar"/>
        </w:rPr>
        <w:t xml:space="preserve">The pathology provider reports the interval from participant sample collection to sample testing, as well as the time from receipt of the sample to testing as part of internal Program reporting processes. </w:t>
      </w:r>
      <w:r w:rsidR="00C548B0">
        <w:rPr>
          <w:rStyle w:val="SourcesChar"/>
        </w:rPr>
        <w:t xml:space="preserve">Participants whose first sample is taken more than 14 days prior to pathology testing are sent a new kit </w:t>
      </w:r>
      <w:r w:rsidR="00E316A6">
        <w:rPr>
          <w:rStyle w:val="SourcesChar"/>
        </w:rPr>
        <w:t xml:space="preserve">and asked to re-test. </w:t>
      </w:r>
    </w:p>
    <w:p w14:paraId="22600576" w14:textId="15808DE0" w:rsidR="00AF3FEF" w:rsidRDefault="00437906" w:rsidP="00437906">
      <w:pPr>
        <w:rPr>
          <w:rFonts w:cs="Arial"/>
        </w:rPr>
      </w:pPr>
      <w:r>
        <w:rPr>
          <w:rFonts w:cs="Arial"/>
        </w:rPr>
        <w:t xml:space="preserve">Kits are considered temperature-stable from the time of transport to invitees until they are inoculated with faecal samples. Once this occurs, to comply with the listing requirements participants are given instructions regarding storage of samples, as well as how to mail the samples back for analysis. Details regarding these processes are contained in the invitation letter, user instructions in the test kit and an information </w:t>
      </w:r>
      <w:r w:rsidR="00657794">
        <w:rPr>
          <w:rFonts w:cs="Arial"/>
        </w:rPr>
        <w:t xml:space="preserve">leaflet </w:t>
      </w:r>
      <w:r w:rsidR="006A47C9">
        <w:rPr>
          <w:rFonts w:cs="Arial"/>
        </w:rPr>
        <w:t>available online at the Department of Health website</w:t>
      </w:r>
      <w:r w:rsidDel="006A47C9">
        <w:rPr>
          <w:rFonts w:cs="Arial"/>
        </w:rPr>
        <w:t>.</w:t>
      </w:r>
      <w:r>
        <w:rPr>
          <w:rFonts w:cs="Arial"/>
        </w:rPr>
        <w:t xml:space="preserve"> </w:t>
      </w:r>
    </w:p>
    <w:p w14:paraId="73743125" w14:textId="672CBAD0" w:rsidR="005D0773" w:rsidRDefault="002323B5" w:rsidP="00437906">
      <w:pPr>
        <w:rPr>
          <w:rFonts w:cs="Arial"/>
        </w:rPr>
      </w:pPr>
      <w:r>
        <w:rPr>
          <w:rFonts w:cs="Arial"/>
        </w:rPr>
        <w:t>The</w:t>
      </w:r>
      <w:r w:rsidR="00437906">
        <w:rPr>
          <w:rFonts w:cs="Arial"/>
        </w:rPr>
        <w:t xml:space="preserve"> Program has </w:t>
      </w:r>
      <w:r w:rsidR="008118CC">
        <w:rPr>
          <w:rFonts w:cs="Arial"/>
        </w:rPr>
        <w:t xml:space="preserve">also </w:t>
      </w:r>
      <w:r w:rsidR="00437906">
        <w:rPr>
          <w:rFonts w:cs="Arial"/>
        </w:rPr>
        <w:t xml:space="preserve">instituted a </w:t>
      </w:r>
      <w:r w:rsidR="000771E7">
        <w:rPr>
          <w:rFonts w:cs="Arial"/>
        </w:rPr>
        <w:t>Hot Zone</w:t>
      </w:r>
      <w:r w:rsidR="00437906">
        <w:rPr>
          <w:rFonts w:cs="Arial"/>
        </w:rPr>
        <w:t xml:space="preserve"> policy. Invitees living in postcodes where the average monthly temperature is greater than 30 degrees Celsius are not sent invitations/kits in these months. Instead, they are sent in cooler months of the year. This policy covers approximately 1000 postcodes, primarily impacting North Queensland, Northern Territory and Western Australia. The Program uses 30-year data from the Bureau of Meteorology to make assessments about invitation timing. Given that the Program cannot prevent an invitee completing a kit during a hot time of the year, a hot-weather flier is distributed to invitees affected by the policy regarding methods to keep the kit cool during the sampling and mailing phase.</w:t>
      </w:r>
    </w:p>
    <w:p w14:paraId="7128A8B2" w14:textId="7FCF8929" w:rsidR="00D7436A" w:rsidRPr="0002336F" w:rsidRDefault="00D7436A" w:rsidP="00F678D8">
      <w:pPr>
        <w:rPr>
          <w:rFonts w:cs="Arial"/>
        </w:rPr>
      </w:pPr>
      <w:r>
        <w:rPr>
          <w:rFonts w:cs="Arial"/>
        </w:rPr>
        <w:t xml:space="preserve">Overall, given the </w:t>
      </w:r>
      <w:r w:rsidR="00F32B4E">
        <w:rPr>
          <w:rFonts w:cs="Arial"/>
        </w:rPr>
        <w:t xml:space="preserve">temperature sensitivity of the </w:t>
      </w:r>
      <w:proofErr w:type="spellStart"/>
      <w:r w:rsidR="00F32B4E">
        <w:rPr>
          <w:rFonts w:cs="Arial"/>
        </w:rPr>
        <w:t>iFOBT</w:t>
      </w:r>
      <w:proofErr w:type="spellEnd"/>
      <w:r w:rsidR="00F32B4E">
        <w:rPr>
          <w:rFonts w:cs="Arial"/>
        </w:rPr>
        <w:t xml:space="preserve"> test, the Program has</w:t>
      </w:r>
      <w:r w:rsidR="00B66C0A">
        <w:rPr>
          <w:rFonts w:cs="Arial"/>
        </w:rPr>
        <w:t xml:space="preserve"> designed</w:t>
      </w:r>
      <w:r w:rsidR="00F32B4E">
        <w:rPr>
          <w:rFonts w:cs="Arial"/>
        </w:rPr>
        <w:t xml:space="preserve"> appropriate policies and reporting processes in place to </w:t>
      </w:r>
      <w:r w:rsidR="00566A06">
        <w:rPr>
          <w:rFonts w:cs="Arial"/>
        </w:rPr>
        <w:t xml:space="preserve">oversee this challenge. </w:t>
      </w:r>
      <w:r w:rsidR="009E52D3">
        <w:rPr>
          <w:rFonts w:cs="Arial"/>
        </w:rPr>
        <w:t xml:space="preserve">The Program </w:t>
      </w:r>
      <w:r w:rsidR="00CF6DE2">
        <w:rPr>
          <w:rFonts w:cs="Arial"/>
        </w:rPr>
        <w:t xml:space="preserve">should continue to monitor </w:t>
      </w:r>
      <w:r w:rsidR="00475A8E">
        <w:rPr>
          <w:rFonts w:cs="Arial"/>
        </w:rPr>
        <w:t>positivity results from postcodes affected by the Hot Zone</w:t>
      </w:r>
      <w:r w:rsidR="008F175D">
        <w:rPr>
          <w:rFonts w:cs="Arial"/>
        </w:rPr>
        <w:t xml:space="preserve">, in order to </w:t>
      </w:r>
      <w:r w:rsidR="00B00C35">
        <w:rPr>
          <w:rFonts w:cs="Arial"/>
        </w:rPr>
        <w:t xml:space="preserve">determine whether further amendments to </w:t>
      </w:r>
      <w:r w:rsidR="00C10A05">
        <w:rPr>
          <w:rFonts w:cs="Arial"/>
        </w:rPr>
        <w:t xml:space="preserve">the policy </w:t>
      </w:r>
      <w:r w:rsidR="00B00C35">
        <w:rPr>
          <w:rFonts w:cs="Arial"/>
        </w:rPr>
        <w:t xml:space="preserve">are required. </w:t>
      </w:r>
    </w:p>
    <w:p w14:paraId="338FBF36" w14:textId="3EFB9FF2" w:rsidR="0022417E" w:rsidRDefault="0022417E" w:rsidP="0022417E">
      <w:pPr>
        <w:pStyle w:val="Heading4"/>
      </w:pPr>
      <w:r>
        <w:lastRenderedPageBreak/>
        <w:t>Kits messaging and reminders</w:t>
      </w:r>
    </w:p>
    <w:p w14:paraId="21297E3A" w14:textId="3D066C9A" w:rsidR="009D01A3" w:rsidRPr="009D01A3" w:rsidRDefault="009D01A3" w:rsidP="00195E90">
      <w:pPr>
        <w:pStyle w:val="Pullout"/>
      </w:pPr>
      <w:r w:rsidRPr="009D01A3">
        <w:t xml:space="preserve">The simplified kit instructions </w:t>
      </w:r>
      <w:r w:rsidR="00FE3849">
        <w:t>are associated with improved rates of valid kit returns</w:t>
      </w:r>
      <w:r w:rsidR="00436407">
        <w:t>. H</w:t>
      </w:r>
      <w:r w:rsidRPr="009D01A3">
        <w:t>owever</w:t>
      </w:r>
      <w:r w:rsidR="00436407">
        <w:t>,</w:t>
      </w:r>
      <w:r w:rsidRPr="009D01A3">
        <w:t xml:space="preserve"> there is scope to consider how the kit messaging and method for reminders could be modified and tailored to optimise participation.</w:t>
      </w:r>
    </w:p>
    <w:p w14:paraId="1F07F40B" w14:textId="6D1FF953" w:rsidR="00DC0357" w:rsidRDefault="00DC0357" w:rsidP="009D01A3">
      <w:r>
        <w:t xml:space="preserve">Program pathology statistics show that the rate of valid kits returned has improved since the kit instructions were updated in 2018. </w:t>
      </w:r>
      <w:r w:rsidR="00E40075">
        <w:t>Across January, April, August and December of</w:t>
      </w:r>
      <w:r w:rsidRPr="009D01A3">
        <w:t xml:space="preserve"> 2016, the proportion of returned </w:t>
      </w:r>
      <w:proofErr w:type="spellStart"/>
      <w:r w:rsidRPr="009D01A3">
        <w:t>iFOBT</w:t>
      </w:r>
      <w:proofErr w:type="spellEnd"/>
      <w:r w:rsidRPr="009D01A3">
        <w:t xml:space="preserve"> kits </w:t>
      </w:r>
      <w:r w:rsidR="006C5062">
        <w:t xml:space="preserve">that </w:t>
      </w:r>
      <w:r w:rsidRPr="009D01A3">
        <w:t>could not be tested was between 8 and 10</w:t>
      </w:r>
      <w:r>
        <w:t xml:space="preserve"> per cent</w:t>
      </w:r>
      <w:r w:rsidRPr="009D01A3">
        <w:t xml:space="preserve">, for reasons including </w:t>
      </w:r>
      <w:r w:rsidR="006C5062">
        <w:t>incorrect completion or kit expiry</w:t>
      </w:r>
      <w:r w:rsidRPr="009D01A3">
        <w:t xml:space="preserve">. </w:t>
      </w:r>
      <w:r>
        <w:t xml:space="preserve">This figure had declined to less than </w:t>
      </w:r>
      <w:r w:rsidR="008C303E">
        <w:t xml:space="preserve">5 </w:t>
      </w:r>
      <w:r>
        <w:t xml:space="preserve">per cent in </w:t>
      </w:r>
      <w:r w:rsidR="00E40075">
        <w:t xml:space="preserve">the </w:t>
      </w:r>
      <w:r w:rsidR="006109F8">
        <w:t>same months of</w:t>
      </w:r>
      <w:r w:rsidR="00E40075" w:rsidRPr="009D01A3">
        <w:t xml:space="preserve"> </w:t>
      </w:r>
      <w:r w:rsidRPr="009D01A3">
        <w:t>2019</w:t>
      </w:r>
      <w:r w:rsidR="007463AD">
        <w:t xml:space="preserve"> (</w:t>
      </w:r>
      <w:r w:rsidR="00EF2174">
        <w:fldChar w:fldCharType="begin"/>
      </w:r>
      <w:r w:rsidR="00EF2174">
        <w:instrText xml:space="preserve"> REF _Ref68622999 \r \h </w:instrText>
      </w:r>
      <w:r w:rsidR="00EF2174">
        <w:fldChar w:fldCharType="separate"/>
      </w:r>
      <w:r w:rsidR="00F27525">
        <w:t>Table 2.3</w:t>
      </w:r>
      <w:r w:rsidR="00EF2174">
        <w:fldChar w:fldCharType="end"/>
      </w:r>
      <w:r w:rsidR="00EF2174">
        <w:t>)</w:t>
      </w:r>
      <w:r>
        <w:t>. These statistics were supported by insights</w:t>
      </w:r>
      <w:r w:rsidR="001F76DA">
        <w:t xml:space="preserve"> gleaned from</w:t>
      </w:r>
      <w:r>
        <w:t xml:space="preserve"> stakeholders who</w:t>
      </w:r>
      <w:r w:rsidR="001F76DA">
        <w:t xml:space="preserve"> </w:t>
      </w:r>
      <w:r w:rsidR="00F74358">
        <w:t xml:space="preserve">generally </w:t>
      </w:r>
      <w:r>
        <w:t xml:space="preserve">agreed that the </w:t>
      </w:r>
      <w:r w:rsidR="00737461">
        <w:t xml:space="preserve">change in </w:t>
      </w:r>
      <w:proofErr w:type="spellStart"/>
      <w:r w:rsidR="00986F8B">
        <w:t>iFOBT</w:t>
      </w:r>
      <w:proofErr w:type="spellEnd"/>
      <w:r w:rsidR="00986F8B">
        <w:t xml:space="preserve"> kit</w:t>
      </w:r>
      <w:r w:rsidR="006952E1">
        <w:t xml:space="preserve"> (including kit instructions) in </w:t>
      </w:r>
      <w:r>
        <w:t xml:space="preserve">2018 </w:t>
      </w:r>
      <w:r w:rsidR="00582F3C">
        <w:t>was an</w:t>
      </w:r>
      <w:r>
        <w:t xml:space="preserve"> improvement on the earlier iteration</w:t>
      </w:r>
      <w:r w:rsidRPr="00A21BEE">
        <w:t>.</w:t>
      </w:r>
    </w:p>
    <w:p w14:paraId="33D1ED8E" w14:textId="2FC8A094" w:rsidR="002805CF" w:rsidRDefault="00BD7893" w:rsidP="00A177D6">
      <w:pPr>
        <w:pStyle w:val="CaptionTable"/>
      </w:pPr>
      <w:bookmarkStart w:id="72" w:name="_Ref68622999"/>
      <w:r>
        <w:t xml:space="preserve">: Rate of </w:t>
      </w:r>
      <w:r w:rsidR="007A6D36">
        <w:t>in</w:t>
      </w:r>
      <w:r>
        <w:t>valid kits returned</w:t>
      </w:r>
      <w:r w:rsidR="00313069">
        <w:t xml:space="preserve"> in January, April, August and December of specified</w:t>
      </w:r>
      <w:r>
        <w:t xml:space="preserve"> year</w:t>
      </w:r>
      <w:bookmarkEnd w:id="72"/>
    </w:p>
    <w:tbl>
      <w:tblPr>
        <w:tblStyle w:val="Deloittetable"/>
        <w:tblW w:w="0" w:type="auto"/>
        <w:tblLook w:val="04A0" w:firstRow="1" w:lastRow="0" w:firstColumn="1" w:lastColumn="0" w:noHBand="0" w:noVBand="1"/>
      </w:tblPr>
      <w:tblGrid>
        <w:gridCol w:w="6"/>
        <w:gridCol w:w="4454"/>
        <w:gridCol w:w="4471"/>
      </w:tblGrid>
      <w:tr w:rsidR="002805CF" w14:paraId="12FBEEF4" w14:textId="77777777" w:rsidTr="003C54B7">
        <w:trPr>
          <w:cnfStyle w:val="100000000000" w:firstRow="1" w:lastRow="0" w:firstColumn="0" w:lastColumn="0" w:oddVBand="0" w:evenVBand="0" w:oddHBand="0" w:evenHBand="0" w:firstRowFirstColumn="0" w:firstRowLastColumn="0" w:lastRowFirstColumn="0" w:lastRowLastColumn="0"/>
        </w:trPr>
        <w:tc>
          <w:tcPr>
            <w:tcW w:w="4460" w:type="dxa"/>
            <w:gridSpan w:val="2"/>
          </w:tcPr>
          <w:p w14:paraId="051ED572" w14:textId="69973E3B" w:rsidR="002805CF" w:rsidRPr="00A177D6" w:rsidRDefault="001A2954" w:rsidP="00E57E06">
            <w:pPr>
              <w:spacing w:after="0"/>
              <w:rPr>
                <w:b w:val="0"/>
                <w:bCs/>
                <w:color w:val="62B5E5" w:themeColor="accent3"/>
              </w:rPr>
            </w:pPr>
            <w:r w:rsidRPr="00A177D6">
              <w:rPr>
                <w:bCs/>
                <w:color w:val="62B5E5" w:themeColor="accent3"/>
              </w:rPr>
              <w:t>Year</w:t>
            </w:r>
          </w:p>
        </w:tc>
        <w:tc>
          <w:tcPr>
            <w:tcW w:w="4471" w:type="dxa"/>
          </w:tcPr>
          <w:p w14:paraId="0AEF221A" w14:textId="34CD328A" w:rsidR="002805CF" w:rsidRPr="00A177D6" w:rsidRDefault="001A2954" w:rsidP="007503FE">
            <w:pPr>
              <w:spacing w:after="0"/>
              <w:jc w:val="right"/>
              <w:rPr>
                <w:b w:val="0"/>
                <w:bCs/>
                <w:color w:val="62B5E5" w:themeColor="accent3"/>
              </w:rPr>
            </w:pPr>
            <w:r w:rsidRPr="00A177D6">
              <w:rPr>
                <w:bCs/>
                <w:color w:val="62B5E5" w:themeColor="accent3"/>
              </w:rPr>
              <w:t xml:space="preserve">Rate of </w:t>
            </w:r>
            <w:r w:rsidR="007A6D36">
              <w:rPr>
                <w:bCs/>
                <w:color w:val="62B5E5" w:themeColor="accent3"/>
              </w:rPr>
              <w:t>in</w:t>
            </w:r>
            <w:r w:rsidRPr="00A177D6">
              <w:rPr>
                <w:bCs/>
                <w:color w:val="62B5E5" w:themeColor="accent3"/>
              </w:rPr>
              <w:t>valid kits returned</w:t>
            </w:r>
          </w:p>
        </w:tc>
      </w:tr>
      <w:tr w:rsidR="002805CF" w14:paraId="2498BF77" w14:textId="77777777" w:rsidTr="003C54B7">
        <w:trPr>
          <w:gridBefore w:val="1"/>
          <w:wBefore w:w="6" w:type="dxa"/>
        </w:trPr>
        <w:tc>
          <w:tcPr>
            <w:tcW w:w="4454" w:type="dxa"/>
          </w:tcPr>
          <w:p w14:paraId="660AC042" w14:textId="1BAFBA66" w:rsidR="002805CF" w:rsidRDefault="0029304A" w:rsidP="00E57E06">
            <w:pPr>
              <w:spacing w:after="0"/>
            </w:pPr>
            <w:r>
              <w:t>201</w:t>
            </w:r>
            <w:r w:rsidR="00CF2BE4">
              <w:t>6</w:t>
            </w:r>
          </w:p>
        </w:tc>
        <w:tc>
          <w:tcPr>
            <w:tcW w:w="4471" w:type="dxa"/>
          </w:tcPr>
          <w:p w14:paraId="457E97F7" w14:textId="15577567" w:rsidR="002805CF" w:rsidRDefault="00E31122" w:rsidP="00E57E06">
            <w:pPr>
              <w:spacing w:after="0"/>
              <w:jc w:val="right"/>
            </w:pPr>
            <w:r>
              <w:t>8</w:t>
            </w:r>
            <w:r w:rsidR="00307682">
              <w:t>.0</w:t>
            </w:r>
            <w:r w:rsidR="00624347">
              <w:t>%</w:t>
            </w:r>
            <w:r>
              <w:t xml:space="preserve"> to </w:t>
            </w:r>
            <w:r w:rsidR="0034756C">
              <w:t>9.6</w:t>
            </w:r>
            <w:r>
              <w:t>%</w:t>
            </w:r>
            <w:r w:rsidR="00EF2174" w:rsidRPr="00A177D6">
              <w:rPr>
                <w:vertAlign w:val="superscript"/>
              </w:rPr>
              <w:t>a</w:t>
            </w:r>
          </w:p>
        </w:tc>
      </w:tr>
      <w:tr w:rsidR="00CF2BE4" w14:paraId="7B333A37" w14:textId="77777777" w:rsidTr="003C54B7">
        <w:trPr>
          <w:gridBefore w:val="1"/>
          <w:wBefore w:w="6" w:type="dxa"/>
        </w:trPr>
        <w:tc>
          <w:tcPr>
            <w:tcW w:w="4454" w:type="dxa"/>
          </w:tcPr>
          <w:p w14:paraId="0DE03C41" w14:textId="6E0208AD" w:rsidR="00CF2BE4" w:rsidRDefault="00CF2BE4" w:rsidP="00E57E06">
            <w:pPr>
              <w:spacing w:after="0"/>
            </w:pPr>
            <w:r>
              <w:t>2019</w:t>
            </w:r>
          </w:p>
        </w:tc>
        <w:tc>
          <w:tcPr>
            <w:tcW w:w="4471" w:type="dxa"/>
          </w:tcPr>
          <w:p w14:paraId="6E743572" w14:textId="5D71F510" w:rsidR="00CF2BE4" w:rsidRDefault="00D543B3" w:rsidP="00E57E06">
            <w:pPr>
              <w:spacing w:after="0"/>
              <w:jc w:val="right"/>
            </w:pPr>
            <w:r>
              <w:t>0.5</w:t>
            </w:r>
            <w:r w:rsidR="00FB02C5">
              <w:t>%</w:t>
            </w:r>
            <w:r w:rsidR="00975E5E">
              <w:t xml:space="preserve"> </w:t>
            </w:r>
            <w:r w:rsidR="00FB218C">
              <w:t>to</w:t>
            </w:r>
            <w:r w:rsidR="00975E5E">
              <w:t xml:space="preserve"> </w:t>
            </w:r>
            <w:r w:rsidR="008D061C">
              <w:t>4.</w:t>
            </w:r>
            <w:r w:rsidR="00C617C9">
              <w:t>1</w:t>
            </w:r>
            <w:r w:rsidR="00E24DDF">
              <w:t>%</w:t>
            </w:r>
            <w:r w:rsidR="00877A59" w:rsidRPr="00A177D6">
              <w:rPr>
                <w:vertAlign w:val="superscript"/>
              </w:rPr>
              <w:t>b</w:t>
            </w:r>
          </w:p>
        </w:tc>
      </w:tr>
    </w:tbl>
    <w:p w14:paraId="24CA28C1" w14:textId="44CDAE41" w:rsidR="002805CF" w:rsidRDefault="00EF2174" w:rsidP="00DA7F3A">
      <w:pPr>
        <w:pStyle w:val="Source"/>
      </w:pPr>
      <w:r>
        <w:t xml:space="preserve">Source: </w:t>
      </w:r>
      <w:proofErr w:type="spellStart"/>
      <w:r w:rsidRPr="00A177D6">
        <w:rPr>
          <w:vertAlign w:val="superscript"/>
        </w:rPr>
        <w:t>a</w:t>
      </w:r>
      <w:r>
        <w:t>Dorevitch</w:t>
      </w:r>
      <w:proofErr w:type="spellEnd"/>
      <w:r>
        <w:t xml:space="preserve"> </w:t>
      </w:r>
      <w:r w:rsidR="007C67B4">
        <w:t xml:space="preserve">NBCSP </w:t>
      </w:r>
      <w:r>
        <w:t>pathology reports</w:t>
      </w:r>
      <w:r w:rsidR="00877A59">
        <w:t xml:space="preserve">; </w:t>
      </w:r>
      <w:proofErr w:type="spellStart"/>
      <w:r w:rsidR="00877A59" w:rsidRPr="00A177D6">
        <w:rPr>
          <w:vertAlign w:val="superscript"/>
        </w:rPr>
        <w:t>b</w:t>
      </w:r>
      <w:r w:rsidR="00877A59" w:rsidRPr="00A177D6">
        <w:t>Sonic</w:t>
      </w:r>
      <w:proofErr w:type="spellEnd"/>
      <w:r w:rsidR="00877A59" w:rsidRPr="00A177D6">
        <w:t xml:space="preserve"> MBCSP pathology </w:t>
      </w:r>
      <w:r w:rsidR="00A177D6" w:rsidRPr="00A177D6">
        <w:t>reports</w:t>
      </w:r>
      <w:r w:rsidR="007C67B4">
        <w:t>.</w:t>
      </w:r>
    </w:p>
    <w:p w14:paraId="2BE6A308" w14:textId="45E2941B" w:rsidR="0055523F" w:rsidRPr="008A0057" w:rsidRDefault="00BA558F" w:rsidP="009D01A3">
      <w:r>
        <w:t xml:space="preserve">Despite this, there are opportunities to consider </w:t>
      </w:r>
      <w:r w:rsidR="00F60E62">
        <w:t>how the kit messaging</w:t>
      </w:r>
      <w:r>
        <w:t xml:space="preserve"> and instructions</w:t>
      </w:r>
      <w:r w:rsidR="00F60E62">
        <w:t xml:space="preserve"> coul</w:t>
      </w:r>
      <w:r w:rsidR="0055523F">
        <w:t>d</w:t>
      </w:r>
      <w:r w:rsidR="00F60E62">
        <w:t xml:space="preserve"> be tailored</w:t>
      </w:r>
      <w:r>
        <w:t xml:space="preserve"> for people from CALD backgrounds and first-time screeners</w:t>
      </w:r>
      <w:r w:rsidR="00F60E62">
        <w:t>, with a view to overcoming</w:t>
      </w:r>
      <w:r>
        <w:t xml:space="preserve"> </w:t>
      </w:r>
      <w:r w:rsidR="00F60E62">
        <w:t xml:space="preserve">their unique </w:t>
      </w:r>
      <w:r w:rsidRPr="009D01A3">
        <w:rPr>
          <w:szCs w:val="17"/>
        </w:rPr>
        <w:t>attitudinal</w:t>
      </w:r>
      <w:r w:rsidR="00F60E62">
        <w:rPr>
          <w:szCs w:val="17"/>
        </w:rPr>
        <w:t xml:space="preserve"> and</w:t>
      </w:r>
      <w:r w:rsidRPr="009D01A3">
        <w:rPr>
          <w:szCs w:val="17"/>
        </w:rPr>
        <w:t xml:space="preserve"> behavioural</w:t>
      </w:r>
      <w:r w:rsidR="00F60E62">
        <w:rPr>
          <w:szCs w:val="17"/>
        </w:rPr>
        <w:t xml:space="preserve"> barriers</w:t>
      </w:r>
      <w:r>
        <w:rPr>
          <w:szCs w:val="17"/>
        </w:rPr>
        <w:t xml:space="preserve">. </w:t>
      </w:r>
      <w:r>
        <w:t xml:space="preserve">These are discussed in more detail </w:t>
      </w:r>
      <w:r w:rsidRPr="007E67D6">
        <w:t xml:space="preserve">in </w:t>
      </w:r>
      <w:r w:rsidRPr="00883E3E">
        <w:t xml:space="preserve">section </w:t>
      </w:r>
      <w:r w:rsidR="0035316B" w:rsidRPr="00883E3E">
        <w:fldChar w:fldCharType="begin"/>
      </w:r>
      <w:r w:rsidR="0035316B" w:rsidRPr="00883E3E">
        <w:instrText xml:space="preserve"> REF _Ref67662996 \r \h </w:instrText>
      </w:r>
      <w:r w:rsidR="0035316B" w:rsidRPr="00883E3E">
        <w:fldChar w:fldCharType="separate"/>
      </w:r>
      <w:r w:rsidR="00F27525">
        <w:t>4.1.4</w:t>
      </w:r>
      <w:r w:rsidR="0035316B" w:rsidRPr="00883E3E">
        <w:fldChar w:fldCharType="end"/>
      </w:r>
      <w:r w:rsidR="00FE3849" w:rsidRPr="00883E3E">
        <w:t>.</w:t>
      </w:r>
    </w:p>
    <w:p w14:paraId="01CF6335" w14:textId="024EEF8D" w:rsidR="00BA558F" w:rsidRDefault="00B30D38" w:rsidP="009D01A3">
      <w:r>
        <w:rPr>
          <w:color w:val="000000" w:themeColor="text1"/>
        </w:rPr>
        <w:t xml:space="preserve">In addition, the </w:t>
      </w:r>
      <w:r w:rsidR="008D34CB">
        <w:rPr>
          <w:color w:val="000000" w:themeColor="text1"/>
        </w:rPr>
        <w:t xml:space="preserve">consumer </w:t>
      </w:r>
      <w:r w:rsidR="003765F7">
        <w:rPr>
          <w:color w:val="000000" w:themeColor="text1"/>
        </w:rPr>
        <w:t>survey</w:t>
      </w:r>
      <w:r w:rsidR="008D34CB">
        <w:rPr>
          <w:color w:val="000000" w:themeColor="text1"/>
        </w:rPr>
        <w:t xml:space="preserve"> showed t</w:t>
      </w:r>
      <w:r w:rsidR="003765F7">
        <w:rPr>
          <w:color w:val="000000" w:themeColor="text1"/>
        </w:rPr>
        <w:t>h</w:t>
      </w:r>
      <w:r w:rsidR="008D34CB">
        <w:rPr>
          <w:color w:val="000000" w:themeColor="text1"/>
        </w:rPr>
        <w:t xml:space="preserve">at </w:t>
      </w:r>
      <w:r w:rsidR="003765F7">
        <w:rPr>
          <w:color w:val="000000" w:themeColor="text1"/>
        </w:rPr>
        <w:t xml:space="preserve">reminders may be more effective </w:t>
      </w:r>
      <w:r w:rsidR="00DB28AB">
        <w:rPr>
          <w:color w:val="000000" w:themeColor="text1"/>
        </w:rPr>
        <w:t>i</w:t>
      </w:r>
      <w:r w:rsidR="003765F7">
        <w:rPr>
          <w:color w:val="000000" w:themeColor="text1"/>
        </w:rPr>
        <w:t>n promoting participation if they were in in digital form</w:t>
      </w:r>
      <w:r w:rsidR="008A0057">
        <w:rPr>
          <w:color w:val="000000" w:themeColor="text1"/>
        </w:rPr>
        <w:t>, as compared to a mailed letter</w:t>
      </w:r>
      <w:r>
        <w:rPr>
          <w:color w:val="000000" w:themeColor="text1"/>
        </w:rPr>
        <w:t>. This</w:t>
      </w:r>
      <w:r w:rsidR="005E73D7">
        <w:rPr>
          <w:color w:val="000000" w:themeColor="text1"/>
        </w:rPr>
        <w:t xml:space="preserve"> was </w:t>
      </w:r>
      <w:r w:rsidR="00ED135F">
        <w:rPr>
          <w:color w:val="000000" w:themeColor="text1"/>
        </w:rPr>
        <w:t>s</w:t>
      </w:r>
      <w:r w:rsidR="005E73D7">
        <w:rPr>
          <w:color w:val="000000" w:themeColor="text1"/>
        </w:rPr>
        <w:t xml:space="preserve">upported by </w:t>
      </w:r>
      <w:r>
        <w:rPr>
          <w:color w:val="000000" w:themeColor="text1"/>
        </w:rPr>
        <w:t xml:space="preserve">insights </w:t>
      </w:r>
      <w:r w:rsidR="005B33F1">
        <w:rPr>
          <w:color w:val="000000" w:themeColor="text1"/>
        </w:rPr>
        <w:t>gleaned</w:t>
      </w:r>
      <w:r>
        <w:rPr>
          <w:color w:val="000000" w:themeColor="text1"/>
        </w:rPr>
        <w:t xml:space="preserve"> from </w:t>
      </w:r>
      <w:r w:rsidR="00067129">
        <w:rPr>
          <w:color w:val="000000" w:themeColor="text1"/>
        </w:rPr>
        <w:t>consultations</w:t>
      </w:r>
      <w:r w:rsidR="005E73D7">
        <w:rPr>
          <w:color w:val="000000" w:themeColor="text1"/>
        </w:rPr>
        <w:t xml:space="preserve"> </w:t>
      </w:r>
      <w:r w:rsidR="00E25BAD">
        <w:rPr>
          <w:color w:val="000000" w:themeColor="text1"/>
        </w:rPr>
        <w:t xml:space="preserve">that </w:t>
      </w:r>
      <w:r w:rsidR="00E25BAD" w:rsidRPr="00A21BEE">
        <w:t xml:space="preserve">reminders </w:t>
      </w:r>
      <w:r w:rsidR="00E25BAD">
        <w:t xml:space="preserve">via mail will soon be outdated </w:t>
      </w:r>
      <w:r w:rsidR="00E25BAD" w:rsidRPr="00A21BEE">
        <w:t xml:space="preserve">as the </w:t>
      </w:r>
      <w:r w:rsidR="006C435E">
        <w:t xml:space="preserve">eligible </w:t>
      </w:r>
      <w:r w:rsidR="00E25BAD" w:rsidRPr="00A21BEE">
        <w:t>population relies more on technology</w:t>
      </w:r>
      <w:r w:rsidR="007B0423">
        <w:t xml:space="preserve"> for communications</w:t>
      </w:r>
      <w:r w:rsidR="00E25BAD">
        <w:rPr>
          <w:color w:val="000000" w:themeColor="text1"/>
        </w:rPr>
        <w:t xml:space="preserve">. </w:t>
      </w:r>
      <w:r w:rsidR="00814E8B">
        <w:rPr>
          <w:color w:val="000000" w:themeColor="text1"/>
        </w:rPr>
        <w:t xml:space="preserve">A more detailed exploration of digital forms of reminders is provided in </w:t>
      </w:r>
      <w:r w:rsidR="00814E8B" w:rsidRPr="00883E3E">
        <w:t xml:space="preserve">section </w:t>
      </w:r>
      <w:r w:rsidR="00D51334" w:rsidRPr="00883E3E">
        <w:fldChar w:fldCharType="begin"/>
      </w:r>
      <w:r w:rsidR="00D51334" w:rsidRPr="00883E3E">
        <w:instrText xml:space="preserve"> REF _Ref67401037 \r \h </w:instrText>
      </w:r>
      <w:r w:rsidR="00D51334" w:rsidRPr="00883E3E">
        <w:fldChar w:fldCharType="separate"/>
      </w:r>
      <w:r w:rsidR="00F27525">
        <w:t>4.1.4.3</w:t>
      </w:r>
      <w:r w:rsidR="00D51334" w:rsidRPr="00883E3E">
        <w:fldChar w:fldCharType="end"/>
      </w:r>
      <w:r w:rsidR="00814E8B" w:rsidRPr="00883E3E">
        <w:t xml:space="preserve">. </w:t>
      </w:r>
    </w:p>
    <w:p w14:paraId="4A237439" w14:textId="199DCC9D" w:rsidR="009F59A8" w:rsidRPr="00CD74F1" w:rsidRDefault="0061170E" w:rsidP="00195E90">
      <w:r w:rsidRPr="00CD74F1">
        <w:t>Tim</w:t>
      </w:r>
      <w:r w:rsidR="00C17824" w:rsidRPr="00CD74F1">
        <w:t>ing intervals for reminders should be reviewed with</w:t>
      </w:r>
      <w:r w:rsidR="00AE7F93" w:rsidRPr="00CD74F1">
        <w:t xml:space="preserve"> clinical</w:t>
      </w:r>
      <w:r w:rsidR="00C17824" w:rsidRPr="00CD74F1">
        <w:t xml:space="preserve"> input.</w:t>
      </w:r>
    </w:p>
    <w:p w14:paraId="15709184" w14:textId="4943FF34" w:rsidR="00070C67" w:rsidRDefault="00F9048E" w:rsidP="00F678D8">
      <w:pPr>
        <w:rPr>
          <w:color w:val="000000" w:themeColor="text1"/>
        </w:rPr>
      </w:pPr>
      <w:r>
        <w:rPr>
          <w:color w:val="000000" w:themeColor="text1"/>
        </w:rPr>
        <w:t>A</w:t>
      </w:r>
      <w:r w:rsidR="00A91F53" w:rsidRPr="00A91F53">
        <w:rPr>
          <w:color w:val="000000" w:themeColor="text1"/>
        </w:rPr>
        <w:t xml:space="preserve"> </w:t>
      </w:r>
      <w:r w:rsidR="00F01129">
        <w:rPr>
          <w:color w:val="000000" w:themeColor="text1"/>
        </w:rPr>
        <w:t xml:space="preserve">review of the </w:t>
      </w:r>
      <w:r w:rsidR="00772593">
        <w:rPr>
          <w:color w:val="000000" w:themeColor="text1"/>
        </w:rPr>
        <w:t>NHMRC</w:t>
      </w:r>
      <w:r w:rsidR="009C78CA">
        <w:rPr>
          <w:color w:val="000000" w:themeColor="text1"/>
        </w:rPr>
        <w:t>-</w:t>
      </w:r>
      <w:r w:rsidR="00772593">
        <w:rPr>
          <w:color w:val="000000" w:themeColor="text1"/>
        </w:rPr>
        <w:t>approved</w:t>
      </w:r>
      <w:r w:rsidR="00A91F53" w:rsidRPr="00A91F53">
        <w:rPr>
          <w:color w:val="000000" w:themeColor="text1"/>
        </w:rPr>
        <w:t xml:space="preserve"> </w:t>
      </w:r>
      <w:r w:rsidR="00A91F53">
        <w:rPr>
          <w:color w:val="000000" w:themeColor="text1"/>
        </w:rPr>
        <w:t>clinic</w:t>
      </w:r>
      <w:r w:rsidR="00F01129">
        <w:rPr>
          <w:color w:val="000000" w:themeColor="text1"/>
        </w:rPr>
        <w:t>al</w:t>
      </w:r>
      <w:r w:rsidR="00A91F53">
        <w:rPr>
          <w:color w:val="000000" w:themeColor="text1"/>
        </w:rPr>
        <w:t xml:space="preserve"> practice g</w:t>
      </w:r>
      <w:r w:rsidR="00A91F53" w:rsidRPr="00A91F53">
        <w:rPr>
          <w:color w:val="000000" w:themeColor="text1"/>
        </w:rPr>
        <w:t>uidelines</w:t>
      </w:r>
      <w:r w:rsidR="00F01129">
        <w:rPr>
          <w:color w:val="000000" w:themeColor="text1"/>
        </w:rPr>
        <w:t xml:space="preserve">, </w:t>
      </w:r>
      <w:r w:rsidR="00AE3E66">
        <w:rPr>
          <w:color w:val="000000" w:themeColor="text1"/>
        </w:rPr>
        <w:t>the NBCSP Quality Framework</w:t>
      </w:r>
      <w:r w:rsidR="00F01129">
        <w:rPr>
          <w:color w:val="000000" w:themeColor="text1"/>
        </w:rPr>
        <w:t xml:space="preserve"> and </w:t>
      </w:r>
      <w:r w:rsidR="00751C07">
        <w:rPr>
          <w:color w:val="000000" w:themeColor="text1"/>
        </w:rPr>
        <w:t>input from PDAG members</w:t>
      </w:r>
      <w:r w:rsidR="00DA4EFB">
        <w:rPr>
          <w:color w:val="000000" w:themeColor="text1"/>
        </w:rPr>
        <w:t xml:space="preserve"> indicates</w:t>
      </w:r>
      <w:r w:rsidR="00751C07">
        <w:rPr>
          <w:color w:val="000000" w:themeColor="text1"/>
        </w:rPr>
        <w:t xml:space="preserve"> there is scope to </w:t>
      </w:r>
      <w:r w:rsidR="00863B5E">
        <w:rPr>
          <w:color w:val="000000" w:themeColor="text1"/>
        </w:rPr>
        <w:t>explore</w:t>
      </w:r>
      <w:r w:rsidR="00751C07">
        <w:rPr>
          <w:color w:val="000000" w:themeColor="text1"/>
        </w:rPr>
        <w:t xml:space="preserve"> </w:t>
      </w:r>
      <w:r w:rsidR="00863B5E">
        <w:rPr>
          <w:color w:val="000000" w:themeColor="text1"/>
        </w:rPr>
        <w:t xml:space="preserve">the clinical implications of </w:t>
      </w:r>
      <w:r w:rsidR="00751C07">
        <w:rPr>
          <w:color w:val="000000" w:themeColor="text1"/>
        </w:rPr>
        <w:t>refining the timing of reminder intervals.</w:t>
      </w:r>
    </w:p>
    <w:p w14:paraId="48E5F8AB" w14:textId="2101B5EB" w:rsidR="005B601A" w:rsidRDefault="005B601A" w:rsidP="005B601A">
      <w:pPr>
        <w:pStyle w:val="CaptionTable"/>
      </w:pPr>
      <w:bookmarkStart w:id="73" w:name="_Ref69154666"/>
      <w:r>
        <w:t xml:space="preserve">: </w:t>
      </w:r>
      <w:r w:rsidR="002B56D9">
        <w:t>Reminder</w:t>
      </w:r>
      <w:r w:rsidR="00411266">
        <w:t xml:space="preserve"> timing </w:t>
      </w:r>
      <w:r w:rsidR="002B56D9">
        <w:t>intervals</w:t>
      </w:r>
      <w:bookmarkEnd w:id="73"/>
    </w:p>
    <w:tbl>
      <w:tblPr>
        <w:tblStyle w:val="Deloittetable"/>
        <w:tblW w:w="0" w:type="auto"/>
        <w:tblLook w:val="04A0" w:firstRow="1" w:lastRow="0" w:firstColumn="1" w:lastColumn="0" w:noHBand="0" w:noVBand="1"/>
      </w:tblPr>
      <w:tblGrid>
        <w:gridCol w:w="1946"/>
        <w:gridCol w:w="2165"/>
        <w:gridCol w:w="4809"/>
      </w:tblGrid>
      <w:tr w:rsidR="00411266" w14:paraId="789638C5" w14:textId="77777777" w:rsidTr="007B238A">
        <w:trPr>
          <w:cnfStyle w:val="100000000000" w:firstRow="1" w:lastRow="0" w:firstColumn="0" w:lastColumn="0" w:oddVBand="0" w:evenVBand="0" w:oddHBand="0" w:evenHBand="0" w:firstRowFirstColumn="0" w:firstRowLastColumn="0" w:lastRowFirstColumn="0" w:lastRowLastColumn="0"/>
        </w:trPr>
        <w:tc>
          <w:tcPr>
            <w:tcW w:w="1946" w:type="dxa"/>
          </w:tcPr>
          <w:p w14:paraId="2F67FB6F" w14:textId="7E9654BE" w:rsidR="00411266" w:rsidRPr="009A0930" w:rsidRDefault="00411266" w:rsidP="007D2429">
            <w:pPr>
              <w:spacing w:after="0"/>
              <w:rPr>
                <w:b w:val="0"/>
                <w:bCs/>
                <w:color w:val="62B5E5" w:themeColor="accent3"/>
              </w:rPr>
            </w:pPr>
            <w:r w:rsidRPr="009A0930">
              <w:rPr>
                <w:bCs/>
                <w:color w:val="62B5E5" w:themeColor="accent3"/>
              </w:rPr>
              <w:t xml:space="preserve">Reminder </w:t>
            </w:r>
          </w:p>
        </w:tc>
        <w:tc>
          <w:tcPr>
            <w:tcW w:w="2165" w:type="dxa"/>
          </w:tcPr>
          <w:p w14:paraId="43258BB2" w14:textId="304B3071" w:rsidR="00411266" w:rsidRPr="009A0930" w:rsidRDefault="00411266" w:rsidP="007503FE">
            <w:pPr>
              <w:spacing w:after="0"/>
              <w:jc w:val="right"/>
              <w:rPr>
                <w:b w:val="0"/>
                <w:bCs/>
                <w:color w:val="62B5E5" w:themeColor="accent3"/>
              </w:rPr>
            </w:pPr>
            <w:r w:rsidRPr="009A0930">
              <w:rPr>
                <w:bCs/>
                <w:color w:val="62B5E5" w:themeColor="accent3"/>
              </w:rPr>
              <w:t>GP reminders</w:t>
            </w:r>
          </w:p>
        </w:tc>
        <w:tc>
          <w:tcPr>
            <w:tcW w:w="4809" w:type="dxa"/>
          </w:tcPr>
          <w:p w14:paraId="126CF240" w14:textId="252AE9AD" w:rsidR="00411266" w:rsidRPr="009A0930" w:rsidRDefault="00411266" w:rsidP="007503FE">
            <w:pPr>
              <w:spacing w:after="0"/>
              <w:jc w:val="right"/>
              <w:rPr>
                <w:b w:val="0"/>
                <w:bCs/>
                <w:color w:val="62B5E5" w:themeColor="accent3"/>
              </w:rPr>
            </w:pPr>
            <w:r w:rsidRPr="009A0930">
              <w:rPr>
                <w:bCs/>
                <w:color w:val="62B5E5" w:themeColor="accent3"/>
              </w:rPr>
              <w:t>Colonoscopy reminders</w:t>
            </w:r>
            <w:r w:rsidR="003730DA">
              <w:rPr>
                <w:bCs/>
                <w:color w:val="62B5E5" w:themeColor="accent3"/>
              </w:rPr>
              <w:t xml:space="preserve"> (from date of GP visit)</w:t>
            </w:r>
          </w:p>
        </w:tc>
      </w:tr>
      <w:tr w:rsidR="007D2429" w14:paraId="4C599E7A" w14:textId="77777777" w:rsidTr="007B238A">
        <w:tc>
          <w:tcPr>
            <w:tcW w:w="1946" w:type="dxa"/>
          </w:tcPr>
          <w:p w14:paraId="360CCE42" w14:textId="281BCE46" w:rsidR="007D2429" w:rsidRDefault="007D2429" w:rsidP="007D2429">
            <w:pPr>
              <w:spacing w:after="0"/>
              <w:rPr>
                <w:color w:val="000000" w:themeColor="text1"/>
              </w:rPr>
            </w:pPr>
            <w:r>
              <w:rPr>
                <w:color w:val="000000" w:themeColor="text1"/>
              </w:rPr>
              <w:t xml:space="preserve">1 </w:t>
            </w:r>
            <w:r w:rsidR="00B76AEB">
              <w:rPr>
                <w:color w:val="000000" w:themeColor="text1"/>
              </w:rPr>
              <w:t>–</w:t>
            </w:r>
            <w:r>
              <w:rPr>
                <w:color w:val="000000" w:themeColor="text1"/>
              </w:rPr>
              <w:t xml:space="preserve"> letter</w:t>
            </w:r>
          </w:p>
        </w:tc>
        <w:tc>
          <w:tcPr>
            <w:tcW w:w="2165" w:type="dxa"/>
          </w:tcPr>
          <w:p w14:paraId="24519B03" w14:textId="536E17EA" w:rsidR="007D2429" w:rsidRDefault="007D2429" w:rsidP="00AD1B2F">
            <w:pPr>
              <w:spacing w:after="0"/>
              <w:jc w:val="right"/>
              <w:rPr>
                <w:color w:val="000000" w:themeColor="text1"/>
              </w:rPr>
            </w:pPr>
            <w:r>
              <w:rPr>
                <w:color w:val="000000" w:themeColor="text1"/>
              </w:rPr>
              <w:t>8 weeks</w:t>
            </w:r>
          </w:p>
        </w:tc>
        <w:tc>
          <w:tcPr>
            <w:tcW w:w="4809" w:type="dxa"/>
          </w:tcPr>
          <w:p w14:paraId="69B47E2E" w14:textId="7E83E136" w:rsidR="007D2429" w:rsidRDefault="007D2429" w:rsidP="00AD1B2F">
            <w:pPr>
              <w:spacing w:after="0"/>
              <w:jc w:val="right"/>
              <w:rPr>
                <w:color w:val="000000" w:themeColor="text1"/>
              </w:rPr>
            </w:pPr>
            <w:r>
              <w:rPr>
                <w:color w:val="000000" w:themeColor="text1"/>
              </w:rPr>
              <w:t>8 weeks</w:t>
            </w:r>
          </w:p>
        </w:tc>
      </w:tr>
      <w:tr w:rsidR="007D2429" w14:paraId="5A98B8DF" w14:textId="77777777" w:rsidTr="007B238A">
        <w:tc>
          <w:tcPr>
            <w:tcW w:w="1946" w:type="dxa"/>
          </w:tcPr>
          <w:p w14:paraId="33341FB7" w14:textId="2BB87825" w:rsidR="007D2429" w:rsidRDefault="007D2429" w:rsidP="007D2429">
            <w:pPr>
              <w:spacing w:after="0"/>
              <w:rPr>
                <w:color w:val="000000" w:themeColor="text1"/>
              </w:rPr>
            </w:pPr>
            <w:r>
              <w:rPr>
                <w:color w:val="000000" w:themeColor="text1"/>
              </w:rPr>
              <w:t>2 – PFUF phone call</w:t>
            </w:r>
          </w:p>
        </w:tc>
        <w:tc>
          <w:tcPr>
            <w:tcW w:w="2165" w:type="dxa"/>
          </w:tcPr>
          <w:p w14:paraId="3F41EAC0" w14:textId="458DCFEB" w:rsidR="007D2429" w:rsidRDefault="007D2429" w:rsidP="00AD1B2F">
            <w:pPr>
              <w:spacing w:after="0"/>
              <w:jc w:val="right"/>
              <w:rPr>
                <w:color w:val="000000" w:themeColor="text1"/>
              </w:rPr>
            </w:pPr>
            <w:r>
              <w:rPr>
                <w:color w:val="000000" w:themeColor="text1"/>
              </w:rPr>
              <w:t>12 weeks</w:t>
            </w:r>
          </w:p>
        </w:tc>
        <w:tc>
          <w:tcPr>
            <w:tcW w:w="4809" w:type="dxa"/>
          </w:tcPr>
          <w:p w14:paraId="120B67C5" w14:textId="6C56D167" w:rsidR="007D2429" w:rsidRDefault="007D2429" w:rsidP="00AD1B2F">
            <w:pPr>
              <w:spacing w:after="0"/>
              <w:jc w:val="right"/>
              <w:rPr>
                <w:color w:val="000000" w:themeColor="text1"/>
              </w:rPr>
            </w:pPr>
            <w:r>
              <w:rPr>
                <w:color w:val="000000" w:themeColor="text1"/>
              </w:rPr>
              <w:t>12 weeks</w:t>
            </w:r>
          </w:p>
        </w:tc>
      </w:tr>
      <w:tr w:rsidR="007D2429" w14:paraId="0FC1AF4D" w14:textId="77777777" w:rsidTr="007B238A">
        <w:tc>
          <w:tcPr>
            <w:tcW w:w="1946" w:type="dxa"/>
          </w:tcPr>
          <w:p w14:paraId="089FA52C" w14:textId="4DC52AB8" w:rsidR="007D2429" w:rsidRDefault="007D2429" w:rsidP="007D2429">
            <w:pPr>
              <w:spacing w:after="0"/>
              <w:rPr>
                <w:color w:val="000000" w:themeColor="text1"/>
              </w:rPr>
            </w:pPr>
            <w:r>
              <w:rPr>
                <w:color w:val="000000" w:themeColor="text1"/>
              </w:rPr>
              <w:t xml:space="preserve">3 </w:t>
            </w:r>
            <w:r w:rsidR="00B76AEB">
              <w:rPr>
                <w:color w:val="000000" w:themeColor="text1"/>
              </w:rPr>
              <w:t>–</w:t>
            </w:r>
            <w:r>
              <w:rPr>
                <w:color w:val="000000" w:themeColor="text1"/>
              </w:rPr>
              <w:t xml:space="preserve"> letter</w:t>
            </w:r>
          </w:p>
        </w:tc>
        <w:tc>
          <w:tcPr>
            <w:tcW w:w="2165" w:type="dxa"/>
          </w:tcPr>
          <w:p w14:paraId="6F903F74" w14:textId="2B071F70" w:rsidR="007D2429" w:rsidRPr="00CB26D7" w:rsidRDefault="00AD1B2F" w:rsidP="00AD1B2F">
            <w:pPr>
              <w:spacing w:after="0"/>
              <w:jc w:val="right"/>
              <w:rPr>
                <w:i/>
                <w:iCs/>
                <w:color w:val="012169" w:themeColor="accent4"/>
              </w:rPr>
            </w:pPr>
            <w:r>
              <w:rPr>
                <w:color w:val="000000" w:themeColor="text1"/>
              </w:rPr>
              <w:t>26</w:t>
            </w:r>
            <w:r w:rsidR="007D2429">
              <w:rPr>
                <w:color w:val="000000" w:themeColor="text1"/>
              </w:rPr>
              <w:t xml:space="preserve"> weeks</w:t>
            </w:r>
          </w:p>
        </w:tc>
        <w:tc>
          <w:tcPr>
            <w:tcW w:w="4809" w:type="dxa"/>
          </w:tcPr>
          <w:p w14:paraId="0BDF475F" w14:textId="4312BB3C" w:rsidR="007D2429" w:rsidRPr="00CB26D7" w:rsidRDefault="00AD1B2F" w:rsidP="00AD1B2F">
            <w:pPr>
              <w:spacing w:after="0"/>
              <w:jc w:val="right"/>
              <w:rPr>
                <w:i/>
                <w:iCs/>
                <w:color w:val="012169" w:themeColor="accent4"/>
              </w:rPr>
            </w:pPr>
            <w:r>
              <w:rPr>
                <w:color w:val="000000" w:themeColor="text1"/>
              </w:rPr>
              <w:t>16</w:t>
            </w:r>
            <w:r w:rsidR="007D2429">
              <w:rPr>
                <w:color w:val="000000" w:themeColor="text1"/>
              </w:rPr>
              <w:t xml:space="preserve"> weeks</w:t>
            </w:r>
          </w:p>
        </w:tc>
      </w:tr>
      <w:tr w:rsidR="007D2429" w14:paraId="2C5E63D0" w14:textId="77777777" w:rsidTr="007B238A">
        <w:tc>
          <w:tcPr>
            <w:tcW w:w="1946" w:type="dxa"/>
          </w:tcPr>
          <w:p w14:paraId="231032D3" w14:textId="271E5F36" w:rsidR="007D2429" w:rsidRDefault="007D2429" w:rsidP="007D2429">
            <w:pPr>
              <w:spacing w:after="0"/>
              <w:rPr>
                <w:color w:val="000000" w:themeColor="text1"/>
              </w:rPr>
            </w:pPr>
            <w:r>
              <w:rPr>
                <w:color w:val="000000" w:themeColor="text1"/>
              </w:rPr>
              <w:t>4 – PFUF phone call</w:t>
            </w:r>
          </w:p>
        </w:tc>
        <w:tc>
          <w:tcPr>
            <w:tcW w:w="2165" w:type="dxa"/>
          </w:tcPr>
          <w:p w14:paraId="3F7A957E" w14:textId="28480DDE" w:rsidR="007D2429" w:rsidRPr="00CB26D7" w:rsidRDefault="00AD1B2F" w:rsidP="00AD1B2F">
            <w:pPr>
              <w:spacing w:after="0"/>
              <w:jc w:val="right"/>
              <w:rPr>
                <w:i/>
                <w:iCs/>
                <w:color w:val="012169" w:themeColor="accent4"/>
              </w:rPr>
            </w:pPr>
            <w:r>
              <w:rPr>
                <w:color w:val="000000" w:themeColor="text1"/>
              </w:rPr>
              <w:t>30</w:t>
            </w:r>
            <w:r w:rsidR="007D2429">
              <w:rPr>
                <w:color w:val="000000" w:themeColor="text1"/>
              </w:rPr>
              <w:t xml:space="preserve"> weeks</w:t>
            </w:r>
          </w:p>
        </w:tc>
        <w:tc>
          <w:tcPr>
            <w:tcW w:w="4809" w:type="dxa"/>
          </w:tcPr>
          <w:p w14:paraId="5CC5D3E2" w14:textId="6AF80EEE" w:rsidR="007D2429" w:rsidRPr="00CB26D7" w:rsidRDefault="00AD1B2F" w:rsidP="00AD1B2F">
            <w:pPr>
              <w:spacing w:after="0"/>
              <w:jc w:val="right"/>
              <w:rPr>
                <w:i/>
                <w:iCs/>
                <w:color w:val="012169" w:themeColor="accent4"/>
              </w:rPr>
            </w:pPr>
            <w:r>
              <w:rPr>
                <w:color w:val="000000" w:themeColor="text1"/>
              </w:rPr>
              <w:t>20</w:t>
            </w:r>
            <w:r w:rsidR="007D2429">
              <w:rPr>
                <w:color w:val="000000" w:themeColor="text1"/>
              </w:rPr>
              <w:t xml:space="preserve"> weeks</w:t>
            </w:r>
          </w:p>
        </w:tc>
      </w:tr>
    </w:tbl>
    <w:p w14:paraId="046ABE31" w14:textId="77777777" w:rsidR="002826A1" w:rsidRDefault="002826A1" w:rsidP="002826A1">
      <w:pPr>
        <w:spacing w:after="0"/>
        <w:rPr>
          <w:color w:val="000000" w:themeColor="text1"/>
        </w:rPr>
      </w:pPr>
    </w:p>
    <w:p w14:paraId="5DC5B8E4" w14:textId="49D48610" w:rsidR="00262237" w:rsidRDefault="00262237" w:rsidP="005E50CA">
      <w:pPr>
        <w:rPr>
          <w:color w:val="000000" w:themeColor="text1"/>
        </w:rPr>
      </w:pPr>
      <w:r>
        <w:rPr>
          <w:color w:val="000000" w:themeColor="text1"/>
        </w:rPr>
        <w:t xml:space="preserve">This </w:t>
      </w:r>
      <w:r w:rsidR="009F0AF8">
        <w:rPr>
          <w:color w:val="000000" w:themeColor="text1"/>
        </w:rPr>
        <w:t xml:space="preserve">is </w:t>
      </w:r>
      <w:r>
        <w:rPr>
          <w:color w:val="000000" w:themeColor="text1"/>
        </w:rPr>
        <w:t>based on the following observations:</w:t>
      </w:r>
    </w:p>
    <w:p w14:paraId="09650A74" w14:textId="2867BBC2" w:rsidR="00CF1542" w:rsidRPr="00CC3CFB" w:rsidRDefault="00332CD1" w:rsidP="00CC3CFB">
      <w:pPr>
        <w:pStyle w:val="ListBullet"/>
        <w:spacing w:after="170"/>
      </w:pPr>
      <w:r>
        <w:rPr>
          <w:b/>
          <w:bCs/>
        </w:rPr>
        <w:t>A</w:t>
      </w:r>
      <w:r w:rsidR="00262237" w:rsidRPr="00CC3CFB">
        <w:rPr>
          <w:b/>
          <w:bCs/>
        </w:rPr>
        <w:t>ccess to GPs.</w:t>
      </w:r>
      <w:r w:rsidR="00262237" w:rsidRPr="00CC3CFB">
        <w:t xml:space="preserve"> </w:t>
      </w:r>
      <w:r w:rsidR="00FA15BF" w:rsidRPr="00CC3CFB">
        <w:t xml:space="preserve">The </w:t>
      </w:r>
      <w:r w:rsidR="00772593">
        <w:t>NHMRC</w:t>
      </w:r>
      <w:r w:rsidR="009C78CA">
        <w:t>-</w:t>
      </w:r>
      <w:r w:rsidR="00772593">
        <w:t>approved</w:t>
      </w:r>
      <w:r w:rsidR="00272468">
        <w:t xml:space="preserve"> </w:t>
      </w:r>
      <w:r w:rsidR="00FA15BF" w:rsidRPr="00CC3CFB">
        <w:t>clinical practice guidelines and the NBCSP Quality Framework</w:t>
      </w:r>
      <w:r w:rsidR="00AE3E66" w:rsidRPr="00CC3CFB">
        <w:t xml:space="preserve"> </w:t>
      </w:r>
      <w:r w:rsidR="00FA15BF" w:rsidRPr="00CC3CFB">
        <w:t>advise participants with a</w:t>
      </w:r>
      <w:r w:rsidR="00075507" w:rsidRPr="00CC3CFB">
        <w:t xml:space="preserve"> positive </w:t>
      </w:r>
      <w:proofErr w:type="spellStart"/>
      <w:r w:rsidR="00075507" w:rsidRPr="00CC3CFB">
        <w:t>iFOBT</w:t>
      </w:r>
      <w:proofErr w:type="spellEnd"/>
      <w:r w:rsidR="00075507" w:rsidRPr="00CC3CFB">
        <w:t xml:space="preserve"> </w:t>
      </w:r>
      <w:r w:rsidR="001B384D">
        <w:t xml:space="preserve">to </w:t>
      </w:r>
      <w:r w:rsidR="00075507" w:rsidRPr="00CC3CFB">
        <w:t>see their GP ‘preferably within two weeks’</w:t>
      </w:r>
      <w:r w:rsidR="001342B6">
        <w:t>.</w:t>
      </w:r>
      <w:r w:rsidR="00C524A3" w:rsidRPr="00CC3CFB">
        <w:t xml:space="preserve"> However, </w:t>
      </w:r>
      <w:r w:rsidR="008653BE">
        <w:t xml:space="preserve">as shown in </w:t>
      </w:r>
      <w:r w:rsidR="008653BE">
        <w:fldChar w:fldCharType="begin"/>
      </w:r>
      <w:r w:rsidR="008653BE">
        <w:instrText xml:space="preserve"> REF _Ref69154666 \r \h </w:instrText>
      </w:r>
      <w:r w:rsidR="008653BE">
        <w:fldChar w:fldCharType="separate"/>
      </w:r>
      <w:r w:rsidR="00F27525">
        <w:t>Table 2.4</w:t>
      </w:r>
      <w:r w:rsidR="008653BE">
        <w:fldChar w:fldCharType="end"/>
      </w:r>
      <w:r w:rsidR="008653BE">
        <w:t xml:space="preserve">, </w:t>
      </w:r>
      <w:r w:rsidR="00C524A3" w:rsidRPr="00CC3CFB">
        <w:t xml:space="preserve">the Program follow-up intervals allow the participant initially </w:t>
      </w:r>
      <w:r w:rsidR="0086397F" w:rsidRPr="00CC3CFB">
        <w:t>8</w:t>
      </w:r>
      <w:r w:rsidR="00C524A3" w:rsidRPr="00CC3CFB">
        <w:t>, and then up to 30 weeks to consult a GP</w:t>
      </w:r>
      <w:r w:rsidR="00EA79FC" w:rsidRPr="00CC3CFB">
        <w:t xml:space="preserve"> (as opposed to </w:t>
      </w:r>
      <w:r w:rsidR="00DD7A1A" w:rsidRPr="00CC3CFB">
        <w:t>8</w:t>
      </w:r>
      <w:r w:rsidR="00EA79FC" w:rsidRPr="00CC3CFB">
        <w:t xml:space="preserve"> and </w:t>
      </w:r>
      <w:r w:rsidR="00034A96" w:rsidRPr="00CC3CFB">
        <w:t xml:space="preserve">then up to </w:t>
      </w:r>
      <w:r w:rsidR="00DD7A1A" w:rsidRPr="00CC3CFB">
        <w:t>20</w:t>
      </w:r>
      <w:r w:rsidR="00034A96" w:rsidRPr="00CC3CFB">
        <w:t xml:space="preserve"> weeks</w:t>
      </w:r>
      <w:r w:rsidR="00EA79FC" w:rsidRPr="00CC3CFB">
        <w:t xml:space="preserve"> for the colonos</w:t>
      </w:r>
      <w:r w:rsidR="00AF27F4" w:rsidRPr="00CC3CFB">
        <w:t>cop</w:t>
      </w:r>
      <w:r w:rsidR="00EA79FC" w:rsidRPr="00CC3CFB">
        <w:t xml:space="preserve">y reminders). </w:t>
      </w:r>
      <w:r w:rsidR="0050235E" w:rsidRPr="00CC3CFB">
        <w:t xml:space="preserve">Analysis of NSCR data indicates that </w:t>
      </w:r>
      <w:r w:rsidR="00573279" w:rsidRPr="00CC3CFB">
        <w:t>the most significant delay in timely access to diagnostic assessment is due to extended wait times for colonoscopy after a GP consultation</w:t>
      </w:r>
      <w:r w:rsidR="0050235E" w:rsidRPr="00CC3CFB">
        <w:t xml:space="preserve"> </w:t>
      </w:r>
      <w:r w:rsidR="0050235E" w:rsidRPr="00CC3CFB">
        <w:lastRenderedPageBreak/>
        <w:t xml:space="preserve">(discussed further in </w:t>
      </w:r>
      <w:r w:rsidR="00321A73">
        <w:t>s</w:t>
      </w:r>
      <w:r w:rsidR="0050235E" w:rsidRPr="00CC3CFB">
        <w:t xml:space="preserve">ection </w:t>
      </w:r>
      <w:r w:rsidR="00AB15D7" w:rsidRPr="00CC3CFB">
        <w:fldChar w:fldCharType="begin"/>
      </w:r>
      <w:r w:rsidR="00AB15D7" w:rsidRPr="00CC3CFB">
        <w:instrText xml:space="preserve"> REF _Ref66972588 \r \h </w:instrText>
      </w:r>
      <w:r w:rsidR="00CC3CFB">
        <w:instrText xml:space="preserve"> \* MERGEFORMAT </w:instrText>
      </w:r>
      <w:r w:rsidR="00AB15D7" w:rsidRPr="00CC3CFB">
        <w:fldChar w:fldCharType="separate"/>
      </w:r>
      <w:r w:rsidR="00F27525">
        <w:t>2.1.2.3</w:t>
      </w:r>
      <w:r w:rsidR="00AB15D7" w:rsidRPr="00CC3CFB">
        <w:fldChar w:fldCharType="end"/>
      </w:r>
      <w:r w:rsidR="00AB15D7" w:rsidRPr="00CC3CFB">
        <w:t>)</w:t>
      </w:r>
      <w:r w:rsidR="00573279" w:rsidRPr="00CC3CFB">
        <w:t xml:space="preserve">. </w:t>
      </w:r>
      <w:r w:rsidR="002F42D9" w:rsidRPr="00CC3CFB">
        <w:t xml:space="preserve">It may therefore be </w:t>
      </w:r>
      <w:r w:rsidR="00CA6BBA" w:rsidRPr="00CC3CFB">
        <w:t>appropriate</w:t>
      </w:r>
      <w:r w:rsidR="002F42D9" w:rsidRPr="00CC3CFB">
        <w:t xml:space="preserve"> to shorten t</w:t>
      </w:r>
      <w:r w:rsidR="00937705" w:rsidRPr="00CC3CFB">
        <w:t>he</w:t>
      </w:r>
      <w:r w:rsidR="002F42D9" w:rsidRPr="00CC3CFB">
        <w:t xml:space="preserve"> time allowed </w:t>
      </w:r>
      <w:r w:rsidR="00573279" w:rsidRPr="00CC3CFB">
        <w:t xml:space="preserve">for GP consultation </w:t>
      </w:r>
      <w:r w:rsidR="002F42D9" w:rsidRPr="00CC3CFB">
        <w:t xml:space="preserve">to better align with </w:t>
      </w:r>
      <w:r w:rsidR="00A20955" w:rsidRPr="00CC3CFB">
        <w:t xml:space="preserve">the </w:t>
      </w:r>
      <w:r w:rsidR="003E7E9A" w:rsidRPr="00CC3CFB">
        <w:t xml:space="preserve">drivers of </w:t>
      </w:r>
      <w:r w:rsidR="00366758" w:rsidRPr="00CC3CFB">
        <w:t>timely access to diagnostic assessment</w:t>
      </w:r>
      <w:r w:rsidR="00573279" w:rsidRPr="00CC3CFB">
        <w:t>.</w:t>
      </w:r>
      <w:r w:rsidR="00922748" w:rsidRPr="00CC3CFB">
        <w:t xml:space="preserve"> </w:t>
      </w:r>
    </w:p>
    <w:p w14:paraId="5D889920" w14:textId="5E0DCCE4" w:rsidR="005E50CA" w:rsidRPr="00CC3CFB" w:rsidRDefault="00257ED9" w:rsidP="00CC3CFB">
      <w:pPr>
        <w:pStyle w:val="ListBullet"/>
        <w:spacing w:after="170"/>
      </w:pPr>
      <w:r w:rsidRPr="00CC3CFB">
        <w:rPr>
          <w:b/>
        </w:rPr>
        <w:t>Colonos</w:t>
      </w:r>
      <w:r w:rsidR="00706865" w:rsidRPr="00CC3CFB">
        <w:rPr>
          <w:b/>
        </w:rPr>
        <w:t>c</w:t>
      </w:r>
      <w:r w:rsidRPr="00CC3CFB">
        <w:rPr>
          <w:b/>
        </w:rPr>
        <w:t>opy waitlists.</w:t>
      </w:r>
      <w:r w:rsidRPr="00CC3CFB">
        <w:t xml:space="preserve"> </w:t>
      </w:r>
      <w:r w:rsidR="00661914" w:rsidRPr="00CC3CFB">
        <w:t>U</w:t>
      </w:r>
      <w:r w:rsidR="005E50CA" w:rsidRPr="00CC3CFB">
        <w:t xml:space="preserve">nder the current participant screening pathway, the relatively short interval between the </w:t>
      </w:r>
      <w:r w:rsidR="00FF29A4" w:rsidRPr="00CC3CFB">
        <w:t>second and third, and then third and fourth reminders</w:t>
      </w:r>
      <w:r w:rsidR="00A0221E" w:rsidRPr="00CC3CFB">
        <w:t xml:space="preserve"> (both four weeks), mean</w:t>
      </w:r>
      <w:r w:rsidR="0050131E" w:rsidRPr="00CC3CFB">
        <w:t>s</w:t>
      </w:r>
      <w:r w:rsidR="00A0221E" w:rsidRPr="00CC3CFB">
        <w:t xml:space="preserve"> that </w:t>
      </w:r>
      <w:r w:rsidR="000755BB" w:rsidRPr="00CC3CFB">
        <w:t>participants</w:t>
      </w:r>
      <w:r w:rsidR="0095239D" w:rsidRPr="00CC3CFB">
        <w:t xml:space="preserve"> may still be on a waitlist </w:t>
      </w:r>
      <w:r w:rsidR="000755BB" w:rsidRPr="00CC3CFB">
        <w:t>when they receive subsequent reminders</w:t>
      </w:r>
      <w:r w:rsidR="000B31FF" w:rsidRPr="00CC3CFB">
        <w:t>. This</w:t>
      </w:r>
      <w:r w:rsidR="000755BB" w:rsidRPr="00CC3CFB">
        <w:t xml:space="preserve"> </w:t>
      </w:r>
      <w:r w:rsidR="004D2189" w:rsidRPr="00CC3CFB">
        <w:t xml:space="preserve">causes wastage and </w:t>
      </w:r>
      <w:r w:rsidR="000755BB" w:rsidRPr="00CC3CFB">
        <w:t>has the p</w:t>
      </w:r>
      <w:r w:rsidR="00416422" w:rsidRPr="00CC3CFB">
        <w:t>otential</w:t>
      </w:r>
      <w:r w:rsidR="000755BB" w:rsidRPr="00CC3CFB">
        <w:t xml:space="preserve"> </w:t>
      </w:r>
      <w:r w:rsidR="004D2189" w:rsidRPr="00CC3CFB">
        <w:t xml:space="preserve">to </w:t>
      </w:r>
      <w:r w:rsidR="000755BB" w:rsidRPr="00CC3CFB">
        <w:t xml:space="preserve">cause anxiety </w:t>
      </w:r>
      <w:r w:rsidR="00C50876" w:rsidRPr="00CC3CFB">
        <w:t xml:space="preserve">in </w:t>
      </w:r>
      <w:r w:rsidR="00416422" w:rsidRPr="00CC3CFB">
        <w:t>participants</w:t>
      </w:r>
      <w:r w:rsidR="00C50876" w:rsidRPr="00CC3CFB">
        <w:t xml:space="preserve">. </w:t>
      </w:r>
    </w:p>
    <w:p w14:paraId="307CFAED" w14:textId="10AA4899" w:rsidR="00A36E29" w:rsidRPr="00A91F53" w:rsidRDefault="002F246B" w:rsidP="009D01A3">
      <w:pPr>
        <w:rPr>
          <w:color w:val="000000" w:themeColor="text1"/>
        </w:rPr>
      </w:pPr>
      <w:r>
        <w:rPr>
          <w:color w:val="000000" w:themeColor="text1"/>
        </w:rPr>
        <w:t>Shortening</w:t>
      </w:r>
      <w:r w:rsidR="00DE18D2" w:rsidRPr="00DE18D2">
        <w:rPr>
          <w:color w:val="000000" w:themeColor="text1"/>
        </w:rPr>
        <w:t xml:space="preserve"> GP</w:t>
      </w:r>
      <w:r w:rsidR="00341A09">
        <w:rPr>
          <w:color w:val="000000" w:themeColor="text1"/>
        </w:rPr>
        <w:t xml:space="preserve"> reminder intervals </w:t>
      </w:r>
      <w:r w:rsidR="00DE18D2" w:rsidRPr="00DE18D2">
        <w:rPr>
          <w:color w:val="000000" w:themeColor="text1"/>
        </w:rPr>
        <w:t xml:space="preserve">and </w:t>
      </w:r>
      <w:r>
        <w:rPr>
          <w:color w:val="000000" w:themeColor="text1"/>
        </w:rPr>
        <w:t>increasing</w:t>
      </w:r>
      <w:r w:rsidR="00DE18D2" w:rsidRPr="00DE18D2">
        <w:rPr>
          <w:color w:val="000000" w:themeColor="text1"/>
        </w:rPr>
        <w:t xml:space="preserve"> colonoscopy </w:t>
      </w:r>
      <w:r w:rsidR="00C2060E">
        <w:rPr>
          <w:color w:val="000000" w:themeColor="text1"/>
        </w:rPr>
        <w:t>reminder</w:t>
      </w:r>
      <w:r w:rsidR="00DE18D2" w:rsidRPr="00DE18D2">
        <w:rPr>
          <w:color w:val="000000" w:themeColor="text1"/>
        </w:rPr>
        <w:t xml:space="preserve"> intervals </w:t>
      </w:r>
      <w:r w:rsidR="00FB1E89">
        <w:rPr>
          <w:color w:val="000000" w:themeColor="text1"/>
        </w:rPr>
        <w:t>may be</w:t>
      </w:r>
      <w:r w:rsidR="00E57B7C">
        <w:rPr>
          <w:color w:val="000000" w:themeColor="text1"/>
        </w:rPr>
        <w:t xml:space="preserve"> appropriate based on any understanding of the key access barriers along the screening pathway</w:t>
      </w:r>
      <w:r w:rsidR="009344CD">
        <w:rPr>
          <w:color w:val="000000" w:themeColor="text1"/>
        </w:rPr>
        <w:t>.</w:t>
      </w:r>
      <w:r w:rsidR="00E57B7C">
        <w:rPr>
          <w:color w:val="000000" w:themeColor="text1"/>
        </w:rPr>
        <w:t xml:space="preserve"> </w:t>
      </w:r>
      <w:r w:rsidR="009344CD">
        <w:rPr>
          <w:color w:val="000000" w:themeColor="text1"/>
        </w:rPr>
        <w:t>H</w:t>
      </w:r>
      <w:r w:rsidR="00E57B7C">
        <w:rPr>
          <w:color w:val="000000" w:themeColor="text1"/>
        </w:rPr>
        <w:t>owever</w:t>
      </w:r>
      <w:r w:rsidR="009344CD">
        <w:rPr>
          <w:color w:val="000000" w:themeColor="text1"/>
        </w:rPr>
        <w:t>,</w:t>
      </w:r>
      <w:r w:rsidR="00E57B7C">
        <w:rPr>
          <w:color w:val="000000" w:themeColor="text1"/>
        </w:rPr>
        <w:t xml:space="preserve"> it is important that </w:t>
      </w:r>
      <w:r w:rsidR="00AD62BF">
        <w:rPr>
          <w:color w:val="000000" w:themeColor="text1"/>
        </w:rPr>
        <w:t xml:space="preserve">the suitability of </w:t>
      </w:r>
      <w:r w:rsidR="009D35F5">
        <w:rPr>
          <w:color w:val="000000" w:themeColor="text1"/>
        </w:rPr>
        <w:t>any change</w:t>
      </w:r>
      <w:r w:rsidR="00E57B7C">
        <w:rPr>
          <w:color w:val="000000" w:themeColor="text1"/>
        </w:rPr>
        <w:t xml:space="preserve"> </w:t>
      </w:r>
      <w:r w:rsidR="001B6397">
        <w:rPr>
          <w:color w:val="000000" w:themeColor="text1"/>
        </w:rPr>
        <w:t>is</w:t>
      </w:r>
      <w:r w:rsidR="00E57B7C">
        <w:rPr>
          <w:color w:val="000000" w:themeColor="text1"/>
        </w:rPr>
        <w:t xml:space="preserve"> </w:t>
      </w:r>
      <w:r w:rsidR="006F12D5">
        <w:rPr>
          <w:color w:val="000000" w:themeColor="text1"/>
        </w:rPr>
        <w:t xml:space="preserve">tested and validated with </w:t>
      </w:r>
      <w:r w:rsidR="0067694D">
        <w:rPr>
          <w:color w:val="000000" w:themeColor="text1"/>
        </w:rPr>
        <w:t>advisory groups</w:t>
      </w:r>
      <w:r w:rsidR="00AD62BF">
        <w:rPr>
          <w:color w:val="000000" w:themeColor="text1"/>
        </w:rPr>
        <w:t xml:space="preserve"> and </w:t>
      </w:r>
      <w:r w:rsidR="007C6C80">
        <w:rPr>
          <w:color w:val="000000" w:themeColor="text1"/>
        </w:rPr>
        <w:t>representatives</w:t>
      </w:r>
      <w:r w:rsidR="00AD62BF">
        <w:rPr>
          <w:color w:val="000000" w:themeColor="text1"/>
        </w:rPr>
        <w:t xml:space="preserve"> from </w:t>
      </w:r>
      <w:r w:rsidR="007C6C80">
        <w:rPr>
          <w:color w:val="000000" w:themeColor="text1"/>
        </w:rPr>
        <w:t>jurisdictional</w:t>
      </w:r>
      <w:r w:rsidR="00AD62BF">
        <w:rPr>
          <w:color w:val="000000" w:themeColor="text1"/>
        </w:rPr>
        <w:t xml:space="preserve"> colorectal departments</w:t>
      </w:r>
      <w:r w:rsidR="006F12D5">
        <w:rPr>
          <w:color w:val="000000" w:themeColor="text1"/>
        </w:rPr>
        <w:t xml:space="preserve">, given </w:t>
      </w:r>
      <w:r w:rsidR="008868E2">
        <w:rPr>
          <w:color w:val="000000" w:themeColor="text1"/>
        </w:rPr>
        <w:t xml:space="preserve">their </w:t>
      </w:r>
      <w:r w:rsidR="00341A09">
        <w:rPr>
          <w:color w:val="000000" w:themeColor="text1"/>
        </w:rPr>
        <w:t xml:space="preserve">unique </w:t>
      </w:r>
      <w:r w:rsidR="00364A3C">
        <w:rPr>
          <w:color w:val="000000" w:themeColor="text1"/>
        </w:rPr>
        <w:t>understanding of colonos</w:t>
      </w:r>
      <w:r w:rsidR="0067725C">
        <w:rPr>
          <w:color w:val="000000" w:themeColor="text1"/>
        </w:rPr>
        <w:t>c</w:t>
      </w:r>
      <w:r w:rsidR="00364A3C">
        <w:rPr>
          <w:color w:val="000000" w:themeColor="text1"/>
        </w:rPr>
        <w:t>opy waitlists</w:t>
      </w:r>
      <w:r w:rsidR="00474853">
        <w:rPr>
          <w:color w:val="000000" w:themeColor="text1"/>
        </w:rPr>
        <w:t xml:space="preserve"> and</w:t>
      </w:r>
      <w:r w:rsidR="00364A3C">
        <w:rPr>
          <w:color w:val="000000" w:themeColor="text1"/>
        </w:rPr>
        <w:t xml:space="preserve"> other clinical implications </w:t>
      </w:r>
      <w:r w:rsidR="009344CD">
        <w:rPr>
          <w:color w:val="000000" w:themeColor="text1"/>
        </w:rPr>
        <w:t>associated with</w:t>
      </w:r>
      <w:r w:rsidR="00364A3C">
        <w:rPr>
          <w:color w:val="000000" w:themeColor="text1"/>
        </w:rPr>
        <w:t xml:space="preserve"> a change of this nature.</w:t>
      </w:r>
    </w:p>
    <w:p w14:paraId="0E9990A5" w14:textId="09D9C5CE" w:rsidR="00F015D4" w:rsidRDefault="00D23261" w:rsidP="00D23261">
      <w:pPr>
        <w:pStyle w:val="Heading4"/>
      </w:pPr>
      <w:bookmarkStart w:id="74" w:name="_Ref67563079"/>
      <w:r>
        <w:t xml:space="preserve">The alternative pathway </w:t>
      </w:r>
      <w:proofErr w:type="gramStart"/>
      <w:r>
        <w:t>pilot</w:t>
      </w:r>
      <w:bookmarkEnd w:id="74"/>
      <w:proofErr w:type="gramEnd"/>
    </w:p>
    <w:p w14:paraId="25566A41" w14:textId="3754AEF7" w:rsidR="004A4895" w:rsidRPr="00CD74F1" w:rsidRDefault="004A4895" w:rsidP="00195E90">
      <w:pPr>
        <w:pStyle w:val="Pullout"/>
      </w:pPr>
      <w:r w:rsidRPr="00CD74F1">
        <w:t>Alternative distribution and completion pathways for Aboriginal and Torres Strait Islander people ha</w:t>
      </w:r>
      <w:r w:rsidR="005F187D" w:rsidRPr="00CD74F1">
        <w:t>ve</w:t>
      </w:r>
      <w:r w:rsidRPr="00CD74F1">
        <w:t xml:space="preserve"> shown to be highly effective</w:t>
      </w:r>
      <w:r w:rsidR="005F187D" w:rsidRPr="00CD74F1">
        <w:t>.</w:t>
      </w:r>
    </w:p>
    <w:p w14:paraId="54959FD2" w14:textId="2D0FD2F1" w:rsidR="00D07A28" w:rsidRDefault="00D07A28" w:rsidP="004A4895">
      <w:r>
        <w:t xml:space="preserve">To improve participation rates among people from </w:t>
      </w:r>
      <w:r w:rsidRPr="00D07A28">
        <w:t>Aboriginal and Torres Strait Islander</w:t>
      </w:r>
      <w:r w:rsidR="002376FF">
        <w:t xml:space="preserve"> </w:t>
      </w:r>
      <w:r>
        <w:t xml:space="preserve">backgrounds, </w:t>
      </w:r>
      <w:r w:rsidR="002376FF">
        <w:t>the</w:t>
      </w:r>
      <w:r w:rsidR="004A4895">
        <w:t xml:space="preserve"> Department partnered with Menzies</w:t>
      </w:r>
      <w:r w:rsidR="00650353">
        <w:t xml:space="preserve"> School of Health Research</w:t>
      </w:r>
      <w:r w:rsidR="004A4895">
        <w:t xml:space="preserve"> to implement the Alternative Pathway</w:t>
      </w:r>
      <w:r w:rsidR="00711B91">
        <w:t xml:space="preserve"> in 2015</w:t>
      </w:r>
      <w:r w:rsidR="004A4895">
        <w:t xml:space="preserve">. The </w:t>
      </w:r>
      <w:r w:rsidR="00557975">
        <w:t>Alternative Pathway</w:t>
      </w:r>
      <w:r w:rsidR="004A4895">
        <w:t xml:space="preserve"> involved 36 Indigenous primary health care centres offering kits directly to their patients age</w:t>
      </w:r>
      <w:r w:rsidR="003F3D22">
        <w:t>d</w:t>
      </w:r>
      <w:r w:rsidR="004A4895">
        <w:t xml:space="preserve"> 50 to 74, as an alternative to the usual mail-out out method. </w:t>
      </w:r>
      <w:r w:rsidR="005B3A39">
        <w:t>Other aspects of the pathway were tailored in the following ways</w:t>
      </w:r>
      <w:r>
        <w:t>:</w:t>
      </w:r>
    </w:p>
    <w:p w14:paraId="5A8FFB31" w14:textId="77777777" w:rsidR="002962B8" w:rsidRDefault="002962B8" w:rsidP="00711B91">
      <w:pPr>
        <w:pStyle w:val="ListBullet"/>
      </w:pPr>
      <w:r>
        <w:t>cultural training for practitioners including face-to-face training, online training module, information sheets and links to online content</w:t>
      </w:r>
    </w:p>
    <w:p w14:paraId="60A46A27" w14:textId="77777777" w:rsidR="002962B8" w:rsidRDefault="002962B8" w:rsidP="00711B91">
      <w:pPr>
        <w:pStyle w:val="ListBullet"/>
      </w:pPr>
      <w:r>
        <w:t>tailored resources to address health literacy gaps, for example modifying the instructions</w:t>
      </w:r>
    </w:p>
    <w:p w14:paraId="1E8954D4" w14:textId="77777777" w:rsidR="002962B8" w:rsidRDefault="002962B8" w:rsidP="00711B91">
      <w:pPr>
        <w:pStyle w:val="ListBullet"/>
      </w:pPr>
      <w:r>
        <w:t>in-clinic recommendations by GPs</w:t>
      </w:r>
    </w:p>
    <w:p w14:paraId="158809C2" w14:textId="77777777" w:rsidR="002962B8" w:rsidRDefault="002962B8" w:rsidP="00711B91">
      <w:pPr>
        <w:pStyle w:val="ListBullet"/>
      </w:pPr>
      <w:r>
        <w:t>kit packaging using Indigenous designs and colours and messaging that had been test through focus groups and found to resonate with Indigenous people</w:t>
      </w:r>
    </w:p>
    <w:p w14:paraId="7B063689" w14:textId="1F24DC40" w:rsidR="00711B91" w:rsidRDefault="00EC01E4" w:rsidP="00711B91">
      <w:pPr>
        <w:pStyle w:val="ListBullet"/>
        <w:spacing w:after="170"/>
      </w:pPr>
      <w:r>
        <w:t xml:space="preserve">understanding </w:t>
      </w:r>
      <w:r w:rsidR="002962B8">
        <w:t xml:space="preserve">cultural protocols </w:t>
      </w:r>
      <w:r w:rsidR="00BD1523">
        <w:t>to facilitate</w:t>
      </w:r>
      <w:r w:rsidR="002962B8">
        <w:t xml:space="preserve"> communication about bowel cancer screening</w:t>
      </w:r>
      <w:r w:rsidR="00711B91">
        <w:t>.</w:t>
      </w:r>
    </w:p>
    <w:p w14:paraId="24D0278A" w14:textId="7DF9EA58" w:rsidR="005B33F1" w:rsidRDefault="00D07A28" w:rsidP="00711B91">
      <w:pPr>
        <w:pStyle w:val="ListBullet"/>
        <w:numPr>
          <w:ilvl w:val="0"/>
          <w:numId w:val="0"/>
        </w:numPr>
        <w:spacing w:after="170"/>
        <w:rPr>
          <w:vertAlign w:val="superscript"/>
        </w:rPr>
      </w:pPr>
      <w:r>
        <w:t xml:space="preserve">Outcomes from the pilot of the Alternative Pathway </w:t>
      </w:r>
      <w:r w:rsidR="002962B8">
        <w:t xml:space="preserve">highlight </w:t>
      </w:r>
      <w:r>
        <w:t xml:space="preserve">the efficacy and appropriateness of the model for this cohort. </w:t>
      </w:r>
      <w:r w:rsidR="004A4895">
        <w:t xml:space="preserve">The pilot resulted in an </w:t>
      </w:r>
      <w:r w:rsidR="0009765C">
        <w:t xml:space="preserve">Aboriginal and Torres Strait Islander </w:t>
      </w:r>
      <w:r w:rsidR="004A4895">
        <w:t>participation rate of 40 per cent (</w:t>
      </w:r>
      <w:proofErr w:type="gramStart"/>
      <w:r w:rsidR="004A4895">
        <w:t>similar to</w:t>
      </w:r>
      <w:proofErr w:type="gramEnd"/>
      <w:r w:rsidR="004A4895">
        <w:t xml:space="preserve"> the rate for all Australians) compared to 23 per cent in the </w:t>
      </w:r>
      <w:r w:rsidR="00833708">
        <w:t xml:space="preserve">traditional </w:t>
      </w:r>
      <w:r w:rsidR="004A4895">
        <w:t>pathway</w:t>
      </w:r>
      <w:r>
        <w:t xml:space="preserve">. In addition, </w:t>
      </w:r>
      <w:r w:rsidR="002962B8">
        <w:t xml:space="preserve">the </w:t>
      </w:r>
      <w:r>
        <w:t xml:space="preserve">median number of days in which kits were returned was 13 days for the Alternative Pathway compared to 34 days in the </w:t>
      </w:r>
      <w:r w:rsidR="007053A2">
        <w:t>traditional</w:t>
      </w:r>
      <w:r>
        <w:t xml:space="preserve"> pathway.</w:t>
      </w:r>
      <w:r>
        <w:rPr>
          <w:rStyle w:val="EndnoteReference"/>
        </w:rPr>
        <w:endnoteReference w:id="22"/>
      </w:r>
      <w:r w:rsidRPr="004C094E">
        <w:rPr>
          <w:vertAlign w:val="superscript"/>
        </w:rPr>
        <w:t>,</w:t>
      </w:r>
      <w:r>
        <w:rPr>
          <w:rStyle w:val="EndnoteReference"/>
        </w:rPr>
        <w:endnoteReference w:id="23"/>
      </w:r>
      <w:r w:rsidR="005F187D">
        <w:rPr>
          <w:vertAlign w:val="superscript"/>
        </w:rPr>
        <w:t xml:space="preserve"> </w:t>
      </w:r>
    </w:p>
    <w:p w14:paraId="51DC31EF" w14:textId="19B3EC82" w:rsidR="00D07A28" w:rsidRDefault="00FC3F7A" w:rsidP="00711B91">
      <w:pPr>
        <w:pStyle w:val="ListBullet"/>
        <w:numPr>
          <w:ilvl w:val="0"/>
          <w:numId w:val="0"/>
        </w:numPr>
        <w:spacing w:after="170"/>
      </w:pPr>
      <w:r>
        <w:t>Insights gleaned from consultations supported</w:t>
      </w:r>
      <w:r w:rsidR="00DC0629">
        <w:t xml:space="preserve"> these </w:t>
      </w:r>
      <w:r w:rsidR="00B51375">
        <w:t>findings</w:t>
      </w:r>
      <w:r w:rsidR="00DC0629">
        <w:t xml:space="preserve">, </w:t>
      </w:r>
      <w:r w:rsidR="00B51375">
        <w:t xml:space="preserve">with </w:t>
      </w:r>
      <w:r w:rsidR="002026CB">
        <w:t>strong sentiment</w:t>
      </w:r>
      <w:r w:rsidR="00B51375">
        <w:t xml:space="preserve"> that the</w:t>
      </w:r>
      <w:r w:rsidR="005F187D">
        <w:t xml:space="preserve"> model is an appropriate method for reaching people from </w:t>
      </w:r>
      <w:r w:rsidR="005F187D" w:rsidRPr="00D07A28">
        <w:t>Aboriginal and Torres Strait Islander</w:t>
      </w:r>
      <w:r w:rsidR="005F187D">
        <w:t xml:space="preserve"> backgrounds</w:t>
      </w:r>
      <w:r w:rsidR="00A32139">
        <w:t>. There was consensus that the model</w:t>
      </w:r>
      <w:r w:rsidR="005F187D">
        <w:t xml:space="preserve"> could be scaled to other </w:t>
      </w:r>
      <w:r w:rsidR="00A32139" w:rsidRPr="00D07A28">
        <w:t>Aboriginal and Torres Strait Islander</w:t>
      </w:r>
      <w:r w:rsidR="00A32139">
        <w:t xml:space="preserve"> </w:t>
      </w:r>
      <w:r w:rsidR="005F187D">
        <w:t>communities and/or other groups such as people from CALD backgrounds</w:t>
      </w:r>
      <w:r w:rsidR="00D12EA2">
        <w:t xml:space="preserve">. </w:t>
      </w:r>
      <w:r w:rsidR="00282530">
        <w:t>This was noted with th</w:t>
      </w:r>
      <w:r w:rsidR="002B126C">
        <w:t>e</w:t>
      </w:r>
      <w:r w:rsidR="00282530">
        <w:t xml:space="preserve"> caveat that</w:t>
      </w:r>
      <w:r w:rsidR="00611B89">
        <w:t xml:space="preserve">, </w:t>
      </w:r>
      <w:r w:rsidR="00E22A12">
        <w:t>in</w:t>
      </w:r>
      <w:r w:rsidR="00611B89">
        <w:t xml:space="preserve"> any decision to scale,</w:t>
      </w:r>
      <w:r w:rsidR="005F187D">
        <w:t xml:space="preserve"> the</w:t>
      </w:r>
      <w:r w:rsidR="00970C0E">
        <w:t xml:space="preserve"> target</w:t>
      </w:r>
      <w:r w:rsidR="005F187D">
        <w:t xml:space="preserve"> </w:t>
      </w:r>
      <w:r w:rsidR="003A09B0">
        <w:t>population</w:t>
      </w:r>
      <w:r w:rsidR="000F060A">
        <w:t>’s unique</w:t>
      </w:r>
      <w:r w:rsidR="003A09B0">
        <w:t xml:space="preserve"> </w:t>
      </w:r>
      <w:r w:rsidR="00535A1E">
        <w:t xml:space="preserve">access </w:t>
      </w:r>
      <w:r w:rsidR="005F187D">
        <w:t xml:space="preserve">barriers should </w:t>
      </w:r>
      <w:r w:rsidR="00535A1E">
        <w:t xml:space="preserve">be </w:t>
      </w:r>
      <w:r w:rsidR="00687EC8">
        <w:t>considered</w:t>
      </w:r>
      <w:r w:rsidR="005F187D">
        <w:t>, and approaches and resources</w:t>
      </w:r>
      <w:r w:rsidR="00970C0E">
        <w:t xml:space="preserve"> from the Alterative Pathway</w:t>
      </w:r>
      <w:r w:rsidR="005F187D">
        <w:t xml:space="preserve"> tailored, as appropriate. </w:t>
      </w:r>
    </w:p>
    <w:p w14:paraId="624ED40A" w14:textId="77777777" w:rsidR="005F187D" w:rsidRDefault="005F187D" w:rsidP="005F187D">
      <w:pPr>
        <w:pStyle w:val="Heading4"/>
      </w:pPr>
      <w:bookmarkStart w:id="75" w:name="_Ref67316215"/>
      <w:r>
        <w:t>The diagnostic value of the test</w:t>
      </w:r>
      <w:bookmarkEnd w:id="75"/>
    </w:p>
    <w:p w14:paraId="05298184" w14:textId="5821AEC3" w:rsidR="005F187D" w:rsidRPr="00A62EEE" w:rsidRDefault="005F187D" w:rsidP="00195E90">
      <w:pPr>
        <w:pStyle w:val="Pullout"/>
      </w:pPr>
      <w:r>
        <w:t xml:space="preserve">The </w:t>
      </w:r>
      <w:proofErr w:type="spellStart"/>
      <w:r>
        <w:t>iFOBT</w:t>
      </w:r>
      <w:proofErr w:type="spellEnd"/>
      <w:r>
        <w:t xml:space="preserve"> is considered the most accurate and easy-to-use at-home test available. The diagnostic value of Australia’s two-sample test is higher than </w:t>
      </w:r>
      <w:r w:rsidR="00F154A9">
        <w:t>the tests used in</w:t>
      </w:r>
      <w:r>
        <w:t xml:space="preserve"> many </w:t>
      </w:r>
      <w:r w:rsidR="00F154A9">
        <w:t>comparable programs overseas</w:t>
      </w:r>
      <w:r>
        <w:t xml:space="preserve"> and is considered a strength of the Program.</w:t>
      </w:r>
    </w:p>
    <w:p w14:paraId="245A5E6D" w14:textId="1F3A4EFA" w:rsidR="005F187D" w:rsidRPr="00F76030" w:rsidRDefault="005F187D" w:rsidP="005F187D">
      <w:r>
        <w:t xml:space="preserve">Evidence in the literature </w:t>
      </w:r>
      <w:r w:rsidR="00493F22">
        <w:t xml:space="preserve">on diagnostic test accuracy </w:t>
      </w:r>
      <w:r>
        <w:t>shows that the</w:t>
      </w:r>
      <w:r w:rsidRPr="00BE5E03">
        <w:t xml:space="preserve"> </w:t>
      </w:r>
      <w:proofErr w:type="spellStart"/>
      <w:r w:rsidRPr="00BE5E03">
        <w:t>iFOBT</w:t>
      </w:r>
      <w:proofErr w:type="spellEnd"/>
      <w:r w:rsidRPr="00BE5E03">
        <w:t xml:space="preserve"> </w:t>
      </w:r>
      <w:r>
        <w:t>is the most accurate test on the market when compared with alterative at-home tests (</w:t>
      </w:r>
      <w:proofErr w:type="gramStart"/>
      <w:r>
        <w:t>e.g.</w:t>
      </w:r>
      <w:proofErr w:type="gramEnd"/>
      <w:r>
        <w:t xml:space="preserve"> </w:t>
      </w:r>
      <w:r w:rsidR="00DD1DB5">
        <w:t>g</w:t>
      </w:r>
      <w:r w:rsidR="00DD1DB5" w:rsidRPr="00DD1DB5">
        <w:t xml:space="preserve">uaiac </w:t>
      </w:r>
      <w:r w:rsidR="00DD1DB5" w:rsidRPr="00DD1DB5">
        <w:lastRenderedPageBreak/>
        <w:t xml:space="preserve">faecal occult blood test </w:t>
      </w:r>
      <w:r w:rsidR="00DD1DB5">
        <w:t>(</w:t>
      </w:r>
      <w:proofErr w:type="spellStart"/>
      <w:r>
        <w:t>gFOBT</w:t>
      </w:r>
      <w:proofErr w:type="spellEnd"/>
      <w:r w:rsidR="00DD1DB5">
        <w:t>)</w:t>
      </w:r>
      <w:r>
        <w:t>, especially in the detection of advanced adenomas.</w:t>
      </w:r>
      <w:r>
        <w:rPr>
          <w:rStyle w:val="EndnoteReference"/>
        </w:rPr>
        <w:endnoteReference w:id="24"/>
      </w:r>
      <w:r w:rsidRPr="007D77C7">
        <w:rPr>
          <w:vertAlign w:val="superscript"/>
        </w:rPr>
        <w:t>,</w:t>
      </w:r>
      <w:r>
        <w:rPr>
          <w:rStyle w:val="EndnoteReference"/>
        </w:rPr>
        <w:endnoteReference w:id="25"/>
      </w:r>
      <w:r w:rsidRPr="007D77C7">
        <w:rPr>
          <w:vertAlign w:val="superscript"/>
        </w:rPr>
        <w:t>,</w:t>
      </w:r>
      <w:r>
        <w:rPr>
          <w:rStyle w:val="EndnoteReference"/>
        </w:rPr>
        <w:endnoteReference w:id="26"/>
      </w:r>
      <w:r>
        <w:t xml:space="preserve"> Outside of diagnostic value, the literature shows that the </w:t>
      </w:r>
      <w:proofErr w:type="spellStart"/>
      <w:r>
        <w:t>iFOBT</w:t>
      </w:r>
      <w:proofErr w:type="spellEnd"/>
      <w:r>
        <w:t xml:space="preserve"> is superior to other at-home tests from an ease-of-use perspective, as participants </w:t>
      </w:r>
      <w:r w:rsidR="00663B7E">
        <w:t>are not required</w:t>
      </w:r>
      <w:r>
        <w:t xml:space="preserve"> to change their diets or stop taking certain medications.</w:t>
      </w:r>
      <w:r>
        <w:rPr>
          <w:rStyle w:val="EndnoteReference"/>
        </w:rPr>
        <w:endnoteReference w:id="27"/>
      </w:r>
      <w:r>
        <w:rPr>
          <w:vertAlign w:val="superscript"/>
        </w:rPr>
        <w:t>,</w:t>
      </w:r>
      <w:r>
        <w:rPr>
          <w:rStyle w:val="EndnoteReference"/>
        </w:rPr>
        <w:endnoteReference w:id="28"/>
      </w:r>
    </w:p>
    <w:p w14:paraId="39E53B4A" w14:textId="34128C7B" w:rsidR="005F187D" w:rsidRDefault="005F187D" w:rsidP="005F187D">
      <w:r>
        <w:t>The diagnostic value of</w:t>
      </w:r>
      <w:r w:rsidR="00883CDC">
        <w:t xml:space="preserve"> Australia’s</w:t>
      </w:r>
      <w:r>
        <w:t xml:space="preserve"> two-sample </w:t>
      </w:r>
      <w:proofErr w:type="spellStart"/>
      <w:r>
        <w:t>iFOBT</w:t>
      </w:r>
      <w:proofErr w:type="spellEnd"/>
      <w:r>
        <w:t xml:space="preserve"> is higher than </w:t>
      </w:r>
      <w:r w:rsidR="00283918">
        <w:t xml:space="preserve">the </w:t>
      </w:r>
      <w:proofErr w:type="spellStart"/>
      <w:r w:rsidR="00290276">
        <w:t>iFOBT</w:t>
      </w:r>
      <w:proofErr w:type="spellEnd"/>
      <w:r w:rsidR="00290276">
        <w:t xml:space="preserve"> </w:t>
      </w:r>
      <w:r w:rsidR="00283918">
        <w:t>tests used in comparable programs overseas</w:t>
      </w:r>
      <w:r w:rsidR="006017A8">
        <w:t>, as most</w:t>
      </w:r>
      <w:r w:rsidR="00283918">
        <w:t xml:space="preserve"> other</w:t>
      </w:r>
      <w:r w:rsidR="006017A8">
        <w:t xml:space="preserve"> countries use</w:t>
      </w:r>
      <w:r>
        <w:t xml:space="preserve"> </w:t>
      </w:r>
      <w:r w:rsidR="006017A8">
        <w:t>a</w:t>
      </w:r>
      <w:r>
        <w:t xml:space="preserve"> one</w:t>
      </w:r>
      <w:r w:rsidR="00340259">
        <w:t>-</w:t>
      </w:r>
      <w:r>
        <w:t>sample</w:t>
      </w:r>
      <w:r w:rsidR="006017A8">
        <w:t xml:space="preserve"> </w:t>
      </w:r>
      <w:proofErr w:type="spellStart"/>
      <w:r w:rsidR="003F5E97">
        <w:t>i</w:t>
      </w:r>
      <w:r w:rsidR="006017A8">
        <w:t>FOBT</w:t>
      </w:r>
      <w:proofErr w:type="spellEnd"/>
      <w:r>
        <w:t>.</w:t>
      </w:r>
      <w:r>
        <w:rPr>
          <w:rStyle w:val="EndnoteReference"/>
        </w:rPr>
        <w:endnoteReference w:id="29"/>
      </w:r>
      <w:r>
        <w:t xml:space="preserve"> While the two-sample test results in enhanced detection of lesions </w:t>
      </w:r>
      <w:r w:rsidR="00BA1554">
        <w:t xml:space="preserve">(higher sensitivity) </w:t>
      </w:r>
      <w:r w:rsidR="00340259">
        <w:t>with a</w:t>
      </w:r>
      <w:r>
        <w:t xml:space="preserve"> lower colonoscopy workload</w:t>
      </w:r>
      <w:r w:rsidR="00BE0BA7">
        <w:t xml:space="preserve"> (</w:t>
      </w:r>
      <w:r w:rsidR="005C0F5A">
        <w:t>high</w:t>
      </w:r>
      <w:r w:rsidR="00124205">
        <w:t>er</w:t>
      </w:r>
      <w:r w:rsidR="005C0F5A">
        <w:t xml:space="preserve"> specifi</w:t>
      </w:r>
      <w:r w:rsidR="00830B3D">
        <w:t>ci</w:t>
      </w:r>
      <w:r w:rsidR="005C0F5A">
        <w:t>ty</w:t>
      </w:r>
      <w:r w:rsidR="00BE0BA7">
        <w:t>)</w:t>
      </w:r>
      <w:r w:rsidR="00830B3D">
        <w:t>,</w:t>
      </w:r>
      <w:r>
        <w:t xml:space="preserve"> </w:t>
      </w:r>
      <w:r w:rsidR="003F5E97">
        <w:t>stakeholders</w:t>
      </w:r>
      <w:r>
        <w:t xml:space="preserve"> observed that it </w:t>
      </w:r>
      <w:r w:rsidR="003F5E97">
        <w:t>may</w:t>
      </w:r>
      <w:r>
        <w:t xml:space="preserve"> </w:t>
      </w:r>
      <w:r w:rsidR="00762397">
        <w:t xml:space="preserve">also </w:t>
      </w:r>
      <w:r>
        <w:t>contribute to a reduction in the participation rate</w:t>
      </w:r>
      <w:r w:rsidR="000A3B30">
        <w:rPr>
          <w:rStyle w:val="FootnoteReference"/>
        </w:rPr>
        <w:footnoteReference w:id="15"/>
      </w:r>
      <w:r>
        <w:t>, owing to the challenge in collecting and refrigerating two samples over multiple days.</w:t>
      </w:r>
      <w:r>
        <w:rPr>
          <w:rStyle w:val="EndnoteReference"/>
        </w:rPr>
        <w:endnoteReference w:id="30"/>
      </w:r>
      <w:r w:rsidRPr="00364447">
        <w:rPr>
          <w:vertAlign w:val="superscript"/>
        </w:rPr>
        <w:t>,</w:t>
      </w:r>
      <w:r>
        <w:rPr>
          <w:rStyle w:val="EndnoteReference"/>
        </w:rPr>
        <w:endnoteReference w:id="31"/>
      </w:r>
      <w:r>
        <w:t xml:space="preserve"> </w:t>
      </w:r>
      <w:r w:rsidR="000A3B30">
        <w:t>Despite this, s</w:t>
      </w:r>
      <w:r>
        <w:t xml:space="preserve">takeholders agreed that the accuracy of Australia’s two-sample test </w:t>
      </w:r>
      <w:r w:rsidR="0086533D">
        <w:t>is</w:t>
      </w:r>
      <w:r>
        <w:t xml:space="preserve"> a strength of the Program, and </w:t>
      </w:r>
      <w:r w:rsidR="007C67B4">
        <w:t xml:space="preserve">extensive </w:t>
      </w:r>
      <w:r w:rsidR="00053B5F">
        <w:t xml:space="preserve">clinical </w:t>
      </w:r>
      <w:r>
        <w:t xml:space="preserve">research and stakeholder engagement should occur before considering transition to a one-sample test. </w:t>
      </w:r>
    </w:p>
    <w:p w14:paraId="2A20487F" w14:textId="21391359" w:rsidR="005F187D" w:rsidRPr="00CD74F1" w:rsidRDefault="005F187D" w:rsidP="00195E90">
      <w:r w:rsidRPr="00CD74F1">
        <w:t>The efficacy of emerging testing technologies should continue to be monitored.</w:t>
      </w:r>
    </w:p>
    <w:p w14:paraId="173DFC6B" w14:textId="4B0AD80E" w:rsidR="0014770F" w:rsidRDefault="005F187D" w:rsidP="005F187D">
      <w:r>
        <w:t xml:space="preserve">Although the two-sample </w:t>
      </w:r>
      <w:proofErr w:type="spellStart"/>
      <w:r>
        <w:t>iFOBT</w:t>
      </w:r>
      <w:proofErr w:type="spellEnd"/>
      <w:r>
        <w:t xml:space="preserve"> is currently considered best practice, the suitability of new technology and diagnostic methods should be reviewed in collaboration with</w:t>
      </w:r>
      <w:r w:rsidR="00C37F76">
        <w:t xml:space="preserve"> Health Technology </w:t>
      </w:r>
      <w:r w:rsidR="00606F62">
        <w:t>Assessment committees</w:t>
      </w:r>
      <w:r>
        <w:t xml:space="preserve">. </w:t>
      </w:r>
    </w:p>
    <w:p w14:paraId="64F847AF" w14:textId="3939E995" w:rsidR="00942174" w:rsidRDefault="005F187D" w:rsidP="005F187D">
      <w:r w:rsidRPr="002B78B4">
        <w:t xml:space="preserve">For example, </w:t>
      </w:r>
      <w:r>
        <w:t xml:space="preserve">emerging </w:t>
      </w:r>
      <w:r w:rsidRPr="002B78B4">
        <w:t xml:space="preserve">evidence shows the sensitivity of </w:t>
      </w:r>
      <w:r>
        <w:t>liquid biopsies</w:t>
      </w:r>
      <w:r w:rsidRPr="002B78B4">
        <w:t xml:space="preserve"> for detecting </w:t>
      </w:r>
      <w:proofErr w:type="gramStart"/>
      <w:r w:rsidRPr="002B78B4">
        <w:t>early stage</w:t>
      </w:r>
      <w:proofErr w:type="gramEnd"/>
      <w:r w:rsidRPr="002B78B4">
        <w:t xml:space="preserve"> bowel cancer </w:t>
      </w:r>
      <w:r>
        <w:t xml:space="preserve">may be </w:t>
      </w:r>
      <w:r w:rsidRPr="002B78B4">
        <w:t>superior</w:t>
      </w:r>
      <w:r>
        <w:t xml:space="preserve"> </w:t>
      </w:r>
      <w:r w:rsidRPr="002B78B4">
        <w:t xml:space="preserve">to </w:t>
      </w:r>
      <w:r>
        <w:t xml:space="preserve">the </w:t>
      </w:r>
      <w:proofErr w:type="spellStart"/>
      <w:r w:rsidRPr="002B78B4">
        <w:t>iFOBT</w:t>
      </w:r>
      <w:proofErr w:type="spellEnd"/>
      <w:r w:rsidRPr="002B78B4">
        <w:t xml:space="preserve">, with a pilot study </w:t>
      </w:r>
      <w:r>
        <w:t>currently in progress at t</w:t>
      </w:r>
      <w:r w:rsidRPr="002B78B4">
        <w:t>he Royal Marsden Hospital in the U</w:t>
      </w:r>
      <w:r w:rsidR="00B81118">
        <w:t xml:space="preserve">nited </w:t>
      </w:r>
      <w:r w:rsidRPr="002B78B4">
        <w:t>K</w:t>
      </w:r>
      <w:r w:rsidR="00B81118">
        <w:t>ingdom</w:t>
      </w:r>
      <w:r>
        <w:t>.</w:t>
      </w:r>
      <w:r>
        <w:rPr>
          <w:rStyle w:val="EndnoteReference"/>
        </w:rPr>
        <w:endnoteReference w:id="32"/>
      </w:r>
      <w:r>
        <w:t xml:space="preserve"> </w:t>
      </w:r>
      <w:r w:rsidR="001355D7">
        <w:t xml:space="preserve">Liquid biopsies aim to detect </w:t>
      </w:r>
      <w:r w:rsidR="00CC3B90">
        <w:t xml:space="preserve">circulating </w:t>
      </w:r>
      <w:proofErr w:type="spellStart"/>
      <w:r w:rsidR="00CC3B90">
        <w:t>tumor</w:t>
      </w:r>
      <w:proofErr w:type="spellEnd"/>
      <w:r w:rsidR="00CC3B90">
        <w:t xml:space="preserve"> cell-free DNA</w:t>
      </w:r>
      <w:r w:rsidR="00500BDB">
        <w:t xml:space="preserve"> </w:t>
      </w:r>
      <w:r w:rsidR="00A0409E">
        <w:t xml:space="preserve">to detect cancer. However, the use of liquid biopsies as a screening </w:t>
      </w:r>
      <w:r w:rsidR="005620B5">
        <w:t xml:space="preserve">technology (as opposed to </w:t>
      </w:r>
      <w:r w:rsidR="00566A91">
        <w:t>its</w:t>
      </w:r>
      <w:r w:rsidR="005620B5">
        <w:t xml:space="preserve"> use in diagnosed </w:t>
      </w:r>
      <w:r w:rsidR="00C557D3">
        <w:t>cancer cases</w:t>
      </w:r>
      <w:r w:rsidR="005620B5">
        <w:t xml:space="preserve">) requires multiple criteria to be met. Firstly, </w:t>
      </w:r>
      <w:r w:rsidR="000069E1">
        <w:t xml:space="preserve">if the test is designed to detect </w:t>
      </w:r>
      <w:r w:rsidR="002E02E6">
        <w:t>multiple cancers, it must be able to determine the tissue of origin with reasonable accura</w:t>
      </w:r>
      <w:r w:rsidR="00437819">
        <w:t>c</w:t>
      </w:r>
      <w:r w:rsidR="002E02E6">
        <w:t xml:space="preserve">y, to avoid </w:t>
      </w:r>
      <w:r w:rsidR="003C2B8C">
        <w:t xml:space="preserve">patients undergoing a series of expensive diagnostic procedures as a result. </w:t>
      </w:r>
      <w:r w:rsidR="00DD463B">
        <w:t xml:space="preserve">The </w:t>
      </w:r>
      <w:r w:rsidR="003C2B8C">
        <w:t>false positive rate would also need to be low</w:t>
      </w:r>
      <w:r w:rsidR="00C60E5E">
        <w:t xml:space="preserve"> to avoid large diagnostic costs, and </w:t>
      </w:r>
      <w:r w:rsidR="00B61D3B">
        <w:t xml:space="preserve">the test would be required to perform </w:t>
      </w:r>
      <w:r w:rsidR="00C60E5E">
        <w:t>adequately in asymptomatic populations.</w:t>
      </w:r>
      <w:r w:rsidR="00437819">
        <w:t xml:space="preserve"> </w:t>
      </w:r>
      <w:r w:rsidR="007B3707">
        <w:t>Finally, the</w:t>
      </w:r>
      <w:r w:rsidR="0014318C">
        <w:t xml:space="preserve"> prospect of liquid biopsies </w:t>
      </w:r>
      <w:r w:rsidR="005863EC">
        <w:t xml:space="preserve">as a screening tool for multiple cancers </w:t>
      </w:r>
      <w:r w:rsidR="003D4309">
        <w:t xml:space="preserve">may also </w:t>
      </w:r>
      <w:r w:rsidR="00BA126F">
        <w:t>require</w:t>
      </w:r>
      <w:r w:rsidR="003D4309">
        <w:t xml:space="preserve"> a comprehensive cost-effectiveness evaluation </w:t>
      </w:r>
      <w:r w:rsidR="00BA126F">
        <w:t xml:space="preserve">examining </w:t>
      </w:r>
      <w:r w:rsidR="00A078B3">
        <w:t>many facets</w:t>
      </w:r>
      <w:r w:rsidR="00BA126F">
        <w:t xml:space="preserve"> of the</w:t>
      </w:r>
      <w:r w:rsidR="009F7726">
        <w:t xml:space="preserve"> Australian health system</w:t>
      </w:r>
      <w:r w:rsidR="007B3707">
        <w:t>.</w:t>
      </w:r>
      <w:r w:rsidR="009F7726">
        <w:t xml:space="preserve"> </w:t>
      </w:r>
      <w:r w:rsidR="007B3707">
        <w:t>This would be due to the</w:t>
      </w:r>
      <w:r w:rsidR="009F7726">
        <w:t xml:space="preserve"> cancer-screening programs</w:t>
      </w:r>
      <w:r w:rsidR="001926C2">
        <w:t xml:space="preserve"> already</w:t>
      </w:r>
      <w:r w:rsidR="00562357">
        <w:t xml:space="preserve"> in place for breast, bowel and cervical cancer, alongside the</w:t>
      </w:r>
      <w:r w:rsidR="009F7726">
        <w:t xml:space="preserve"> </w:t>
      </w:r>
      <w:r w:rsidR="00F81980">
        <w:t xml:space="preserve">personalised diagnostic </w:t>
      </w:r>
      <w:r w:rsidR="00C557D3">
        <w:t>journeys that Australians currently face</w:t>
      </w:r>
      <w:r w:rsidR="00562357">
        <w:t xml:space="preserve"> for other cancers which may be in scope</w:t>
      </w:r>
      <w:r w:rsidR="001926C2">
        <w:t xml:space="preserve"> for the test</w:t>
      </w:r>
      <w:r w:rsidR="00562357">
        <w:t>.</w:t>
      </w:r>
      <w:r w:rsidR="00C557D3">
        <w:t xml:space="preserve"> </w:t>
      </w:r>
    </w:p>
    <w:p w14:paraId="5ECC9B03" w14:textId="64225811" w:rsidR="00C37F76" w:rsidRDefault="005F187D" w:rsidP="005F187D">
      <w:r>
        <w:t>In addition, new simple blood test methods are emerging for groups w</w:t>
      </w:r>
      <w:r w:rsidR="00B71C4E">
        <w:t xml:space="preserve">ho </w:t>
      </w:r>
      <w:r>
        <w:t>are not able to complete faecal testing easily (</w:t>
      </w:r>
      <w:proofErr w:type="gramStart"/>
      <w:r>
        <w:t>e.g.</w:t>
      </w:r>
      <w:proofErr w:type="gramEnd"/>
      <w:r>
        <w:t xml:space="preserve"> those with benign bleeding, those who are visually impaired and those with mobility or cognitive issues).</w:t>
      </w:r>
      <w:r>
        <w:rPr>
          <w:rStyle w:val="EndnoteReference"/>
        </w:rPr>
        <w:endnoteReference w:id="33"/>
      </w:r>
      <w:r>
        <w:t xml:space="preserve"> </w:t>
      </w:r>
      <w:r w:rsidR="007204BD">
        <w:t>Diagnostic strategies for these</w:t>
      </w:r>
      <w:r w:rsidR="00C209CD">
        <w:t xml:space="preserve"> tests include measuring the concentration of </w:t>
      </w:r>
      <w:r w:rsidR="00111FA4">
        <w:t xml:space="preserve">protein biomarkers in order to determine a ‘risk score’ for bowel cancer. However, these </w:t>
      </w:r>
      <w:r w:rsidR="00457B57">
        <w:t xml:space="preserve">tests are in the early stages of commercialisation and evidence of cost-effectiveness would rely on the expense of the </w:t>
      </w:r>
      <w:r w:rsidR="00FE5404">
        <w:t>equipment</w:t>
      </w:r>
      <w:r w:rsidR="00457B57">
        <w:t xml:space="preserve"> required to </w:t>
      </w:r>
      <w:r w:rsidR="00CE2BED">
        <w:t>complete testing</w:t>
      </w:r>
      <w:r w:rsidR="007B0D8A">
        <w:t>, as well as the sensitivity and specificity at detecting disease</w:t>
      </w:r>
      <w:r w:rsidR="00CE2BED">
        <w:t>. R</w:t>
      </w:r>
      <w:r w:rsidR="00B148AF">
        <w:t>eliable evidence on efficacy is</w:t>
      </w:r>
      <w:r w:rsidR="00CE2BED">
        <w:t xml:space="preserve"> also</w:t>
      </w:r>
      <w:r w:rsidR="00B148AF">
        <w:t xml:space="preserve"> limited</w:t>
      </w:r>
      <w:r w:rsidR="00CE2BED">
        <w:t xml:space="preserve"> at this stage. </w:t>
      </w:r>
    </w:p>
    <w:p w14:paraId="3389F5F9" w14:textId="149975B2" w:rsidR="005F187D" w:rsidRDefault="0085342F" w:rsidP="005F187D">
      <w:r>
        <w:t xml:space="preserve">In any decision to </w:t>
      </w:r>
      <w:r w:rsidR="005F187D">
        <w:t xml:space="preserve">transition to a </w:t>
      </w:r>
      <w:r>
        <w:t xml:space="preserve">new </w:t>
      </w:r>
      <w:r w:rsidR="005F187D">
        <w:t xml:space="preserve">test type, it is important that </w:t>
      </w:r>
      <w:r w:rsidR="000349DD">
        <w:t>the test is approved by the Therapeutic Goods Administration</w:t>
      </w:r>
      <w:r w:rsidR="003678A8">
        <w:t xml:space="preserve"> (as per the guidance in the NBCSP Quality Framework)</w:t>
      </w:r>
      <w:r w:rsidR="000349DD">
        <w:t xml:space="preserve"> and a </w:t>
      </w:r>
      <w:r w:rsidR="005F187D">
        <w:t xml:space="preserve">cost-effectiveness analysis is </w:t>
      </w:r>
      <w:r w:rsidR="003833EB">
        <w:t>performed</w:t>
      </w:r>
      <w:r w:rsidR="005F187D">
        <w:t xml:space="preserve"> using reliable estimates of test sensitivity and specificity, as compared with the current </w:t>
      </w:r>
      <w:proofErr w:type="spellStart"/>
      <w:r w:rsidR="005F187D">
        <w:t>iFOBT</w:t>
      </w:r>
      <w:proofErr w:type="spellEnd"/>
      <w:r w:rsidR="005F187D">
        <w:t>.</w:t>
      </w:r>
    </w:p>
    <w:p w14:paraId="4EAE1006" w14:textId="0F30EA10" w:rsidR="005F187D" w:rsidRPr="00CD74F1" w:rsidRDefault="006D7184" w:rsidP="00195E90">
      <w:r>
        <w:t>Emerging overseas</w:t>
      </w:r>
      <w:r w:rsidR="00CD69B4">
        <w:t xml:space="preserve"> research</w:t>
      </w:r>
      <w:r w:rsidR="005F187D" w:rsidRPr="00CD74F1">
        <w:t xml:space="preserve"> </w:t>
      </w:r>
      <w:r>
        <w:t>regarding</w:t>
      </w:r>
      <w:r w:rsidR="007364A6">
        <w:t xml:space="preserve"> innovative use</w:t>
      </w:r>
      <w:r w:rsidR="005F187D" w:rsidRPr="00CD74F1">
        <w:t xml:space="preserve"> of </w:t>
      </w:r>
      <w:proofErr w:type="spellStart"/>
      <w:r w:rsidR="005F187D" w:rsidRPr="00CD74F1">
        <w:t>iFOBT</w:t>
      </w:r>
      <w:proofErr w:type="spellEnd"/>
      <w:r w:rsidR="005F187D" w:rsidRPr="00CD74F1">
        <w:t xml:space="preserve"> results to support personalised diagnostic pathways.</w:t>
      </w:r>
    </w:p>
    <w:p w14:paraId="06A9835C" w14:textId="64D1567F" w:rsidR="005F187D" w:rsidRPr="008226F2" w:rsidRDefault="005F187D" w:rsidP="005F187D">
      <w:r w:rsidRPr="008226F2">
        <w:t>Research in European and Asian national cancer screening programs have shown that interval cancers (</w:t>
      </w:r>
      <w:proofErr w:type="gramStart"/>
      <w:r w:rsidRPr="008226F2">
        <w:t>i.e.</w:t>
      </w:r>
      <w:proofErr w:type="gramEnd"/>
      <w:r w:rsidRPr="008226F2">
        <w:t xml:space="preserve"> missed cancers) predominantly occur in people with a high-negative </w:t>
      </w:r>
      <w:proofErr w:type="spellStart"/>
      <w:r w:rsidRPr="008226F2">
        <w:t>iFOBT</w:t>
      </w:r>
      <w:proofErr w:type="spellEnd"/>
      <w:r w:rsidRPr="008226F2">
        <w:t xml:space="preserve"> result.</w:t>
      </w:r>
      <w:r w:rsidRPr="00621931">
        <w:rPr>
          <w:vertAlign w:val="superscript"/>
        </w:rPr>
        <w:endnoteReference w:id="34"/>
      </w:r>
      <w:r w:rsidRPr="00621931">
        <w:rPr>
          <w:vertAlign w:val="superscript"/>
        </w:rPr>
        <w:t>,</w:t>
      </w:r>
      <w:r w:rsidRPr="00621931">
        <w:rPr>
          <w:vertAlign w:val="superscript"/>
        </w:rPr>
        <w:endnoteReference w:id="35"/>
      </w:r>
      <w:r w:rsidRPr="00621931">
        <w:rPr>
          <w:vertAlign w:val="superscript"/>
        </w:rPr>
        <w:t xml:space="preserve"> </w:t>
      </w:r>
      <w:r w:rsidRPr="008226F2">
        <w:t xml:space="preserve"> This suggests that </w:t>
      </w:r>
      <w:proofErr w:type="spellStart"/>
      <w:r w:rsidRPr="008226F2">
        <w:t>iFOBT</w:t>
      </w:r>
      <w:proofErr w:type="spellEnd"/>
      <w:r w:rsidRPr="008226F2">
        <w:t xml:space="preserve"> results, which are habitually </w:t>
      </w:r>
      <w:r w:rsidRPr="008226F2">
        <w:lastRenderedPageBreak/>
        <w:t>reported in a dichotomised manner (i.e. below or above a pre-specified threshold), could be used in a more nuanced way</w:t>
      </w:r>
      <w:r w:rsidR="00364C6E">
        <w:t xml:space="preserve"> to improve Program outcomes</w:t>
      </w:r>
      <w:r w:rsidRPr="008226F2">
        <w:t xml:space="preserve">. </w:t>
      </w:r>
      <w:r w:rsidR="00BA2A53">
        <w:t xml:space="preserve">For </w:t>
      </w:r>
      <w:r w:rsidR="00B25F03">
        <w:t>example, the</w:t>
      </w:r>
      <w:r w:rsidRPr="008226F2">
        <w:t xml:space="preserve"> full </w:t>
      </w:r>
      <w:proofErr w:type="spellStart"/>
      <w:r w:rsidRPr="008226F2">
        <w:t>iFOBT</w:t>
      </w:r>
      <w:proofErr w:type="spellEnd"/>
      <w:r w:rsidRPr="008226F2">
        <w:t xml:space="preserve"> reading </w:t>
      </w:r>
      <w:r w:rsidR="00724262">
        <w:t>could be used to</w:t>
      </w:r>
      <w:r w:rsidRPr="008226F2">
        <w:t xml:space="preserve"> inform stratified diagnostic pathways (</w:t>
      </w:r>
      <w:proofErr w:type="gramStart"/>
      <w:r w:rsidRPr="008226F2">
        <w:t>e.g.</w:t>
      </w:r>
      <w:proofErr w:type="gramEnd"/>
      <w:r w:rsidRPr="008226F2">
        <w:t xml:space="preserve"> those with a high-negative </w:t>
      </w:r>
      <w:r>
        <w:t>could be</w:t>
      </w:r>
      <w:r w:rsidRPr="008226F2">
        <w:t xml:space="preserve"> rescreened annually </w:t>
      </w:r>
      <w:r w:rsidR="00761438">
        <w:t>and/</w:t>
      </w:r>
      <w:r w:rsidRPr="008226F2">
        <w:t xml:space="preserve">or receive </w:t>
      </w:r>
      <w:r w:rsidR="00761438">
        <w:t xml:space="preserve">targeted </w:t>
      </w:r>
      <w:r w:rsidR="00810655">
        <w:t xml:space="preserve">follow up </w:t>
      </w:r>
      <w:r w:rsidR="009F48A1">
        <w:t xml:space="preserve">at the next screening interval </w:t>
      </w:r>
      <w:r w:rsidR="00810655">
        <w:t>to improve adherence with</w:t>
      </w:r>
      <w:r w:rsidR="005379FF">
        <w:t xml:space="preserve"> the</w:t>
      </w:r>
      <w:r w:rsidRPr="008226F2">
        <w:t xml:space="preserve"> screening</w:t>
      </w:r>
      <w:r w:rsidR="00A321DE">
        <w:t xml:space="preserve"> pathway</w:t>
      </w:r>
      <w:r w:rsidRPr="008226F2">
        <w:t xml:space="preserve">). </w:t>
      </w:r>
    </w:p>
    <w:p w14:paraId="30211758" w14:textId="19D0D9ED" w:rsidR="00A910E4" w:rsidRDefault="005F187D" w:rsidP="005F187D">
      <w:r w:rsidRPr="008226F2">
        <w:t xml:space="preserve">Researchers in various countries including Taiwan, Netherlands, Italy and Spain </w:t>
      </w:r>
      <w:r w:rsidR="009929B4">
        <w:t>are</w:t>
      </w:r>
      <w:r w:rsidRPr="008226F2">
        <w:t xml:space="preserve"> now considering how these findings should be put into practice in organised screening programs.</w:t>
      </w:r>
      <w:r w:rsidRPr="00621931">
        <w:rPr>
          <w:vertAlign w:val="superscript"/>
        </w:rPr>
        <w:endnoteReference w:id="36"/>
      </w:r>
      <w:r w:rsidRPr="00621931">
        <w:rPr>
          <w:vertAlign w:val="superscript"/>
        </w:rPr>
        <w:t>,</w:t>
      </w:r>
      <w:r w:rsidRPr="00621931">
        <w:rPr>
          <w:vertAlign w:val="superscript"/>
        </w:rPr>
        <w:endnoteReference w:id="37"/>
      </w:r>
      <w:r w:rsidRPr="00621931">
        <w:rPr>
          <w:vertAlign w:val="superscript"/>
        </w:rPr>
        <w:t>,</w:t>
      </w:r>
      <w:r w:rsidRPr="00621931">
        <w:rPr>
          <w:vertAlign w:val="superscript"/>
        </w:rPr>
        <w:endnoteReference w:id="38"/>
      </w:r>
      <w:r w:rsidRPr="00621931">
        <w:rPr>
          <w:vertAlign w:val="superscript"/>
        </w:rPr>
        <w:t xml:space="preserve"> </w:t>
      </w:r>
      <w:r w:rsidRPr="008226F2">
        <w:t xml:space="preserve">Before considering changes to the Australian Program pathway, there is a need to validate this research in Australian settings using </w:t>
      </w:r>
      <w:r w:rsidR="00EB1071">
        <w:t xml:space="preserve">pathology </w:t>
      </w:r>
      <w:r w:rsidRPr="008226F2">
        <w:t>data from historical participants</w:t>
      </w:r>
      <w:r w:rsidR="00630A53">
        <w:t>,</w:t>
      </w:r>
      <w:r w:rsidRPr="008226F2">
        <w:t xml:space="preserve"> the ACD and state and territory cancer registries.</w:t>
      </w:r>
      <w:r>
        <w:t xml:space="preserve"> Pathologists consulted agreed that this research should be </w:t>
      </w:r>
      <w:r w:rsidR="00BB0D9E">
        <w:t xml:space="preserve">a </w:t>
      </w:r>
      <w:r>
        <w:t>priority for the Program and would further support Australia’s eminence in bowel cancer screening.</w:t>
      </w:r>
    </w:p>
    <w:p w14:paraId="5B5CC7F6" w14:textId="77777777" w:rsidR="0014770F" w:rsidRDefault="0014770F" w:rsidP="0014770F">
      <w:pPr>
        <w:keepNext/>
        <w:keepLines/>
        <w:numPr>
          <w:ilvl w:val="3"/>
          <w:numId w:val="2"/>
        </w:numPr>
        <w:tabs>
          <w:tab w:val="left" w:pos="340"/>
        </w:tabs>
        <w:spacing w:after="0"/>
        <w:outlineLvl w:val="3"/>
        <w:rPr>
          <w:rFonts w:eastAsiaTheme="majorEastAsia" w:cstheme="majorBidi"/>
          <w:b/>
          <w:bCs/>
          <w:iCs/>
          <w:color w:val="75787B" w:themeColor="accent6"/>
        </w:rPr>
      </w:pPr>
      <w:r>
        <w:rPr>
          <w:rFonts w:eastAsiaTheme="majorEastAsia" w:cstheme="majorBidi"/>
          <w:b/>
          <w:bCs/>
          <w:iCs/>
          <w:color w:val="75787B" w:themeColor="accent6"/>
        </w:rPr>
        <w:t>Screening positivity rate</w:t>
      </w:r>
    </w:p>
    <w:p w14:paraId="11701611" w14:textId="77777777" w:rsidR="0014770F" w:rsidRDefault="0014770F" w:rsidP="0014770F">
      <w:r w:rsidRPr="00DD6080">
        <w:t>The screening positivity rate is a</w:t>
      </w:r>
      <w:r>
        <w:t>n</w:t>
      </w:r>
      <w:r w:rsidRPr="00DD6080">
        <w:t xml:space="preserve"> indicator collected as part of the National Bowel Cancer Screening Program Performance Reporting Framework.</w:t>
      </w:r>
      <w:r>
        <w:t xml:space="preserve"> It is an important metric, as it determines the volume of diagnostic follow-up and participant follow-up that the Program is required to undertake. Sudden changes in the overall positivity rate may also indicate faults with the underlying testing procedure, which require investigation. The AIHW Annual Monitoring Report reports the screening positivity rate by sex, age, screening round, state and territory, remoteness, Indigenous status, language spoken at home and disability status.</w:t>
      </w:r>
    </w:p>
    <w:p w14:paraId="70FF03E4" w14:textId="69AE6406" w:rsidR="00D7673B" w:rsidRDefault="0014770F" w:rsidP="00154E4D">
      <w:pPr>
        <w:spacing w:after="160" w:line="259" w:lineRule="auto"/>
      </w:pPr>
      <w:r w:rsidRPr="004319C0">
        <w:t>In 2014, Health engaged the AIHW to develop statistical process controls regarding the screening positivity rate</w:t>
      </w:r>
      <w:r>
        <w:t>, to create a more systematic approach to this issue</w:t>
      </w:r>
      <w:r w:rsidRPr="004319C0">
        <w:t>. These process controls were</w:t>
      </w:r>
      <w:r w:rsidR="00D7673B">
        <w:t xml:space="preserve"> </w:t>
      </w:r>
      <w:r w:rsidRPr="004319C0">
        <w:t xml:space="preserve">updated for the introduction of the current test kit in 2018. Broadly, participants are grouped by sex, location, age group and month, with an upper and lower bound for positivity established. </w:t>
      </w:r>
      <w:proofErr w:type="gramStart"/>
      <w:r w:rsidRPr="004319C0">
        <w:t>In the event that</w:t>
      </w:r>
      <w:proofErr w:type="gramEnd"/>
      <w:r w:rsidRPr="004319C0">
        <w:t xml:space="preserve"> the median positivity rate is outside of these bounds, the cohort is flagged. Further statistical methods are then employed to review the number of cohorts flagged each month. </w:t>
      </w:r>
    </w:p>
    <w:p w14:paraId="63303817" w14:textId="7D0EAAFA" w:rsidR="005F187D" w:rsidRDefault="00082D23" w:rsidP="005F187D">
      <w:pPr>
        <w:pStyle w:val="Heading3"/>
      </w:pPr>
      <w:bookmarkStart w:id="76" w:name="_Ref67316923"/>
      <w:r>
        <w:t>F</w:t>
      </w:r>
      <w:r w:rsidR="005F187D">
        <w:t>ollow-up and referral component of the pathway</w:t>
      </w:r>
      <w:bookmarkEnd w:id="76"/>
      <w:r w:rsidR="0014770F">
        <w:t xml:space="preserve"> (part of usual care model)</w:t>
      </w:r>
    </w:p>
    <w:p w14:paraId="4BE4A9AA" w14:textId="057228E3" w:rsidR="005F187D" w:rsidRDefault="005F187D" w:rsidP="005F187D">
      <w:r w:rsidRPr="00226938">
        <w:t xml:space="preserve">This subsection outlines the appropriateness of the </w:t>
      </w:r>
      <w:r>
        <w:t>follow-up and referral component of the clinical pathway, including current follow-up rates, enablers and barriers to follow-up</w:t>
      </w:r>
      <w:r w:rsidR="00C23E13">
        <w:t xml:space="preserve">. The participant follow-up function is addressed in </w:t>
      </w:r>
      <w:r w:rsidR="003040C0">
        <w:t>s</w:t>
      </w:r>
      <w:r w:rsidR="00111CC0">
        <w:t xml:space="preserve">ection </w:t>
      </w:r>
      <w:r w:rsidR="00111CC0">
        <w:fldChar w:fldCharType="begin"/>
      </w:r>
      <w:r w:rsidR="00111CC0">
        <w:instrText xml:space="preserve"> REF _Ref67561675 \r \h </w:instrText>
      </w:r>
      <w:r w:rsidR="00111CC0">
        <w:fldChar w:fldCharType="separate"/>
      </w:r>
      <w:r w:rsidR="00F27525">
        <w:t>2.1.3</w:t>
      </w:r>
      <w:r w:rsidR="00111CC0">
        <w:fldChar w:fldCharType="end"/>
      </w:r>
      <w:r w:rsidR="00D43C9F">
        <w:t xml:space="preserve">. </w:t>
      </w:r>
    </w:p>
    <w:p w14:paraId="5E302CD8" w14:textId="040E2DB1" w:rsidR="00C37F76" w:rsidRDefault="00C37F76" w:rsidP="00FD418F">
      <w:pPr>
        <w:pStyle w:val="CaptionFigure"/>
        <w:ind w:left="0"/>
      </w:pPr>
      <w:r>
        <w:t>: Follow-up and referral</w:t>
      </w:r>
      <w:r w:rsidR="00D00176">
        <w:t xml:space="preserve"> </w:t>
      </w:r>
      <w:r w:rsidRPr="00C37F76">
        <w:t>component of the NBCSP participant pathway</w:t>
      </w:r>
    </w:p>
    <w:p w14:paraId="1F387F11" w14:textId="2829C3F9" w:rsidR="004A1427" w:rsidRPr="004A1427" w:rsidRDefault="00C631C8" w:rsidP="004A1427">
      <w:r w:rsidRPr="00C631C8">
        <w:rPr>
          <w:noProof/>
          <w:lang w:eastAsia="en-AU"/>
        </w:rPr>
        <w:drawing>
          <wp:inline distT="0" distB="0" distL="0" distR="0" wp14:anchorId="3A8BD410" wp14:editId="7D4352EB">
            <wp:extent cx="5731510" cy="2569210"/>
            <wp:effectExtent l="0" t="0" r="2540" b="0"/>
            <wp:docPr id="28" name="Picture 28" descr="Follow-up and referral component of the NBCSP participant path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Follow-up and referral component of the NBCSP participant pathway"/>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2569210"/>
                    </a:xfrm>
                    <a:prstGeom prst="rect">
                      <a:avLst/>
                    </a:prstGeom>
                    <a:noFill/>
                    <a:ln>
                      <a:noFill/>
                    </a:ln>
                  </pic:spPr>
                </pic:pic>
              </a:graphicData>
            </a:graphic>
          </wp:inline>
        </w:drawing>
      </w:r>
    </w:p>
    <w:p w14:paraId="4005488B" w14:textId="067C783C" w:rsidR="00FD418F" w:rsidRDefault="00FD418F" w:rsidP="00D8451D">
      <w:pPr>
        <w:pStyle w:val="Source"/>
      </w:pPr>
      <w:r>
        <w:t>Source: Deloitte Access Economics diagram, using Department of Health</w:t>
      </w:r>
      <w:r w:rsidR="00FB0C90">
        <w:t xml:space="preserve"> information.</w:t>
      </w:r>
      <w:r w:rsidR="00FB0C90">
        <w:rPr>
          <w:rStyle w:val="EndnoteReference"/>
        </w:rPr>
        <w:endnoteReference w:id="39"/>
      </w:r>
    </w:p>
    <w:p w14:paraId="0D6EDDFE" w14:textId="77777777" w:rsidR="00C37F76" w:rsidRPr="00C37F76" w:rsidRDefault="00C37F76" w:rsidP="00886E63">
      <w:pPr>
        <w:keepNext/>
        <w:keepLines/>
        <w:numPr>
          <w:ilvl w:val="3"/>
          <w:numId w:val="2"/>
        </w:numPr>
        <w:tabs>
          <w:tab w:val="left" w:pos="340"/>
        </w:tabs>
        <w:spacing w:after="0"/>
        <w:outlineLvl w:val="3"/>
        <w:rPr>
          <w:rFonts w:eastAsiaTheme="majorEastAsia" w:cstheme="majorBidi"/>
          <w:b/>
          <w:bCs/>
          <w:iCs/>
          <w:color w:val="75787B" w:themeColor="accent6"/>
        </w:rPr>
      </w:pPr>
      <w:bookmarkStart w:id="77" w:name="_Ref67401606"/>
      <w:r w:rsidRPr="00C37F76">
        <w:rPr>
          <w:rFonts w:eastAsiaTheme="majorEastAsia" w:cstheme="majorBidi"/>
          <w:b/>
          <w:bCs/>
          <w:iCs/>
          <w:color w:val="75787B" w:themeColor="accent6"/>
        </w:rPr>
        <w:lastRenderedPageBreak/>
        <w:t>Program follow-up rates</w:t>
      </w:r>
      <w:bookmarkEnd w:id="77"/>
    </w:p>
    <w:p w14:paraId="71470328" w14:textId="77777777" w:rsidR="00C37F76" w:rsidRPr="00BE365A" w:rsidRDefault="00C37F76" w:rsidP="006B2754">
      <w:pPr>
        <w:pStyle w:val="Pullout"/>
      </w:pPr>
      <w:r w:rsidRPr="004F59CB">
        <w:t xml:space="preserve">Low </w:t>
      </w:r>
      <w:r w:rsidRPr="000C3E60">
        <w:t>rates of diagnostic assessment may limit the benefits of the Program, particularly for those in greatest need.</w:t>
      </w:r>
    </w:p>
    <w:p w14:paraId="22352FDF" w14:textId="77777777" w:rsidR="00E86B10" w:rsidRDefault="00C37F76" w:rsidP="00C37F76">
      <w:pPr>
        <w:rPr>
          <w:color w:val="000000" w:themeColor="text1"/>
        </w:rPr>
      </w:pPr>
      <w:r w:rsidRPr="00C37F76">
        <w:t xml:space="preserve">AIHW statistics show that the overall (colonoscopy) diagnostic assessment rate for </w:t>
      </w:r>
      <w:r w:rsidR="00397411">
        <w:t>participants</w:t>
      </w:r>
      <w:r w:rsidR="00397411" w:rsidRPr="00C37F76">
        <w:t xml:space="preserve"> </w:t>
      </w:r>
      <w:r w:rsidRPr="00C37F76">
        <w:t xml:space="preserve">with a positive </w:t>
      </w:r>
      <w:proofErr w:type="spellStart"/>
      <w:r w:rsidRPr="00C37F76">
        <w:t>iFOBT</w:t>
      </w:r>
      <w:proofErr w:type="spellEnd"/>
      <w:r w:rsidRPr="00C37F76">
        <w:t xml:space="preserve"> is 66 per cent, a decline from 75 per cent in 2012 when the screening interval was five-yearly.</w:t>
      </w:r>
      <w:r w:rsidRPr="00C37F76">
        <w:rPr>
          <w:vertAlign w:val="superscript"/>
        </w:rPr>
        <w:endnoteReference w:id="40"/>
      </w:r>
      <w:r w:rsidRPr="00C37F76">
        <w:t xml:space="preserve"> </w:t>
      </w:r>
      <w:r w:rsidR="004C77AB">
        <w:t>Given</w:t>
      </w:r>
      <w:r w:rsidR="00815569">
        <w:t xml:space="preserve"> the </w:t>
      </w:r>
      <w:r w:rsidR="00735F97">
        <w:t xml:space="preserve">wide expansion of the Program since 2012, </w:t>
      </w:r>
      <w:r w:rsidR="004C77AB">
        <w:t xml:space="preserve">the </w:t>
      </w:r>
      <w:r w:rsidR="00AF25F7">
        <w:t xml:space="preserve">supply of colonoscopies required to maintain a stable diagnostic assessment rate has </w:t>
      </w:r>
      <w:r w:rsidR="000C2B03">
        <w:t>increased</w:t>
      </w:r>
      <w:r w:rsidR="006D2715">
        <w:t xml:space="preserve"> over time.</w:t>
      </w:r>
      <w:r w:rsidR="002C30D3">
        <w:t xml:space="preserve"> </w:t>
      </w:r>
      <w:r w:rsidR="0039789B">
        <w:t xml:space="preserve">As well, </w:t>
      </w:r>
      <w:r w:rsidRPr="00C37F76">
        <w:t xml:space="preserve">because provision of colonoscopy reports to the NCSR by colonoscopy providers is not mandatory, </w:t>
      </w:r>
      <w:r w:rsidR="0009501A">
        <w:t>the current rate of 66 per cent</w:t>
      </w:r>
      <w:r w:rsidR="00B25F03">
        <w:t xml:space="preserve"> </w:t>
      </w:r>
      <w:r w:rsidR="0009501A">
        <w:t>is</w:t>
      </w:r>
      <w:r w:rsidRPr="00C37F76">
        <w:t xml:space="preserve"> likely to be underestimated. </w:t>
      </w:r>
      <w:r w:rsidR="00043C71">
        <w:t xml:space="preserve">Participants </w:t>
      </w:r>
      <w:r w:rsidR="00043C71">
        <w:rPr>
          <w:color w:val="000000" w:themeColor="text1"/>
        </w:rPr>
        <w:t xml:space="preserve">may also not proceed to a colonoscopy for variety of clinical reasons, as determined by a GP or specialist. </w:t>
      </w:r>
    </w:p>
    <w:p w14:paraId="2B26BDB0" w14:textId="504634AE" w:rsidR="00C977CA" w:rsidRPr="00C37F76" w:rsidRDefault="00C37F76" w:rsidP="00C37F76">
      <w:r w:rsidRPr="00C37F76">
        <w:t xml:space="preserve">The overall diagnostic assessment rate is relatively low when compared to overseas programs using at-home kits via a mail-out method (as shown in </w:t>
      </w:r>
      <w:r w:rsidR="00347B9E">
        <w:fldChar w:fldCharType="begin"/>
      </w:r>
      <w:r w:rsidR="00347B9E">
        <w:instrText xml:space="preserve"> REF _Ref67557076 \r \h </w:instrText>
      </w:r>
      <w:r w:rsidR="00347B9E">
        <w:fldChar w:fldCharType="separate"/>
      </w:r>
      <w:r w:rsidR="00F27525">
        <w:t>Table 2.5</w:t>
      </w:r>
      <w:r w:rsidR="00347B9E">
        <w:fldChar w:fldCharType="end"/>
      </w:r>
      <w:r w:rsidRPr="00C37F76">
        <w:t xml:space="preserve">), however these programs are characterised by different </w:t>
      </w:r>
      <w:r w:rsidR="00604617">
        <w:t xml:space="preserve">design </w:t>
      </w:r>
      <w:r w:rsidRPr="00C37F76">
        <w:t xml:space="preserve">features which </w:t>
      </w:r>
      <w:r w:rsidR="00BB0D9E">
        <w:t xml:space="preserve">may </w:t>
      </w:r>
      <w:r w:rsidRPr="00C37F76">
        <w:t>contribute to higher</w:t>
      </w:r>
      <w:r w:rsidR="00F4516B">
        <w:t xml:space="preserve"> rates of</w:t>
      </w:r>
      <w:r w:rsidRPr="00C37F76">
        <w:t xml:space="preserve"> diagnostic assessment. Examples include responsibility for the full screening pathway by the Program and/or national healthcare provider, as well as </w:t>
      </w:r>
      <w:r w:rsidR="00A77827">
        <w:t xml:space="preserve">the use of </w:t>
      </w:r>
      <w:r w:rsidRPr="00C37F76">
        <w:t>using nurse navigators or primary care</w:t>
      </w:r>
      <w:r w:rsidR="00A77827">
        <w:t xml:space="preserve"> practitioners</w:t>
      </w:r>
      <w:r w:rsidRPr="00C37F76">
        <w:t xml:space="preserve"> to schedule colonoscopies for those with a positive result.</w:t>
      </w:r>
    </w:p>
    <w:p w14:paraId="6AA42123" w14:textId="670ECF74" w:rsidR="00A910E4" w:rsidRDefault="00C37F76" w:rsidP="00C37F76">
      <w:r w:rsidRPr="00C37F76">
        <w:t xml:space="preserve">The </w:t>
      </w:r>
      <w:r w:rsidR="000037D9">
        <w:t>diagnostic assessment</w:t>
      </w:r>
      <w:r w:rsidRPr="00C37F76">
        <w:t xml:space="preserve"> rate in Australia varies across sub-groups, as shown in </w:t>
      </w:r>
      <w:r w:rsidR="00347B9E">
        <w:fldChar w:fldCharType="begin"/>
      </w:r>
      <w:r w:rsidR="00347B9E">
        <w:instrText xml:space="preserve"> REF _Ref67557076 \r \h </w:instrText>
      </w:r>
      <w:r w:rsidR="00347B9E">
        <w:fldChar w:fldCharType="separate"/>
      </w:r>
      <w:r w:rsidR="00F27525">
        <w:t>Table 2.5</w:t>
      </w:r>
      <w:r w:rsidR="00347B9E">
        <w:fldChar w:fldCharType="end"/>
      </w:r>
      <w:r w:rsidR="00F20994">
        <w:t xml:space="preserve"> </w:t>
      </w:r>
      <w:r w:rsidRPr="00C37F76">
        <w:t>with rates as high as 70</w:t>
      </w:r>
      <w:r w:rsidR="00C977CA">
        <w:t xml:space="preserve"> per cent</w:t>
      </w:r>
      <w:r w:rsidRPr="00C37F76">
        <w:t xml:space="preserve"> in metropolitan regions and as low as 53</w:t>
      </w:r>
      <w:r w:rsidR="00C977CA">
        <w:t xml:space="preserve"> per cent</w:t>
      </w:r>
      <w:r w:rsidRPr="00C37F76">
        <w:t xml:space="preserve"> in very remote regions. Follow-up rates are lower than average for individuals with a disability, those from Aboriginal and Torres Strait Islander backgrounds, and those </w:t>
      </w:r>
      <w:r w:rsidR="00042C2B">
        <w:t>residing in</w:t>
      </w:r>
      <w:r w:rsidR="00042C2B" w:rsidRPr="00C37F76">
        <w:t xml:space="preserve"> </w:t>
      </w:r>
      <w:r w:rsidRPr="00C37F76">
        <w:t xml:space="preserve">low socioeconomic </w:t>
      </w:r>
      <w:r w:rsidR="00042C2B">
        <w:t>areas</w:t>
      </w:r>
      <w:r w:rsidRPr="00C37F76">
        <w:t xml:space="preserve">. This is despite higher test </w:t>
      </w:r>
      <w:r w:rsidR="00B05B80" w:rsidRPr="00C37F76">
        <w:t>positiv</w:t>
      </w:r>
      <w:r w:rsidR="00B05B80">
        <w:t>it</w:t>
      </w:r>
      <w:r w:rsidR="00B05B80" w:rsidRPr="00C37F76">
        <w:t xml:space="preserve">y </w:t>
      </w:r>
      <w:r w:rsidRPr="00C37F76">
        <w:t>rates observed among many of these groups.</w:t>
      </w:r>
      <w:r w:rsidR="00606819" w:rsidRPr="00606819">
        <w:rPr>
          <w:color w:val="000000" w:themeColor="text1"/>
        </w:rPr>
        <w:t xml:space="preserve"> </w:t>
      </w:r>
    </w:p>
    <w:p w14:paraId="1E363D07" w14:textId="14C44B2E" w:rsidR="00C977CA" w:rsidRPr="00C37F76" w:rsidRDefault="00347B9E" w:rsidP="00347B9E">
      <w:pPr>
        <w:pStyle w:val="CaptionTable"/>
      </w:pPr>
      <w:bookmarkStart w:id="78" w:name="_Ref67557076"/>
      <w:r>
        <w:t xml:space="preserve">: </w:t>
      </w:r>
      <w:r w:rsidR="00C977CA" w:rsidRPr="00C37F76">
        <w:t>NBCSP follow-up rates, comparative analysis</w:t>
      </w:r>
      <w:bookmarkEnd w:id="78"/>
    </w:p>
    <w:tbl>
      <w:tblPr>
        <w:tblStyle w:val="Deloittetable1"/>
        <w:tblW w:w="5000" w:type="pct"/>
        <w:tblLayout w:type="fixed"/>
        <w:tblLook w:val="04A0" w:firstRow="1" w:lastRow="0" w:firstColumn="1" w:lastColumn="0" w:noHBand="0" w:noVBand="1"/>
      </w:tblPr>
      <w:tblGrid>
        <w:gridCol w:w="3686"/>
        <w:gridCol w:w="2693"/>
        <w:gridCol w:w="2647"/>
      </w:tblGrid>
      <w:tr w:rsidR="00C977CA" w:rsidRPr="00C37F76" w14:paraId="05F8546D" w14:textId="77777777" w:rsidTr="00D84C2B">
        <w:trPr>
          <w:cnfStyle w:val="100000000000" w:firstRow="1" w:lastRow="0" w:firstColumn="0" w:lastColumn="0" w:oddVBand="0" w:evenVBand="0" w:oddHBand="0" w:evenHBand="0" w:firstRowFirstColumn="0" w:firstRowLastColumn="0" w:lastRowFirstColumn="0" w:lastRowLastColumn="0"/>
        </w:trPr>
        <w:tc>
          <w:tcPr>
            <w:tcW w:w="3686" w:type="dxa"/>
          </w:tcPr>
          <w:p w14:paraId="21D0020C" w14:textId="77777777" w:rsidR="00C977CA" w:rsidRPr="00C37F76" w:rsidRDefault="00C977CA" w:rsidP="00347B9E">
            <w:pPr>
              <w:spacing w:after="0"/>
              <w:rPr>
                <w:b/>
                <w:color w:val="62B5E5" w:themeColor="accent3"/>
              </w:rPr>
            </w:pPr>
            <w:r w:rsidRPr="00C37F76">
              <w:rPr>
                <w:b/>
                <w:color w:val="62B5E5" w:themeColor="accent3"/>
              </w:rPr>
              <w:t>Type</w:t>
            </w:r>
          </w:p>
        </w:tc>
        <w:tc>
          <w:tcPr>
            <w:tcW w:w="2693" w:type="dxa"/>
          </w:tcPr>
          <w:p w14:paraId="43EB4B4B" w14:textId="77777777" w:rsidR="00C977CA" w:rsidRPr="00C37F76" w:rsidRDefault="00C977CA" w:rsidP="00305687">
            <w:pPr>
              <w:spacing w:after="0"/>
              <w:jc w:val="right"/>
              <w:rPr>
                <w:b/>
                <w:color w:val="62B5E5" w:themeColor="accent3"/>
              </w:rPr>
            </w:pPr>
            <w:r w:rsidRPr="00C37F76">
              <w:rPr>
                <w:b/>
                <w:color w:val="62B5E5" w:themeColor="accent3"/>
              </w:rPr>
              <w:t>Assessment rate</w:t>
            </w:r>
          </w:p>
        </w:tc>
        <w:tc>
          <w:tcPr>
            <w:tcW w:w="2647" w:type="dxa"/>
          </w:tcPr>
          <w:p w14:paraId="34B45A48" w14:textId="77777777" w:rsidR="00C977CA" w:rsidRPr="00C37F76" w:rsidRDefault="00C977CA" w:rsidP="00305687">
            <w:pPr>
              <w:spacing w:after="0"/>
              <w:jc w:val="right"/>
              <w:rPr>
                <w:b/>
                <w:color w:val="62B5E5" w:themeColor="accent3"/>
              </w:rPr>
            </w:pPr>
            <w:r w:rsidRPr="00C37F76">
              <w:rPr>
                <w:b/>
                <w:color w:val="62B5E5" w:themeColor="accent3"/>
              </w:rPr>
              <w:t>Positivity rate</w:t>
            </w:r>
          </w:p>
        </w:tc>
      </w:tr>
      <w:tr w:rsidR="00C977CA" w:rsidRPr="00C37F76" w14:paraId="07208D54" w14:textId="77777777" w:rsidTr="00347B9E">
        <w:tc>
          <w:tcPr>
            <w:tcW w:w="6379" w:type="dxa"/>
            <w:gridSpan w:val="2"/>
            <w:shd w:val="clear" w:color="auto" w:fill="F2F2F2" w:themeFill="background1" w:themeFillShade="F2"/>
          </w:tcPr>
          <w:p w14:paraId="22CB8C07" w14:textId="77777777" w:rsidR="00C977CA" w:rsidRPr="00C37F76" w:rsidRDefault="00C977CA" w:rsidP="00347B9E">
            <w:pPr>
              <w:spacing w:after="0"/>
            </w:pPr>
            <w:r w:rsidRPr="00C37F76">
              <w:t>Overall NBCSP follow-up rates</w:t>
            </w:r>
          </w:p>
        </w:tc>
        <w:tc>
          <w:tcPr>
            <w:tcW w:w="2647" w:type="dxa"/>
            <w:shd w:val="clear" w:color="auto" w:fill="F2F2F2" w:themeFill="background1" w:themeFillShade="F2"/>
          </w:tcPr>
          <w:p w14:paraId="75C7A562" w14:textId="77777777" w:rsidR="00C977CA" w:rsidRPr="00C37F76" w:rsidRDefault="00C977CA" w:rsidP="00347B9E">
            <w:pPr>
              <w:spacing w:after="0"/>
            </w:pPr>
          </w:p>
        </w:tc>
      </w:tr>
      <w:tr w:rsidR="002200FF" w:rsidRPr="00C37F76" w14:paraId="2B5C0D25" w14:textId="77777777" w:rsidTr="00D84C2B">
        <w:trPr>
          <w:trHeight w:val="985"/>
        </w:trPr>
        <w:tc>
          <w:tcPr>
            <w:tcW w:w="3686" w:type="dxa"/>
          </w:tcPr>
          <w:p w14:paraId="06DA7236" w14:textId="70C585FE" w:rsidR="002200FF" w:rsidRPr="00C37F76" w:rsidRDefault="002200FF" w:rsidP="00347B9E">
            <w:pPr>
              <w:spacing w:after="0"/>
            </w:pPr>
            <w:r w:rsidRPr="00C37F76">
              <w:t>Diagnostic assessment rate</w:t>
            </w:r>
          </w:p>
        </w:tc>
        <w:tc>
          <w:tcPr>
            <w:tcW w:w="2693" w:type="dxa"/>
          </w:tcPr>
          <w:p w14:paraId="1C494F81" w14:textId="77777777" w:rsidR="00420BE8" w:rsidRDefault="002200FF" w:rsidP="00305687">
            <w:pPr>
              <w:spacing w:after="0"/>
              <w:jc w:val="right"/>
              <w:rPr>
                <w:lang w:val="en-US"/>
              </w:rPr>
            </w:pPr>
            <w:r w:rsidRPr="00C37F76">
              <w:rPr>
                <w:lang w:val="en-US"/>
              </w:rPr>
              <w:t>65.5%</w:t>
            </w:r>
          </w:p>
          <w:p w14:paraId="105E273B" w14:textId="35668E4D" w:rsidR="00FB1D43" w:rsidRPr="00F53A52" w:rsidRDefault="002200FF" w:rsidP="00305687">
            <w:pPr>
              <w:spacing w:after="0"/>
              <w:jc w:val="right"/>
              <w:rPr>
                <w:i/>
                <w:iCs/>
                <w:lang w:val="en-US"/>
              </w:rPr>
            </w:pPr>
            <w:r w:rsidRPr="00F53A52">
              <w:rPr>
                <w:i/>
                <w:lang w:val="en-US"/>
              </w:rPr>
              <w:t>72.1</w:t>
            </w:r>
            <w:r w:rsidR="00566A91" w:rsidRPr="00F53A52">
              <w:rPr>
                <w:i/>
                <w:lang w:val="en-US"/>
              </w:rPr>
              <w:t>% private</w:t>
            </w:r>
            <w:r w:rsidRPr="00F53A52">
              <w:rPr>
                <w:i/>
                <w:lang w:val="en-US"/>
              </w:rPr>
              <w:t xml:space="preserve"> </w:t>
            </w:r>
            <w:r w:rsidR="00FB1D43" w:rsidRPr="00F53A52">
              <w:rPr>
                <w:i/>
                <w:iCs/>
                <w:lang w:val="en-US"/>
              </w:rPr>
              <w:t>facilities</w:t>
            </w:r>
          </w:p>
          <w:p w14:paraId="3C1F11C4" w14:textId="72E0EA12" w:rsidR="00FB1D43" w:rsidRPr="00F53A52" w:rsidRDefault="002200FF" w:rsidP="00305687">
            <w:pPr>
              <w:spacing w:after="0"/>
              <w:jc w:val="right"/>
              <w:rPr>
                <w:i/>
                <w:iCs/>
                <w:lang w:val="en-US"/>
              </w:rPr>
            </w:pPr>
            <w:r w:rsidRPr="00F53A52">
              <w:rPr>
                <w:i/>
                <w:lang w:val="en-US"/>
              </w:rPr>
              <w:t xml:space="preserve">17.5% public </w:t>
            </w:r>
            <w:r w:rsidR="00FB1D43" w:rsidRPr="00F53A52">
              <w:rPr>
                <w:i/>
                <w:iCs/>
                <w:lang w:val="en-US"/>
              </w:rPr>
              <w:t>facilities</w:t>
            </w:r>
          </w:p>
          <w:p w14:paraId="055C38EB" w14:textId="31F9D32C" w:rsidR="002200FF" w:rsidRPr="00C37F76" w:rsidRDefault="002200FF" w:rsidP="00305687">
            <w:pPr>
              <w:spacing w:after="0"/>
              <w:jc w:val="right"/>
              <w:rPr>
                <w:lang w:val="en-US"/>
              </w:rPr>
            </w:pPr>
            <w:r w:rsidRPr="00F53A52">
              <w:rPr>
                <w:i/>
                <w:lang w:val="en-US"/>
              </w:rPr>
              <w:t>10</w:t>
            </w:r>
            <w:r w:rsidR="00D03ECF">
              <w:rPr>
                <w:i/>
                <w:lang w:val="en-US"/>
              </w:rPr>
              <w:t>.4</w:t>
            </w:r>
            <w:r w:rsidRPr="00F53A52">
              <w:rPr>
                <w:i/>
                <w:lang w:val="en-US"/>
              </w:rPr>
              <w:t xml:space="preserve">% not </w:t>
            </w:r>
            <w:proofErr w:type="spellStart"/>
            <w:r w:rsidRPr="00F53A52">
              <w:rPr>
                <w:i/>
                <w:lang w:val="en-US"/>
              </w:rPr>
              <w:t>known</w:t>
            </w:r>
            <w:r w:rsidRPr="00F53A52">
              <w:rPr>
                <w:i/>
                <w:vertAlign w:val="superscript"/>
                <w:lang w:val="en-US"/>
              </w:rPr>
              <w:t>a</w:t>
            </w:r>
            <w:proofErr w:type="spellEnd"/>
          </w:p>
        </w:tc>
        <w:tc>
          <w:tcPr>
            <w:tcW w:w="2647" w:type="dxa"/>
          </w:tcPr>
          <w:p w14:paraId="3E0044CC" w14:textId="77777777" w:rsidR="002200FF" w:rsidRPr="00C37F76" w:rsidRDefault="002200FF" w:rsidP="00305687">
            <w:pPr>
              <w:spacing w:after="0"/>
              <w:jc w:val="right"/>
              <w:rPr>
                <w:lang w:val="en-US"/>
              </w:rPr>
            </w:pPr>
            <w:r w:rsidRPr="00C37F76">
              <w:rPr>
                <w:lang w:val="en-US"/>
              </w:rPr>
              <w:t>6.7%</w:t>
            </w:r>
            <w:r w:rsidRPr="00C37F76">
              <w:rPr>
                <w:vertAlign w:val="superscript"/>
                <w:lang w:val="en-US"/>
              </w:rPr>
              <w:t>a</w:t>
            </w:r>
          </w:p>
        </w:tc>
      </w:tr>
      <w:tr w:rsidR="00D84C2B" w:rsidRPr="00C37F76" w14:paraId="227C3DA5" w14:textId="77777777" w:rsidTr="007976FB">
        <w:tc>
          <w:tcPr>
            <w:tcW w:w="6379" w:type="dxa"/>
            <w:gridSpan w:val="2"/>
            <w:shd w:val="clear" w:color="auto" w:fill="F2F2F2" w:themeFill="background1" w:themeFillShade="F2"/>
          </w:tcPr>
          <w:p w14:paraId="17026375" w14:textId="7AE2AAFF" w:rsidR="00D84C2B" w:rsidRPr="00C37F76" w:rsidRDefault="00D84C2B" w:rsidP="00347B9E">
            <w:pPr>
              <w:spacing w:after="0"/>
            </w:pPr>
            <w:r w:rsidRPr="00C37F76">
              <w:t xml:space="preserve">Diagnostic assessment rate for sub-populations within </w:t>
            </w:r>
            <w:r>
              <w:t>the</w:t>
            </w:r>
            <w:r w:rsidRPr="00C37F76">
              <w:t xml:space="preserve"> NBCSP</w:t>
            </w:r>
          </w:p>
        </w:tc>
        <w:tc>
          <w:tcPr>
            <w:tcW w:w="2647" w:type="dxa"/>
            <w:shd w:val="clear" w:color="auto" w:fill="F2F2F2" w:themeFill="background1" w:themeFillShade="F2"/>
          </w:tcPr>
          <w:p w14:paraId="51AE3035" w14:textId="77777777" w:rsidR="00D84C2B" w:rsidRPr="00C37F76" w:rsidRDefault="00D84C2B" w:rsidP="00347B9E">
            <w:pPr>
              <w:spacing w:after="0"/>
            </w:pPr>
          </w:p>
        </w:tc>
      </w:tr>
      <w:tr w:rsidR="00C977CA" w:rsidRPr="00C37F76" w14:paraId="53E3CFD6" w14:textId="77777777" w:rsidTr="00D84C2B">
        <w:tc>
          <w:tcPr>
            <w:tcW w:w="3686" w:type="dxa"/>
            <w:vAlign w:val="center"/>
          </w:tcPr>
          <w:p w14:paraId="135594FF" w14:textId="77777777" w:rsidR="00C977CA" w:rsidRPr="00C37F76" w:rsidRDefault="00C977CA" w:rsidP="00347B9E">
            <w:pPr>
              <w:spacing w:after="0"/>
              <w:rPr>
                <w:rFonts w:asciiTheme="minorHAnsi" w:cs="Arial"/>
                <w:color w:val="000000" w:themeColor="text1"/>
                <w:kern w:val="24"/>
                <w:szCs w:val="17"/>
                <w:lang w:val="en-US"/>
              </w:rPr>
            </w:pPr>
            <w:r w:rsidRPr="00C37F76">
              <w:rPr>
                <w:rFonts w:asciiTheme="minorHAnsi" w:cs="Arial"/>
                <w:color w:val="000000" w:themeColor="text1"/>
                <w:kern w:val="24"/>
                <w:szCs w:val="17"/>
                <w:lang w:val="en-US"/>
              </w:rPr>
              <w:t>Female</w:t>
            </w:r>
          </w:p>
        </w:tc>
        <w:tc>
          <w:tcPr>
            <w:tcW w:w="2693" w:type="dxa"/>
            <w:shd w:val="clear" w:color="auto" w:fill="FCCFC8"/>
            <w:vAlign w:val="center"/>
          </w:tcPr>
          <w:p w14:paraId="5541BB00" w14:textId="77777777" w:rsidR="00C977CA" w:rsidRPr="00A26AE2" w:rsidRDefault="00C977CA" w:rsidP="00305687">
            <w:pPr>
              <w:spacing w:after="0"/>
              <w:jc w:val="right"/>
              <w:rPr>
                <w:rFonts w:asciiTheme="minorHAnsi" w:cs="Arial"/>
                <w:color w:val="000000" w:themeColor="text1"/>
                <w:kern w:val="24"/>
                <w:lang w:val="en-US"/>
              </w:rPr>
            </w:pPr>
            <w:r w:rsidRPr="00BE365A">
              <w:rPr>
                <w:rFonts w:asciiTheme="minorHAnsi" w:cs="Arial"/>
                <w:color w:val="000000" w:themeColor="text1"/>
                <w:kern w:val="24"/>
                <w:lang w:val="en-US"/>
              </w:rPr>
              <w:t>65.0%</w:t>
            </w:r>
            <w:r w:rsidRPr="00BE365A">
              <w:rPr>
                <w:color w:val="000000" w:themeColor="text1"/>
                <w:vertAlign w:val="superscript"/>
                <w:lang w:val="en-US"/>
              </w:rPr>
              <w:t>a</w:t>
            </w:r>
          </w:p>
        </w:tc>
        <w:tc>
          <w:tcPr>
            <w:tcW w:w="2647" w:type="dxa"/>
          </w:tcPr>
          <w:p w14:paraId="55AFC9F6" w14:textId="77777777" w:rsidR="00C977CA" w:rsidRPr="00C37F76" w:rsidRDefault="00C977CA" w:rsidP="00305687">
            <w:pPr>
              <w:spacing w:after="0"/>
              <w:jc w:val="right"/>
              <w:rPr>
                <w:rFonts w:asciiTheme="minorHAnsi" w:cs="Arial"/>
                <w:color w:val="000000" w:themeColor="text1"/>
                <w:kern w:val="24"/>
                <w:lang w:val="en-US"/>
              </w:rPr>
            </w:pPr>
            <w:r w:rsidRPr="00C37F76">
              <w:rPr>
                <w:rFonts w:asciiTheme="minorHAnsi" w:cs="Arial"/>
                <w:color w:val="000000" w:themeColor="text1"/>
                <w:kern w:val="24"/>
                <w:lang w:val="en-US"/>
              </w:rPr>
              <w:t>5.6%</w:t>
            </w:r>
            <w:r w:rsidRPr="00C37F76">
              <w:rPr>
                <w:vertAlign w:val="superscript"/>
                <w:lang w:val="en-US"/>
              </w:rPr>
              <w:t>a</w:t>
            </w:r>
          </w:p>
        </w:tc>
      </w:tr>
      <w:tr w:rsidR="00C977CA" w:rsidRPr="00C37F76" w14:paraId="1FB6B3A6" w14:textId="77777777" w:rsidTr="00D84C2B">
        <w:tc>
          <w:tcPr>
            <w:tcW w:w="3686" w:type="dxa"/>
            <w:vAlign w:val="center"/>
          </w:tcPr>
          <w:p w14:paraId="65A92D0A" w14:textId="77777777" w:rsidR="00C977CA" w:rsidRPr="00C37F76" w:rsidRDefault="00C977CA" w:rsidP="00347B9E">
            <w:pPr>
              <w:spacing w:after="0"/>
              <w:rPr>
                <w:rFonts w:asciiTheme="minorHAnsi" w:cs="Arial"/>
                <w:color w:val="000000" w:themeColor="text1"/>
                <w:kern w:val="24"/>
                <w:szCs w:val="17"/>
                <w:lang w:val="en-US"/>
              </w:rPr>
            </w:pPr>
            <w:r w:rsidRPr="00C37F76">
              <w:rPr>
                <w:rFonts w:asciiTheme="minorHAnsi" w:cs="Arial"/>
                <w:color w:val="000000" w:themeColor="text1"/>
                <w:kern w:val="24"/>
                <w:szCs w:val="17"/>
                <w:lang w:val="en-US"/>
              </w:rPr>
              <w:t>Male</w:t>
            </w:r>
          </w:p>
        </w:tc>
        <w:tc>
          <w:tcPr>
            <w:tcW w:w="2693" w:type="dxa"/>
            <w:shd w:val="clear" w:color="auto" w:fill="E7F5CF" w:themeFill="accent1" w:themeFillTint="33"/>
            <w:vAlign w:val="center"/>
          </w:tcPr>
          <w:p w14:paraId="2631D2D8" w14:textId="77777777" w:rsidR="00C977CA" w:rsidRPr="00A26AE2" w:rsidRDefault="00C977CA" w:rsidP="00305687">
            <w:pPr>
              <w:spacing w:after="0"/>
              <w:jc w:val="right"/>
              <w:rPr>
                <w:rFonts w:asciiTheme="minorHAnsi" w:cs="Arial"/>
                <w:color w:val="000000" w:themeColor="text1"/>
                <w:kern w:val="24"/>
                <w:lang w:val="en-US"/>
              </w:rPr>
            </w:pPr>
            <w:r w:rsidRPr="00BE365A">
              <w:rPr>
                <w:color w:val="000000" w:themeColor="text1"/>
                <w:lang w:val="en-US"/>
              </w:rPr>
              <w:t>66.0%</w:t>
            </w:r>
            <w:r w:rsidRPr="00BE365A">
              <w:rPr>
                <w:color w:val="000000" w:themeColor="text1"/>
                <w:vertAlign w:val="superscript"/>
                <w:lang w:val="en-US"/>
              </w:rPr>
              <w:t>a</w:t>
            </w:r>
          </w:p>
        </w:tc>
        <w:tc>
          <w:tcPr>
            <w:tcW w:w="2647" w:type="dxa"/>
          </w:tcPr>
          <w:p w14:paraId="607265C2" w14:textId="77777777" w:rsidR="00C977CA" w:rsidRPr="00C37F76" w:rsidRDefault="00C977CA" w:rsidP="00305687">
            <w:pPr>
              <w:spacing w:after="0"/>
              <w:jc w:val="right"/>
              <w:rPr>
                <w:lang w:val="en-US"/>
              </w:rPr>
            </w:pPr>
            <w:r w:rsidRPr="00C37F76">
              <w:rPr>
                <w:lang w:val="en-US"/>
              </w:rPr>
              <w:t>7.9%</w:t>
            </w:r>
            <w:r w:rsidRPr="00C37F76">
              <w:rPr>
                <w:vertAlign w:val="superscript"/>
                <w:lang w:val="en-US"/>
              </w:rPr>
              <w:t>a</w:t>
            </w:r>
          </w:p>
        </w:tc>
      </w:tr>
      <w:tr w:rsidR="00C977CA" w:rsidRPr="00C37F76" w14:paraId="1F9108CA" w14:textId="77777777" w:rsidTr="00D84C2B">
        <w:tc>
          <w:tcPr>
            <w:tcW w:w="3686" w:type="dxa"/>
            <w:vAlign w:val="center"/>
          </w:tcPr>
          <w:p w14:paraId="3F16978F" w14:textId="77777777" w:rsidR="00C977CA" w:rsidRPr="00C37F76" w:rsidRDefault="00C977CA" w:rsidP="00347B9E">
            <w:pPr>
              <w:spacing w:after="0"/>
              <w:rPr>
                <w:szCs w:val="17"/>
              </w:rPr>
            </w:pPr>
            <w:r w:rsidRPr="00C37F76">
              <w:rPr>
                <w:rFonts w:asciiTheme="minorHAnsi" w:cs="Arial"/>
                <w:color w:val="000000" w:themeColor="text1"/>
                <w:kern w:val="24"/>
                <w:szCs w:val="17"/>
                <w:lang w:val="en-US"/>
              </w:rPr>
              <w:t>Disability</w:t>
            </w:r>
          </w:p>
        </w:tc>
        <w:tc>
          <w:tcPr>
            <w:tcW w:w="2693" w:type="dxa"/>
            <w:shd w:val="clear" w:color="auto" w:fill="FCCFC8"/>
            <w:vAlign w:val="center"/>
          </w:tcPr>
          <w:p w14:paraId="60C121E3" w14:textId="77777777" w:rsidR="00C977CA" w:rsidRPr="00BE365A" w:rsidRDefault="00C977CA" w:rsidP="00305687">
            <w:pPr>
              <w:spacing w:after="0"/>
              <w:jc w:val="right"/>
              <w:rPr>
                <w:color w:val="000000" w:themeColor="text1"/>
              </w:rPr>
            </w:pPr>
            <w:r w:rsidRPr="00BE365A">
              <w:rPr>
                <w:rFonts w:asciiTheme="minorHAnsi" w:cs="Arial"/>
                <w:color w:val="000000" w:themeColor="text1"/>
                <w:kern w:val="24"/>
                <w:lang w:val="en-US"/>
              </w:rPr>
              <w:t>51.2%</w:t>
            </w:r>
            <w:r w:rsidRPr="00BE365A">
              <w:rPr>
                <w:color w:val="000000" w:themeColor="text1"/>
                <w:vertAlign w:val="superscript"/>
                <w:lang w:val="en-US"/>
              </w:rPr>
              <w:t>a</w:t>
            </w:r>
          </w:p>
        </w:tc>
        <w:tc>
          <w:tcPr>
            <w:tcW w:w="2647" w:type="dxa"/>
          </w:tcPr>
          <w:p w14:paraId="6C3DF29B" w14:textId="77777777" w:rsidR="00C977CA" w:rsidRPr="00C37F76" w:rsidRDefault="00C977CA" w:rsidP="00305687">
            <w:pPr>
              <w:spacing w:after="0"/>
              <w:jc w:val="right"/>
              <w:rPr>
                <w:rFonts w:asciiTheme="minorHAnsi" w:cs="Arial"/>
                <w:color w:val="000000" w:themeColor="text1"/>
                <w:kern w:val="24"/>
                <w:lang w:val="en-US"/>
              </w:rPr>
            </w:pPr>
            <w:r w:rsidRPr="00C37F76">
              <w:rPr>
                <w:rFonts w:asciiTheme="minorHAnsi" w:cs="Arial"/>
                <w:color w:val="000000" w:themeColor="text1"/>
                <w:kern w:val="24"/>
                <w:lang w:val="en-US"/>
              </w:rPr>
              <w:t>10.1%</w:t>
            </w:r>
            <w:r w:rsidRPr="00C37F76">
              <w:rPr>
                <w:vertAlign w:val="superscript"/>
                <w:lang w:val="en-US"/>
              </w:rPr>
              <w:t>a</w:t>
            </w:r>
          </w:p>
        </w:tc>
      </w:tr>
      <w:tr w:rsidR="00C977CA" w:rsidRPr="00C37F76" w14:paraId="5438DC52" w14:textId="77777777" w:rsidTr="00D84C2B">
        <w:tc>
          <w:tcPr>
            <w:tcW w:w="3686" w:type="dxa"/>
            <w:vAlign w:val="center"/>
          </w:tcPr>
          <w:p w14:paraId="1A0AF731" w14:textId="77777777" w:rsidR="00C977CA" w:rsidRPr="00C37F76" w:rsidRDefault="00C977CA" w:rsidP="00347B9E">
            <w:pPr>
              <w:spacing w:after="0"/>
              <w:rPr>
                <w:szCs w:val="17"/>
              </w:rPr>
            </w:pPr>
            <w:r w:rsidRPr="00C37F76">
              <w:rPr>
                <w:rFonts w:asciiTheme="minorHAnsi" w:cs="Arial"/>
                <w:color w:val="000000" w:themeColor="text1"/>
                <w:kern w:val="24"/>
                <w:szCs w:val="17"/>
                <w:lang w:val="en-US"/>
              </w:rPr>
              <w:t>Indigenous</w:t>
            </w:r>
          </w:p>
        </w:tc>
        <w:tc>
          <w:tcPr>
            <w:tcW w:w="2693" w:type="dxa"/>
            <w:shd w:val="clear" w:color="auto" w:fill="FCCFC8"/>
            <w:vAlign w:val="center"/>
          </w:tcPr>
          <w:p w14:paraId="31B9C30E" w14:textId="77777777" w:rsidR="00C977CA" w:rsidRPr="00BE365A" w:rsidRDefault="00C977CA" w:rsidP="00305687">
            <w:pPr>
              <w:spacing w:after="0"/>
              <w:jc w:val="right"/>
              <w:rPr>
                <w:color w:val="000000" w:themeColor="text1"/>
              </w:rPr>
            </w:pPr>
            <w:r w:rsidRPr="00BE365A">
              <w:rPr>
                <w:rFonts w:asciiTheme="minorHAnsi" w:cs="Arial"/>
                <w:color w:val="000000" w:themeColor="text1"/>
                <w:kern w:val="24"/>
                <w:lang w:val="en-US"/>
              </w:rPr>
              <w:t>47.7%</w:t>
            </w:r>
            <w:r w:rsidRPr="00BE365A">
              <w:rPr>
                <w:color w:val="000000" w:themeColor="text1"/>
                <w:vertAlign w:val="superscript"/>
                <w:lang w:val="en-US"/>
              </w:rPr>
              <w:t>a</w:t>
            </w:r>
          </w:p>
        </w:tc>
        <w:tc>
          <w:tcPr>
            <w:tcW w:w="2647" w:type="dxa"/>
          </w:tcPr>
          <w:p w14:paraId="3E7CC907" w14:textId="77777777" w:rsidR="00C977CA" w:rsidRPr="00C37F76" w:rsidRDefault="00C977CA" w:rsidP="00305687">
            <w:pPr>
              <w:spacing w:after="0"/>
              <w:jc w:val="right"/>
              <w:rPr>
                <w:rFonts w:asciiTheme="minorHAnsi" w:cs="Arial"/>
                <w:color w:val="000000" w:themeColor="text1"/>
                <w:kern w:val="24"/>
                <w:lang w:val="en-US"/>
              </w:rPr>
            </w:pPr>
            <w:r w:rsidRPr="00C37F76">
              <w:rPr>
                <w:rFonts w:asciiTheme="minorHAnsi" w:cs="Arial"/>
                <w:color w:val="000000" w:themeColor="text1"/>
                <w:kern w:val="24"/>
                <w:lang w:val="en-US"/>
              </w:rPr>
              <w:t>9.9%</w:t>
            </w:r>
            <w:r w:rsidRPr="00C37F76">
              <w:rPr>
                <w:vertAlign w:val="superscript"/>
                <w:lang w:val="en-US"/>
              </w:rPr>
              <w:t>a</w:t>
            </w:r>
          </w:p>
        </w:tc>
      </w:tr>
      <w:tr w:rsidR="00C977CA" w:rsidRPr="00C37F76" w14:paraId="6277CE9C" w14:textId="77777777" w:rsidTr="00D84C2B">
        <w:tc>
          <w:tcPr>
            <w:tcW w:w="3686" w:type="dxa"/>
            <w:vAlign w:val="center"/>
          </w:tcPr>
          <w:p w14:paraId="24691A45" w14:textId="77777777" w:rsidR="00C977CA" w:rsidRPr="00C37F76" w:rsidRDefault="00C977CA" w:rsidP="00347B9E">
            <w:pPr>
              <w:spacing w:after="0"/>
              <w:rPr>
                <w:szCs w:val="17"/>
              </w:rPr>
            </w:pPr>
            <w:r w:rsidRPr="00C37F76">
              <w:rPr>
                <w:rFonts w:asciiTheme="minorHAnsi" w:cs="Arial"/>
                <w:color w:val="000000" w:themeColor="text1"/>
                <w:kern w:val="24"/>
                <w:szCs w:val="17"/>
                <w:lang w:val="en-US"/>
              </w:rPr>
              <w:t>Metro</w:t>
            </w:r>
          </w:p>
        </w:tc>
        <w:tc>
          <w:tcPr>
            <w:tcW w:w="2693" w:type="dxa"/>
            <w:shd w:val="clear" w:color="auto" w:fill="E7F5CF" w:themeFill="accent1" w:themeFillTint="33"/>
            <w:vAlign w:val="center"/>
          </w:tcPr>
          <w:p w14:paraId="6F2192CB" w14:textId="77777777" w:rsidR="00C977CA" w:rsidRPr="00BE365A" w:rsidRDefault="00C977CA" w:rsidP="00305687">
            <w:pPr>
              <w:spacing w:after="0"/>
              <w:jc w:val="right"/>
              <w:rPr>
                <w:color w:val="000000" w:themeColor="text1"/>
              </w:rPr>
            </w:pPr>
            <w:r w:rsidRPr="00BE365A">
              <w:rPr>
                <w:rFonts w:asciiTheme="minorHAnsi" w:cs="Arial"/>
                <w:color w:val="000000" w:themeColor="text1"/>
                <w:kern w:val="24"/>
                <w:lang w:val="en-US"/>
              </w:rPr>
              <w:t>69.5%</w:t>
            </w:r>
            <w:r w:rsidRPr="00BE365A">
              <w:rPr>
                <w:color w:val="000000" w:themeColor="text1"/>
                <w:vertAlign w:val="superscript"/>
                <w:lang w:val="en-US"/>
              </w:rPr>
              <w:t>a</w:t>
            </w:r>
          </w:p>
        </w:tc>
        <w:tc>
          <w:tcPr>
            <w:tcW w:w="2647" w:type="dxa"/>
          </w:tcPr>
          <w:p w14:paraId="76096BC1" w14:textId="77777777" w:rsidR="00C977CA" w:rsidRPr="00C37F76" w:rsidRDefault="00C977CA" w:rsidP="00305687">
            <w:pPr>
              <w:spacing w:after="0"/>
              <w:jc w:val="right"/>
              <w:rPr>
                <w:rFonts w:asciiTheme="minorHAnsi" w:cs="Arial"/>
                <w:color w:val="000000" w:themeColor="text1"/>
                <w:kern w:val="24"/>
                <w:lang w:val="en-US"/>
              </w:rPr>
            </w:pPr>
            <w:r w:rsidRPr="00C37F76">
              <w:rPr>
                <w:rFonts w:asciiTheme="minorHAnsi" w:cs="Arial"/>
                <w:color w:val="000000" w:themeColor="text1"/>
                <w:kern w:val="24"/>
                <w:lang w:val="en-US"/>
              </w:rPr>
              <w:t>6.4%</w:t>
            </w:r>
            <w:r w:rsidRPr="00C37F76">
              <w:rPr>
                <w:vertAlign w:val="superscript"/>
                <w:lang w:val="en-US"/>
              </w:rPr>
              <w:t>a</w:t>
            </w:r>
          </w:p>
        </w:tc>
      </w:tr>
      <w:tr w:rsidR="00C977CA" w:rsidRPr="00C37F76" w14:paraId="08803745" w14:textId="77777777" w:rsidTr="00D84C2B">
        <w:tc>
          <w:tcPr>
            <w:tcW w:w="3686" w:type="dxa"/>
            <w:vAlign w:val="center"/>
          </w:tcPr>
          <w:p w14:paraId="293E2E7C" w14:textId="77777777" w:rsidR="00C977CA" w:rsidRPr="00C37F76" w:rsidRDefault="00C977CA" w:rsidP="00347B9E">
            <w:pPr>
              <w:spacing w:after="0"/>
              <w:rPr>
                <w:szCs w:val="17"/>
              </w:rPr>
            </w:pPr>
            <w:r w:rsidRPr="00C37F76">
              <w:rPr>
                <w:rFonts w:asciiTheme="minorHAnsi" w:cs="Arial"/>
                <w:color w:val="000000" w:themeColor="text1"/>
                <w:kern w:val="24"/>
                <w:szCs w:val="17"/>
                <w:lang w:val="en-US"/>
              </w:rPr>
              <w:t>Inner regional</w:t>
            </w:r>
          </w:p>
        </w:tc>
        <w:tc>
          <w:tcPr>
            <w:tcW w:w="2693" w:type="dxa"/>
            <w:shd w:val="clear" w:color="auto" w:fill="FCCFC8"/>
            <w:vAlign w:val="center"/>
          </w:tcPr>
          <w:p w14:paraId="518A0F88" w14:textId="77777777" w:rsidR="00C977CA" w:rsidRPr="00BE365A" w:rsidRDefault="00C977CA" w:rsidP="00305687">
            <w:pPr>
              <w:spacing w:after="0"/>
              <w:jc w:val="right"/>
              <w:rPr>
                <w:color w:val="000000" w:themeColor="text1"/>
              </w:rPr>
            </w:pPr>
            <w:r w:rsidRPr="00BE365A">
              <w:rPr>
                <w:rFonts w:asciiTheme="minorHAnsi" w:cs="Arial"/>
                <w:color w:val="000000" w:themeColor="text1"/>
                <w:kern w:val="24"/>
                <w:lang w:val="en-US"/>
              </w:rPr>
              <w:t>59.1%</w:t>
            </w:r>
            <w:r w:rsidRPr="00BE365A">
              <w:rPr>
                <w:color w:val="000000" w:themeColor="text1"/>
                <w:vertAlign w:val="superscript"/>
                <w:lang w:val="en-US"/>
              </w:rPr>
              <w:t>a</w:t>
            </w:r>
          </w:p>
        </w:tc>
        <w:tc>
          <w:tcPr>
            <w:tcW w:w="2647" w:type="dxa"/>
          </w:tcPr>
          <w:p w14:paraId="3882AEFF" w14:textId="77777777" w:rsidR="00C977CA" w:rsidRPr="00C37F76" w:rsidRDefault="00C977CA" w:rsidP="00305687">
            <w:pPr>
              <w:spacing w:after="0"/>
              <w:jc w:val="right"/>
              <w:rPr>
                <w:rFonts w:asciiTheme="minorHAnsi" w:cs="Arial"/>
                <w:color w:val="000000" w:themeColor="text1"/>
                <w:kern w:val="24"/>
                <w:lang w:val="en-US"/>
              </w:rPr>
            </w:pPr>
            <w:r w:rsidRPr="00C37F76">
              <w:rPr>
                <w:rFonts w:asciiTheme="minorHAnsi" w:cs="Arial"/>
                <w:color w:val="000000" w:themeColor="text1"/>
                <w:kern w:val="24"/>
                <w:lang w:val="en-US"/>
              </w:rPr>
              <w:t>7.0%</w:t>
            </w:r>
            <w:r w:rsidRPr="00C37F76">
              <w:rPr>
                <w:vertAlign w:val="superscript"/>
                <w:lang w:val="en-US"/>
              </w:rPr>
              <w:t>a</w:t>
            </w:r>
          </w:p>
        </w:tc>
      </w:tr>
      <w:tr w:rsidR="00C977CA" w:rsidRPr="00C37F76" w14:paraId="681E2664" w14:textId="77777777" w:rsidTr="00D84C2B">
        <w:tc>
          <w:tcPr>
            <w:tcW w:w="3686" w:type="dxa"/>
            <w:vAlign w:val="center"/>
          </w:tcPr>
          <w:p w14:paraId="39D5023F" w14:textId="77777777" w:rsidR="00C977CA" w:rsidRPr="00C37F76" w:rsidRDefault="00C977CA" w:rsidP="00347B9E">
            <w:pPr>
              <w:spacing w:after="0"/>
              <w:rPr>
                <w:szCs w:val="17"/>
              </w:rPr>
            </w:pPr>
            <w:r w:rsidRPr="00C37F76">
              <w:rPr>
                <w:rFonts w:asciiTheme="minorHAnsi" w:cs="Arial"/>
                <w:color w:val="000000" w:themeColor="text1"/>
                <w:kern w:val="24"/>
                <w:szCs w:val="17"/>
                <w:lang w:val="en-US"/>
              </w:rPr>
              <w:t>Outer regional</w:t>
            </w:r>
          </w:p>
        </w:tc>
        <w:tc>
          <w:tcPr>
            <w:tcW w:w="2693" w:type="dxa"/>
            <w:shd w:val="clear" w:color="auto" w:fill="FCCFC8"/>
            <w:vAlign w:val="center"/>
          </w:tcPr>
          <w:p w14:paraId="3BC3FCDC" w14:textId="77777777" w:rsidR="00C977CA" w:rsidRPr="00BE365A" w:rsidRDefault="00C977CA" w:rsidP="00305687">
            <w:pPr>
              <w:spacing w:after="0"/>
              <w:jc w:val="right"/>
              <w:rPr>
                <w:color w:val="000000" w:themeColor="text1"/>
                <w:szCs w:val="17"/>
              </w:rPr>
            </w:pPr>
            <w:r w:rsidRPr="00BE365A">
              <w:rPr>
                <w:rFonts w:asciiTheme="minorHAnsi" w:cs="Arial"/>
                <w:color w:val="000000" w:themeColor="text1"/>
                <w:kern w:val="24"/>
                <w:szCs w:val="17"/>
                <w:lang w:val="en-US"/>
              </w:rPr>
              <w:t>58.1</w:t>
            </w:r>
            <w:r w:rsidRPr="00A26AE2">
              <w:rPr>
                <w:rFonts w:asciiTheme="minorHAnsi" w:cs="Arial"/>
                <w:color w:val="000000" w:themeColor="text1"/>
                <w:kern w:val="24"/>
                <w:szCs w:val="17"/>
                <w:lang w:val="en-US"/>
              </w:rPr>
              <w:t>%</w:t>
            </w:r>
            <w:r w:rsidRPr="00BE365A">
              <w:rPr>
                <w:color w:val="000000" w:themeColor="text1"/>
                <w:vertAlign w:val="superscript"/>
                <w:lang w:val="en-US"/>
              </w:rPr>
              <w:t>a</w:t>
            </w:r>
          </w:p>
        </w:tc>
        <w:tc>
          <w:tcPr>
            <w:tcW w:w="2647" w:type="dxa"/>
          </w:tcPr>
          <w:p w14:paraId="68C852D2" w14:textId="77777777" w:rsidR="00C977CA" w:rsidRPr="00C37F76" w:rsidRDefault="00C977CA" w:rsidP="00305687">
            <w:pPr>
              <w:spacing w:after="0"/>
              <w:jc w:val="right"/>
              <w:rPr>
                <w:rFonts w:asciiTheme="minorHAnsi" w:cs="Arial"/>
                <w:color w:val="000000" w:themeColor="text1"/>
                <w:kern w:val="24"/>
                <w:lang w:val="en-US"/>
              </w:rPr>
            </w:pPr>
            <w:r w:rsidRPr="00C37F76">
              <w:rPr>
                <w:rFonts w:asciiTheme="minorHAnsi" w:cs="Arial"/>
                <w:color w:val="000000" w:themeColor="text1"/>
                <w:kern w:val="24"/>
                <w:lang w:val="en-US"/>
              </w:rPr>
              <w:t>7.6%</w:t>
            </w:r>
            <w:r w:rsidRPr="00C37F76">
              <w:rPr>
                <w:vertAlign w:val="superscript"/>
                <w:lang w:val="en-US"/>
              </w:rPr>
              <w:t>a</w:t>
            </w:r>
          </w:p>
        </w:tc>
      </w:tr>
      <w:tr w:rsidR="00C977CA" w:rsidRPr="00C37F76" w14:paraId="76EDCE43" w14:textId="77777777" w:rsidTr="00D84C2B">
        <w:tc>
          <w:tcPr>
            <w:tcW w:w="3686" w:type="dxa"/>
            <w:vAlign w:val="center"/>
          </w:tcPr>
          <w:p w14:paraId="67B3BDF1" w14:textId="77777777" w:rsidR="00C977CA" w:rsidRPr="00C37F76" w:rsidRDefault="00C977CA" w:rsidP="00347B9E">
            <w:pPr>
              <w:spacing w:after="0"/>
              <w:rPr>
                <w:szCs w:val="17"/>
              </w:rPr>
            </w:pPr>
            <w:r w:rsidRPr="00C37F76">
              <w:rPr>
                <w:rFonts w:asciiTheme="minorHAnsi" w:cs="Arial"/>
                <w:color w:val="000000" w:themeColor="text1"/>
                <w:kern w:val="24"/>
                <w:szCs w:val="17"/>
                <w:lang w:val="en-US"/>
              </w:rPr>
              <w:t>Remote</w:t>
            </w:r>
          </w:p>
        </w:tc>
        <w:tc>
          <w:tcPr>
            <w:tcW w:w="2693" w:type="dxa"/>
            <w:shd w:val="clear" w:color="auto" w:fill="FCCFC8"/>
            <w:vAlign w:val="center"/>
          </w:tcPr>
          <w:p w14:paraId="758AAACD" w14:textId="77777777" w:rsidR="00C977CA" w:rsidRPr="00BE365A" w:rsidRDefault="00C977CA" w:rsidP="00305687">
            <w:pPr>
              <w:spacing w:after="0"/>
              <w:jc w:val="right"/>
              <w:rPr>
                <w:color w:val="000000" w:themeColor="text1"/>
                <w:szCs w:val="17"/>
              </w:rPr>
            </w:pPr>
            <w:r w:rsidRPr="00BE365A">
              <w:rPr>
                <w:rFonts w:asciiTheme="minorHAnsi" w:cs="Arial"/>
                <w:color w:val="000000" w:themeColor="text1"/>
                <w:kern w:val="24"/>
                <w:szCs w:val="17"/>
                <w:lang w:val="en-US"/>
              </w:rPr>
              <w:t>52.8%</w:t>
            </w:r>
            <w:r w:rsidRPr="00BE365A">
              <w:rPr>
                <w:color w:val="000000" w:themeColor="text1"/>
                <w:vertAlign w:val="superscript"/>
                <w:lang w:val="en-US"/>
              </w:rPr>
              <w:t>a</w:t>
            </w:r>
          </w:p>
        </w:tc>
        <w:tc>
          <w:tcPr>
            <w:tcW w:w="2647" w:type="dxa"/>
          </w:tcPr>
          <w:p w14:paraId="63C77C06" w14:textId="77777777" w:rsidR="00C977CA" w:rsidRPr="00C37F76" w:rsidRDefault="00C977CA" w:rsidP="00305687">
            <w:pPr>
              <w:spacing w:after="0"/>
              <w:jc w:val="right"/>
              <w:rPr>
                <w:rFonts w:asciiTheme="minorHAnsi" w:cs="Arial"/>
                <w:color w:val="000000" w:themeColor="text1"/>
                <w:kern w:val="24"/>
                <w:lang w:val="en-US"/>
              </w:rPr>
            </w:pPr>
            <w:r w:rsidRPr="00C37F76">
              <w:rPr>
                <w:rFonts w:asciiTheme="minorHAnsi" w:cs="Arial"/>
                <w:color w:val="000000" w:themeColor="text1"/>
                <w:kern w:val="24"/>
                <w:lang w:val="en-US"/>
              </w:rPr>
              <w:t>8.1%</w:t>
            </w:r>
            <w:r w:rsidRPr="00C37F76">
              <w:rPr>
                <w:vertAlign w:val="superscript"/>
                <w:lang w:val="en-US"/>
              </w:rPr>
              <w:t>a</w:t>
            </w:r>
          </w:p>
        </w:tc>
      </w:tr>
      <w:tr w:rsidR="00C977CA" w:rsidRPr="00C37F76" w14:paraId="27871EDB" w14:textId="77777777" w:rsidTr="00D84C2B">
        <w:tc>
          <w:tcPr>
            <w:tcW w:w="3686" w:type="dxa"/>
            <w:vAlign w:val="center"/>
          </w:tcPr>
          <w:p w14:paraId="1C0EE99C" w14:textId="77777777" w:rsidR="00C977CA" w:rsidRPr="00C37F76" w:rsidRDefault="00C977CA" w:rsidP="00347B9E">
            <w:pPr>
              <w:spacing w:after="0"/>
              <w:rPr>
                <w:szCs w:val="17"/>
              </w:rPr>
            </w:pPr>
            <w:r w:rsidRPr="00C37F76">
              <w:rPr>
                <w:rFonts w:asciiTheme="minorHAnsi" w:cs="Arial"/>
                <w:color w:val="000000" w:themeColor="text1"/>
                <w:kern w:val="24"/>
                <w:szCs w:val="17"/>
                <w:lang w:val="en-US"/>
              </w:rPr>
              <w:t>Very remote</w:t>
            </w:r>
          </w:p>
        </w:tc>
        <w:tc>
          <w:tcPr>
            <w:tcW w:w="2693" w:type="dxa"/>
            <w:shd w:val="clear" w:color="auto" w:fill="FCCFC8"/>
            <w:vAlign w:val="center"/>
          </w:tcPr>
          <w:p w14:paraId="0324D686" w14:textId="77777777" w:rsidR="00C977CA" w:rsidRPr="00BE365A" w:rsidRDefault="00C977CA" w:rsidP="00305687">
            <w:pPr>
              <w:spacing w:after="0"/>
              <w:jc w:val="right"/>
              <w:rPr>
                <w:color w:val="000000" w:themeColor="text1"/>
                <w:szCs w:val="17"/>
              </w:rPr>
            </w:pPr>
            <w:r w:rsidRPr="00BE365A">
              <w:rPr>
                <w:rFonts w:asciiTheme="minorHAnsi" w:cs="Arial"/>
                <w:color w:val="000000" w:themeColor="text1"/>
                <w:kern w:val="24"/>
                <w:szCs w:val="17"/>
                <w:lang w:val="en-US"/>
              </w:rPr>
              <w:t>42.7%</w:t>
            </w:r>
            <w:r w:rsidRPr="00BE365A">
              <w:rPr>
                <w:color w:val="000000" w:themeColor="text1"/>
                <w:vertAlign w:val="superscript"/>
                <w:lang w:val="en-US"/>
              </w:rPr>
              <w:t>a</w:t>
            </w:r>
          </w:p>
        </w:tc>
        <w:tc>
          <w:tcPr>
            <w:tcW w:w="2647" w:type="dxa"/>
          </w:tcPr>
          <w:p w14:paraId="374685C8" w14:textId="77777777" w:rsidR="00C977CA" w:rsidRPr="00C37F76" w:rsidRDefault="00C977CA" w:rsidP="00305687">
            <w:pPr>
              <w:spacing w:after="0"/>
              <w:jc w:val="right"/>
              <w:rPr>
                <w:rFonts w:asciiTheme="minorHAnsi" w:cs="Arial"/>
                <w:color w:val="000000" w:themeColor="text1"/>
                <w:kern w:val="24"/>
                <w:lang w:val="en-US"/>
              </w:rPr>
            </w:pPr>
            <w:r w:rsidRPr="00C37F76">
              <w:rPr>
                <w:rFonts w:asciiTheme="minorHAnsi" w:cs="Arial"/>
                <w:color w:val="000000" w:themeColor="text1"/>
                <w:kern w:val="24"/>
                <w:lang w:val="en-US"/>
              </w:rPr>
              <w:t>8.0%</w:t>
            </w:r>
            <w:r w:rsidRPr="00C37F76">
              <w:rPr>
                <w:vertAlign w:val="superscript"/>
                <w:lang w:val="en-US"/>
              </w:rPr>
              <w:t>a</w:t>
            </w:r>
          </w:p>
        </w:tc>
      </w:tr>
      <w:tr w:rsidR="00C977CA" w:rsidRPr="00C37F76" w14:paraId="35E067C1" w14:textId="77777777" w:rsidTr="00D84C2B">
        <w:tc>
          <w:tcPr>
            <w:tcW w:w="3686" w:type="dxa"/>
            <w:vAlign w:val="center"/>
          </w:tcPr>
          <w:p w14:paraId="05B76FD5" w14:textId="77777777" w:rsidR="00C977CA" w:rsidRPr="00C37F76" w:rsidRDefault="00C977CA" w:rsidP="00347B9E">
            <w:pPr>
              <w:spacing w:after="0"/>
              <w:rPr>
                <w:rFonts w:asciiTheme="minorHAnsi" w:cs="Arial"/>
                <w:color w:val="000000" w:themeColor="text1"/>
                <w:kern w:val="24"/>
                <w:szCs w:val="17"/>
                <w:lang w:val="en-US"/>
              </w:rPr>
            </w:pPr>
            <w:r w:rsidRPr="00C37F76">
              <w:rPr>
                <w:rFonts w:asciiTheme="minorHAnsi" w:cs="Arial"/>
                <w:color w:val="000000" w:themeColor="text1"/>
                <w:kern w:val="24"/>
                <w:szCs w:val="17"/>
                <w:lang w:val="en-US"/>
              </w:rPr>
              <w:lastRenderedPageBreak/>
              <w:t>Low socioeconomic areas</w:t>
            </w:r>
          </w:p>
        </w:tc>
        <w:tc>
          <w:tcPr>
            <w:tcW w:w="2693" w:type="dxa"/>
            <w:tcBorders>
              <w:bottom w:val="single" w:sz="4" w:space="0" w:color="auto"/>
            </w:tcBorders>
            <w:shd w:val="clear" w:color="auto" w:fill="FCCFC8"/>
            <w:vAlign w:val="center"/>
          </w:tcPr>
          <w:p w14:paraId="694A01AA" w14:textId="77777777" w:rsidR="00C977CA" w:rsidRPr="00A26AE2" w:rsidRDefault="00C977CA" w:rsidP="00305687">
            <w:pPr>
              <w:spacing w:after="0"/>
              <w:jc w:val="right"/>
              <w:rPr>
                <w:rFonts w:asciiTheme="minorHAnsi" w:cs="Arial"/>
                <w:color w:val="000000" w:themeColor="text1"/>
                <w:kern w:val="24"/>
                <w:szCs w:val="17"/>
                <w:lang w:val="en-US"/>
              </w:rPr>
            </w:pPr>
            <w:r w:rsidRPr="00BE365A">
              <w:rPr>
                <w:rFonts w:asciiTheme="minorHAnsi" w:cs="Arial"/>
                <w:color w:val="000000" w:themeColor="text1"/>
                <w:kern w:val="24"/>
                <w:szCs w:val="17"/>
                <w:lang w:val="en-US"/>
              </w:rPr>
              <w:t>59.4%</w:t>
            </w:r>
            <w:r w:rsidRPr="00BE365A">
              <w:rPr>
                <w:color w:val="000000" w:themeColor="text1"/>
                <w:vertAlign w:val="superscript"/>
                <w:lang w:val="en-US"/>
              </w:rPr>
              <w:t>a</w:t>
            </w:r>
          </w:p>
        </w:tc>
        <w:tc>
          <w:tcPr>
            <w:tcW w:w="2647" w:type="dxa"/>
          </w:tcPr>
          <w:p w14:paraId="572EB4F1" w14:textId="77777777" w:rsidR="00C977CA" w:rsidRPr="00C37F76" w:rsidRDefault="00C977CA" w:rsidP="00305687">
            <w:pPr>
              <w:spacing w:after="0"/>
              <w:jc w:val="right"/>
              <w:rPr>
                <w:rFonts w:asciiTheme="minorHAnsi" w:cs="Arial"/>
                <w:color w:val="000000" w:themeColor="text1"/>
                <w:kern w:val="24"/>
                <w:lang w:val="en-US"/>
              </w:rPr>
            </w:pPr>
            <w:r w:rsidRPr="00C37F76">
              <w:rPr>
                <w:rFonts w:asciiTheme="minorHAnsi" w:cs="Arial"/>
                <w:color w:val="000000" w:themeColor="text1"/>
                <w:kern w:val="24"/>
                <w:lang w:val="en-US"/>
              </w:rPr>
              <w:t>7.9%</w:t>
            </w:r>
            <w:r w:rsidRPr="00C37F76">
              <w:rPr>
                <w:vertAlign w:val="superscript"/>
                <w:lang w:val="en-US"/>
              </w:rPr>
              <w:t>a</w:t>
            </w:r>
          </w:p>
        </w:tc>
      </w:tr>
      <w:tr w:rsidR="00C977CA" w:rsidRPr="00C37F76" w14:paraId="2574B70A" w14:textId="77777777" w:rsidTr="00D84C2B">
        <w:tc>
          <w:tcPr>
            <w:tcW w:w="3686" w:type="dxa"/>
            <w:vAlign w:val="center"/>
          </w:tcPr>
          <w:p w14:paraId="7CF927A8" w14:textId="77777777" w:rsidR="00C977CA" w:rsidRPr="00C37F76" w:rsidRDefault="00C977CA" w:rsidP="00347B9E">
            <w:pPr>
              <w:spacing w:after="0"/>
              <w:rPr>
                <w:rFonts w:asciiTheme="minorHAnsi" w:cs="Arial"/>
                <w:color w:val="000000" w:themeColor="text1"/>
                <w:kern w:val="24"/>
                <w:szCs w:val="17"/>
                <w:lang w:val="en-US"/>
              </w:rPr>
            </w:pPr>
            <w:r w:rsidRPr="00C37F76">
              <w:rPr>
                <w:rFonts w:asciiTheme="minorHAnsi" w:cs="Arial"/>
                <w:color w:val="000000" w:themeColor="text1"/>
                <w:kern w:val="24"/>
                <w:szCs w:val="17"/>
                <w:lang w:val="en-US"/>
              </w:rPr>
              <w:t>High socioeconomic areas</w:t>
            </w:r>
          </w:p>
        </w:tc>
        <w:tc>
          <w:tcPr>
            <w:tcW w:w="2693" w:type="dxa"/>
            <w:tcBorders>
              <w:top w:val="single" w:sz="4" w:space="0" w:color="auto"/>
            </w:tcBorders>
            <w:shd w:val="clear" w:color="auto" w:fill="E7F5CF" w:themeFill="accent1" w:themeFillTint="33"/>
            <w:vAlign w:val="center"/>
          </w:tcPr>
          <w:p w14:paraId="7D736258" w14:textId="77777777" w:rsidR="00C977CA" w:rsidRPr="00A26AE2" w:rsidRDefault="00C977CA" w:rsidP="00305687">
            <w:pPr>
              <w:spacing w:after="0"/>
              <w:jc w:val="right"/>
              <w:rPr>
                <w:rFonts w:asciiTheme="minorHAnsi" w:cs="Arial"/>
                <w:color w:val="000000" w:themeColor="text1"/>
                <w:kern w:val="24"/>
                <w:szCs w:val="17"/>
                <w:lang w:val="en-US"/>
              </w:rPr>
            </w:pPr>
            <w:r w:rsidRPr="00BE365A">
              <w:rPr>
                <w:rFonts w:asciiTheme="minorHAnsi" w:cs="Arial"/>
                <w:color w:val="000000" w:themeColor="text1"/>
                <w:kern w:val="24"/>
                <w:szCs w:val="17"/>
                <w:lang w:val="en-US"/>
              </w:rPr>
              <w:t>74.3%</w:t>
            </w:r>
            <w:r w:rsidRPr="00BE365A">
              <w:rPr>
                <w:color w:val="000000" w:themeColor="text1"/>
                <w:vertAlign w:val="superscript"/>
                <w:lang w:val="en-US"/>
              </w:rPr>
              <w:t>a</w:t>
            </w:r>
          </w:p>
        </w:tc>
        <w:tc>
          <w:tcPr>
            <w:tcW w:w="2647" w:type="dxa"/>
          </w:tcPr>
          <w:p w14:paraId="4E90D629" w14:textId="77777777" w:rsidR="00C977CA" w:rsidRPr="00C37F76" w:rsidRDefault="00C977CA" w:rsidP="00305687">
            <w:pPr>
              <w:spacing w:after="0"/>
              <w:jc w:val="right"/>
              <w:rPr>
                <w:rFonts w:asciiTheme="minorHAnsi" w:cs="Arial"/>
                <w:color w:val="000000" w:themeColor="text1"/>
                <w:kern w:val="24"/>
                <w:lang w:val="en-US"/>
              </w:rPr>
            </w:pPr>
            <w:r w:rsidRPr="00C37F76">
              <w:rPr>
                <w:rFonts w:asciiTheme="minorHAnsi" w:cs="Arial"/>
                <w:color w:val="000000" w:themeColor="text1"/>
                <w:kern w:val="24"/>
                <w:lang w:val="en-US"/>
              </w:rPr>
              <w:t>5.4%</w:t>
            </w:r>
            <w:r w:rsidRPr="00C37F76">
              <w:rPr>
                <w:vertAlign w:val="superscript"/>
                <w:lang w:val="en-US"/>
              </w:rPr>
              <w:t>a</w:t>
            </w:r>
          </w:p>
        </w:tc>
      </w:tr>
      <w:tr w:rsidR="00D84C2B" w:rsidRPr="00C37F76" w14:paraId="2933FBDD" w14:textId="77777777" w:rsidTr="007976FB">
        <w:tc>
          <w:tcPr>
            <w:tcW w:w="9026" w:type="dxa"/>
            <w:gridSpan w:val="3"/>
            <w:shd w:val="clear" w:color="auto" w:fill="F2F2F2" w:themeFill="background1" w:themeFillShade="F2"/>
          </w:tcPr>
          <w:p w14:paraId="2D3018CB" w14:textId="6DF9DB27" w:rsidR="00D84C2B" w:rsidRPr="00C37F76" w:rsidRDefault="00D84C2B" w:rsidP="00347B9E">
            <w:pPr>
              <w:spacing w:after="0"/>
            </w:pPr>
            <w:r w:rsidRPr="00D84C2B">
              <w:rPr>
                <w:b/>
                <w:bCs/>
              </w:rPr>
              <w:t>Overseas programs</w:t>
            </w:r>
          </w:p>
        </w:tc>
      </w:tr>
      <w:tr w:rsidR="00C977CA" w:rsidRPr="00C37F76" w14:paraId="241A56AD" w14:textId="77777777" w:rsidTr="00D84C2B">
        <w:tc>
          <w:tcPr>
            <w:tcW w:w="3686" w:type="dxa"/>
          </w:tcPr>
          <w:p w14:paraId="4A521823" w14:textId="08A22307" w:rsidR="00C977CA" w:rsidRPr="00C37F76" w:rsidRDefault="00C977CA" w:rsidP="00347B9E">
            <w:pPr>
              <w:spacing w:after="0"/>
            </w:pPr>
            <w:r w:rsidRPr="00C37F76">
              <w:t>England</w:t>
            </w:r>
          </w:p>
        </w:tc>
        <w:tc>
          <w:tcPr>
            <w:tcW w:w="2693" w:type="dxa"/>
            <w:vAlign w:val="center"/>
          </w:tcPr>
          <w:p w14:paraId="4A74E229" w14:textId="77777777" w:rsidR="00C977CA" w:rsidRPr="00C37F76" w:rsidRDefault="00C977CA" w:rsidP="00305687">
            <w:pPr>
              <w:spacing w:after="0"/>
              <w:jc w:val="right"/>
              <w:rPr>
                <w:szCs w:val="17"/>
              </w:rPr>
            </w:pPr>
            <w:r w:rsidRPr="00C37F76">
              <w:rPr>
                <w:szCs w:val="17"/>
              </w:rPr>
              <w:t>83%</w:t>
            </w:r>
            <w:r w:rsidRPr="00C37F76">
              <w:rPr>
                <w:szCs w:val="17"/>
                <w:vertAlign w:val="superscript"/>
              </w:rPr>
              <w:t>b</w:t>
            </w:r>
            <w:r w:rsidRPr="00C37F76">
              <w:rPr>
                <w:szCs w:val="17"/>
              </w:rPr>
              <w:t xml:space="preserve"> </w:t>
            </w:r>
          </w:p>
        </w:tc>
        <w:tc>
          <w:tcPr>
            <w:tcW w:w="2647" w:type="dxa"/>
          </w:tcPr>
          <w:p w14:paraId="01152ADF" w14:textId="77777777" w:rsidR="00C977CA" w:rsidRPr="00C37F76" w:rsidRDefault="00C977CA" w:rsidP="00347B9E">
            <w:pPr>
              <w:spacing w:after="0"/>
              <w:rPr>
                <w:szCs w:val="17"/>
              </w:rPr>
            </w:pPr>
          </w:p>
        </w:tc>
      </w:tr>
      <w:tr w:rsidR="00C977CA" w:rsidRPr="00C37F76" w14:paraId="77B9A8A0" w14:textId="77777777" w:rsidTr="00D84C2B">
        <w:trPr>
          <w:trHeight w:val="294"/>
        </w:trPr>
        <w:tc>
          <w:tcPr>
            <w:tcW w:w="3686" w:type="dxa"/>
          </w:tcPr>
          <w:p w14:paraId="217BDE07" w14:textId="4F26737F" w:rsidR="00C977CA" w:rsidRPr="00C37F76" w:rsidRDefault="00C977CA" w:rsidP="00347B9E">
            <w:pPr>
              <w:spacing w:after="0"/>
            </w:pPr>
            <w:r w:rsidRPr="00C37F76">
              <w:t>Sweden</w:t>
            </w:r>
          </w:p>
        </w:tc>
        <w:tc>
          <w:tcPr>
            <w:tcW w:w="2693" w:type="dxa"/>
            <w:vAlign w:val="center"/>
          </w:tcPr>
          <w:p w14:paraId="280173D8" w14:textId="176C6853" w:rsidR="00C977CA" w:rsidRPr="00C37F76" w:rsidRDefault="00C977CA" w:rsidP="00305687">
            <w:pPr>
              <w:spacing w:after="0"/>
              <w:jc w:val="right"/>
              <w:rPr>
                <w:szCs w:val="17"/>
              </w:rPr>
            </w:pPr>
            <w:r w:rsidRPr="00C37F76">
              <w:rPr>
                <w:szCs w:val="17"/>
              </w:rPr>
              <w:t>85.6%</w:t>
            </w:r>
            <w:r w:rsidR="00A438F6">
              <w:rPr>
                <w:szCs w:val="17"/>
              </w:rPr>
              <w:t xml:space="preserve"> to </w:t>
            </w:r>
            <w:r w:rsidRPr="00C37F76">
              <w:rPr>
                <w:szCs w:val="17"/>
              </w:rPr>
              <w:t>92.4%</w:t>
            </w:r>
            <w:r w:rsidRPr="00C37F76">
              <w:rPr>
                <w:szCs w:val="17"/>
                <w:vertAlign w:val="superscript"/>
              </w:rPr>
              <w:t>c</w:t>
            </w:r>
          </w:p>
        </w:tc>
        <w:tc>
          <w:tcPr>
            <w:tcW w:w="2647" w:type="dxa"/>
          </w:tcPr>
          <w:p w14:paraId="5AC5F7A0" w14:textId="77777777" w:rsidR="00C977CA" w:rsidRPr="00C37F76" w:rsidRDefault="00C977CA" w:rsidP="00347B9E">
            <w:pPr>
              <w:spacing w:after="0"/>
              <w:rPr>
                <w:szCs w:val="17"/>
              </w:rPr>
            </w:pPr>
          </w:p>
        </w:tc>
      </w:tr>
      <w:tr w:rsidR="00C977CA" w:rsidRPr="00C37F76" w14:paraId="02CE36EA" w14:textId="77777777" w:rsidTr="00D84C2B">
        <w:tc>
          <w:tcPr>
            <w:tcW w:w="3686" w:type="dxa"/>
          </w:tcPr>
          <w:p w14:paraId="2886EF13" w14:textId="1129B292" w:rsidR="00C977CA" w:rsidRPr="00C37F76" w:rsidRDefault="00C977CA" w:rsidP="00347B9E">
            <w:pPr>
              <w:spacing w:after="0"/>
            </w:pPr>
            <w:r w:rsidRPr="00C37F76">
              <w:t>Denmark</w:t>
            </w:r>
          </w:p>
        </w:tc>
        <w:tc>
          <w:tcPr>
            <w:tcW w:w="2693" w:type="dxa"/>
            <w:vAlign w:val="center"/>
          </w:tcPr>
          <w:p w14:paraId="5B8E6393" w14:textId="77777777" w:rsidR="00C977CA" w:rsidRPr="00C37F76" w:rsidRDefault="00C977CA" w:rsidP="00305687">
            <w:pPr>
              <w:spacing w:after="0"/>
              <w:jc w:val="right"/>
              <w:rPr>
                <w:szCs w:val="17"/>
              </w:rPr>
            </w:pPr>
            <w:r w:rsidRPr="00C37F76">
              <w:rPr>
                <w:szCs w:val="17"/>
              </w:rPr>
              <w:t>91.7%</w:t>
            </w:r>
            <w:r w:rsidRPr="00C37F76">
              <w:rPr>
                <w:szCs w:val="17"/>
                <w:vertAlign w:val="superscript"/>
              </w:rPr>
              <w:t>d</w:t>
            </w:r>
          </w:p>
        </w:tc>
        <w:tc>
          <w:tcPr>
            <w:tcW w:w="2647" w:type="dxa"/>
          </w:tcPr>
          <w:p w14:paraId="008ED6AC" w14:textId="77777777" w:rsidR="00C977CA" w:rsidRPr="00C37F76" w:rsidRDefault="00C977CA" w:rsidP="00347B9E">
            <w:pPr>
              <w:spacing w:after="0"/>
              <w:rPr>
                <w:szCs w:val="17"/>
              </w:rPr>
            </w:pPr>
          </w:p>
        </w:tc>
      </w:tr>
      <w:tr w:rsidR="00C977CA" w:rsidRPr="00C37F76" w14:paraId="2BEFA739" w14:textId="77777777" w:rsidTr="00D84C2B">
        <w:tc>
          <w:tcPr>
            <w:tcW w:w="3686" w:type="dxa"/>
          </w:tcPr>
          <w:p w14:paraId="3C1D6BDA" w14:textId="07B43FF1" w:rsidR="00C977CA" w:rsidRPr="00C37F76" w:rsidRDefault="00C977CA" w:rsidP="00347B9E">
            <w:pPr>
              <w:spacing w:after="0"/>
            </w:pPr>
            <w:r w:rsidRPr="00C37F76">
              <w:t>New Zealand</w:t>
            </w:r>
          </w:p>
        </w:tc>
        <w:tc>
          <w:tcPr>
            <w:tcW w:w="2693" w:type="dxa"/>
            <w:vAlign w:val="center"/>
          </w:tcPr>
          <w:p w14:paraId="4FBF5C0D" w14:textId="34EAFF56" w:rsidR="00C977CA" w:rsidRPr="00C37F76" w:rsidRDefault="00C977CA" w:rsidP="00305687">
            <w:pPr>
              <w:spacing w:after="0"/>
              <w:jc w:val="right"/>
              <w:rPr>
                <w:szCs w:val="17"/>
              </w:rPr>
            </w:pPr>
            <w:r w:rsidRPr="00C37F76">
              <w:rPr>
                <w:szCs w:val="17"/>
              </w:rPr>
              <w:t>82.3%</w:t>
            </w:r>
            <w:r w:rsidR="00A438F6">
              <w:rPr>
                <w:szCs w:val="17"/>
              </w:rPr>
              <w:t xml:space="preserve"> to </w:t>
            </w:r>
            <w:r w:rsidRPr="00C37F76">
              <w:rPr>
                <w:szCs w:val="17"/>
              </w:rPr>
              <w:t>85.7%</w:t>
            </w:r>
            <w:r w:rsidRPr="00C37F76">
              <w:rPr>
                <w:szCs w:val="17"/>
                <w:vertAlign w:val="superscript"/>
              </w:rPr>
              <w:t>e</w:t>
            </w:r>
            <w:r w:rsidRPr="00C37F76">
              <w:rPr>
                <w:szCs w:val="17"/>
              </w:rPr>
              <w:t xml:space="preserve"> </w:t>
            </w:r>
          </w:p>
        </w:tc>
        <w:tc>
          <w:tcPr>
            <w:tcW w:w="2647" w:type="dxa"/>
          </w:tcPr>
          <w:p w14:paraId="7B3B45BF" w14:textId="77777777" w:rsidR="00C977CA" w:rsidRPr="00C37F76" w:rsidRDefault="00C977CA" w:rsidP="00347B9E">
            <w:pPr>
              <w:spacing w:after="0"/>
              <w:rPr>
                <w:szCs w:val="17"/>
              </w:rPr>
            </w:pPr>
          </w:p>
        </w:tc>
      </w:tr>
    </w:tbl>
    <w:p w14:paraId="7E28B975" w14:textId="2BE6A5DE" w:rsidR="005B2217" w:rsidRPr="00AC1164" w:rsidRDefault="005B2217" w:rsidP="00815EA5">
      <w:pPr>
        <w:pStyle w:val="Source"/>
        <w:spacing w:after="0"/>
      </w:pPr>
      <w:r w:rsidRPr="00AC1164">
        <w:t xml:space="preserve">Notes: </w:t>
      </w:r>
      <w:r>
        <w:t xml:space="preserve">Green </w:t>
      </w:r>
      <w:r w:rsidR="00327709">
        <w:t xml:space="preserve">shading </w:t>
      </w:r>
      <w:r>
        <w:t xml:space="preserve">indicates a diagnostic assessment rate better than the overall average, while red </w:t>
      </w:r>
      <w:r w:rsidR="00327709">
        <w:t xml:space="preserve">shading </w:t>
      </w:r>
      <w:r>
        <w:t>indicates a worse rate.</w:t>
      </w:r>
    </w:p>
    <w:p w14:paraId="041E6C88" w14:textId="15F04258" w:rsidR="00C977CA" w:rsidRDefault="00C977CA" w:rsidP="00EB428B">
      <w:pPr>
        <w:pStyle w:val="Source"/>
        <w:spacing w:after="0"/>
      </w:pPr>
      <w:r w:rsidRPr="00C37F76">
        <w:t xml:space="preserve">Source: </w:t>
      </w:r>
      <w:proofErr w:type="spellStart"/>
      <w:r w:rsidRPr="00C37F76">
        <w:rPr>
          <w:vertAlign w:val="superscript"/>
        </w:rPr>
        <w:t>a</w:t>
      </w:r>
      <w:r w:rsidRPr="00C37F76">
        <w:t>AIHW</w:t>
      </w:r>
      <w:proofErr w:type="spellEnd"/>
      <w:r w:rsidRPr="00C37F76">
        <w:t xml:space="preserve">, </w:t>
      </w:r>
      <w:r w:rsidRPr="00C37F76">
        <w:rPr>
          <w:i/>
        </w:rPr>
        <w:t>NBCSP Monitoring Report</w:t>
      </w:r>
      <w:r w:rsidRPr="00C37F76">
        <w:t xml:space="preserve">, July 2020; </w:t>
      </w:r>
      <w:proofErr w:type="spellStart"/>
      <w:r w:rsidRPr="00C37F76">
        <w:rPr>
          <w:vertAlign w:val="superscript"/>
        </w:rPr>
        <w:t>b</w:t>
      </w:r>
      <w:r w:rsidRPr="00C37F76">
        <w:t>Logan</w:t>
      </w:r>
      <w:proofErr w:type="spellEnd"/>
      <w:r w:rsidRPr="00C37F76">
        <w:t xml:space="preserve">, R; </w:t>
      </w:r>
      <w:proofErr w:type="spellStart"/>
      <w:r w:rsidRPr="00C37F76">
        <w:t>Patnick</w:t>
      </w:r>
      <w:proofErr w:type="spellEnd"/>
      <w:r w:rsidRPr="00C37F76">
        <w:t xml:space="preserve">, J; et al ‘English Bowel Cancer Screening Evaluation Committee. Outcomes of the Bowel Cancer Screening Programme (BCSP) in England after the first 1 million tests’, </w:t>
      </w:r>
      <w:r w:rsidRPr="00C37F76">
        <w:rPr>
          <w:i/>
        </w:rPr>
        <w:t>Gut</w:t>
      </w:r>
      <w:r w:rsidRPr="00C37F76">
        <w:t xml:space="preserve">, 2012. 61(10):1439-46. </w:t>
      </w:r>
      <w:proofErr w:type="spellStart"/>
      <w:r w:rsidRPr="00C37F76">
        <w:rPr>
          <w:vertAlign w:val="superscript"/>
        </w:rPr>
        <w:t>c</w:t>
      </w:r>
      <w:r w:rsidRPr="00C37F76">
        <w:t>Blom</w:t>
      </w:r>
      <w:proofErr w:type="spellEnd"/>
      <w:r w:rsidRPr="00C37F76">
        <w:t xml:space="preserve">, J; </w:t>
      </w:r>
      <w:proofErr w:type="spellStart"/>
      <w:r w:rsidRPr="00C37F76">
        <w:t>Kilpelainen</w:t>
      </w:r>
      <w:proofErr w:type="spellEnd"/>
      <w:r w:rsidRPr="00C37F76">
        <w:t xml:space="preserve">, S et al ‘Five-year experience of organized colorectal cancer screening in a Swedish population – increased compliance with age, female gender, and subsequent screening round’, </w:t>
      </w:r>
      <w:r w:rsidRPr="00C37F76">
        <w:rPr>
          <w:i/>
        </w:rPr>
        <w:t xml:space="preserve">Journal of Medical Screening, </w:t>
      </w:r>
      <w:r w:rsidRPr="00C37F76">
        <w:t>2014</w:t>
      </w:r>
      <w:r w:rsidR="001C2FFE">
        <w:t>.</w:t>
      </w:r>
      <w:r w:rsidRPr="00C37F76">
        <w:t xml:space="preserve"> </w:t>
      </w:r>
      <w:proofErr w:type="spellStart"/>
      <w:r w:rsidRPr="00C37F76">
        <w:rPr>
          <w:vertAlign w:val="superscript"/>
        </w:rPr>
        <w:t>d</w:t>
      </w:r>
      <w:r w:rsidRPr="00C37F76">
        <w:t>Kaalby</w:t>
      </w:r>
      <w:proofErr w:type="spellEnd"/>
      <w:r w:rsidRPr="00C37F76">
        <w:t xml:space="preserve">, L; Rasmussen, M, et al ‘Time to colonoscopy, cancer probability, and precursor lesions in the Danish colorectal cancer screening program’, </w:t>
      </w:r>
      <w:r w:rsidRPr="00C37F76">
        <w:rPr>
          <w:i/>
        </w:rPr>
        <w:t>Clinical Epidemiology</w:t>
      </w:r>
      <w:r w:rsidRPr="00C37F76">
        <w:t xml:space="preserve">, 2019, 11, 659-667. </w:t>
      </w:r>
      <w:proofErr w:type="spellStart"/>
      <w:r w:rsidRPr="00C37F76">
        <w:rPr>
          <w:vertAlign w:val="superscript"/>
        </w:rPr>
        <w:t>e</w:t>
      </w:r>
      <w:r w:rsidRPr="00C37F76">
        <w:t>Ministry</w:t>
      </w:r>
      <w:proofErr w:type="spellEnd"/>
      <w:r w:rsidRPr="00C37F76">
        <w:t xml:space="preserve"> of Health NZ, </w:t>
      </w:r>
      <w:r w:rsidRPr="00C37F76">
        <w:rPr>
          <w:i/>
        </w:rPr>
        <w:t xml:space="preserve">National Bowel Screening Programme, </w:t>
      </w:r>
      <w:r w:rsidRPr="00C37F76">
        <w:t xml:space="preserve">2018. </w:t>
      </w:r>
    </w:p>
    <w:p w14:paraId="7D144061" w14:textId="77777777" w:rsidR="00EB428B" w:rsidRPr="00815EA5" w:rsidRDefault="00EB428B" w:rsidP="00815EA5"/>
    <w:p w14:paraId="3D96B2E3" w14:textId="3E8E2BE5" w:rsidR="00347B9E" w:rsidRDefault="00347B9E" w:rsidP="00347B9E">
      <w:r w:rsidRPr="00347B9E">
        <w:t>Insights fr</w:t>
      </w:r>
      <w:r>
        <w:t>o</w:t>
      </w:r>
      <w:r w:rsidRPr="00347B9E">
        <w:t xml:space="preserve">m the consumer survey </w:t>
      </w:r>
      <w:r w:rsidR="00CE06FD">
        <w:t xml:space="preserve">(discussed further in </w:t>
      </w:r>
      <w:r w:rsidR="00CE06FD" w:rsidRPr="00883E3E">
        <w:t>section</w:t>
      </w:r>
      <w:r w:rsidR="00FD0A50" w:rsidRPr="00883E3E">
        <w:t xml:space="preserve"> </w:t>
      </w:r>
      <w:r w:rsidR="00FD0A50" w:rsidRPr="00883E3E">
        <w:fldChar w:fldCharType="begin"/>
      </w:r>
      <w:r w:rsidR="00FD0A50" w:rsidRPr="00883E3E">
        <w:instrText xml:space="preserve"> REF _Ref67662996 \r \h </w:instrText>
      </w:r>
      <w:r w:rsidR="00FD0A50" w:rsidRPr="00883E3E">
        <w:fldChar w:fldCharType="separate"/>
      </w:r>
      <w:r w:rsidR="00F27525">
        <w:t>4.1.4</w:t>
      </w:r>
      <w:r w:rsidR="00FD0A50" w:rsidRPr="00883E3E">
        <w:fldChar w:fldCharType="end"/>
      </w:r>
      <w:r w:rsidR="00CE06FD" w:rsidRPr="006C2B5C">
        <w:t>)</w:t>
      </w:r>
      <w:r w:rsidRPr="000D2AF1">
        <w:t xml:space="preserve">, </w:t>
      </w:r>
      <w:r>
        <w:t xml:space="preserve">and supported by research in the literature indicate that </w:t>
      </w:r>
      <w:r w:rsidRPr="00C37F76">
        <w:t>people from low socioeconomic backgrounds are less likely to participate in bowel cancer screening programs due to</w:t>
      </w:r>
      <w:r>
        <w:t>:</w:t>
      </w:r>
      <w:r w:rsidRPr="00C37F76">
        <w:t xml:space="preserve"> </w:t>
      </w:r>
    </w:p>
    <w:p w14:paraId="59B2AAF2" w14:textId="0EB33488" w:rsidR="00347B9E" w:rsidRDefault="00347B9E" w:rsidP="00347B9E">
      <w:pPr>
        <w:pStyle w:val="ListBullet"/>
      </w:pPr>
      <w:r w:rsidRPr="00C37F76">
        <w:t>lower levels of health literacy</w:t>
      </w:r>
    </w:p>
    <w:p w14:paraId="779BEDDF" w14:textId="495F1173" w:rsidR="00347B9E" w:rsidRDefault="00347B9E" w:rsidP="00347B9E">
      <w:pPr>
        <w:pStyle w:val="ListBullet"/>
      </w:pPr>
      <w:r w:rsidRPr="00C37F76">
        <w:t xml:space="preserve">lack of knowledge </w:t>
      </w:r>
      <w:r w:rsidR="00D46289">
        <w:t>about the</w:t>
      </w:r>
      <w:r w:rsidRPr="00C37F76">
        <w:t xml:space="preserve"> </w:t>
      </w:r>
      <w:r w:rsidR="00D46289">
        <w:t xml:space="preserve">meaning of a positive </w:t>
      </w:r>
      <w:proofErr w:type="spellStart"/>
      <w:r w:rsidR="00D46289">
        <w:t>iFOBT</w:t>
      </w:r>
      <w:proofErr w:type="spellEnd"/>
      <w:r w:rsidR="00D46289">
        <w:t xml:space="preserve"> and the next steps in the screening pathway</w:t>
      </w:r>
    </w:p>
    <w:p w14:paraId="374E79C5" w14:textId="77777777" w:rsidR="00347B9E" w:rsidRDefault="00347B9E" w:rsidP="00347B9E">
      <w:pPr>
        <w:pStyle w:val="ListBullet"/>
        <w:spacing w:after="170"/>
      </w:pPr>
      <w:r w:rsidRPr="00C37F76">
        <w:t>lack of social support and perceived cost or lack of private health insurance.</w:t>
      </w:r>
      <w:r w:rsidRPr="00C37F76">
        <w:rPr>
          <w:vertAlign w:val="superscript"/>
        </w:rPr>
        <w:endnoteReference w:id="41"/>
      </w:r>
      <w:r w:rsidRPr="00C37F76">
        <w:rPr>
          <w:vertAlign w:val="superscript"/>
        </w:rPr>
        <w:t>,</w:t>
      </w:r>
      <w:r w:rsidRPr="00C37F76">
        <w:rPr>
          <w:vertAlign w:val="superscript"/>
        </w:rPr>
        <w:endnoteReference w:id="42"/>
      </w:r>
      <w:r w:rsidRPr="00C37F76">
        <w:rPr>
          <w:vertAlign w:val="superscript"/>
        </w:rPr>
        <w:t>,</w:t>
      </w:r>
      <w:r w:rsidRPr="00C37F76">
        <w:rPr>
          <w:vertAlign w:val="superscript"/>
        </w:rPr>
        <w:endnoteReference w:id="43"/>
      </w:r>
      <w:r w:rsidRPr="00C37F76">
        <w:rPr>
          <w:vertAlign w:val="superscript"/>
        </w:rPr>
        <w:t>,</w:t>
      </w:r>
      <w:r w:rsidRPr="00C37F76">
        <w:rPr>
          <w:vertAlign w:val="superscript"/>
        </w:rPr>
        <w:endnoteReference w:id="44"/>
      </w:r>
      <w:r w:rsidRPr="00C37F76">
        <w:t xml:space="preserve"> </w:t>
      </w:r>
    </w:p>
    <w:p w14:paraId="7E5388A5" w14:textId="51EDFC3B" w:rsidR="00347B9E" w:rsidRPr="00C37F76" w:rsidRDefault="00347B9E" w:rsidP="00347B9E">
      <w:r>
        <w:t xml:space="preserve">This may partially explain lower rates of diagnostic </w:t>
      </w:r>
      <w:r w:rsidR="00CE06FD">
        <w:t>assessm</w:t>
      </w:r>
      <w:r>
        <w:t>ent for these groups.</w:t>
      </w:r>
      <w:r w:rsidR="005E6F31">
        <w:rPr>
          <w:rStyle w:val="FootnoteReference"/>
        </w:rPr>
        <w:footnoteReference w:id="16"/>
      </w:r>
    </w:p>
    <w:p w14:paraId="6BF247BA" w14:textId="77777777" w:rsidR="00347B9E" w:rsidRPr="00347B9E" w:rsidRDefault="00347B9E" w:rsidP="00886E63">
      <w:pPr>
        <w:keepNext/>
        <w:keepLines/>
        <w:numPr>
          <w:ilvl w:val="3"/>
          <w:numId w:val="2"/>
        </w:numPr>
        <w:tabs>
          <w:tab w:val="left" w:pos="340"/>
        </w:tabs>
        <w:spacing w:after="0"/>
        <w:outlineLvl w:val="3"/>
        <w:rPr>
          <w:rFonts w:eastAsiaTheme="majorEastAsia" w:cstheme="majorBidi"/>
          <w:b/>
          <w:bCs/>
          <w:iCs/>
          <w:color w:val="75787B" w:themeColor="accent6"/>
        </w:rPr>
      </w:pPr>
      <w:bookmarkStart w:id="79" w:name="_Ref66972588"/>
      <w:r w:rsidRPr="00347B9E">
        <w:rPr>
          <w:rFonts w:eastAsiaTheme="majorEastAsia" w:cstheme="majorBidi"/>
          <w:b/>
          <w:bCs/>
          <w:iCs/>
          <w:color w:val="75787B" w:themeColor="accent6"/>
        </w:rPr>
        <w:t>Access to colonoscopy</w:t>
      </w:r>
      <w:bookmarkEnd w:id="79"/>
    </w:p>
    <w:p w14:paraId="48B69498" w14:textId="7474487D" w:rsidR="00347B9E" w:rsidRPr="00347B9E" w:rsidRDefault="00347B9E" w:rsidP="006B2754">
      <w:pPr>
        <w:pStyle w:val="Pullout"/>
      </w:pPr>
      <w:r>
        <w:t>For Program participants, t</w:t>
      </w:r>
      <w:r w:rsidRPr="00347B9E">
        <w:t>imely access to colonoscopy in the public healthcare system</w:t>
      </w:r>
      <w:r>
        <w:t xml:space="preserve"> </w:t>
      </w:r>
      <w:r w:rsidR="003F4C1C">
        <w:t>remains a</w:t>
      </w:r>
      <w:r>
        <w:t xml:space="preserve"> challenge</w:t>
      </w:r>
      <w:r w:rsidRPr="00347B9E">
        <w:t>.</w:t>
      </w:r>
    </w:p>
    <w:p w14:paraId="1F6F65F6" w14:textId="6686D763" w:rsidR="00347B9E" w:rsidRPr="00347B9E" w:rsidRDefault="00347B9E" w:rsidP="00347B9E">
      <w:r w:rsidRPr="00347B9E">
        <w:t xml:space="preserve">Timely access to colonoscopy was cited as a barrier to timely transition through the screening pathway in the previous Program review. This challenge was again highlighted as part of the current </w:t>
      </w:r>
      <w:r w:rsidR="002200FF" w:rsidRPr="00347B9E">
        <w:t>review and</w:t>
      </w:r>
      <w:r w:rsidRPr="00347B9E">
        <w:t xml:space="preserve"> is a </w:t>
      </w:r>
      <w:r w:rsidR="0059628D">
        <w:t xml:space="preserve">priority issue </w:t>
      </w:r>
      <w:r w:rsidRPr="00347B9E">
        <w:t>given that research has shown prognosis can worsen if the time between GP referral and colonoscopy exceeds 120 days.</w:t>
      </w:r>
      <w:r w:rsidRPr="00347B9E">
        <w:rPr>
          <w:vertAlign w:val="superscript"/>
        </w:rPr>
        <w:endnoteReference w:id="45"/>
      </w:r>
      <w:r w:rsidRPr="00347B9E">
        <w:rPr>
          <w:vertAlign w:val="superscript"/>
        </w:rPr>
        <w:t>,</w:t>
      </w:r>
      <w:r w:rsidRPr="00347B9E">
        <w:rPr>
          <w:vertAlign w:val="superscript"/>
        </w:rPr>
        <w:endnoteReference w:id="46"/>
      </w:r>
      <w:r w:rsidRPr="00347B9E">
        <w:rPr>
          <w:vertAlign w:val="superscript"/>
        </w:rPr>
        <w:t>,</w:t>
      </w:r>
      <w:r w:rsidRPr="00347B9E">
        <w:rPr>
          <w:vertAlign w:val="superscript"/>
        </w:rPr>
        <w:endnoteReference w:id="47"/>
      </w:r>
    </w:p>
    <w:p w14:paraId="1EC4676A" w14:textId="2569F5A3" w:rsidR="009E6937" w:rsidRDefault="00347B9E" w:rsidP="00347B9E">
      <w:r w:rsidRPr="00347B9E">
        <w:t>The NBCSP Quality Framework recommends that diagnostic assessment should occur with</w:t>
      </w:r>
      <w:r w:rsidR="00376CE3">
        <w:t>in</w:t>
      </w:r>
      <w:r w:rsidRPr="00347B9E">
        <w:t xml:space="preserve"> 44 days of a positive </w:t>
      </w:r>
      <w:proofErr w:type="spellStart"/>
      <w:r w:rsidRPr="00347B9E">
        <w:t>iFOBT</w:t>
      </w:r>
      <w:proofErr w:type="spellEnd"/>
      <w:r w:rsidRPr="00347B9E">
        <w:t>, and a GP consultation should occur within two weeks.</w:t>
      </w:r>
      <w:r w:rsidRPr="00347B9E">
        <w:rPr>
          <w:vertAlign w:val="superscript"/>
        </w:rPr>
        <w:endnoteReference w:id="48"/>
      </w:r>
      <w:r w:rsidRPr="00347B9E">
        <w:t xml:space="preserve"> </w:t>
      </w:r>
      <w:r w:rsidR="00B21097">
        <w:fldChar w:fldCharType="begin"/>
      </w:r>
      <w:r w:rsidR="00B21097">
        <w:instrText xml:space="preserve"> REF _Ref68685410 \n \h </w:instrText>
      </w:r>
      <w:r w:rsidR="00B21097">
        <w:fldChar w:fldCharType="separate"/>
      </w:r>
      <w:r w:rsidR="00F27525">
        <w:t>Table 2.6</w:t>
      </w:r>
      <w:r w:rsidR="00B21097">
        <w:fldChar w:fldCharType="end"/>
      </w:r>
      <w:r w:rsidR="00B21097">
        <w:t xml:space="preserve"> </w:t>
      </w:r>
      <w:r w:rsidRPr="00347B9E">
        <w:t xml:space="preserve">shows that </w:t>
      </w:r>
      <w:r w:rsidR="00131B5F">
        <w:t xml:space="preserve">for participation in 2018, </w:t>
      </w:r>
      <w:r w:rsidRPr="00347B9E">
        <w:t xml:space="preserve">the median time to GP </w:t>
      </w:r>
      <w:r w:rsidRPr="00347B9E">
        <w:lastRenderedPageBreak/>
        <w:t>consultation outperform</w:t>
      </w:r>
      <w:r w:rsidR="00131B5F">
        <w:t>ed</w:t>
      </w:r>
      <w:r w:rsidRPr="00347B9E">
        <w:t xml:space="preserve"> the benchmark, however </w:t>
      </w:r>
      <w:r w:rsidR="008B502E">
        <w:t xml:space="preserve">the </w:t>
      </w:r>
      <w:r w:rsidRPr="00347B9E">
        <w:t>median time to colonoscopy underperform</w:t>
      </w:r>
      <w:r w:rsidR="00131B5F">
        <w:t>ed</w:t>
      </w:r>
      <w:r w:rsidRPr="00347B9E">
        <w:t xml:space="preserve"> the benchmark. </w:t>
      </w:r>
    </w:p>
    <w:p w14:paraId="46EED9D0" w14:textId="77777777" w:rsidR="004E512E" w:rsidRDefault="00347B9E" w:rsidP="00347B9E">
      <w:r w:rsidRPr="00347B9E">
        <w:t xml:space="preserve">The median time between positive </w:t>
      </w:r>
      <w:proofErr w:type="spellStart"/>
      <w:r w:rsidRPr="00347B9E">
        <w:t>iFOBT</w:t>
      </w:r>
      <w:proofErr w:type="spellEnd"/>
      <w:r w:rsidRPr="00347B9E">
        <w:t xml:space="preserve"> and diagnostic assessment was </w:t>
      </w:r>
      <w:r w:rsidR="00711B1C">
        <w:t>51 days overall</w:t>
      </w:r>
      <w:r w:rsidR="00D36A46">
        <w:t>; h</w:t>
      </w:r>
      <w:r w:rsidR="00316B62">
        <w:t>owever, this varied among different population groups</w:t>
      </w:r>
      <w:r w:rsidR="00D36A46">
        <w:t>.</w:t>
      </w:r>
      <w:r w:rsidRPr="00347B9E">
        <w:t xml:space="preserve"> </w:t>
      </w:r>
      <w:r w:rsidR="00D36A46">
        <w:t>For</w:t>
      </w:r>
      <w:r w:rsidRPr="00347B9E">
        <w:t xml:space="preserve"> </w:t>
      </w:r>
      <w:r w:rsidR="00D36A46">
        <w:t>example, for</w:t>
      </w:r>
      <w:r w:rsidRPr="00347B9E">
        <w:t xml:space="preserve"> those treated in the public healthcare system</w:t>
      </w:r>
      <w:r w:rsidR="00D36A46">
        <w:t xml:space="preserve">, the median was </w:t>
      </w:r>
      <w:r w:rsidR="00C717C6">
        <w:t>77 days</w:t>
      </w:r>
      <w:r w:rsidRPr="00347B9E">
        <w:t xml:space="preserve">. The median time was </w:t>
      </w:r>
      <w:r w:rsidR="00D36A46">
        <w:t>also</w:t>
      </w:r>
      <w:r w:rsidRPr="00347B9E">
        <w:t xml:space="preserve"> longer for Aboriginal and Torres Strait Islander </w:t>
      </w:r>
      <w:r w:rsidR="00837148">
        <w:t>people</w:t>
      </w:r>
      <w:r w:rsidRPr="00347B9E">
        <w:t xml:space="preserve"> (69 days) and for those living in very remote areas (66 days). </w:t>
      </w:r>
    </w:p>
    <w:p w14:paraId="0FA74093" w14:textId="485383AA" w:rsidR="00347B9E" w:rsidRPr="00347B9E" w:rsidRDefault="005A29C8" w:rsidP="00347B9E">
      <w:r>
        <w:t xml:space="preserve">These </w:t>
      </w:r>
      <w:r w:rsidR="00625C9F">
        <w:t xml:space="preserve">results may be partially driven by the dispersion of the trained workforce within Australia. </w:t>
      </w:r>
      <w:r w:rsidRPr="005A29C8">
        <w:t xml:space="preserve">As of 2016, 58 per cent </w:t>
      </w:r>
      <w:r w:rsidR="00530216" w:rsidRPr="005A29C8">
        <w:t xml:space="preserve">of gastroenterologists and hepatologists </w:t>
      </w:r>
      <w:r w:rsidRPr="005A29C8">
        <w:t>practised in the private sector.</w:t>
      </w:r>
      <w:r w:rsidR="00625C9F">
        <w:rPr>
          <w:rStyle w:val="EndnoteReference"/>
        </w:rPr>
        <w:endnoteReference w:id="49"/>
      </w:r>
      <w:r w:rsidRPr="005A29C8">
        <w:t xml:space="preserve">  Consequently, the availability of publicly funded colonoscopies </w:t>
      </w:r>
      <w:r w:rsidR="00530216">
        <w:t>may</w:t>
      </w:r>
      <w:r w:rsidRPr="005A29C8">
        <w:t xml:space="preserve"> be a downstream consequence of these workforce dynamics.</w:t>
      </w:r>
      <w:r w:rsidR="0084703A">
        <w:t xml:space="preserve"> </w:t>
      </w:r>
      <w:r w:rsidR="00347B9E" w:rsidRPr="00347B9E">
        <w:t xml:space="preserve">Longer wait times in rural and regional areas are expected given </w:t>
      </w:r>
      <w:r w:rsidR="004E1E2B">
        <w:t>geographical barriers</w:t>
      </w:r>
      <w:r w:rsidR="00347B9E" w:rsidRPr="00347B9E">
        <w:t xml:space="preserve">. For example, in the Northern Territory, colonoscopies are only available in four public hospitals, three of which </w:t>
      </w:r>
      <w:proofErr w:type="gramStart"/>
      <w:r w:rsidR="00347B9E" w:rsidRPr="00347B9E">
        <w:t>are located in</w:t>
      </w:r>
      <w:proofErr w:type="gramEnd"/>
      <w:r w:rsidR="00347B9E" w:rsidRPr="00347B9E">
        <w:t xml:space="preserve"> the Top End and one located in Central Australia.</w:t>
      </w:r>
      <w:r w:rsidR="002F7088">
        <w:rPr>
          <w:rStyle w:val="EndnoteReference"/>
        </w:rPr>
        <w:endnoteReference w:id="50"/>
      </w:r>
    </w:p>
    <w:p w14:paraId="1E64EF57" w14:textId="47F7F4C1" w:rsidR="00A910E4" w:rsidRDefault="00347B9E" w:rsidP="00347B9E">
      <w:r w:rsidRPr="00347B9E">
        <w:t>Because of access barriers in the public system, there appears to be a higher number of colonoscopies occurring in the private system (</w:t>
      </w:r>
      <w:r w:rsidRPr="00347B9E">
        <w:rPr>
          <w:lang w:val="en-US"/>
        </w:rPr>
        <w:t>72 per cent)</w:t>
      </w:r>
      <w:r w:rsidRPr="00347B9E">
        <w:t xml:space="preserve"> </w:t>
      </w:r>
      <w:r w:rsidR="00EB6C6D">
        <w:t>relative</w:t>
      </w:r>
      <w:r w:rsidRPr="00347B9E">
        <w:t xml:space="preserve"> to the </w:t>
      </w:r>
      <w:r w:rsidR="00EE6B23">
        <w:t>proportion of the Program’s target population</w:t>
      </w:r>
      <w:r w:rsidRPr="00347B9E">
        <w:t xml:space="preserve"> with private health insurance (</w:t>
      </w:r>
      <w:r w:rsidR="00852177">
        <w:t>5</w:t>
      </w:r>
      <w:r w:rsidR="00852177" w:rsidRPr="00347B9E">
        <w:t xml:space="preserve">4 </w:t>
      </w:r>
      <w:r w:rsidRPr="00347B9E">
        <w:t>per cent).</w:t>
      </w:r>
      <w:r w:rsidRPr="00347B9E">
        <w:rPr>
          <w:vertAlign w:val="superscript"/>
        </w:rPr>
        <w:endnoteReference w:id="51"/>
      </w:r>
      <w:r w:rsidRPr="00347B9E">
        <w:t xml:space="preserve"> This </w:t>
      </w:r>
      <w:r w:rsidR="00351F2B">
        <w:t>may</w:t>
      </w:r>
      <w:r w:rsidRPr="00347B9E">
        <w:t xml:space="preserve"> reflect public colonoscopies occurring through private providers</w:t>
      </w:r>
      <w:r w:rsidR="00351F2B">
        <w:t xml:space="preserve"> (</w:t>
      </w:r>
      <w:proofErr w:type="gramStart"/>
      <w:r w:rsidR="00351F2B">
        <w:t>e.g.</w:t>
      </w:r>
      <w:proofErr w:type="gramEnd"/>
      <w:r w:rsidR="00351F2B">
        <w:t xml:space="preserve"> as part of wait list management strategies),</w:t>
      </w:r>
      <w:r w:rsidRPr="00347B9E">
        <w:t xml:space="preserve"> as well as patients choosing to incur out-of-pocket costs to access colonoscopy in a timely manner.</w:t>
      </w:r>
    </w:p>
    <w:p w14:paraId="213EAF54" w14:textId="7306A73A" w:rsidR="00347B9E" w:rsidRPr="00347B9E" w:rsidRDefault="001E2CC6" w:rsidP="006B2754">
      <w:pPr>
        <w:pStyle w:val="CaptionTable"/>
        <w:pageBreakBefore/>
      </w:pPr>
      <w:bookmarkStart w:id="80" w:name="_Ref68685410"/>
      <w:r>
        <w:lastRenderedPageBreak/>
        <w:t xml:space="preserve">: </w:t>
      </w:r>
      <w:r w:rsidR="00347B9E" w:rsidRPr="00347B9E">
        <w:t xml:space="preserve">Time between positive </w:t>
      </w:r>
      <w:proofErr w:type="spellStart"/>
      <w:r w:rsidR="00347B9E" w:rsidRPr="00347B9E">
        <w:t>iFOBT</w:t>
      </w:r>
      <w:proofErr w:type="spellEnd"/>
      <w:r w:rsidR="00347B9E" w:rsidRPr="00347B9E">
        <w:t xml:space="preserve"> and diagnostic assessment</w:t>
      </w:r>
      <w:bookmarkEnd w:id="80"/>
    </w:p>
    <w:tbl>
      <w:tblPr>
        <w:tblStyle w:val="Deloittetable"/>
        <w:tblW w:w="5000" w:type="pct"/>
        <w:tblLayout w:type="fixed"/>
        <w:tblLook w:val="04A0" w:firstRow="1" w:lastRow="0" w:firstColumn="1" w:lastColumn="0" w:noHBand="0" w:noVBand="1"/>
      </w:tblPr>
      <w:tblGrid>
        <w:gridCol w:w="6230"/>
        <w:gridCol w:w="2786"/>
      </w:tblGrid>
      <w:tr w:rsidR="00D84C2B" w:rsidRPr="006B2754" w14:paraId="799418B6" w14:textId="77777777" w:rsidTr="00D84C2B">
        <w:trPr>
          <w:cnfStyle w:val="100000000000" w:firstRow="1" w:lastRow="0" w:firstColumn="0" w:lastColumn="0" w:oddVBand="0" w:evenVBand="0" w:oddHBand="0" w:evenHBand="0" w:firstRowFirstColumn="0" w:firstRowLastColumn="0" w:lastRowFirstColumn="0" w:lastRowLastColumn="0"/>
          <w:tblHeader/>
        </w:trPr>
        <w:tc>
          <w:tcPr>
            <w:tcW w:w="6230" w:type="dxa"/>
          </w:tcPr>
          <w:p w14:paraId="7CD8F15E" w14:textId="77777777" w:rsidR="00D84C2B" w:rsidRPr="00D84C2B" w:rsidRDefault="00D84C2B" w:rsidP="00D84C2B">
            <w:pPr>
              <w:ind w:left="57"/>
              <w:rPr>
                <w:i/>
                <w:iCs/>
              </w:rPr>
            </w:pPr>
            <w:r w:rsidRPr="00D84C2B">
              <w:rPr>
                <w:i/>
                <w:iCs/>
              </w:rPr>
              <w:t>Type</w:t>
            </w:r>
          </w:p>
        </w:tc>
        <w:tc>
          <w:tcPr>
            <w:tcW w:w="2786" w:type="dxa"/>
          </w:tcPr>
          <w:p w14:paraId="29B0AAC5" w14:textId="62BEBB35" w:rsidR="00D84C2B" w:rsidRPr="00D84C2B" w:rsidRDefault="00D84C2B" w:rsidP="00D84C2B">
            <w:pPr>
              <w:ind w:left="57"/>
              <w:rPr>
                <w:i/>
                <w:iCs/>
              </w:rPr>
            </w:pPr>
            <w:r w:rsidRPr="00D84C2B">
              <w:rPr>
                <w:i/>
                <w:iCs/>
              </w:rPr>
              <w:t>Time</w:t>
            </w:r>
          </w:p>
        </w:tc>
      </w:tr>
      <w:tr w:rsidR="00D84C2B" w:rsidRPr="006B2754" w14:paraId="55C35DCB" w14:textId="77777777" w:rsidTr="007976FB">
        <w:trPr>
          <w:cnfStyle w:val="100000000000" w:firstRow="1" w:lastRow="0" w:firstColumn="0" w:lastColumn="0" w:oddVBand="0" w:evenVBand="0" w:oddHBand="0" w:evenHBand="0" w:firstRowFirstColumn="0" w:firstRowLastColumn="0" w:lastRowFirstColumn="0" w:lastRowLastColumn="0"/>
          <w:tblHeader/>
        </w:trPr>
        <w:tc>
          <w:tcPr>
            <w:tcW w:w="9016" w:type="dxa"/>
            <w:gridSpan w:val="2"/>
          </w:tcPr>
          <w:p w14:paraId="1380F854" w14:textId="6FC6C58C" w:rsidR="00D84C2B" w:rsidRPr="006B2754" w:rsidRDefault="00D84C2B" w:rsidP="00D84C2B">
            <w:pPr>
              <w:ind w:left="57"/>
            </w:pPr>
            <w:r w:rsidRPr="006B2754">
              <w:t>Median time to GP-follow-up</w:t>
            </w:r>
          </w:p>
        </w:tc>
      </w:tr>
      <w:tr w:rsidR="00D84C2B" w:rsidRPr="006B2754" w14:paraId="08F9918C" w14:textId="77777777" w:rsidTr="00D84C2B">
        <w:tc>
          <w:tcPr>
            <w:tcW w:w="6230" w:type="dxa"/>
          </w:tcPr>
          <w:p w14:paraId="5A548ADA" w14:textId="2F5FA33E" w:rsidR="00D84C2B" w:rsidRPr="006B2754" w:rsidRDefault="00D84C2B" w:rsidP="00D84C2B">
            <w:pPr>
              <w:ind w:left="57"/>
            </w:pPr>
            <w:r w:rsidRPr="006B2754">
              <w:t>Benchmark based on Quality Framework</w:t>
            </w:r>
          </w:p>
        </w:tc>
        <w:tc>
          <w:tcPr>
            <w:tcW w:w="2786" w:type="dxa"/>
          </w:tcPr>
          <w:p w14:paraId="785FA994" w14:textId="77777777" w:rsidR="00D84C2B" w:rsidRPr="006B2754" w:rsidRDefault="00D84C2B" w:rsidP="00D84C2B">
            <w:pPr>
              <w:ind w:left="57"/>
            </w:pPr>
            <w:r w:rsidRPr="006B2754">
              <w:t>14 days</w:t>
            </w:r>
          </w:p>
        </w:tc>
      </w:tr>
      <w:tr w:rsidR="00D84C2B" w:rsidRPr="006B2754" w14:paraId="019CE698" w14:textId="77777777" w:rsidTr="00D84C2B">
        <w:tc>
          <w:tcPr>
            <w:tcW w:w="6230" w:type="dxa"/>
          </w:tcPr>
          <w:p w14:paraId="69516838" w14:textId="77777777" w:rsidR="00D84C2B" w:rsidRPr="006B2754" w:rsidRDefault="00D84C2B" w:rsidP="00D84C2B">
            <w:pPr>
              <w:ind w:left="57"/>
            </w:pPr>
            <w:r w:rsidRPr="006B2754">
              <w:t>Overall (January 2019 to December 2020)</w:t>
            </w:r>
          </w:p>
        </w:tc>
        <w:tc>
          <w:tcPr>
            <w:tcW w:w="2786" w:type="dxa"/>
          </w:tcPr>
          <w:p w14:paraId="73182DAB" w14:textId="7019AB08" w:rsidR="00D84C2B" w:rsidRPr="006B2754" w:rsidRDefault="00D84C2B" w:rsidP="00D84C2B">
            <w:pPr>
              <w:ind w:left="57"/>
            </w:pPr>
            <w:r w:rsidRPr="006B2754">
              <w:t>9 days</w:t>
            </w:r>
          </w:p>
        </w:tc>
      </w:tr>
      <w:tr w:rsidR="00D84C2B" w:rsidRPr="006B2754" w14:paraId="71530D3F" w14:textId="77777777" w:rsidTr="00D84C2B">
        <w:tc>
          <w:tcPr>
            <w:tcW w:w="9016" w:type="dxa"/>
            <w:gridSpan w:val="2"/>
          </w:tcPr>
          <w:p w14:paraId="7B47173A" w14:textId="6F465037" w:rsidR="00D84C2B" w:rsidRPr="00D84C2B" w:rsidRDefault="00D84C2B" w:rsidP="00D84C2B">
            <w:pPr>
              <w:ind w:left="57"/>
              <w:rPr>
                <w:b/>
                <w:bCs/>
              </w:rPr>
            </w:pPr>
            <w:r w:rsidRPr="00D84C2B">
              <w:rPr>
                <w:b/>
                <w:bCs/>
              </w:rPr>
              <w:t>Median time to diagnostic assessment</w:t>
            </w:r>
          </w:p>
        </w:tc>
      </w:tr>
      <w:tr w:rsidR="00D84C2B" w:rsidRPr="006B2754" w14:paraId="5553CEA3" w14:textId="77777777" w:rsidTr="00D84C2B">
        <w:tc>
          <w:tcPr>
            <w:tcW w:w="6230" w:type="dxa"/>
          </w:tcPr>
          <w:p w14:paraId="1A3014F6" w14:textId="193FBAD2" w:rsidR="00D84C2B" w:rsidRPr="006B2754" w:rsidRDefault="00D84C2B" w:rsidP="00D84C2B">
            <w:pPr>
              <w:ind w:left="57"/>
            </w:pPr>
            <w:r w:rsidRPr="006B2754">
              <w:t>Benchmark based on Quality Framework</w:t>
            </w:r>
          </w:p>
        </w:tc>
        <w:tc>
          <w:tcPr>
            <w:tcW w:w="2786" w:type="dxa"/>
          </w:tcPr>
          <w:p w14:paraId="41A0EA93" w14:textId="77777777" w:rsidR="00D84C2B" w:rsidRPr="006B2754" w:rsidRDefault="00D84C2B" w:rsidP="00D84C2B">
            <w:pPr>
              <w:ind w:left="57"/>
            </w:pPr>
            <w:r w:rsidRPr="006B2754">
              <w:t>44 days (</w:t>
            </w:r>
            <w:proofErr w:type="gramStart"/>
            <w:r w:rsidRPr="006B2754">
              <w:t>i.e.</w:t>
            </w:r>
            <w:proofErr w:type="gramEnd"/>
            <w:r w:rsidRPr="006B2754">
              <w:t xml:space="preserve"> 30 days following GP follow-up)</w:t>
            </w:r>
          </w:p>
        </w:tc>
      </w:tr>
      <w:tr w:rsidR="00D84C2B" w:rsidRPr="006B2754" w14:paraId="3378F40D" w14:textId="77777777" w:rsidTr="00D84C2B">
        <w:tc>
          <w:tcPr>
            <w:tcW w:w="6230" w:type="dxa"/>
          </w:tcPr>
          <w:p w14:paraId="0B2B16C3" w14:textId="77777777" w:rsidR="00D84C2B" w:rsidRPr="006B2754" w:rsidRDefault="00D84C2B" w:rsidP="00D84C2B">
            <w:pPr>
              <w:ind w:left="57"/>
            </w:pPr>
            <w:r w:rsidRPr="006B2754">
              <w:t>Overall (2018)</w:t>
            </w:r>
          </w:p>
        </w:tc>
        <w:tc>
          <w:tcPr>
            <w:tcW w:w="2786" w:type="dxa"/>
          </w:tcPr>
          <w:p w14:paraId="0F14FEA0" w14:textId="23C34034" w:rsidR="00D84C2B" w:rsidRPr="006B2754" w:rsidRDefault="00D84C2B" w:rsidP="00D84C2B">
            <w:pPr>
              <w:ind w:left="57"/>
            </w:pPr>
            <w:r w:rsidRPr="006B2754">
              <w:t>51 days</w:t>
            </w:r>
          </w:p>
        </w:tc>
      </w:tr>
      <w:tr w:rsidR="00D84C2B" w:rsidRPr="006B2754" w14:paraId="69922ED3" w14:textId="77777777" w:rsidTr="00D84C2B">
        <w:tc>
          <w:tcPr>
            <w:tcW w:w="6230" w:type="dxa"/>
          </w:tcPr>
          <w:p w14:paraId="42376BD7" w14:textId="77777777" w:rsidR="00D84C2B" w:rsidRPr="006B2754" w:rsidRDefault="00D84C2B" w:rsidP="00D84C2B">
            <w:pPr>
              <w:ind w:left="57"/>
            </w:pPr>
            <w:r w:rsidRPr="006B2754">
              <w:t>Overall (2007)</w:t>
            </w:r>
          </w:p>
        </w:tc>
        <w:tc>
          <w:tcPr>
            <w:tcW w:w="2786" w:type="dxa"/>
          </w:tcPr>
          <w:p w14:paraId="6330FE21" w14:textId="1482CCC1" w:rsidR="00D84C2B" w:rsidRPr="006B2754" w:rsidRDefault="00D84C2B" w:rsidP="00D84C2B">
            <w:pPr>
              <w:ind w:left="57"/>
            </w:pPr>
            <w:r w:rsidRPr="006B2754">
              <w:t xml:space="preserve">54 days </w:t>
            </w:r>
          </w:p>
        </w:tc>
      </w:tr>
      <w:tr w:rsidR="00D84C2B" w:rsidRPr="006B2754" w14:paraId="220E7337" w14:textId="77777777" w:rsidTr="00D84C2B">
        <w:tc>
          <w:tcPr>
            <w:tcW w:w="6230" w:type="dxa"/>
          </w:tcPr>
          <w:p w14:paraId="281B31A4" w14:textId="77777777" w:rsidR="00D84C2B" w:rsidRPr="006B2754" w:rsidRDefault="00D84C2B" w:rsidP="00D84C2B">
            <w:pPr>
              <w:ind w:left="57"/>
            </w:pPr>
            <w:r w:rsidRPr="006B2754">
              <w:t>Public healthcare system</w:t>
            </w:r>
          </w:p>
        </w:tc>
        <w:tc>
          <w:tcPr>
            <w:tcW w:w="2786" w:type="dxa"/>
          </w:tcPr>
          <w:p w14:paraId="364C2404" w14:textId="78F5D4FD" w:rsidR="00D84C2B" w:rsidRPr="006B2754" w:rsidRDefault="00D84C2B" w:rsidP="00D84C2B">
            <w:pPr>
              <w:ind w:left="57"/>
            </w:pPr>
            <w:r w:rsidRPr="006B2754">
              <w:t xml:space="preserve">77 days </w:t>
            </w:r>
          </w:p>
        </w:tc>
      </w:tr>
      <w:tr w:rsidR="00D84C2B" w:rsidRPr="006B2754" w14:paraId="6D1581B9" w14:textId="77777777" w:rsidTr="00D84C2B">
        <w:tc>
          <w:tcPr>
            <w:tcW w:w="6230" w:type="dxa"/>
          </w:tcPr>
          <w:p w14:paraId="1F66BC94" w14:textId="77777777" w:rsidR="00D84C2B" w:rsidRPr="006B2754" w:rsidRDefault="00D84C2B" w:rsidP="00D84C2B">
            <w:pPr>
              <w:ind w:left="57"/>
            </w:pPr>
            <w:r w:rsidRPr="006B2754">
              <w:t>Private healthcare system</w:t>
            </w:r>
          </w:p>
        </w:tc>
        <w:tc>
          <w:tcPr>
            <w:tcW w:w="2786" w:type="dxa"/>
          </w:tcPr>
          <w:p w14:paraId="435D4B10" w14:textId="09F8D5B1" w:rsidR="00D84C2B" w:rsidRPr="006B2754" w:rsidRDefault="00D84C2B" w:rsidP="00D84C2B">
            <w:pPr>
              <w:ind w:left="57"/>
            </w:pPr>
            <w:r w:rsidRPr="006B2754">
              <w:t>45 days</w:t>
            </w:r>
          </w:p>
        </w:tc>
      </w:tr>
      <w:tr w:rsidR="00D84C2B" w:rsidRPr="006B2754" w14:paraId="016BE520" w14:textId="77777777" w:rsidTr="00D84C2B">
        <w:tc>
          <w:tcPr>
            <w:tcW w:w="6230" w:type="dxa"/>
          </w:tcPr>
          <w:p w14:paraId="6D1E7909" w14:textId="77777777" w:rsidR="00D84C2B" w:rsidRPr="006B2754" w:rsidRDefault="00D84C2B" w:rsidP="00D84C2B">
            <w:pPr>
              <w:ind w:left="57"/>
            </w:pPr>
            <w:r w:rsidRPr="006B2754">
              <w:t>Indigenous</w:t>
            </w:r>
          </w:p>
        </w:tc>
        <w:tc>
          <w:tcPr>
            <w:tcW w:w="2786" w:type="dxa"/>
          </w:tcPr>
          <w:p w14:paraId="45163E96" w14:textId="2A2A8A72" w:rsidR="00D84C2B" w:rsidRPr="006B2754" w:rsidRDefault="00D84C2B" w:rsidP="00D84C2B">
            <w:pPr>
              <w:ind w:left="57"/>
            </w:pPr>
            <w:r w:rsidRPr="006B2754">
              <w:t>69 days</w:t>
            </w:r>
          </w:p>
        </w:tc>
      </w:tr>
      <w:tr w:rsidR="00D84C2B" w:rsidRPr="006B2754" w14:paraId="6AD70FF5" w14:textId="77777777" w:rsidTr="00D84C2B">
        <w:tc>
          <w:tcPr>
            <w:tcW w:w="6230" w:type="dxa"/>
          </w:tcPr>
          <w:p w14:paraId="2341ADEE" w14:textId="77777777" w:rsidR="00D84C2B" w:rsidRPr="006B2754" w:rsidRDefault="00D84C2B" w:rsidP="00D84C2B">
            <w:pPr>
              <w:ind w:left="57"/>
            </w:pPr>
            <w:r w:rsidRPr="006B2754">
              <w:t>Very remote</w:t>
            </w:r>
          </w:p>
        </w:tc>
        <w:tc>
          <w:tcPr>
            <w:tcW w:w="2786" w:type="dxa"/>
          </w:tcPr>
          <w:p w14:paraId="29BA4ADF" w14:textId="3D0DF229" w:rsidR="00D84C2B" w:rsidRPr="006B2754" w:rsidRDefault="00D84C2B" w:rsidP="00D84C2B">
            <w:pPr>
              <w:ind w:left="57"/>
            </w:pPr>
            <w:r w:rsidRPr="006B2754">
              <w:t>66 days</w:t>
            </w:r>
          </w:p>
        </w:tc>
      </w:tr>
      <w:tr w:rsidR="00D84C2B" w:rsidRPr="006B2754" w14:paraId="10DBE7B9" w14:textId="77777777" w:rsidTr="00D84C2B">
        <w:tc>
          <w:tcPr>
            <w:tcW w:w="6230" w:type="dxa"/>
          </w:tcPr>
          <w:p w14:paraId="578C2260" w14:textId="77777777" w:rsidR="00D84C2B" w:rsidRPr="006B2754" w:rsidRDefault="00D84C2B" w:rsidP="00D84C2B">
            <w:pPr>
              <w:ind w:left="57"/>
            </w:pPr>
            <w:r w:rsidRPr="006B2754">
              <w:t>Major cities</w:t>
            </w:r>
          </w:p>
        </w:tc>
        <w:tc>
          <w:tcPr>
            <w:tcW w:w="2786" w:type="dxa"/>
          </w:tcPr>
          <w:p w14:paraId="360FA28E" w14:textId="5B0FD1F4" w:rsidR="00D84C2B" w:rsidRPr="006B2754" w:rsidRDefault="00D84C2B" w:rsidP="00D84C2B">
            <w:pPr>
              <w:ind w:left="57"/>
            </w:pPr>
            <w:r w:rsidRPr="006B2754">
              <w:t>50 days</w:t>
            </w:r>
          </w:p>
        </w:tc>
      </w:tr>
      <w:tr w:rsidR="00D84C2B" w:rsidRPr="006B2754" w14:paraId="018A4D59" w14:textId="77777777" w:rsidTr="007976FB">
        <w:tc>
          <w:tcPr>
            <w:tcW w:w="9016" w:type="dxa"/>
            <w:gridSpan w:val="2"/>
          </w:tcPr>
          <w:p w14:paraId="4C234E93" w14:textId="5E75E01E" w:rsidR="00D84C2B" w:rsidRPr="00D84C2B" w:rsidRDefault="00D84C2B" w:rsidP="00D84C2B">
            <w:pPr>
              <w:ind w:left="57"/>
              <w:rPr>
                <w:b/>
                <w:bCs/>
              </w:rPr>
            </w:pPr>
            <w:r w:rsidRPr="00D84C2B">
              <w:rPr>
                <w:b/>
                <w:bCs/>
              </w:rPr>
              <w:t>90th percentile, time to diagnostic assessment</w:t>
            </w:r>
          </w:p>
        </w:tc>
      </w:tr>
      <w:tr w:rsidR="00D84C2B" w:rsidRPr="006B2754" w14:paraId="22163906" w14:textId="77777777" w:rsidTr="00D84C2B">
        <w:tc>
          <w:tcPr>
            <w:tcW w:w="6230" w:type="dxa"/>
          </w:tcPr>
          <w:p w14:paraId="16133722" w14:textId="1E92AE84" w:rsidR="00D84C2B" w:rsidRPr="006B2754" w:rsidRDefault="00D84C2B" w:rsidP="00D84C2B">
            <w:pPr>
              <w:ind w:left="57"/>
            </w:pPr>
            <w:r w:rsidRPr="006B2754">
              <w:t>Overall (2018)</w:t>
            </w:r>
          </w:p>
        </w:tc>
        <w:tc>
          <w:tcPr>
            <w:tcW w:w="2786" w:type="dxa"/>
          </w:tcPr>
          <w:p w14:paraId="7A36C450" w14:textId="08F66D4A" w:rsidR="00D84C2B" w:rsidRPr="006B2754" w:rsidRDefault="00D84C2B" w:rsidP="00D84C2B">
            <w:pPr>
              <w:ind w:left="57"/>
            </w:pPr>
            <w:r w:rsidRPr="006B2754">
              <w:t>144 days</w:t>
            </w:r>
          </w:p>
        </w:tc>
      </w:tr>
      <w:tr w:rsidR="00D84C2B" w:rsidRPr="006B2754" w14:paraId="4E3B8DA3" w14:textId="77777777" w:rsidTr="00D84C2B">
        <w:tc>
          <w:tcPr>
            <w:tcW w:w="6230" w:type="dxa"/>
          </w:tcPr>
          <w:p w14:paraId="573EAAEF" w14:textId="1A8DA5DA" w:rsidR="00D84C2B" w:rsidRPr="006B2754" w:rsidRDefault="00D84C2B" w:rsidP="00D84C2B">
            <w:pPr>
              <w:ind w:left="57"/>
            </w:pPr>
            <w:r w:rsidRPr="006B2754">
              <w:t>Public system</w:t>
            </w:r>
          </w:p>
        </w:tc>
        <w:tc>
          <w:tcPr>
            <w:tcW w:w="2786" w:type="dxa"/>
          </w:tcPr>
          <w:p w14:paraId="1A306912" w14:textId="70CB55B8" w:rsidR="00D84C2B" w:rsidRPr="006B2754" w:rsidRDefault="00D84C2B" w:rsidP="00D84C2B">
            <w:pPr>
              <w:ind w:left="57"/>
            </w:pPr>
            <w:r w:rsidRPr="006B2754">
              <w:t>178 days</w:t>
            </w:r>
          </w:p>
        </w:tc>
      </w:tr>
      <w:tr w:rsidR="00D84C2B" w:rsidRPr="006B2754" w14:paraId="2263CA45" w14:textId="77777777" w:rsidTr="00D84C2B">
        <w:tc>
          <w:tcPr>
            <w:tcW w:w="6230" w:type="dxa"/>
          </w:tcPr>
          <w:p w14:paraId="35F3A48F" w14:textId="7172F09F" w:rsidR="00D84C2B" w:rsidRPr="006B2754" w:rsidRDefault="00D84C2B" w:rsidP="00D84C2B">
            <w:pPr>
              <w:ind w:left="57"/>
            </w:pPr>
            <w:r w:rsidRPr="006B2754">
              <w:t>Private system</w:t>
            </w:r>
          </w:p>
        </w:tc>
        <w:tc>
          <w:tcPr>
            <w:tcW w:w="2786" w:type="dxa"/>
          </w:tcPr>
          <w:p w14:paraId="5EFCC6CF" w14:textId="43A469A2" w:rsidR="00D84C2B" w:rsidRPr="006B2754" w:rsidRDefault="00D84C2B" w:rsidP="00D84C2B">
            <w:pPr>
              <w:ind w:left="57"/>
            </w:pPr>
            <w:r w:rsidRPr="006B2754">
              <w:t>129 days</w:t>
            </w:r>
          </w:p>
        </w:tc>
      </w:tr>
    </w:tbl>
    <w:p w14:paraId="6B026974" w14:textId="4A760599" w:rsidR="005B2217" w:rsidRDefault="005B2217" w:rsidP="00F678D8">
      <w:pPr>
        <w:pStyle w:val="Source"/>
        <w:spacing w:after="120" w:line="120" w:lineRule="atLeast"/>
      </w:pPr>
      <w:r w:rsidRPr="00AC1164">
        <w:t xml:space="preserve">Notes: </w:t>
      </w:r>
      <w:r>
        <w:t xml:space="preserve">Green </w:t>
      </w:r>
      <w:r w:rsidR="00450B98">
        <w:t>shading</w:t>
      </w:r>
      <w:r>
        <w:t xml:space="preserve"> indicates a </w:t>
      </w:r>
      <w:r w:rsidR="00003040">
        <w:t>median time to diagnostic</w:t>
      </w:r>
      <w:r>
        <w:t xml:space="preserve"> assessment rate better than the overall </w:t>
      </w:r>
      <w:r w:rsidR="00003040">
        <w:t xml:space="preserve">2018 </w:t>
      </w:r>
      <w:r>
        <w:t xml:space="preserve">average, while red </w:t>
      </w:r>
      <w:r w:rsidR="008378AA">
        <w:t xml:space="preserve">shading </w:t>
      </w:r>
      <w:r>
        <w:t xml:space="preserve">indicates a </w:t>
      </w:r>
      <w:r w:rsidR="001720AC">
        <w:t>median</w:t>
      </w:r>
      <w:r w:rsidR="00003040">
        <w:t xml:space="preserve"> </w:t>
      </w:r>
      <w:r w:rsidR="001720AC">
        <w:t>time</w:t>
      </w:r>
      <w:r w:rsidR="00D504E1">
        <w:t xml:space="preserve"> to diagnostic assessment worse than the 2018 overall average.</w:t>
      </w:r>
    </w:p>
    <w:p w14:paraId="5F555848" w14:textId="7014DA2A" w:rsidR="00347B9E" w:rsidRPr="00347B9E" w:rsidRDefault="00347B9E" w:rsidP="00F678D8">
      <w:pPr>
        <w:pStyle w:val="Source"/>
        <w:spacing w:after="120" w:line="120" w:lineRule="atLeast"/>
      </w:pPr>
      <w:r w:rsidRPr="00347B9E">
        <w:t xml:space="preserve">Source: </w:t>
      </w:r>
      <w:proofErr w:type="spellStart"/>
      <w:r w:rsidR="00FC4A66" w:rsidRPr="00C37F76">
        <w:rPr>
          <w:vertAlign w:val="superscript"/>
        </w:rPr>
        <w:t>a</w:t>
      </w:r>
      <w:r w:rsidR="00FC4A66">
        <w:t>NCSR</w:t>
      </w:r>
      <w:proofErr w:type="spellEnd"/>
      <w:r w:rsidR="00FC4A66">
        <w:t xml:space="preserve"> data January 2019 to December 2020</w:t>
      </w:r>
      <w:r w:rsidR="00FC4A66" w:rsidRPr="00C37F76">
        <w:t xml:space="preserve">, July 2020; </w:t>
      </w:r>
      <w:proofErr w:type="spellStart"/>
      <w:r w:rsidR="00FC4A66" w:rsidRPr="00C37F76">
        <w:rPr>
          <w:vertAlign w:val="superscript"/>
        </w:rPr>
        <w:t>b</w:t>
      </w:r>
      <w:r w:rsidR="00FC4A66" w:rsidRPr="00C37F76">
        <w:t>AIHW</w:t>
      </w:r>
      <w:proofErr w:type="spellEnd"/>
      <w:r w:rsidR="00FC4A66" w:rsidRPr="00C37F76">
        <w:t xml:space="preserve">, </w:t>
      </w:r>
      <w:r w:rsidR="00FC4A66" w:rsidRPr="00C37F76">
        <w:rPr>
          <w:i/>
        </w:rPr>
        <w:t>NBCSP Monitoring Report</w:t>
      </w:r>
      <w:r w:rsidR="00FC4A66" w:rsidRPr="00C37F76">
        <w:t>, July 2020</w:t>
      </w:r>
      <w:r w:rsidR="00FC4A66">
        <w:t>.</w:t>
      </w:r>
    </w:p>
    <w:p w14:paraId="6828A536" w14:textId="77777777" w:rsidR="00347B9E" w:rsidRPr="00347B9E" w:rsidRDefault="00347B9E" w:rsidP="00195E90">
      <w:r w:rsidRPr="00347B9E">
        <w:t>The volume of low-value colonoscopies for average-risk patients likely contributes to barriers in achieving timely access to colonoscopy for Program participants.</w:t>
      </w:r>
    </w:p>
    <w:p w14:paraId="6FF720E6" w14:textId="2CC19128" w:rsidR="002B0620" w:rsidRDefault="00347B9E" w:rsidP="00347B9E">
      <w:r w:rsidRPr="00347B9E">
        <w:t xml:space="preserve">Stakeholders noted that challenges with access to </w:t>
      </w:r>
      <w:r w:rsidR="00B612C8">
        <w:t xml:space="preserve">a </w:t>
      </w:r>
      <w:r w:rsidR="00925C45">
        <w:t>publicly</w:t>
      </w:r>
      <w:r w:rsidR="00AD3613">
        <w:t xml:space="preserve"> funded </w:t>
      </w:r>
      <w:r w:rsidRPr="00347B9E">
        <w:t xml:space="preserve">colonoscopy in Australia </w:t>
      </w:r>
      <w:r w:rsidR="00C5602B">
        <w:t>partly</w:t>
      </w:r>
      <w:r w:rsidR="00C5602B" w:rsidRPr="00347B9E">
        <w:t xml:space="preserve"> </w:t>
      </w:r>
      <w:r w:rsidRPr="00347B9E">
        <w:t>stem from the high</w:t>
      </w:r>
      <w:r w:rsidR="00116E17">
        <w:t xml:space="preserve"> </w:t>
      </w:r>
      <w:r w:rsidRPr="00347B9E">
        <w:t>volume of low-value colonoscopies for first</w:t>
      </w:r>
      <w:r w:rsidR="00116E17">
        <w:t>-</w:t>
      </w:r>
      <w:r w:rsidRPr="00347B9E">
        <w:t>line</w:t>
      </w:r>
      <w:r w:rsidR="00116E17">
        <w:t xml:space="preserve"> </w:t>
      </w:r>
      <w:r w:rsidRPr="00347B9E">
        <w:t>screening outside of the Program (</w:t>
      </w:r>
      <w:proofErr w:type="gramStart"/>
      <w:r w:rsidRPr="00347B9E">
        <w:t>i.e.</w:t>
      </w:r>
      <w:proofErr w:type="gramEnd"/>
      <w:r w:rsidRPr="00347B9E">
        <w:t xml:space="preserve"> people undergoing surveillance colonoscopy </w:t>
      </w:r>
      <w:r w:rsidR="00EB6C6D">
        <w:t>contrary to the</w:t>
      </w:r>
      <w:r w:rsidRPr="00347B9E">
        <w:t xml:space="preserve"> </w:t>
      </w:r>
      <w:r w:rsidR="00772593">
        <w:t>NHMRC</w:t>
      </w:r>
      <w:r w:rsidR="009C78CA">
        <w:t>-</w:t>
      </w:r>
      <w:r w:rsidR="00772593">
        <w:t>approved</w:t>
      </w:r>
      <w:r w:rsidRPr="00347B9E">
        <w:t xml:space="preserve"> </w:t>
      </w:r>
      <w:r w:rsidR="006616C5">
        <w:t xml:space="preserve">clinical practice </w:t>
      </w:r>
      <w:r w:rsidRPr="00347B9E">
        <w:t>guidelines). More than 900,000 colonoscopies are performed in Australia annually with only a small proportion (</w:t>
      </w:r>
      <w:r w:rsidR="00606ADA">
        <w:t>5</w:t>
      </w:r>
      <w:r w:rsidRPr="00347B9E">
        <w:t xml:space="preserve"> per cent in 2015) performed on people who received a positive </w:t>
      </w:r>
      <w:proofErr w:type="spellStart"/>
      <w:r w:rsidRPr="00347B9E">
        <w:t>iFOBT</w:t>
      </w:r>
      <w:proofErr w:type="spellEnd"/>
      <w:r w:rsidRPr="00347B9E">
        <w:t xml:space="preserve"> through the NBCSP.</w:t>
      </w:r>
      <w:r w:rsidRPr="00347B9E">
        <w:rPr>
          <w:vertAlign w:val="superscript"/>
        </w:rPr>
        <w:endnoteReference w:id="52"/>
      </w:r>
      <w:r w:rsidRPr="00347B9E">
        <w:t xml:space="preserve"> In addition, the Improving Colonoscopy Services in Australia Quality Working Group Report showed that colonoscopy capacity in Australia is sufficient to support the Program.</w:t>
      </w:r>
      <w:r w:rsidRPr="00347B9E">
        <w:rPr>
          <w:vertAlign w:val="superscript"/>
        </w:rPr>
        <w:endnoteReference w:id="53"/>
      </w:r>
      <w:r w:rsidRPr="00347B9E">
        <w:t xml:space="preserve"> </w:t>
      </w:r>
    </w:p>
    <w:p w14:paraId="4DA32442" w14:textId="1DC2D7C0" w:rsidR="0035194E" w:rsidRDefault="00347B9E" w:rsidP="00347B9E">
      <w:r w:rsidRPr="00347B9E">
        <w:t>Th</w:t>
      </w:r>
      <w:r w:rsidR="002B0620">
        <w:t>ese findings suggest</w:t>
      </w:r>
      <w:r w:rsidRPr="00347B9E">
        <w:t xml:space="preserve"> that the problem may not be capacity but overuse of low-value colonoscopies. </w:t>
      </w:r>
      <w:r w:rsidR="0035194E">
        <w:t>I</w:t>
      </w:r>
      <w:r w:rsidR="0035194E" w:rsidRPr="0035194E">
        <w:t>n 2019, after consultation with the sector the Medicare Benefits Schedule (MBS) Taskforce made multiple changes to the MBS item codes relating to colonoscopy. These changes were designed to reflect the latest evidence-base and reduce the number of colonoscopies occurring of low value. The full impact of this measure on colonoscopy access across public and private settings will require several years to understand.</w:t>
      </w:r>
    </w:p>
    <w:p w14:paraId="72F82BA3" w14:textId="7342D646" w:rsidR="00347B9E" w:rsidRPr="00347B9E" w:rsidRDefault="005B4FEE" w:rsidP="00347B9E">
      <w:r>
        <w:t xml:space="preserve">Sectorial </w:t>
      </w:r>
      <w:r w:rsidRPr="00347B9E">
        <w:t>stakeholders</w:t>
      </w:r>
      <w:r w:rsidR="001E06E3">
        <w:t xml:space="preserve"> (</w:t>
      </w:r>
      <w:proofErr w:type="gramStart"/>
      <w:r w:rsidR="001E06E3">
        <w:t>e.g.</w:t>
      </w:r>
      <w:proofErr w:type="gramEnd"/>
      <w:r w:rsidR="001E06E3">
        <w:t xml:space="preserve"> advocacy groups, </w:t>
      </w:r>
      <w:r w:rsidR="00742954">
        <w:t>peak bodies, and other relevant non-government organisations)</w:t>
      </w:r>
      <w:r w:rsidR="00347B9E" w:rsidRPr="00347B9E">
        <w:t xml:space="preserve"> </w:t>
      </w:r>
      <w:r w:rsidR="00DE5056">
        <w:t>noted that</w:t>
      </w:r>
      <w:r w:rsidR="00023B50">
        <w:t xml:space="preserve"> </w:t>
      </w:r>
      <w:r w:rsidR="00347B9E" w:rsidRPr="00347B9E">
        <w:t xml:space="preserve">to improve the prioritisation of colonoscopies, the Program could work with </w:t>
      </w:r>
      <w:r w:rsidR="001F12DC">
        <w:t>PHNs</w:t>
      </w:r>
      <w:r w:rsidR="00347B9E" w:rsidRPr="00347B9E">
        <w:t xml:space="preserve"> </w:t>
      </w:r>
      <w:r w:rsidR="005F2427">
        <w:t>and peak bodies</w:t>
      </w:r>
      <w:r w:rsidR="00347B9E" w:rsidRPr="00347B9E">
        <w:t xml:space="preserve"> to promote the </w:t>
      </w:r>
      <w:r w:rsidR="00772593">
        <w:t>NHMRC</w:t>
      </w:r>
      <w:r w:rsidR="009C78CA">
        <w:t>-</w:t>
      </w:r>
      <w:r w:rsidR="00772593">
        <w:t>approved</w:t>
      </w:r>
      <w:r w:rsidR="00347B9E" w:rsidRPr="00347B9E">
        <w:t xml:space="preserve"> clinical practice guidelines among GPs and</w:t>
      </w:r>
      <w:r w:rsidR="00682FB4">
        <w:t xml:space="preserve">/or </w:t>
      </w:r>
      <w:r w:rsidR="003979E7">
        <w:t>with</w:t>
      </w:r>
      <w:r w:rsidR="00682FB4">
        <w:t xml:space="preserve"> hospital intake </w:t>
      </w:r>
      <w:r w:rsidR="003979E7">
        <w:t xml:space="preserve">hubs (e.g. </w:t>
      </w:r>
      <w:r w:rsidR="00682FB4">
        <w:t>electronic</w:t>
      </w:r>
      <w:r w:rsidR="00B35580">
        <w:t xml:space="preserve"> </w:t>
      </w:r>
      <w:r w:rsidR="00682FB4">
        <w:t>referral forms</w:t>
      </w:r>
      <w:r w:rsidR="003979E7">
        <w:t xml:space="preserve"> could reiterate the NHRMC</w:t>
      </w:r>
      <w:r w:rsidR="00877A28">
        <w:t xml:space="preserve"> </w:t>
      </w:r>
      <w:r w:rsidR="008842F6">
        <w:t>approved</w:t>
      </w:r>
      <w:r w:rsidR="003979E7">
        <w:t xml:space="preserve"> clinical practice guidelines)</w:t>
      </w:r>
      <w:r w:rsidR="00682FB4">
        <w:t>.</w:t>
      </w:r>
    </w:p>
    <w:p w14:paraId="2847BD27" w14:textId="476DB55C" w:rsidR="005F187D" w:rsidRDefault="002B0620" w:rsidP="00F678D8">
      <w:pPr>
        <w:pStyle w:val="Heading3"/>
      </w:pPr>
      <w:bookmarkStart w:id="81" w:name="_Ref67561675"/>
      <w:r>
        <w:t>The P</w:t>
      </w:r>
      <w:r w:rsidR="00CC71B3">
        <w:t>articipant</w:t>
      </w:r>
      <w:r>
        <w:t xml:space="preserve"> Follow-Up Function</w:t>
      </w:r>
      <w:bookmarkEnd w:id="81"/>
    </w:p>
    <w:p w14:paraId="7B3E92F9" w14:textId="64BD5830" w:rsidR="006F16F1" w:rsidRDefault="00C26269" w:rsidP="00F678D8">
      <w:r w:rsidRPr="00C26269">
        <w:t xml:space="preserve">While the Program has undertaken participant follow-up since Phase One, a nationalised and consistent function was incorporated from Phase Two onwards, referred to as the </w:t>
      </w:r>
      <w:r w:rsidRPr="00C26269">
        <w:lastRenderedPageBreak/>
        <w:t xml:space="preserve">Participant Follow-Up Function (PFUF). The objective of the PFUF is to encourage Program participants who have received a positive </w:t>
      </w:r>
      <w:proofErr w:type="spellStart"/>
      <w:r w:rsidRPr="00C26269">
        <w:t>iFOBT</w:t>
      </w:r>
      <w:proofErr w:type="spellEnd"/>
      <w:r w:rsidRPr="00C26269">
        <w:t xml:space="preserve"> result to progress through the screening pathway. Participants are followed up if they have no record of GP and/or colonoscopy activity in the NCSR within set time intervals (</w:t>
      </w:r>
      <w:r w:rsidR="00630A03">
        <w:fldChar w:fldCharType="begin"/>
      </w:r>
      <w:r w:rsidR="00630A03">
        <w:instrText xml:space="preserve"> REF _Ref74312512 \n \h </w:instrText>
      </w:r>
      <w:r w:rsidR="00630A03">
        <w:fldChar w:fldCharType="separate"/>
      </w:r>
      <w:r w:rsidR="00F27525">
        <w:t>Table 2.7</w:t>
      </w:r>
      <w:r w:rsidR="00630A03">
        <w:fldChar w:fldCharType="end"/>
      </w:r>
      <w:r w:rsidRPr="00C26269">
        <w:t xml:space="preserve">). As such, the extent to which pathway progression (or reasons for drop out) are provided to the NCSR by GPs and </w:t>
      </w:r>
      <w:r w:rsidR="00C205C7">
        <w:t>specialist</w:t>
      </w:r>
      <w:r w:rsidRPr="00C26269">
        <w:t>s has a downstream influence on the volume and nature of PFUF activity.</w:t>
      </w:r>
    </w:p>
    <w:p w14:paraId="38593267" w14:textId="62632627" w:rsidR="001420C6" w:rsidRDefault="00E95950" w:rsidP="00815EA5">
      <w:pPr>
        <w:pStyle w:val="CaptionTable"/>
      </w:pPr>
      <w:r>
        <w:t>:</w:t>
      </w:r>
      <w:r w:rsidR="001420C6" w:rsidDel="00630A03">
        <w:t xml:space="preserve"> </w:t>
      </w:r>
      <w:bookmarkStart w:id="82" w:name="_Ref74312512"/>
      <w:r w:rsidR="001420C6" w:rsidRPr="006D78BA">
        <w:t>Participant follow-up function reminders</w:t>
      </w:r>
      <w:bookmarkEnd w:id="82"/>
    </w:p>
    <w:tbl>
      <w:tblPr>
        <w:tblStyle w:val="Deloittetable"/>
        <w:tblW w:w="0" w:type="auto"/>
        <w:tblLook w:val="04A0" w:firstRow="1" w:lastRow="0" w:firstColumn="1" w:lastColumn="0" w:noHBand="0" w:noVBand="1"/>
      </w:tblPr>
      <w:tblGrid>
        <w:gridCol w:w="1946"/>
        <w:gridCol w:w="2165"/>
        <w:gridCol w:w="4809"/>
      </w:tblGrid>
      <w:tr w:rsidR="00C26269" w:rsidRPr="006B2754" w14:paraId="29D8DD09" w14:textId="77777777" w:rsidTr="006B2754">
        <w:trPr>
          <w:cnfStyle w:val="100000000000" w:firstRow="1" w:lastRow="0" w:firstColumn="0" w:lastColumn="0" w:oddVBand="0" w:evenVBand="0" w:oddHBand="0" w:evenHBand="0" w:firstRowFirstColumn="0" w:firstRowLastColumn="0" w:lastRowFirstColumn="0" w:lastRowLastColumn="0"/>
        </w:trPr>
        <w:tc>
          <w:tcPr>
            <w:tcW w:w="1946" w:type="dxa"/>
          </w:tcPr>
          <w:p w14:paraId="449086BA" w14:textId="77777777" w:rsidR="00C26269" w:rsidRPr="006B2754" w:rsidRDefault="00C26269" w:rsidP="006B2754">
            <w:pPr>
              <w:spacing w:before="0" w:after="0"/>
            </w:pPr>
            <w:r w:rsidRPr="006B2754">
              <w:t xml:space="preserve">Reminder </w:t>
            </w:r>
          </w:p>
        </w:tc>
        <w:tc>
          <w:tcPr>
            <w:tcW w:w="2165" w:type="dxa"/>
          </w:tcPr>
          <w:p w14:paraId="778D714C" w14:textId="77777777" w:rsidR="00C26269" w:rsidRPr="006B2754" w:rsidRDefault="00C26269" w:rsidP="006B2754">
            <w:r w:rsidRPr="006B2754">
              <w:t>GP reminders</w:t>
            </w:r>
          </w:p>
        </w:tc>
        <w:tc>
          <w:tcPr>
            <w:tcW w:w="4809" w:type="dxa"/>
          </w:tcPr>
          <w:p w14:paraId="084067C0" w14:textId="77777777" w:rsidR="00C26269" w:rsidRPr="006B2754" w:rsidRDefault="00C26269" w:rsidP="006B2754">
            <w:r w:rsidRPr="006B2754">
              <w:t>Colonoscopy reminders (from date of GP visit)</w:t>
            </w:r>
          </w:p>
        </w:tc>
      </w:tr>
      <w:tr w:rsidR="00C26269" w:rsidRPr="00C26269" w14:paraId="262C1480" w14:textId="77777777" w:rsidTr="006B2754">
        <w:tc>
          <w:tcPr>
            <w:tcW w:w="1946" w:type="dxa"/>
          </w:tcPr>
          <w:p w14:paraId="7FA46327" w14:textId="77777777" w:rsidR="00C26269" w:rsidRPr="00C26269" w:rsidRDefault="00C26269" w:rsidP="00C26269">
            <w:pPr>
              <w:spacing w:after="0"/>
              <w:rPr>
                <w:color w:val="000000" w:themeColor="text1"/>
              </w:rPr>
            </w:pPr>
            <w:r w:rsidRPr="00C26269">
              <w:rPr>
                <w:color w:val="000000" w:themeColor="text1"/>
              </w:rPr>
              <w:t>1 – Letter</w:t>
            </w:r>
          </w:p>
        </w:tc>
        <w:tc>
          <w:tcPr>
            <w:tcW w:w="2165" w:type="dxa"/>
          </w:tcPr>
          <w:p w14:paraId="607CDAE8" w14:textId="77777777" w:rsidR="00C26269" w:rsidRPr="00C26269" w:rsidRDefault="00C26269" w:rsidP="00C26269">
            <w:pPr>
              <w:spacing w:after="0"/>
              <w:jc w:val="right"/>
              <w:rPr>
                <w:color w:val="000000" w:themeColor="text1"/>
              </w:rPr>
            </w:pPr>
            <w:r w:rsidRPr="00C26269">
              <w:rPr>
                <w:color w:val="000000" w:themeColor="text1"/>
              </w:rPr>
              <w:t>8 weeks</w:t>
            </w:r>
          </w:p>
        </w:tc>
        <w:tc>
          <w:tcPr>
            <w:tcW w:w="4809" w:type="dxa"/>
          </w:tcPr>
          <w:p w14:paraId="30E6ED58" w14:textId="77777777" w:rsidR="00C26269" w:rsidRPr="00C26269" w:rsidRDefault="00C26269" w:rsidP="00C26269">
            <w:pPr>
              <w:spacing w:after="0"/>
              <w:jc w:val="right"/>
              <w:rPr>
                <w:color w:val="000000" w:themeColor="text1"/>
              </w:rPr>
            </w:pPr>
            <w:r w:rsidRPr="00C26269">
              <w:rPr>
                <w:color w:val="000000" w:themeColor="text1"/>
              </w:rPr>
              <w:t>8 weeks</w:t>
            </w:r>
          </w:p>
        </w:tc>
      </w:tr>
      <w:tr w:rsidR="00C26269" w:rsidRPr="00C26269" w14:paraId="43BD5337" w14:textId="77777777" w:rsidTr="006B2754">
        <w:tc>
          <w:tcPr>
            <w:tcW w:w="1946" w:type="dxa"/>
          </w:tcPr>
          <w:p w14:paraId="041B2994" w14:textId="77777777" w:rsidR="00C26269" w:rsidRPr="00C26269" w:rsidRDefault="00C26269" w:rsidP="00C26269">
            <w:pPr>
              <w:spacing w:after="0"/>
              <w:rPr>
                <w:color w:val="000000" w:themeColor="text1"/>
              </w:rPr>
            </w:pPr>
            <w:r w:rsidRPr="00C26269">
              <w:rPr>
                <w:color w:val="000000" w:themeColor="text1"/>
              </w:rPr>
              <w:t>2 – PFUF phone call</w:t>
            </w:r>
          </w:p>
        </w:tc>
        <w:tc>
          <w:tcPr>
            <w:tcW w:w="2165" w:type="dxa"/>
          </w:tcPr>
          <w:p w14:paraId="2116B349" w14:textId="77777777" w:rsidR="00C26269" w:rsidRPr="00C26269" w:rsidRDefault="00C26269" w:rsidP="00C26269">
            <w:pPr>
              <w:spacing w:after="0"/>
              <w:jc w:val="right"/>
              <w:rPr>
                <w:color w:val="000000" w:themeColor="text1"/>
              </w:rPr>
            </w:pPr>
            <w:r w:rsidRPr="00C26269">
              <w:rPr>
                <w:color w:val="000000" w:themeColor="text1"/>
              </w:rPr>
              <w:t>12 weeks</w:t>
            </w:r>
          </w:p>
        </w:tc>
        <w:tc>
          <w:tcPr>
            <w:tcW w:w="4809" w:type="dxa"/>
          </w:tcPr>
          <w:p w14:paraId="7EE8CAE9" w14:textId="77777777" w:rsidR="00C26269" w:rsidRPr="00C26269" w:rsidRDefault="00C26269" w:rsidP="00C26269">
            <w:pPr>
              <w:spacing w:after="0"/>
              <w:jc w:val="right"/>
              <w:rPr>
                <w:color w:val="000000" w:themeColor="text1"/>
              </w:rPr>
            </w:pPr>
            <w:r w:rsidRPr="00C26269">
              <w:rPr>
                <w:color w:val="000000" w:themeColor="text1"/>
              </w:rPr>
              <w:t>12 weeks</w:t>
            </w:r>
          </w:p>
        </w:tc>
      </w:tr>
      <w:tr w:rsidR="00C26269" w:rsidRPr="00C26269" w14:paraId="2AD2DD4D" w14:textId="77777777" w:rsidTr="006B2754">
        <w:tc>
          <w:tcPr>
            <w:tcW w:w="1946" w:type="dxa"/>
          </w:tcPr>
          <w:p w14:paraId="512E4783" w14:textId="77777777" w:rsidR="00C26269" w:rsidRPr="00C26269" w:rsidRDefault="00C26269" w:rsidP="00C26269">
            <w:pPr>
              <w:spacing w:after="0"/>
              <w:rPr>
                <w:color w:val="000000" w:themeColor="text1"/>
              </w:rPr>
            </w:pPr>
            <w:r w:rsidRPr="00C26269">
              <w:rPr>
                <w:color w:val="000000" w:themeColor="text1"/>
              </w:rPr>
              <w:t>3 – Letter</w:t>
            </w:r>
          </w:p>
        </w:tc>
        <w:tc>
          <w:tcPr>
            <w:tcW w:w="2165" w:type="dxa"/>
          </w:tcPr>
          <w:p w14:paraId="777A40F5" w14:textId="77777777" w:rsidR="00C26269" w:rsidRPr="00C26269" w:rsidRDefault="00C26269" w:rsidP="00C26269">
            <w:pPr>
              <w:spacing w:after="0"/>
              <w:jc w:val="right"/>
              <w:rPr>
                <w:i/>
                <w:iCs/>
                <w:color w:val="012169" w:themeColor="accent4"/>
              </w:rPr>
            </w:pPr>
            <w:r w:rsidRPr="00C26269">
              <w:rPr>
                <w:color w:val="000000" w:themeColor="text1"/>
              </w:rPr>
              <w:t>26 weeks</w:t>
            </w:r>
          </w:p>
        </w:tc>
        <w:tc>
          <w:tcPr>
            <w:tcW w:w="4809" w:type="dxa"/>
          </w:tcPr>
          <w:p w14:paraId="281AE513" w14:textId="77777777" w:rsidR="00C26269" w:rsidRPr="00C26269" w:rsidRDefault="00C26269" w:rsidP="00C26269">
            <w:pPr>
              <w:spacing w:after="0"/>
              <w:jc w:val="right"/>
              <w:rPr>
                <w:i/>
                <w:iCs/>
                <w:color w:val="012169" w:themeColor="accent4"/>
              </w:rPr>
            </w:pPr>
            <w:r w:rsidRPr="00C26269">
              <w:rPr>
                <w:color w:val="000000" w:themeColor="text1"/>
              </w:rPr>
              <w:t>16 weeks</w:t>
            </w:r>
          </w:p>
        </w:tc>
      </w:tr>
      <w:tr w:rsidR="00C26269" w:rsidRPr="00C26269" w14:paraId="5CDC34F3" w14:textId="77777777" w:rsidTr="006B2754">
        <w:tc>
          <w:tcPr>
            <w:tcW w:w="1946" w:type="dxa"/>
          </w:tcPr>
          <w:p w14:paraId="76808CD0" w14:textId="77777777" w:rsidR="00C26269" w:rsidRPr="00C26269" w:rsidRDefault="00C26269" w:rsidP="00C26269">
            <w:pPr>
              <w:spacing w:after="0"/>
              <w:rPr>
                <w:color w:val="000000" w:themeColor="text1"/>
              </w:rPr>
            </w:pPr>
            <w:r w:rsidRPr="00C26269">
              <w:rPr>
                <w:color w:val="000000" w:themeColor="text1"/>
              </w:rPr>
              <w:t>4 – PFUF phone call</w:t>
            </w:r>
          </w:p>
        </w:tc>
        <w:tc>
          <w:tcPr>
            <w:tcW w:w="2165" w:type="dxa"/>
          </w:tcPr>
          <w:p w14:paraId="3CA71075" w14:textId="77777777" w:rsidR="00C26269" w:rsidRPr="00C26269" w:rsidRDefault="00C26269" w:rsidP="00C26269">
            <w:pPr>
              <w:spacing w:after="0"/>
              <w:jc w:val="right"/>
              <w:rPr>
                <w:i/>
                <w:iCs/>
                <w:color w:val="012169" w:themeColor="accent4"/>
              </w:rPr>
            </w:pPr>
            <w:r w:rsidRPr="00C26269">
              <w:rPr>
                <w:color w:val="000000" w:themeColor="text1"/>
              </w:rPr>
              <w:t>30 weeks</w:t>
            </w:r>
          </w:p>
        </w:tc>
        <w:tc>
          <w:tcPr>
            <w:tcW w:w="4809" w:type="dxa"/>
          </w:tcPr>
          <w:p w14:paraId="702F2CF2" w14:textId="77777777" w:rsidR="00C26269" w:rsidRPr="00C26269" w:rsidRDefault="00C26269" w:rsidP="00C26269">
            <w:pPr>
              <w:spacing w:after="0"/>
              <w:jc w:val="right"/>
              <w:rPr>
                <w:i/>
                <w:iCs/>
                <w:color w:val="012169" w:themeColor="accent4"/>
              </w:rPr>
            </w:pPr>
            <w:r w:rsidRPr="00C26269">
              <w:rPr>
                <w:color w:val="000000" w:themeColor="text1"/>
              </w:rPr>
              <w:t>20 weeks</w:t>
            </w:r>
          </w:p>
        </w:tc>
      </w:tr>
    </w:tbl>
    <w:p w14:paraId="06E843FE" w14:textId="18B41FC8" w:rsidR="00C26269" w:rsidRPr="00815EA5" w:rsidRDefault="00D333E4" w:rsidP="00C26269">
      <w:pPr>
        <w:rPr>
          <w:color w:val="75787B" w:themeColor="accent6"/>
          <w:sz w:val="14"/>
        </w:rPr>
      </w:pPr>
      <w:r w:rsidRPr="00815EA5">
        <w:rPr>
          <w:color w:val="75787B" w:themeColor="accent6"/>
          <w:sz w:val="14"/>
        </w:rPr>
        <w:t xml:space="preserve">Source: Department of Health information. </w:t>
      </w:r>
    </w:p>
    <w:p w14:paraId="6A6E11C1" w14:textId="77777777" w:rsidR="00C26269" w:rsidRPr="00C26269" w:rsidRDefault="00C26269" w:rsidP="00C26269">
      <w:r w:rsidRPr="00C26269">
        <w:t>The function is funded by the Department and delivered by the states and territories under a National Partnership Agreement, which is due to expire on 30 June 2022. To comply with the terms of the Schedule, the Commonwealth’s roles and responsibilities include identifying Program participants who require follow-up and providing states and territories with an Annual Reporting Template. The states and territories provide the specified outputs:</w:t>
      </w:r>
      <w:r w:rsidRPr="00C26269">
        <w:rPr>
          <w:vertAlign w:val="superscript"/>
        </w:rPr>
        <w:endnoteReference w:id="54"/>
      </w:r>
      <w:r w:rsidRPr="00C26269">
        <w:t xml:space="preserve"> </w:t>
      </w:r>
    </w:p>
    <w:p w14:paraId="1BABFF9E" w14:textId="0F24C5C8" w:rsidR="00C26269" w:rsidRPr="00C26269" w:rsidRDefault="00C26269" w:rsidP="006B2754">
      <w:pPr>
        <w:pStyle w:val="ListBullet"/>
      </w:pPr>
      <w:r w:rsidRPr="00C26269">
        <w:t xml:space="preserve">delivery of an agreed follow-up service for relevant NBCSP participants and/or their relevant health professionals who are identified through the </w:t>
      </w:r>
      <w:r w:rsidR="00A65EF2">
        <w:t>NCSR</w:t>
      </w:r>
    </w:p>
    <w:p w14:paraId="307A1675" w14:textId="6206D976" w:rsidR="00C26269" w:rsidRDefault="00C26269" w:rsidP="006B2754">
      <w:pPr>
        <w:pStyle w:val="ListBullet"/>
      </w:pPr>
      <w:r w:rsidRPr="00C26269">
        <w:t xml:space="preserve">timely updates to a participant’s </w:t>
      </w:r>
      <w:r w:rsidR="00A65EF2">
        <w:t xml:space="preserve">NCSR </w:t>
      </w:r>
      <w:r w:rsidRPr="00C26269">
        <w:t>record.</w:t>
      </w:r>
    </w:p>
    <w:p w14:paraId="56BC59F9" w14:textId="77777777" w:rsidR="00C26269" w:rsidRPr="00C26269" w:rsidRDefault="00C26269" w:rsidP="006B2754">
      <w:r w:rsidRPr="00C26269">
        <w:t xml:space="preserve">States </w:t>
      </w:r>
      <w:r w:rsidRPr="006B2754">
        <w:t>and</w:t>
      </w:r>
      <w:r w:rsidRPr="00C26269">
        <w:t xml:space="preserve"> territories also report on outputs using the Annual Reporting Template, as payments are contingent on this process. </w:t>
      </w:r>
    </w:p>
    <w:p w14:paraId="12D48CA3" w14:textId="77777777" w:rsidR="00C26269" w:rsidRPr="00C26269" w:rsidRDefault="00C26269" w:rsidP="00F678D8">
      <w:pPr>
        <w:pStyle w:val="Heading4"/>
      </w:pPr>
      <w:r w:rsidRPr="00C26269">
        <w:t>Evaluating the PFUF function</w:t>
      </w:r>
    </w:p>
    <w:p w14:paraId="7F240142" w14:textId="69E7D601" w:rsidR="00C26269" w:rsidRPr="00C26269" w:rsidRDefault="00C26269" w:rsidP="00C26269">
      <w:r w:rsidRPr="00C26269">
        <w:t xml:space="preserve">The PFUF </w:t>
      </w:r>
      <w:r w:rsidR="00577938">
        <w:t>was reviewed in relation to:</w:t>
      </w:r>
      <w:r w:rsidRPr="00C26269">
        <w:t xml:space="preserve"> </w:t>
      </w:r>
    </w:p>
    <w:p w14:paraId="23513C16" w14:textId="5B86A211" w:rsidR="00C26269" w:rsidRPr="00C26269" w:rsidRDefault="00C26269" w:rsidP="006B2754">
      <w:pPr>
        <w:pStyle w:val="ListBullet"/>
      </w:pPr>
      <w:r w:rsidRPr="00C26269">
        <w:rPr>
          <w:b/>
          <w:bCs/>
        </w:rPr>
        <w:t>Effectiveness</w:t>
      </w:r>
      <w:r w:rsidR="007B73DB">
        <w:t xml:space="preserve">, the </w:t>
      </w:r>
      <w:r w:rsidRPr="00C26269">
        <w:t xml:space="preserve">contribution of the output to the successful progression of the participant through the screening pathway, and timely updates to a participant’s </w:t>
      </w:r>
      <w:r w:rsidR="00A65EF2">
        <w:t>NCSR</w:t>
      </w:r>
      <w:r w:rsidRPr="00C26269">
        <w:t xml:space="preserve"> record.</w:t>
      </w:r>
    </w:p>
    <w:p w14:paraId="4C848D06" w14:textId="025427B7" w:rsidR="00724ECA" w:rsidRPr="00C26269" w:rsidRDefault="00C26269" w:rsidP="006B2754">
      <w:pPr>
        <w:pStyle w:val="ListBullet"/>
      </w:pPr>
      <w:r w:rsidRPr="00C26269">
        <w:rPr>
          <w:b/>
          <w:bCs/>
        </w:rPr>
        <w:t>Efficiency</w:t>
      </w:r>
      <w:r w:rsidR="007B73DB">
        <w:t xml:space="preserve">, </w:t>
      </w:r>
      <w:r w:rsidRPr="00C26269">
        <w:t>the input required to produce an output of a successful contact. Successful contacts are broadly defined as the officer successfully reaching the intended recipient.</w:t>
      </w:r>
    </w:p>
    <w:p w14:paraId="4A606F4C" w14:textId="5C8FB2B6" w:rsidR="00C26269" w:rsidRPr="00C26269" w:rsidRDefault="00C26269" w:rsidP="00C26269">
      <w:r w:rsidRPr="00C26269">
        <w:t xml:space="preserve">To assess the effectiveness and efficiency of the PFUF function, a data extract of </w:t>
      </w:r>
      <w:r w:rsidR="00D20DFA">
        <w:t>from the NCSR</w:t>
      </w:r>
      <w:r w:rsidRPr="00C26269">
        <w:t xml:space="preserve"> was provided by the </w:t>
      </w:r>
      <w:r w:rsidR="00D20DFA">
        <w:t>NCSR</w:t>
      </w:r>
      <w:r w:rsidRPr="00C26269">
        <w:t xml:space="preserve"> vendor. Unit-level records relating to PFUF interactions were available from November 2019 at the earliest (due to the transition of the </w:t>
      </w:r>
      <w:r w:rsidR="00942C87">
        <w:t>NCSR</w:t>
      </w:r>
      <w:r w:rsidRPr="00C26269">
        <w:t xml:space="preserve">) to December 2020. As such, this time period was used for analysis related to the proportion of interactions by contact type, and the rate of successful contacts by contact type. </w:t>
      </w:r>
    </w:p>
    <w:p w14:paraId="709A8DC0" w14:textId="77777777" w:rsidR="00C26269" w:rsidRPr="00C26269" w:rsidRDefault="00C26269" w:rsidP="00C26269">
      <w:r w:rsidRPr="00C26269">
        <w:t xml:space="preserve">A second line of inquiry aimed to follow a cohort of participants with a positive </w:t>
      </w:r>
      <w:proofErr w:type="spellStart"/>
      <w:r w:rsidRPr="00C26269">
        <w:t>iFOBT</w:t>
      </w:r>
      <w:proofErr w:type="spellEnd"/>
      <w:r w:rsidRPr="00C26269">
        <w:t xml:space="preserve"> through the screening pathway, to understand the timing of pathway progression and any association between PFUF contact and likelihood of progression</w:t>
      </w:r>
      <w:r w:rsidRPr="00C26269">
        <w:rPr>
          <w:sz w:val="16"/>
          <w:szCs w:val="16"/>
        </w:rPr>
        <w:t>.</w:t>
      </w:r>
      <w:r w:rsidRPr="00C26269">
        <w:t xml:space="preserve"> Positive </w:t>
      </w:r>
      <w:proofErr w:type="spellStart"/>
      <w:r w:rsidRPr="00C26269">
        <w:t>iFOBT</w:t>
      </w:r>
      <w:proofErr w:type="spellEnd"/>
      <w:r w:rsidRPr="00C26269">
        <w:t xml:space="preserve"> results recorded more than eight weeks prior to November 2019 were considered unsuitable for inclusion, as accompanying PFUF records would be incomplete. The overall timeframe chosen was participants recording a positive </w:t>
      </w:r>
      <w:proofErr w:type="spellStart"/>
      <w:r w:rsidRPr="00C26269">
        <w:t>iFOBT</w:t>
      </w:r>
      <w:proofErr w:type="spellEnd"/>
      <w:r w:rsidRPr="00C26269">
        <w:t xml:space="preserve"> between 1 September 2019 and 29 February 2020, with a sample size of 4,158 participants. The following contextual factors are noted about this analysis:</w:t>
      </w:r>
    </w:p>
    <w:p w14:paraId="743CE21A" w14:textId="77777777" w:rsidR="00C26269" w:rsidRPr="00C26269" w:rsidRDefault="00C26269" w:rsidP="00A861BA">
      <w:pPr>
        <w:numPr>
          <w:ilvl w:val="0"/>
          <w:numId w:val="42"/>
        </w:numPr>
        <w:contextualSpacing/>
      </w:pPr>
      <w:r w:rsidRPr="00C26269">
        <w:lastRenderedPageBreak/>
        <w:t>The COVID-19 pandemic is likely to have altered participant behaviour, particularly the access to, and completion of, follow-up appointments. The lockdowns and focus on essential services during this period may have also contributed to a reduction in assessments. The effectiveness of PFUF interactions to encourage GP/colonoscopy appointments should therefore be considered within the context at the time.</w:t>
      </w:r>
    </w:p>
    <w:p w14:paraId="57BB315F" w14:textId="78836B5B" w:rsidR="001420C6" w:rsidRPr="00C26269" w:rsidRDefault="00C26269" w:rsidP="00A861BA">
      <w:pPr>
        <w:numPr>
          <w:ilvl w:val="0"/>
          <w:numId w:val="42"/>
        </w:numPr>
        <w:contextualSpacing/>
      </w:pPr>
      <w:r w:rsidRPr="00C26269">
        <w:t xml:space="preserve">In the AIHW Annual Monitoring Report, calculation of the diagnostic assessment KPI has a minimum participant observation window of one year and a maximum of two years. As shown in </w:t>
      </w:r>
      <w:r w:rsidR="00E95950">
        <w:fldChar w:fldCharType="begin"/>
      </w:r>
      <w:r w:rsidR="00E95950">
        <w:instrText xml:space="preserve"> REF _Ref74312552 \n \h </w:instrText>
      </w:r>
      <w:r w:rsidR="00E95950">
        <w:fldChar w:fldCharType="separate"/>
      </w:r>
      <w:r w:rsidR="00F27525">
        <w:t>Figure 2.3</w:t>
      </w:r>
      <w:r w:rsidR="00E95950">
        <w:fldChar w:fldCharType="end"/>
      </w:r>
      <w:r w:rsidRPr="00C26269">
        <w:t xml:space="preserve">, the minimum </w:t>
      </w:r>
      <w:r w:rsidRPr="00C26269">
        <w:rPr>
          <w:color w:val="000000" w:themeColor="text1"/>
        </w:rPr>
        <w:t xml:space="preserve">and maximum observation windows to calculate a diagnostic assessment rate for individuals in this analysis was shorter (at 11 months and 16 months, respectively), and therefore the diagnostic assessment rate cannot be directly compared with the AIHW’s figures. </w:t>
      </w:r>
    </w:p>
    <w:p w14:paraId="461F5E5D" w14:textId="540643E3" w:rsidR="00C26269" w:rsidRPr="00C26269" w:rsidRDefault="000A7425" w:rsidP="00815EA5">
      <w:pPr>
        <w:pStyle w:val="CaptionFigure"/>
      </w:pPr>
      <w:bookmarkStart w:id="83" w:name="_Ref74312552"/>
      <w:r w:rsidRPr="00C26269" w:rsidDel="00E95950">
        <w:t>:</w:t>
      </w:r>
      <w:r w:rsidRPr="00C26269">
        <w:t xml:space="preserve"> Cohort</w:t>
      </w:r>
      <w:r w:rsidR="00C26269" w:rsidRPr="00C26269">
        <w:t xml:space="preserve"> observation window</w:t>
      </w:r>
      <w:bookmarkEnd w:id="83"/>
    </w:p>
    <w:p w14:paraId="3C73EBF4" w14:textId="77777777" w:rsidR="00C26269" w:rsidRPr="00C26269" w:rsidRDefault="00C26269" w:rsidP="00C26269">
      <w:r w:rsidRPr="00C26269">
        <w:t xml:space="preserve"> </w:t>
      </w:r>
      <w:r w:rsidRPr="00C26269">
        <w:rPr>
          <w:noProof/>
        </w:rPr>
        <w:drawing>
          <wp:inline distT="0" distB="0" distL="0" distR="0" wp14:anchorId="3F417AE3" wp14:editId="20F61C3F">
            <wp:extent cx="5731510" cy="1715135"/>
            <wp:effectExtent l="0" t="0" r="2540" b="0"/>
            <wp:docPr id="5" name="Picture 5" descr="Chart showing cohort observation wind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showing cohort observation window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1510" cy="1715135"/>
                    </a:xfrm>
                    <a:prstGeom prst="rect">
                      <a:avLst/>
                    </a:prstGeom>
                    <a:noFill/>
                    <a:ln>
                      <a:noFill/>
                    </a:ln>
                  </pic:spPr>
                </pic:pic>
              </a:graphicData>
            </a:graphic>
          </wp:inline>
        </w:drawing>
      </w:r>
      <w:r w:rsidRPr="00C26269">
        <w:t xml:space="preserve"> </w:t>
      </w:r>
    </w:p>
    <w:p w14:paraId="462FC522" w14:textId="03B02D7B" w:rsidR="00C26269" w:rsidRPr="00C26269" w:rsidRDefault="00C26269" w:rsidP="00F678D8">
      <w:pPr>
        <w:pStyle w:val="Heading4"/>
      </w:pPr>
      <w:r w:rsidRPr="00C26269">
        <w:t>Effectiveness of the PFUF function</w:t>
      </w:r>
    </w:p>
    <w:p w14:paraId="28466BA3" w14:textId="79A43D0A" w:rsidR="00516EBF" w:rsidRPr="006B2754" w:rsidRDefault="00516EBF" w:rsidP="006B2754">
      <w:pPr>
        <w:pStyle w:val="Pullout"/>
      </w:pPr>
      <w:r w:rsidRPr="006B2754">
        <w:t>The number of participants with a GP follow-up date recorded that may have been influenced by the second phone call and/or reminder letter was low</w:t>
      </w:r>
      <w:r w:rsidR="00FB7497" w:rsidRPr="006B2754">
        <w:t xml:space="preserve">, thus supporting the </w:t>
      </w:r>
      <w:r w:rsidR="00722AD5" w:rsidRPr="006B2754">
        <w:t xml:space="preserve">idea that </w:t>
      </w:r>
      <w:r w:rsidR="00FB7497" w:rsidRPr="006B2754">
        <w:t>timing intervals for reminders</w:t>
      </w:r>
      <w:r w:rsidR="00024F4D" w:rsidRPr="006B2754">
        <w:t xml:space="preserve"> should be reviewed.</w:t>
      </w:r>
    </w:p>
    <w:p w14:paraId="76EA8FC9" w14:textId="73589483" w:rsidR="00C26269" w:rsidRPr="00C26269" w:rsidRDefault="00C26269" w:rsidP="006B2754">
      <w:pPr>
        <w:pStyle w:val="Heading5un-numbered"/>
      </w:pPr>
      <w:r w:rsidRPr="00C26269">
        <w:t>GP appointment</w:t>
      </w:r>
    </w:p>
    <w:p w14:paraId="1F9B173F" w14:textId="5A8F1667" w:rsidR="00C26269" w:rsidRPr="00C26269" w:rsidRDefault="00C26269" w:rsidP="00C26269">
      <w:pPr>
        <w:rPr>
          <w:u w:val="single"/>
        </w:rPr>
      </w:pPr>
      <w:r w:rsidRPr="00C26269">
        <w:t xml:space="preserve">The first trigger for PFUF intervention is the timely progression from a positive </w:t>
      </w:r>
      <w:proofErr w:type="spellStart"/>
      <w:r w:rsidRPr="00C26269">
        <w:t>iFOBT</w:t>
      </w:r>
      <w:proofErr w:type="spellEnd"/>
      <w:r w:rsidRPr="00C26269">
        <w:t xml:space="preserve"> result to a GP appointment. Overall, 81 per cent of participants had evidence recorded in the </w:t>
      </w:r>
      <w:r w:rsidR="007F609B">
        <w:t xml:space="preserve">NCSR </w:t>
      </w:r>
      <w:r w:rsidRPr="00C26269">
        <w:t xml:space="preserve">of a GP follow-up. This consultation rate represents a minimum estimate, given that reporting to the </w:t>
      </w:r>
      <w:r w:rsidR="007F609B">
        <w:t>NCSR</w:t>
      </w:r>
      <w:r w:rsidRPr="00C26269">
        <w:t xml:space="preserve"> is voluntary. The consultation rate was calculated as the sum of:</w:t>
      </w:r>
    </w:p>
    <w:p w14:paraId="1BD77DDE" w14:textId="7BC50994" w:rsidR="00C26269" w:rsidRPr="00C26269" w:rsidRDefault="00C26269" w:rsidP="006B2754">
      <w:pPr>
        <w:pStyle w:val="ListBullet"/>
      </w:pPr>
      <w:r w:rsidRPr="00C26269">
        <w:t xml:space="preserve">participants with a GP appointment date in their </w:t>
      </w:r>
      <w:r w:rsidR="007F609B">
        <w:t>NCSR</w:t>
      </w:r>
      <w:r w:rsidRPr="00C26269">
        <w:t xml:space="preserve"> record</w:t>
      </w:r>
    </w:p>
    <w:p w14:paraId="3504670B" w14:textId="1F28D9A6" w:rsidR="00C26269" w:rsidRPr="00C26269" w:rsidRDefault="00C26269" w:rsidP="006B2754">
      <w:pPr>
        <w:pStyle w:val="ListBullet"/>
      </w:pPr>
      <w:r w:rsidRPr="00C26269">
        <w:t xml:space="preserve">participants without a GP appointment date in their </w:t>
      </w:r>
      <w:r w:rsidR="007F609B">
        <w:t>NCSR</w:t>
      </w:r>
      <w:r w:rsidRPr="00C26269">
        <w:t xml:space="preserve"> record, but with a colonoscopy date in their record (assuming GP engagement would have preceded the recorded colonoscopy)</w:t>
      </w:r>
    </w:p>
    <w:p w14:paraId="04F1F016" w14:textId="36022488" w:rsidR="00C26269" w:rsidRPr="00C26269" w:rsidRDefault="00C26269" w:rsidP="006B2754">
      <w:pPr>
        <w:pStyle w:val="ListBullet"/>
      </w:pPr>
      <w:r w:rsidRPr="00C26269">
        <w:t xml:space="preserve">PFUF information in a participant’s </w:t>
      </w:r>
      <w:r w:rsidR="00942C87">
        <w:t>NCSR</w:t>
      </w:r>
      <w:r w:rsidRPr="00C26269">
        <w:t xml:space="preserve"> record which indicated a future GP appointment date had been set</w:t>
      </w:r>
    </w:p>
    <w:p w14:paraId="50941C5C" w14:textId="4C6B8B43" w:rsidR="00C26269" w:rsidRDefault="00C26269" w:rsidP="006B2754">
      <w:pPr>
        <w:pStyle w:val="ListBullet"/>
      </w:pPr>
      <w:r w:rsidRPr="00C26269">
        <w:t xml:space="preserve">PFUF information in a participant’s </w:t>
      </w:r>
      <w:r w:rsidR="007F609B">
        <w:t>NCSR</w:t>
      </w:r>
      <w:r w:rsidRPr="00C26269">
        <w:t xml:space="preserve"> record which indicated that a clinical or personal decision had been made regarding progression to a colonoscopy.</w:t>
      </w:r>
    </w:p>
    <w:p w14:paraId="5D10E13E" w14:textId="5F32F7F8" w:rsidR="00C26269" w:rsidRPr="00C26269" w:rsidRDefault="00C26269" w:rsidP="006B2754">
      <w:r w:rsidRPr="00C26269">
        <w:t xml:space="preserve">When considering the results in relation to the NBCSP Quality Framework benchmark, 37 per cent of participants with a positive </w:t>
      </w:r>
      <w:proofErr w:type="spellStart"/>
      <w:r w:rsidRPr="00C26269">
        <w:t>iFOBT</w:t>
      </w:r>
      <w:proofErr w:type="spellEnd"/>
      <w:r w:rsidRPr="00C26269">
        <w:t xml:space="preserve"> had</w:t>
      </w:r>
      <w:r w:rsidRPr="00C26269" w:rsidDel="004D3313">
        <w:t xml:space="preserve"> </w:t>
      </w:r>
      <w:r w:rsidRPr="00C26269">
        <w:t xml:space="preserve">a recorded appointment occurring within 14 days. Excluding participants without a GP appointment date recorded, this is equivalent to 71 per cent of recorded appointment dates occurring within 14 days. Overall, the distribution is described in </w:t>
      </w:r>
      <w:r w:rsidR="0071177C">
        <w:fldChar w:fldCharType="begin"/>
      </w:r>
      <w:r w:rsidR="0071177C">
        <w:instrText xml:space="preserve"> REF _Ref74312634 \n \h </w:instrText>
      </w:r>
      <w:r w:rsidR="0071177C">
        <w:fldChar w:fldCharType="separate"/>
      </w:r>
      <w:r w:rsidR="00F27525">
        <w:t>Chart 2.2</w:t>
      </w:r>
      <w:r w:rsidR="0071177C">
        <w:fldChar w:fldCharType="end"/>
      </w:r>
      <w:r w:rsidRPr="00C26269">
        <w:t xml:space="preserve">, with PFUF intervals indicated. </w:t>
      </w:r>
    </w:p>
    <w:p w14:paraId="6B9DEFF9" w14:textId="2FE2F412" w:rsidR="00C26269" w:rsidRPr="00C26269" w:rsidRDefault="00C26269" w:rsidP="00C26269">
      <w:r w:rsidRPr="00C26269">
        <w:t xml:space="preserve">From the chart </w:t>
      </w:r>
      <w:proofErr w:type="gramStart"/>
      <w:r w:rsidRPr="00C26269">
        <w:t>it can be seen that the</w:t>
      </w:r>
      <w:proofErr w:type="gramEnd"/>
      <w:r w:rsidRPr="00C26269">
        <w:t xml:space="preserve"> number of participants with a GP follow-up date recorded that may have been influenced by the second phone call and/or reminder letter was low. This finding supports the recommendation discussed in </w:t>
      </w:r>
      <w:r w:rsidR="00C665B5">
        <w:t>s</w:t>
      </w:r>
      <w:r w:rsidRPr="00C26269">
        <w:t xml:space="preserve">ection 2.1.1.4 that the timing intervals for reminders should be reviewed with clinical input. Given the accessibility of GP services, there is an opportunity to better align the first PFUF letter/phone call with the NBCSP Quality Framework benchmark. </w:t>
      </w:r>
    </w:p>
    <w:p w14:paraId="250C053E" w14:textId="75A3F75C" w:rsidR="00C26269" w:rsidRPr="00C26269" w:rsidRDefault="00C26269" w:rsidP="00815EA5">
      <w:pPr>
        <w:pStyle w:val="CaptionChart"/>
      </w:pPr>
      <w:bookmarkStart w:id="84" w:name="_Ref74312634"/>
      <w:r w:rsidRPr="00C26269" w:rsidDel="00E95950">
        <w:lastRenderedPageBreak/>
        <w:t xml:space="preserve">: </w:t>
      </w:r>
      <w:r w:rsidRPr="00C26269">
        <w:t>Participant progression to GP appointment</w:t>
      </w:r>
      <w:bookmarkEnd w:id="84"/>
    </w:p>
    <w:p w14:paraId="5931D0A5" w14:textId="77777777" w:rsidR="00C26269" w:rsidRDefault="00C26269" w:rsidP="00C26269">
      <w:r w:rsidRPr="00C26269">
        <w:rPr>
          <w:noProof/>
        </w:rPr>
        <w:drawing>
          <wp:inline distT="0" distB="0" distL="0" distR="0" wp14:anchorId="76601F96" wp14:editId="6F06579F">
            <wp:extent cx="5731510" cy="3179445"/>
            <wp:effectExtent l="0" t="0" r="2540" b="0"/>
            <wp:docPr id="57" name="Picture 57" descr="Chart showing participant progression to GP appoin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Chart showing participant progression to GP appointmen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1510" cy="3179445"/>
                    </a:xfrm>
                    <a:prstGeom prst="rect">
                      <a:avLst/>
                    </a:prstGeom>
                    <a:noFill/>
                    <a:ln>
                      <a:noFill/>
                    </a:ln>
                  </pic:spPr>
                </pic:pic>
              </a:graphicData>
            </a:graphic>
          </wp:inline>
        </w:drawing>
      </w:r>
    </w:p>
    <w:p w14:paraId="6E1D3FE4" w14:textId="3A210FA6" w:rsidR="00D333E4" w:rsidRPr="00815EA5" w:rsidRDefault="00D333E4" w:rsidP="00C26269">
      <w:pPr>
        <w:rPr>
          <w:color w:val="75787B" w:themeColor="accent6"/>
          <w:sz w:val="14"/>
        </w:rPr>
      </w:pPr>
      <w:r w:rsidRPr="00815EA5">
        <w:rPr>
          <w:color w:val="75787B" w:themeColor="accent6"/>
          <w:sz w:val="14"/>
        </w:rPr>
        <w:t>Source: Deloitte Access Economics calculations</w:t>
      </w:r>
      <w:r w:rsidR="007F0639">
        <w:rPr>
          <w:iCs/>
          <w:color w:val="75787B" w:themeColor="accent6"/>
          <w:sz w:val="14"/>
        </w:rPr>
        <w:t xml:space="preserve"> from</w:t>
      </w:r>
      <w:r w:rsidRPr="00815EA5">
        <w:rPr>
          <w:color w:val="75787B" w:themeColor="accent6"/>
          <w:sz w:val="14"/>
        </w:rPr>
        <w:t xml:space="preserve"> NCSR data</w:t>
      </w:r>
      <w:r w:rsidR="002D71D4">
        <w:rPr>
          <w:iCs/>
          <w:color w:val="75787B" w:themeColor="accent6"/>
          <w:sz w:val="14"/>
        </w:rPr>
        <w:t>,</w:t>
      </w:r>
      <w:r w:rsidRPr="00815EA5">
        <w:rPr>
          <w:color w:val="75787B" w:themeColor="accent6"/>
          <w:sz w:val="14"/>
        </w:rPr>
        <w:t xml:space="preserve"> November 2019 to December 2020. </w:t>
      </w:r>
    </w:p>
    <w:p w14:paraId="671E41D3" w14:textId="77777777" w:rsidR="00C26269" w:rsidRPr="00C26269" w:rsidRDefault="00C26269" w:rsidP="00C26269">
      <w:r w:rsidRPr="00C26269">
        <w:t>Participants that were eligible for PFUF intervention related to the GP milestone include:</w:t>
      </w:r>
    </w:p>
    <w:p w14:paraId="0ED02D79" w14:textId="7D3DD93D" w:rsidR="00C26269" w:rsidRPr="00C26269" w:rsidRDefault="00C26269" w:rsidP="006B2754">
      <w:pPr>
        <w:pStyle w:val="ListBullet"/>
      </w:pPr>
      <w:r w:rsidRPr="00C26269">
        <w:t xml:space="preserve">those without a GP appointment date recorded in the </w:t>
      </w:r>
      <w:r w:rsidR="00942C87">
        <w:t>NCSR</w:t>
      </w:r>
      <w:r w:rsidRPr="00C26269">
        <w:t xml:space="preserve"> (or any additional information indicating an appointment had occurred) </w:t>
      </w:r>
    </w:p>
    <w:p w14:paraId="0AC8BBC1" w14:textId="204A2692" w:rsidR="000F6FD3" w:rsidRPr="00C26269" w:rsidRDefault="00C26269" w:rsidP="006B2754">
      <w:pPr>
        <w:pStyle w:val="ListBullet"/>
      </w:pPr>
      <w:r w:rsidRPr="00C26269">
        <w:t>those without a GP appointment date recorded prior to the established PFUF intervention intervals of 56 days, 84 days, 182 days and 210 days.</w:t>
      </w:r>
    </w:p>
    <w:p w14:paraId="6E19CFD0" w14:textId="77777777" w:rsidR="00C26269" w:rsidRPr="00C26269" w:rsidRDefault="00C26269" w:rsidP="00C26269">
      <w:r w:rsidRPr="00C26269">
        <w:t>It is important to analyse the extent to which PFUF officers interacted with the 19 per cent not recording any indication of a GP follow-up. Of this group:</w:t>
      </w:r>
    </w:p>
    <w:p w14:paraId="6F4657F2" w14:textId="77777777" w:rsidR="00C26269" w:rsidRPr="00C26269" w:rsidRDefault="00C26269" w:rsidP="006B2754">
      <w:pPr>
        <w:pStyle w:val="ListBullet"/>
      </w:pPr>
      <w:r w:rsidRPr="00C26269">
        <w:t>81 per cent of participants did not have any PFUF interaction recorded against their case (approximately 650 people)</w:t>
      </w:r>
    </w:p>
    <w:p w14:paraId="78A8C2A4" w14:textId="77777777" w:rsidR="00C26269" w:rsidRPr="00C26269" w:rsidRDefault="00C26269" w:rsidP="006B2754">
      <w:pPr>
        <w:pStyle w:val="ListBullet"/>
      </w:pPr>
      <w:r w:rsidRPr="00C26269">
        <w:t>5 per cent had only unsuccessful contacts recorded</w:t>
      </w:r>
    </w:p>
    <w:p w14:paraId="53CE3C50" w14:textId="340FD927" w:rsidR="000F6FD3" w:rsidRPr="006B2754" w:rsidRDefault="00C26269" w:rsidP="006B2754">
      <w:pPr>
        <w:pStyle w:val="ListBullet"/>
      </w:pPr>
      <w:r w:rsidRPr="00C26269">
        <w:t xml:space="preserve">13 per cent had at least one successful contact recorded. </w:t>
      </w:r>
    </w:p>
    <w:p w14:paraId="1C0492ED" w14:textId="77777777" w:rsidR="00C26269" w:rsidRPr="00C26269" w:rsidRDefault="00C26269" w:rsidP="00C26269">
      <w:r w:rsidRPr="00C26269">
        <w:t>It is not able to be determined from the data provided whether those who did not have any PFUF interaction recorded against their case were due to missing contact details and/or due to incomplete lists.</w:t>
      </w:r>
    </w:p>
    <w:p w14:paraId="768543F8" w14:textId="77777777" w:rsidR="00C26269" w:rsidRPr="00C26269" w:rsidRDefault="00C26269" w:rsidP="006B2754">
      <w:pPr>
        <w:pStyle w:val="Heading5un-numbered"/>
      </w:pPr>
      <w:r w:rsidRPr="00C26269">
        <w:t>Colonoscopy</w:t>
      </w:r>
    </w:p>
    <w:p w14:paraId="718D71EF" w14:textId="12FB73AD" w:rsidR="00C26269" w:rsidRPr="00C26269" w:rsidRDefault="00C26269" w:rsidP="00C26269">
      <w:r w:rsidRPr="00C26269">
        <w:t xml:space="preserve">For the diagnostic assessment part of the screening pathway, 49 per cent of participants had a procedure recorded in the </w:t>
      </w:r>
      <w:r w:rsidR="00942C87">
        <w:t>NCSR</w:t>
      </w:r>
      <w:r w:rsidRPr="00C26269">
        <w:t xml:space="preserve"> in the period studied. Participants that had both a GP appointment and colonoscopy date recorded were able to have the interval between these dates calculated, to examine colonoscopy wait times. These results are shown in </w:t>
      </w:r>
      <w:r w:rsidR="0071177C">
        <w:fldChar w:fldCharType="begin"/>
      </w:r>
      <w:r w:rsidR="0071177C">
        <w:instrText xml:space="preserve"> REF _Ref74312811 \n \h </w:instrText>
      </w:r>
      <w:r w:rsidR="0071177C">
        <w:fldChar w:fldCharType="separate"/>
      </w:r>
      <w:r w:rsidR="00F27525">
        <w:t>Chart 2.3</w:t>
      </w:r>
      <w:r w:rsidR="0071177C">
        <w:fldChar w:fldCharType="end"/>
      </w:r>
      <w:r w:rsidRPr="00C26269">
        <w:t xml:space="preserve">. In relation to the NBCSP Quality Framework benchmark, 29 per cent of participants who could have their wait time established, underwent a colonoscopy within 30 days of their GP appointment. </w:t>
      </w:r>
    </w:p>
    <w:p w14:paraId="5A58CCF1" w14:textId="7F150436" w:rsidR="00C26269" w:rsidRPr="00C26269" w:rsidRDefault="00C26269" w:rsidP="00815EA5">
      <w:pPr>
        <w:pStyle w:val="CaptionChart"/>
      </w:pPr>
      <w:bookmarkStart w:id="85" w:name="_Ref74312811"/>
      <w:r w:rsidRPr="00C26269">
        <w:lastRenderedPageBreak/>
        <w:t>: Participant progression from GP appointment to colonoscopy</w:t>
      </w:r>
      <w:bookmarkEnd w:id="85"/>
    </w:p>
    <w:p w14:paraId="1BBB21C7" w14:textId="77777777" w:rsidR="00C26269" w:rsidRDefault="00C26269" w:rsidP="00C26269">
      <w:r w:rsidRPr="00C26269">
        <w:rPr>
          <w:noProof/>
        </w:rPr>
        <w:drawing>
          <wp:inline distT="0" distB="0" distL="0" distR="0" wp14:anchorId="404C37D5" wp14:editId="0E524CFE">
            <wp:extent cx="5731510" cy="3395980"/>
            <wp:effectExtent l="0" t="0" r="2540" b="0"/>
            <wp:docPr id="4" name="Picture 4" descr="Chart showing participant progression from GP appointment to colonos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showing participant progression from GP appointment to colonoscopy"/>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1510" cy="3395980"/>
                    </a:xfrm>
                    <a:prstGeom prst="rect">
                      <a:avLst/>
                    </a:prstGeom>
                    <a:noFill/>
                    <a:ln>
                      <a:noFill/>
                    </a:ln>
                  </pic:spPr>
                </pic:pic>
              </a:graphicData>
            </a:graphic>
          </wp:inline>
        </w:drawing>
      </w:r>
    </w:p>
    <w:p w14:paraId="43E0BB52" w14:textId="46535391" w:rsidR="0071177C" w:rsidRPr="00C26269" w:rsidRDefault="0071177C" w:rsidP="00C26269">
      <w:r w:rsidRPr="006D0265">
        <w:rPr>
          <w:iCs/>
          <w:color w:val="75787B" w:themeColor="accent6"/>
          <w:sz w:val="14"/>
        </w:rPr>
        <w:t>Source: Deloitte Access Economics calculations</w:t>
      </w:r>
      <w:r w:rsidR="007F0639">
        <w:rPr>
          <w:iCs/>
          <w:color w:val="75787B" w:themeColor="accent6"/>
          <w:sz w:val="14"/>
        </w:rPr>
        <w:t xml:space="preserve"> from</w:t>
      </w:r>
      <w:r w:rsidRPr="006D0265">
        <w:rPr>
          <w:iCs/>
          <w:color w:val="75787B" w:themeColor="accent6"/>
          <w:sz w:val="14"/>
        </w:rPr>
        <w:t xml:space="preserve"> NCSR data</w:t>
      </w:r>
      <w:r>
        <w:rPr>
          <w:iCs/>
          <w:color w:val="75787B" w:themeColor="accent6"/>
          <w:sz w:val="14"/>
        </w:rPr>
        <w:t>,</w:t>
      </w:r>
      <w:r w:rsidRPr="006D0265">
        <w:rPr>
          <w:iCs/>
          <w:color w:val="75787B" w:themeColor="accent6"/>
          <w:sz w:val="14"/>
        </w:rPr>
        <w:t xml:space="preserve"> November 2019 to December 2020</w:t>
      </w:r>
    </w:p>
    <w:p w14:paraId="750B9C2B" w14:textId="77777777" w:rsidR="00C26269" w:rsidRPr="00C26269" w:rsidRDefault="00C26269" w:rsidP="00C26269">
      <w:r w:rsidRPr="00C26269">
        <w:t>Participants that were eligible for PFUF intervention related to the diagnostic assessment milestone include:</w:t>
      </w:r>
    </w:p>
    <w:p w14:paraId="59730565" w14:textId="27F60379" w:rsidR="00C26269" w:rsidRPr="00C26269" w:rsidRDefault="00C26269" w:rsidP="006B2754">
      <w:pPr>
        <w:pStyle w:val="ListBullet"/>
      </w:pPr>
      <w:r w:rsidRPr="00C26269">
        <w:t xml:space="preserve">those without a procedure date recorded in the </w:t>
      </w:r>
      <w:r w:rsidR="00942C87">
        <w:t>NCSR</w:t>
      </w:r>
      <w:r w:rsidRPr="00C26269">
        <w:t xml:space="preserve"> </w:t>
      </w:r>
    </w:p>
    <w:p w14:paraId="2CA2E390" w14:textId="77777777" w:rsidR="00C26269" w:rsidRDefault="00C26269" w:rsidP="006B2754">
      <w:pPr>
        <w:pStyle w:val="ListBullet"/>
      </w:pPr>
      <w:r w:rsidRPr="00C26269">
        <w:t>those without a procedure date recorded prior to the established PFUF intervals of 56 days, 84 days, 112 days and 140 days from GP contact.</w:t>
      </w:r>
    </w:p>
    <w:p w14:paraId="0000C60F" w14:textId="77777777" w:rsidR="00C26269" w:rsidRPr="00C26269" w:rsidRDefault="00C26269" w:rsidP="00C26269">
      <w:r w:rsidRPr="00C26269">
        <w:t>It is important to analyse the extent to which PFUF officers interacted with the 51 per cent not recording any indication of a colonoscopy. Of the participants recording a GP appointment but no colonoscopy:</w:t>
      </w:r>
    </w:p>
    <w:p w14:paraId="38BAF083" w14:textId="77777777" w:rsidR="00C26269" w:rsidRPr="00C26269" w:rsidRDefault="00C26269" w:rsidP="006B2754">
      <w:pPr>
        <w:pStyle w:val="ListBullet"/>
      </w:pPr>
      <w:r w:rsidRPr="00C26269">
        <w:t>43 per cent did not record any PFUF interaction related to colonoscopy (822 participants)</w:t>
      </w:r>
    </w:p>
    <w:p w14:paraId="76A99ADE" w14:textId="77777777" w:rsidR="00C26269" w:rsidRPr="00C26269" w:rsidRDefault="00C26269" w:rsidP="006B2754">
      <w:pPr>
        <w:pStyle w:val="ListBullet"/>
      </w:pPr>
      <w:r w:rsidRPr="00C26269">
        <w:t>4 per cent recorded only unsuccessful contacts</w:t>
      </w:r>
    </w:p>
    <w:p w14:paraId="4D696ED3" w14:textId="4990E76E" w:rsidR="001C7CA1" w:rsidRPr="00C26269" w:rsidRDefault="00C26269" w:rsidP="006B2754">
      <w:pPr>
        <w:pStyle w:val="ListBullet"/>
      </w:pPr>
      <w:r w:rsidRPr="00C26269">
        <w:t>53 per cent recorded at least one successful contact.</w:t>
      </w:r>
    </w:p>
    <w:p w14:paraId="12D343B1" w14:textId="77777777" w:rsidR="00C26269" w:rsidRPr="00C26269" w:rsidRDefault="00C26269" w:rsidP="00C26269">
      <w:r w:rsidRPr="00C26269">
        <w:t>As per the GP interactions, it is not able to be determined from the data whether those who did not have any PFUF interaction recorded against their case were due to missing contact details and/or due to incomplete lists.</w:t>
      </w:r>
    </w:p>
    <w:p w14:paraId="4DD8A827" w14:textId="77777777" w:rsidR="00C26269" w:rsidRPr="00C26269" w:rsidRDefault="00C26269" w:rsidP="00F678D8">
      <w:pPr>
        <w:pStyle w:val="Heading4"/>
      </w:pPr>
      <w:bookmarkStart w:id="86" w:name="_Ref82679644"/>
      <w:r w:rsidRPr="00C26269">
        <w:t>Efficiency of the PFUF follow-up function (by recipient type)</w:t>
      </w:r>
      <w:bookmarkEnd w:id="86"/>
    </w:p>
    <w:p w14:paraId="0BB7CB9E" w14:textId="77777777" w:rsidR="00C26269" w:rsidRPr="006B2754" w:rsidRDefault="00C26269" w:rsidP="006B2754">
      <w:pPr>
        <w:pStyle w:val="Pullout"/>
      </w:pPr>
      <w:bookmarkStart w:id="87" w:name="_Hlk82016145"/>
      <w:r w:rsidRPr="006B2754">
        <w:t>Nearly half of all PFUF interactions recorded were attempted contact with a participant, however specialists and healthcare professionals are more likely to be successfully contacted.</w:t>
      </w:r>
    </w:p>
    <w:p w14:paraId="455A9E27" w14:textId="5C447477" w:rsidR="00D333E4" w:rsidRPr="00F678D8" w:rsidRDefault="00C26269" w:rsidP="00F678D8">
      <w:r w:rsidRPr="00C26269">
        <w:t xml:space="preserve">To consider the efficacy of PFUF interactions (including by recipient type), observations between November 2019 and December 2020 were analysed for the number of successful and unsuccessful interactions. Overall, 73 per cent of PFUF interactions were successful. </w:t>
      </w:r>
      <w:bookmarkEnd w:id="87"/>
      <w:r w:rsidRPr="00C26269">
        <w:t xml:space="preserve">The proportion of total PFUF interactions aimed at each recipient type was also considered, shown in </w:t>
      </w:r>
      <w:r w:rsidR="001C7CA1">
        <w:fldChar w:fldCharType="begin"/>
      </w:r>
      <w:r w:rsidR="001C7CA1">
        <w:instrText xml:space="preserve"> REF _Ref74312876 \n \h </w:instrText>
      </w:r>
      <w:r w:rsidR="001C7CA1">
        <w:fldChar w:fldCharType="separate"/>
      </w:r>
      <w:r w:rsidR="00F27525">
        <w:t>Table 2.8</w:t>
      </w:r>
      <w:r w:rsidR="001C7CA1">
        <w:fldChar w:fldCharType="end"/>
      </w:r>
      <w:r w:rsidRPr="00C26269">
        <w:t>.</w:t>
      </w:r>
    </w:p>
    <w:p w14:paraId="1FA60A07" w14:textId="6EA9A786" w:rsidR="001420C6" w:rsidRDefault="000A7425" w:rsidP="00815EA5">
      <w:pPr>
        <w:pStyle w:val="CaptionTable"/>
      </w:pPr>
      <w:bookmarkStart w:id="88" w:name="_Ref74312876"/>
      <w:r>
        <w:t>:</w:t>
      </w:r>
      <w:r w:rsidRPr="002B5595">
        <w:t xml:space="preserve"> PFUF</w:t>
      </w:r>
      <w:r w:rsidR="001420C6" w:rsidRPr="002B5595">
        <w:t xml:space="preserve"> analysis by recipient type</w:t>
      </w:r>
      <w:bookmarkEnd w:id="88"/>
    </w:p>
    <w:tbl>
      <w:tblPr>
        <w:tblStyle w:val="Deloittetable7"/>
        <w:tblW w:w="0" w:type="auto"/>
        <w:tblLook w:val="04A0" w:firstRow="1" w:lastRow="0" w:firstColumn="1" w:lastColumn="0" w:noHBand="0" w:noVBand="1"/>
      </w:tblPr>
      <w:tblGrid>
        <w:gridCol w:w="3387"/>
        <w:gridCol w:w="2436"/>
      </w:tblGrid>
      <w:tr w:rsidR="00737C4B" w:rsidRPr="00C26269" w14:paraId="4EFC36BD" w14:textId="77777777" w:rsidTr="000F06D0">
        <w:trPr>
          <w:cnfStyle w:val="100000000000" w:firstRow="1" w:lastRow="0" w:firstColumn="0" w:lastColumn="0" w:oddVBand="0" w:evenVBand="0" w:oddHBand="0" w:evenHBand="0" w:firstRowFirstColumn="0" w:firstRowLastColumn="0" w:lastRowFirstColumn="0" w:lastRowLastColumn="0"/>
          <w:trHeight w:val="424"/>
        </w:trPr>
        <w:tc>
          <w:tcPr>
            <w:tcW w:w="3387" w:type="dxa"/>
          </w:tcPr>
          <w:p w14:paraId="08C90D4B" w14:textId="77777777" w:rsidR="00737C4B" w:rsidRPr="00C26269" w:rsidRDefault="00737C4B" w:rsidP="00C26269">
            <w:pPr>
              <w:spacing w:after="0"/>
              <w:rPr>
                <w:b/>
                <w:color w:val="62B5E5" w:themeColor="accent3"/>
              </w:rPr>
            </w:pPr>
            <w:r w:rsidRPr="00C26269">
              <w:rPr>
                <w:b/>
                <w:color w:val="62B5E5" w:themeColor="accent3"/>
              </w:rPr>
              <w:t>Contact type</w:t>
            </w:r>
          </w:p>
        </w:tc>
        <w:tc>
          <w:tcPr>
            <w:tcW w:w="2436" w:type="dxa"/>
          </w:tcPr>
          <w:p w14:paraId="240FAC0C" w14:textId="77777777" w:rsidR="00737C4B" w:rsidRPr="00C26269" w:rsidRDefault="00737C4B" w:rsidP="000F06D0">
            <w:pPr>
              <w:spacing w:after="0"/>
              <w:jc w:val="right"/>
              <w:rPr>
                <w:b/>
                <w:color w:val="62B5E5" w:themeColor="accent3"/>
              </w:rPr>
            </w:pPr>
            <w:r w:rsidRPr="00C26269">
              <w:rPr>
                <w:b/>
                <w:color w:val="62B5E5" w:themeColor="accent3"/>
              </w:rPr>
              <w:t>Proportion aimed at contact type (%)</w:t>
            </w:r>
          </w:p>
        </w:tc>
      </w:tr>
      <w:tr w:rsidR="00737C4B" w:rsidRPr="00C26269" w14:paraId="6BE13019" w14:textId="77777777" w:rsidTr="000F06D0">
        <w:trPr>
          <w:trHeight w:val="212"/>
        </w:trPr>
        <w:tc>
          <w:tcPr>
            <w:tcW w:w="3387" w:type="dxa"/>
          </w:tcPr>
          <w:p w14:paraId="3CCCCA80" w14:textId="77777777" w:rsidR="00737C4B" w:rsidRPr="00C26269" w:rsidRDefault="00737C4B" w:rsidP="00C26269">
            <w:pPr>
              <w:spacing w:after="0"/>
              <w:rPr>
                <w:bCs/>
              </w:rPr>
            </w:pPr>
            <w:r w:rsidRPr="00C26269">
              <w:rPr>
                <w:bCs/>
              </w:rPr>
              <w:t>Participant</w:t>
            </w:r>
          </w:p>
        </w:tc>
        <w:tc>
          <w:tcPr>
            <w:tcW w:w="2436" w:type="dxa"/>
          </w:tcPr>
          <w:p w14:paraId="1781622D" w14:textId="77777777" w:rsidR="00737C4B" w:rsidRPr="00C26269" w:rsidRDefault="00737C4B" w:rsidP="00C26269">
            <w:pPr>
              <w:spacing w:after="0"/>
              <w:jc w:val="right"/>
              <w:rPr>
                <w:bCs/>
              </w:rPr>
            </w:pPr>
            <w:r w:rsidRPr="00C26269">
              <w:rPr>
                <w:bCs/>
              </w:rPr>
              <w:t>44%</w:t>
            </w:r>
          </w:p>
        </w:tc>
      </w:tr>
      <w:tr w:rsidR="00737C4B" w:rsidRPr="00C26269" w14:paraId="3780B3CC" w14:textId="77777777" w:rsidTr="000F06D0">
        <w:trPr>
          <w:trHeight w:val="212"/>
        </w:trPr>
        <w:tc>
          <w:tcPr>
            <w:tcW w:w="3387" w:type="dxa"/>
          </w:tcPr>
          <w:p w14:paraId="38FF2133" w14:textId="77777777" w:rsidR="00737C4B" w:rsidRPr="00C26269" w:rsidRDefault="00737C4B" w:rsidP="00C26269">
            <w:pPr>
              <w:spacing w:after="0"/>
              <w:rPr>
                <w:bCs/>
              </w:rPr>
            </w:pPr>
            <w:r w:rsidRPr="00C26269">
              <w:rPr>
                <w:bCs/>
              </w:rPr>
              <w:lastRenderedPageBreak/>
              <w:t>Personal representative</w:t>
            </w:r>
          </w:p>
        </w:tc>
        <w:tc>
          <w:tcPr>
            <w:tcW w:w="2436" w:type="dxa"/>
          </w:tcPr>
          <w:p w14:paraId="2EA96D95" w14:textId="77777777" w:rsidR="00737C4B" w:rsidRPr="00C26269" w:rsidRDefault="00737C4B" w:rsidP="00C26269">
            <w:pPr>
              <w:spacing w:after="0"/>
              <w:jc w:val="right"/>
              <w:rPr>
                <w:bCs/>
              </w:rPr>
            </w:pPr>
            <w:r w:rsidRPr="00C26269">
              <w:rPr>
                <w:bCs/>
              </w:rPr>
              <w:t>2%</w:t>
            </w:r>
          </w:p>
        </w:tc>
      </w:tr>
      <w:tr w:rsidR="00737C4B" w:rsidRPr="00C26269" w14:paraId="77885801" w14:textId="77777777" w:rsidTr="000F06D0">
        <w:trPr>
          <w:trHeight w:val="212"/>
        </w:trPr>
        <w:tc>
          <w:tcPr>
            <w:tcW w:w="3387" w:type="dxa"/>
          </w:tcPr>
          <w:p w14:paraId="5F7E6F20" w14:textId="77777777" w:rsidR="00737C4B" w:rsidRPr="00C26269" w:rsidRDefault="00737C4B" w:rsidP="00C26269">
            <w:pPr>
              <w:spacing w:after="0"/>
              <w:rPr>
                <w:bCs/>
              </w:rPr>
            </w:pPr>
            <w:r w:rsidRPr="00C26269">
              <w:rPr>
                <w:bCs/>
              </w:rPr>
              <w:t>Healthcare Professional</w:t>
            </w:r>
          </w:p>
        </w:tc>
        <w:tc>
          <w:tcPr>
            <w:tcW w:w="2436" w:type="dxa"/>
          </w:tcPr>
          <w:p w14:paraId="107A0C8C" w14:textId="77777777" w:rsidR="00737C4B" w:rsidRPr="00C26269" w:rsidRDefault="00737C4B" w:rsidP="00C26269">
            <w:pPr>
              <w:spacing w:after="0"/>
              <w:jc w:val="right"/>
              <w:rPr>
                <w:bCs/>
              </w:rPr>
            </w:pPr>
            <w:r w:rsidRPr="00C26269">
              <w:rPr>
                <w:bCs/>
              </w:rPr>
              <w:t>18%</w:t>
            </w:r>
          </w:p>
        </w:tc>
      </w:tr>
      <w:tr w:rsidR="00737C4B" w:rsidRPr="00C26269" w14:paraId="25292543" w14:textId="77777777" w:rsidTr="000F06D0">
        <w:trPr>
          <w:trHeight w:val="221"/>
        </w:trPr>
        <w:tc>
          <w:tcPr>
            <w:tcW w:w="3387" w:type="dxa"/>
          </w:tcPr>
          <w:p w14:paraId="44A50444" w14:textId="77777777" w:rsidR="00737C4B" w:rsidRPr="00C26269" w:rsidRDefault="00737C4B" w:rsidP="00C26269">
            <w:pPr>
              <w:spacing w:after="0"/>
              <w:rPr>
                <w:bCs/>
              </w:rPr>
            </w:pPr>
            <w:r w:rsidRPr="00C26269">
              <w:rPr>
                <w:bCs/>
              </w:rPr>
              <w:t>Specialist</w:t>
            </w:r>
          </w:p>
        </w:tc>
        <w:tc>
          <w:tcPr>
            <w:tcW w:w="2436" w:type="dxa"/>
          </w:tcPr>
          <w:p w14:paraId="09A17FBF" w14:textId="77777777" w:rsidR="00737C4B" w:rsidRPr="00C26269" w:rsidRDefault="00737C4B" w:rsidP="00C26269">
            <w:pPr>
              <w:spacing w:after="0"/>
              <w:jc w:val="right"/>
              <w:rPr>
                <w:bCs/>
              </w:rPr>
            </w:pPr>
            <w:r w:rsidRPr="00C26269">
              <w:rPr>
                <w:bCs/>
              </w:rPr>
              <w:t>19%</w:t>
            </w:r>
          </w:p>
        </w:tc>
      </w:tr>
      <w:tr w:rsidR="00737C4B" w:rsidRPr="00C26269" w14:paraId="06EC564C" w14:textId="77777777" w:rsidTr="000F06D0">
        <w:trPr>
          <w:trHeight w:val="212"/>
        </w:trPr>
        <w:tc>
          <w:tcPr>
            <w:tcW w:w="3387" w:type="dxa"/>
          </w:tcPr>
          <w:p w14:paraId="36874F8F" w14:textId="77777777" w:rsidR="00737C4B" w:rsidRPr="00C26269" w:rsidRDefault="00737C4B" w:rsidP="00C26269">
            <w:pPr>
              <w:spacing w:after="0"/>
              <w:rPr>
                <w:bCs/>
              </w:rPr>
            </w:pPr>
            <w:r w:rsidRPr="00C26269">
              <w:rPr>
                <w:bCs/>
              </w:rPr>
              <w:t>Other</w:t>
            </w:r>
          </w:p>
        </w:tc>
        <w:tc>
          <w:tcPr>
            <w:tcW w:w="2436" w:type="dxa"/>
          </w:tcPr>
          <w:p w14:paraId="00040116" w14:textId="77777777" w:rsidR="00737C4B" w:rsidRPr="00C26269" w:rsidRDefault="00737C4B" w:rsidP="00C26269">
            <w:pPr>
              <w:spacing w:after="0"/>
              <w:jc w:val="right"/>
              <w:rPr>
                <w:bCs/>
              </w:rPr>
            </w:pPr>
            <w:r w:rsidRPr="00C26269">
              <w:rPr>
                <w:bCs/>
              </w:rPr>
              <w:t>17%</w:t>
            </w:r>
          </w:p>
        </w:tc>
      </w:tr>
    </w:tbl>
    <w:p w14:paraId="33B75067" w14:textId="04C705AD" w:rsidR="00C26269" w:rsidRPr="00C26269" w:rsidRDefault="00C26269" w:rsidP="00C26269">
      <w:r w:rsidRPr="00C26269">
        <w:rPr>
          <w:iCs/>
          <w:color w:val="75787B" w:themeColor="accent6"/>
          <w:sz w:val="14"/>
        </w:rPr>
        <w:t xml:space="preserve">Source: </w:t>
      </w:r>
      <w:r w:rsidR="000E0D43">
        <w:rPr>
          <w:iCs/>
          <w:color w:val="75787B" w:themeColor="accent6"/>
          <w:sz w:val="14"/>
        </w:rPr>
        <w:t>Deloitte Access Economics calculations</w:t>
      </w:r>
      <w:r w:rsidR="00D11EF1">
        <w:rPr>
          <w:iCs/>
          <w:color w:val="75787B" w:themeColor="accent6"/>
          <w:sz w:val="14"/>
        </w:rPr>
        <w:t xml:space="preserve"> from</w:t>
      </w:r>
      <w:r w:rsidR="000E0D43">
        <w:rPr>
          <w:iCs/>
          <w:color w:val="75787B" w:themeColor="accent6"/>
          <w:sz w:val="14"/>
        </w:rPr>
        <w:t xml:space="preserve"> </w:t>
      </w:r>
      <w:r w:rsidRPr="00C26269">
        <w:rPr>
          <w:iCs/>
          <w:color w:val="75787B" w:themeColor="accent6"/>
          <w:sz w:val="14"/>
        </w:rPr>
        <w:t>NCSR data</w:t>
      </w:r>
      <w:r w:rsidR="000E0D43">
        <w:rPr>
          <w:iCs/>
          <w:color w:val="75787B" w:themeColor="accent6"/>
          <w:sz w:val="14"/>
        </w:rPr>
        <w:t>,</w:t>
      </w:r>
      <w:r w:rsidRPr="00C26269">
        <w:rPr>
          <w:iCs/>
          <w:color w:val="75787B" w:themeColor="accent6"/>
          <w:sz w:val="14"/>
        </w:rPr>
        <w:t xml:space="preserve"> November 2019 to December 2020. </w:t>
      </w:r>
    </w:p>
    <w:p w14:paraId="1A9456C0" w14:textId="1D804A9C" w:rsidR="00C26269" w:rsidRPr="00C26269" w:rsidRDefault="007138CB" w:rsidP="00C26269">
      <w:pPr>
        <w:rPr>
          <w:szCs w:val="17"/>
        </w:rPr>
      </w:pPr>
      <w:r>
        <w:rPr>
          <w:szCs w:val="17"/>
        </w:rPr>
        <w:t>Healthcare</w:t>
      </w:r>
      <w:r w:rsidR="00C26269" w:rsidRPr="00C26269">
        <w:rPr>
          <w:szCs w:val="17"/>
        </w:rPr>
        <w:t xml:space="preserve"> professionals and specialists </w:t>
      </w:r>
      <w:r>
        <w:rPr>
          <w:szCs w:val="17"/>
        </w:rPr>
        <w:t>were more likely to be successfully contacted</w:t>
      </w:r>
      <w:r w:rsidR="00C26269" w:rsidRPr="00C26269">
        <w:rPr>
          <w:szCs w:val="17"/>
        </w:rPr>
        <w:t xml:space="preserve">, whereas participants and personal representatives </w:t>
      </w:r>
      <w:r>
        <w:rPr>
          <w:szCs w:val="17"/>
        </w:rPr>
        <w:t>were</w:t>
      </w:r>
      <w:r w:rsidRPr="00C26269">
        <w:rPr>
          <w:szCs w:val="17"/>
        </w:rPr>
        <w:t xml:space="preserve"> </w:t>
      </w:r>
      <w:r w:rsidR="00C26269" w:rsidRPr="00C26269">
        <w:rPr>
          <w:szCs w:val="17"/>
        </w:rPr>
        <w:t xml:space="preserve">more evenly divided between successful and unsuccessful interactions. In consultation, stakeholders cited the practical limits of PFUF officers, noting their operational hours are within typical business hours. This challenges their ability to make successful contact with participants, given that most people they are targeting are within working age. </w:t>
      </w:r>
    </w:p>
    <w:p w14:paraId="47D0BEFB" w14:textId="77777777" w:rsidR="00C26269" w:rsidRPr="00C26269" w:rsidRDefault="00C26269" w:rsidP="00C26269">
      <w:pPr>
        <w:rPr>
          <w:szCs w:val="17"/>
        </w:rPr>
      </w:pPr>
      <w:r w:rsidRPr="00C26269">
        <w:rPr>
          <w:szCs w:val="17"/>
        </w:rPr>
        <w:t xml:space="preserve">Another possible explanation for this phenomenon is participants and/or their personal representatives declining to answer calls from unrecognised numbers. In the case of health care professionals and specialists, administrative support in their workplace may facilitate successful contact during office hours, improving the efficiency of the PFUF process. </w:t>
      </w:r>
    </w:p>
    <w:p w14:paraId="2E3B805C" w14:textId="77777777" w:rsidR="00C26269" w:rsidRPr="00C26269" w:rsidRDefault="00C26269" w:rsidP="00C26269">
      <w:r w:rsidRPr="00C26269">
        <w:t>Given that nearly half (44 per cent) of all PFUF interactions are aimed at participants, methods of communication which increase the likelihood of successful contact with this recipient type may help to improve the efficiency of the follow-up function. As such, consideration could be given to communication modes that do not require simultaneous availability between the PFUF officer and the participant (</w:t>
      </w:r>
      <w:proofErr w:type="gramStart"/>
      <w:r w:rsidRPr="00C26269">
        <w:t>e.g.</w:t>
      </w:r>
      <w:proofErr w:type="gramEnd"/>
      <w:r w:rsidRPr="00C26269">
        <w:t xml:space="preserve"> text message or email).</w:t>
      </w:r>
    </w:p>
    <w:p w14:paraId="3BB80B0F" w14:textId="3F11F86D" w:rsidR="00C26269" w:rsidRPr="006B2754" w:rsidRDefault="00C26269" w:rsidP="006B2754">
      <w:pPr>
        <w:pStyle w:val="Pullout"/>
      </w:pPr>
      <w:r w:rsidRPr="006B2754">
        <w:t xml:space="preserve">Current Program reporting could utilise </w:t>
      </w:r>
      <w:r w:rsidR="00942C87" w:rsidRPr="006B2754">
        <w:t>NCSR</w:t>
      </w:r>
      <w:r w:rsidRPr="006B2754">
        <w:t xml:space="preserve"> data to more accurately reflect progression to a diagnostic assessment.</w:t>
      </w:r>
    </w:p>
    <w:p w14:paraId="1E8D1CC9" w14:textId="118967A7" w:rsidR="00C26269" w:rsidRPr="00C26269" w:rsidRDefault="00C26269" w:rsidP="00C26269">
      <w:r w:rsidRPr="00C26269">
        <w:t xml:space="preserve">For the Program to maximise benefits and minimise harms, it is important to optimise the number of participants with positive </w:t>
      </w:r>
      <w:proofErr w:type="spellStart"/>
      <w:r w:rsidRPr="00C26269">
        <w:t>iFOBT</w:t>
      </w:r>
      <w:proofErr w:type="spellEnd"/>
      <w:r w:rsidRPr="00C26269">
        <w:t xml:space="preserve"> completing a diagnostic assessment, where clinically appropriate and where the participant has made a personal decision to proceed. Program</w:t>
      </w:r>
      <w:r w:rsidR="0039012C">
        <w:t xml:space="preserve"> KPIs</w:t>
      </w:r>
      <w:r w:rsidRPr="00C26269">
        <w:t xml:space="preserve"> include the positivity rate and the diagnostic assessment rate, </w:t>
      </w:r>
      <w:proofErr w:type="gramStart"/>
      <w:r w:rsidRPr="00C26269">
        <w:t>however</w:t>
      </w:r>
      <w:proofErr w:type="gramEnd"/>
      <w:r w:rsidRPr="00C26269">
        <w:t xml:space="preserve"> less is known about the circumstances in which participants do not progress through to a diagnostic assessment.</w:t>
      </w:r>
      <w:r w:rsidRPr="00C26269">
        <w:rPr>
          <w:vertAlign w:val="superscript"/>
        </w:rPr>
        <w:footnoteReference w:id="17"/>
      </w:r>
      <w:r w:rsidRPr="00C26269">
        <w:t xml:space="preserve"> </w:t>
      </w:r>
    </w:p>
    <w:p w14:paraId="269618CC" w14:textId="30F95034" w:rsidR="00C26269" w:rsidRPr="00C26269" w:rsidRDefault="00C26269" w:rsidP="00C26269">
      <w:r w:rsidRPr="00C26269">
        <w:t xml:space="preserve">In the cohort of participants that had evidence of a GP </w:t>
      </w:r>
      <w:proofErr w:type="gramStart"/>
      <w:r w:rsidRPr="00C26269">
        <w:t>follow-up</w:t>
      </w:r>
      <w:proofErr w:type="gramEnd"/>
      <w:r w:rsidRPr="00C26269">
        <w:t xml:space="preserve"> but no colonoscopy recorded, the referral status of the participant is shown below in </w:t>
      </w:r>
      <w:r w:rsidR="00FB0C80">
        <w:fldChar w:fldCharType="begin"/>
      </w:r>
      <w:r w:rsidR="00FB0C80">
        <w:instrText xml:space="preserve"> REF _Ref74313234 \n \h </w:instrText>
      </w:r>
      <w:r w:rsidR="00FB0C80">
        <w:fldChar w:fldCharType="separate"/>
      </w:r>
      <w:r w:rsidR="00F27525">
        <w:t>Chart 2.4</w:t>
      </w:r>
      <w:r w:rsidR="00FB0C80">
        <w:fldChar w:fldCharType="end"/>
      </w:r>
      <w:r w:rsidRPr="00C26269">
        <w:t xml:space="preserve">. </w:t>
      </w:r>
    </w:p>
    <w:p w14:paraId="7D4A9032" w14:textId="41BCBBDA" w:rsidR="00873D44" w:rsidRDefault="00FB0C80" w:rsidP="00815EA5">
      <w:pPr>
        <w:pStyle w:val="CaptionChart"/>
      </w:pPr>
      <w:bookmarkStart w:id="89" w:name="_Ref74299548"/>
      <w:bookmarkStart w:id="90" w:name="_Ref74299658"/>
      <w:bookmarkStart w:id="91" w:name="_Ref74313234"/>
      <w:r>
        <w:lastRenderedPageBreak/>
        <w:t>:</w:t>
      </w:r>
      <w:bookmarkEnd w:id="89"/>
      <w:bookmarkEnd w:id="90"/>
      <w:r w:rsidR="00873D44" w:rsidRPr="00873D44">
        <w:t xml:space="preserve"> </w:t>
      </w:r>
      <w:r w:rsidR="00873D44" w:rsidRPr="00C26269">
        <w:t xml:space="preserve">Information contained in the </w:t>
      </w:r>
      <w:r w:rsidR="00942C87">
        <w:t>NCSR</w:t>
      </w:r>
      <w:r w:rsidR="00873D44" w:rsidRPr="00C26269">
        <w:t xml:space="preserve"> regarding a participant’s current referral status for a colonoscopy</w:t>
      </w:r>
      <w:bookmarkEnd w:id="91"/>
    </w:p>
    <w:p w14:paraId="6CC95136" w14:textId="77777777" w:rsidR="00C26269" w:rsidRPr="00C26269" w:rsidRDefault="00C26269" w:rsidP="00C26269">
      <w:r w:rsidRPr="00C26269">
        <w:rPr>
          <w:noProof/>
        </w:rPr>
        <w:drawing>
          <wp:inline distT="0" distB="0" distL="0" distR="0" wp14:anchorId="6A988409" wp14:editId="11011D9D">
            <wp:extent cx="3746632" cy="3099435"/>
            <wp:effectExtent l="0" t="0" r="6350" b="5715"/>
            <wp:docPr id="62" name="Picture 62" descr="Pie chart showing information contained in the NCSR regarding a participant's current referral status for a colonos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Pie chart showing information contained in the NCSR regarding a participant's current referral status for a colonoscopy"/>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8022" t="2650" r="10336" b="5102"/>
                    <a:stretch/>
                  </pic:blipFill>
                  <pic:spPr bwMode="auto">
                    <a:xfrm>
                      <a:off x="0" y="0"/>
                      <a:ext cx="3747200" cy="3099905"/>
                    </a:xfrm>
                    <a:prstGeom prst="rect">
                      <a:avLst/>
                    </a:prstGeom>
                    <a:noFill/>
                    <a:ln>
                      <a:noFill/>
                    </a:ln>
                    <a:extLst>
                      <a:ext uri="{53640926-AAD7-44D8-BBD7-CCE9431645EC}">
                        <a14:shadowObscured xmlns:a14="http://schemas.microsoft.com/office/drawing/2010/main"/>
                      </a:ext>
                    </a:extLst>
                  </pic:spPr>
                </pic:pic>
              </a:graphicData>
            </a:graphic>
          </wp:inline>
        </w:drawing>
      </w:r>
    </w:p>
    <w:p w14:paraId="023D6341" w14:textId="77777777" w:rsidR="00C26269" w:rsidRPr="00C26269" w:rsidRDefault="00C26269" w:rsidP="00C26269">
      <w:pPr>
        <w:spacing w:after="0"/>
        <w:rPr>
          <w:iCs/>
          <w:color w:val="75787B" w:themeColor="accent6"/>
          <w:sz w:val="14"/>
        </w:rPr>
      </w:pPr>
      <w:r w:rsidRPr="00C26269">
        <w:rPr>
          <w:iCs/>
          <w:color w:val="75787B" w:themeColor="accent6"/>
          <w:sz w:val="14"/>
        </w:rPr>
        <w:t xml:space="preserve">Source: NCSR data November 2019 to 31 December 2020. </w:t>
      </w:r>
    </w:p>
    <w:p w14:paraId="081577FA" w14:textId="429C9C4E" w:rsidR="00C26269" w:rsidRPr="00C26269" w:rsidRDefault="00C26269" w:rsidP="00C26269">
      <w:pPr>
        <w:rPr>
          <w:iCs/>
          <w:color w:val="75787B" w:themeColor="accent6"/>
          <w:sz w:val="14"/>
        </w:rPr>
      </w:pPr>
      <w:r w:rsidRPr="00C26269">
        <w:rPr>
          <w:iCs/>
          <w:color w:val="75787B" w:themeColor="accent6"/>
          <w:sz w:val="14"/>
        </w:rPr>
        <w:t xml:space="preserve">Note: ‘Nil information recorded in </w:t>
      </w:r>
      <w:r w:rsidR="00942C87">
        <w:rPr>
          <w:iCs/>
          <w:color w:val="75787B" w:themeColor="accent6"/>
          <w:sz w:val="14"/>
        </w:rPr>
        <w:t>NCSR</w:t>
      </w:r>
      <w:r w:rsidRPr="00C26269">
        <w:rPr>
          <w:iCs/>
          <w:color w:val="75787B" w:themeColor="accent6"/>
          <w:sz w:val="14"/>
        </w:rPr>
        <w:t xml:space="preserve">’ includes participants who proceeded from a positive </w:t>
      </w:r>
      <w:proofErr w:type="spellStart"/>
      <w:r w:rsidRPr="00C26269">
        <w:rPr>
          <w:iCs/>
          <w:color w:val="75787B" w:themeColor="accent6"/>
          <w:sz w:val="14"/>
        </w:rPr>
        <w:t>iFOBT</w:t>
      </w:r>
      <w:proofErr w:type="spellEnd"/>
      <w:r w:rsidRPr="00C26269">
        <w:rPr>
          <w:iCs/>
          <w:color w:val="75787B" w:themeColor="accent6"/>
          <w:sz w:val="14"/>
        </w:rPr>
        <w:t xml:space="preserve"> result to a colonoscopy without the requirement of a PFUF interaction.</w:t>
      </w:r>
    </w:p>
    <w:p w14:paraId="0755D4F9" w14:textId="0C6C75E0" w:rsidR="00DF6DEC" w:rsidRDefault="00C26269" w:rsidP="00C26269">
      <w:r w:rsidRPr="00C26269">
        <w:t xml:space="preserve">As shown in </w:t>
      </w:r>
      <w:r w:rsidR="00FB0C80">
        <w:fldChar w:fldCharType="begin"/>
      </w:r>
      <w:r w:rsidR="00FB0C80">
        <w:instrText xml:space="preserve"> REF _Ref74313234 \n \h </w:instrText>
      </w:r>
      <w:r w:rsidR="00FB0C80">
        <w:fldChar w:fldCharType="separate"/>
      </w:r>
      <w:r w:rsidR="00F27525">
        <w:t>Chart 2.4</w:t>
      </w:r>
      <w:r w:rsidR="00FB0C80">
        <w:fldChar w:fldCharType="end"/>
      </w:r>
      <w:r w:rsidRPr="00C26269">
        <w:t>, 6.5 per cent of these participants were not referred for colonoscopy. For the 14.5 per cent of patients referred for colonoscopy</w:t>
      </w:r>
      <w:r w:rsidR="00FB0C80">
        <w:t xml:space="preserve"> (shown in dark blue in</w:t>
      </w:r>
      <w:r w:rsidR="00A210DB">
        <w:t xml:space="preserve"> </w:t>
      </w:r>
      <w:r w:rsidR="00A210DB">
        <w:fldChar w:fldCharType="begin"/>
      </w:r>
      <w:r w:rsidR="00A210DB">
        <w:instrText xml:space="preserve"> REF _Ref74313234 \n \h </w:instrText>
      </w:r>
      <w:r w:rsidR="00A210DB">
        <w:fldChar w:fldCharType="separate"/>
      </w:r>
      <w:r w:rsidR="00F27525">
        <w:t>Chart 2.4</w:t>
      </w:r>
      <w:r w:rsidR="00A210DB">
        <w:fldChar w:fldCharType="end"/>
      </w:r>
      <w:r w:rsidR="00A210DB">
        <w:t>)</w:t>
      </w:r>
      <w:r w:rsidRPr="00C26269">
        <w:t xml:space="preserve">, the distribution of outcomes is displayed below in </w:t>
      </w:r>
      <w:r w:rsidR="00B8445A">
        <w:fldChar w:fldCharType="begin"/>
      </w:r>
      <w:r w:rsidR="00B8445A">
        <w:instrText xml:space="preserve"> REF _Ref74313575 \n \h </w:instrText>
      </w:r>
      <w:r w:rsidR="00B8445A">
        <w:fldChar w:fldCharType="separate"/>
      </w:r>
      <w:r w:rsidR="00F27525">
        <w:t>Chart 2.5</w:t>
      </w:r>
      <w:r w:rsidR="00B8445A">
        <w:fldChar w:fldCharType="end"/>
      </w:r>
      <w:r w:rsidRPr="00C26269">
        <w:t xml:space="preserve">. </w:t>
      </w:r>
      <w:r w:rsidR="00420452" w:rsidRPr="00C26269">
        <w:t>O</w:t>
      </w:r>
      <w:r w:rsidR="00420452">
        <w:t>f those referred for colonoscopy</w:t>
      </w:r>
      <w:r w:rsidRPr="00C26269">
        <w:t xml:space="preserve">, 30.3 per cent are not expected to undertake a diagnostic assessment, due to either clinical unsuitability or as a result of personal decision-making. Consequently, when considering the entire cohort of patients recorded as having a GP follow-up but no colonoscopy date recorded, one in ten participants (10.9 per cent) exited the pathway and will not complete the diagnostic assessment. </w:t>
      </w:r>
    </w:p>
    <w:p w14:paraId="02D7F847" w14:textId="6A86CDB2" w:rsidR="00DF6DEC" w:rsidRDefault="00B8445A" w:rsidP="00815EA5">
      <w:pPr>
        <w:pStyle w:val="CaptionChart"/>
      </w:pPr>
      <w:bookmarkStart w:id="92" w:name="_Ref74313575"/>
      <w:r>
        <w:lastRenderedPageBreak/>
        <w:t>:</w:t>
      </w:r>
      <w:r w:rsidR="00DF6DEC" w:rsidRPr="00DF6DEC">
        <w:t xml:space="preserve"> </w:t>
      </w:r>
      <w:r w:rsidR="00DF6DEC" w:rsidRPr="00C26269">
        <w:t xml:space="preserve">Information contained in the </w:t>
      </w:r>
      <w:r w:rsidR="00942C87">
        <w:t>NCSR</w:t>
      </w:r>
      <w:r w:rsidR="00DF6DEC" w:rsidRPr="00C26269">
        <w:t xml:space="preserve"> regarding a participant’s current colonoscopy appointment status</w:t>
      </w:r>
      <w:bookmarkEnd w:id="92"/>
    </w:p>
    <w:p w14:paraId="5583C352" w14:textId="5142B63B" w:rsidR="00C26269" w:rsidRPr="00C26269" w:rsidRDefault="00C26269" w:rsidP="00C26269">
      <w:r w:rsidRPr="00C26269">
        <w:rPr>
          <w:noProof/>
        </w:rPr>
        <w:drawing>
          <wp:inline distT="0" distB="0" distL="0" distR="0" wp14:anchorId="581248E1" wp14:editId="385CFCDD">
            <wp:extent cx="3727774" cy="4269179"/>
            <wp:effectExtent l="0" t="0" r="6350" b="0"/>
            <wp:docPr id="1489793600" name="Picture 1489793600" descr="Chart 2.5 is a pie chart showing Information contained in the NCSR regarding a participant’s current colonoscopy appointment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793600" name="Picture 1489793600" descr="Chart 2.5 is a pie chart showing Information contained in the NCSR regarding a participant’s current colonoscopy appointment status"/>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8023" t="2988" r="10730" b="7445"/>
                    <a:stretch/>
                  </pic:blipFill>
                  <pic:spPr bwMode="auto">
                    <a:xfrm>
                      <a:off x="0" y="0"/>
                      <a:ext cx="3729097" cy="4270694"/>
                    </a:xfrm>
                    <a:prstGeom prst="rect">
                      <a:avLst/>
                    </a:prstGeom>
                    <a:noFill/>
                    <a:ln>
                      <a:noFill/>
                    </a:ln>
                    <a:extLst>
                      <a:ext uri="{53640926-AAD7-44D8-BBD7-CCE9431645EC}">
                        <a14:shadowObscured xmlns:a14="http://schemas.microsoft.com/office/drawing/2010/main"/>
                      </a:ext>
                    </a:extLst>
                  </pic:spPr>
                </pic:pic>
              </a:graphicData>
            </a:graphic>
          </wp:inline>
        </w:drawing>
      </w:r>
    </w:p>
    <w:p w14:paraId="3AE90006" w14:textId="77777777" w:rsidR="00C26269" w:rsidRPr="00C26269" w:rsidRDefault="00C26269" w:rsidP="00C26269">
      <w:r w:rsidRPr="00C26269">
        <w:rPr>
          <w:iCs/>
          <w:color w:val="75787B" w:themeColor="accent6"/>
          <w:sz w:val="14"/>
        </w:rPr>
        <w:t xml:space="preserve">Source: NCSR data November 2019 to 31 December 2020. </w:t>
      </w:r>
    </w:p>
    <w:p w14:paraId="3EB6FA6A" w14:textId="37F2CFF8" w:rsidR="00C26269" w:rsidRPr="006B2754" w:rsidRDefault="00C26269" w:rsidP="00C26269">
      <w:pPr>
        <w:spacing w:after="0"/>
      </w:pPr>
      <w:r w:rsidRPr="00C26269">
        <w:t xml:space="preserve">Ideally, participants who exit the screening pathway would be removed from the calculation of relevant KPIs, particularly the diagnostic assessment rate, which may be interpreted by external stakeholders as a function of colonoscopy access. Estimating the diagnostic assessment rate in this way would provide a more accurate picture of Program functioning and utilise data already collected by the </w:t>
      </w:r>
      <w:r w:rsidR="00942C87">
        <w:t>NCSR</w:t>
      </w:r>
      <w:r w:rsidRPr="00C26269">
        <w:t>. It is noted that PFUF officers currently play a valuable role in the collection of data of this type.</w:t>
      </w:r>
    </w:p>
    <w:p w14:paraId="0CB17759" w14:textId="77777777" w:rsidR="00C26269" w:rsidRPr="006B2754" w:rsidRDefault="00C26269" w:rsidP="006B2754">
      <w:pPr>
        <w:pStyle w:val="Pullout"/>
      </w:pPr>
      <w:r w:rsidRPr="006B2754">
        <w:t xml:space="preserve">NCSR data gaps limit the efficiency of the PFUF role. </w:t>
      </w:r>
    </w:p>
    <w:p w14:paraId="0F3C45B6" w14:textId="60C43A43" w:rsidR="00C26269" w:rsidRPr="00C26269" w:rsidRDefault="00C26269" w:rsidP="00C26269">
      <w:r w:rsidRPr="00C26269">
        <w:t>Because clinical practitioner data entry in the NCSR regarding participant engagement is voluntary, data is incomplete. As a result, PFUF officers may follow up participants who are proceeding through the pathway, but their clinician interactions have not been recorded (</w:t>
      </w:r>
      <w:proofErr w:type="gramStart"/>
      <w:r w:rsidRPr="00C26269">
        <w:t>i.e.</w:t>
      </w:r>
      <w:proofErr w:type="gramEnd"/>
      <w:r w:rsidRPr="00C26269">
        <w:t xml:space="preserve"> making reminder phone calls to participants who have already visited a GP and/or a </w:t>
      </w:r>
      <w:r w:rsidR="00C205C7">
        <w:t>special</w:t>
      </w:r>
      <w:r w:rsidRPr="00C26269">
        <w:t xml:space="preserve">ist). </w:t>
      </w:r>
    </w:p>
    <w:p w14:paraId="164B0952" w14:textId="52B53EF8" w:rsidR="00C26269" w:rsidRPr="00C26269" w:rsidRDefault="00C26269" w:rsidP="00C26269">
      <w:r w:rsidRPr="00C26269">
        <w:t xml:space="preserve">The extent to which PFUF officers’ time is spent performing data entry tasks to update the participant’s record is difficult to determine precisely, however </w:t>
      </w:r>
      <w:r w:rsidR="00011FF6">
        <w:t xml:space="preserve">NCSR </w:t>
      </w:r>
      <w:r w:rsidRPr="00C26269">
        <w:t xml:space="preserve">data can be evaluated for a selection of scenarios. For example, from an analysis of the cohort recording a positive </w:t>
      </w:r>
      <w:proofErr w:type="spellStart"/>
      <w:r w:rsidRPr="00C26269">
        <w:t>iFOBT</w:t>
      </w:r>
      <w:proofErr w:type="spellEnd"/>
      <w:r w:rsidRPr="00C26269">
        <w:t xml:space="preserve"> between 1 September 2019 and 29 February 2020, 27 per cent of total interactions recorded occurred after the date recorded for the participant’s colonoscopy. </w:t>
      </w:r>
    </w:p>
    <w:p w14:paraId="57B15D17" w14:textId="77777777" w:rsidR="00C26269" w:rsidRPr="006B2754" w:rsidRDefault="00C26269" w:rsidP="006B2754">
      <w:pPr>
        <w:pStyle w:val="Pullout"/>
      </w:pPr>
      <w:bookmarkStart w:id="93" w:name="_Hlk82016266"/>
      <w:r w:rsidRPr="006B2754">
        <w:t>There is an opportunity to consider how the PFUF role could be reshaped by drawing on learnings from innovative nurse-led colonoscopy access models.</w:t>
      </w:r>
    </w:p>
    <w:bookmarkEnd w:id="93"/>
    <w:p w14:paraId="4A4D0E13" w14:textId="77777777" w:rsidR="00C26269" w:rsidRPr="00C26269" w:rsidRDefault="00C26269" w:rsidP="00C26269">
      <w:r w:rsidRPr="00C26269">
        <w:t>Innovative follow-up models implemented in Australian and international contexts have shown that follow-up roles which have an expanded scope of practice (</w:t>
      </w:r>
      <w:proofErr w:type="gramStart"/>
      <w:r w:rsidRPr="00C26269">
        <w:t>e.g.</w:t>
      </w:r>
      <w:proofErr w:type="gramEnd"/>
      <w:r w:rsidRPr="00C26269">
        <w:t xml:space="preserve"> nurse navigators who schedule colonoscopies and triage patients) have the ability to achieve high diagnostic assessment rates, reduce waiting times and increase patient satisfaction (see Box 2 below). </w:t>
      </w:r>
    </w:p>
    <w:p w14:paraId="0921DD20" w14:textId="77777777" w:rsidR="00C26269" w:rsidRPr="00C26269" w:rsidRDefault="00C26269" w:rsidP="00C26269">
      <w:r w:rsidRPr="00C26269">
        <w:lastRenderedPageBreak/>
        <w:t>Stakeholders noted that the Queensland PFUF is relatively well integrated within the Health and Hospital Services (HHSs), as PFUF officers are Queensland Health employees with access to key systems. This is contrast to other jurisdictions, particularly Victoria where the PFUF is outsourced to a private provider. This may partly explain why the diagnostic assessment rate in Queensland (78 per cent) is higher than other jurisdictions including Victoria (61 per cent) and Western Australia (59 per cent).</w:t>
      </w:r>
      <w:r w:rsidRPr="00C26269">
        <w:rPr>
          <w:vertAlign w:val="superscript"/>
        </w:rPr>
        <w:endnoteReference w:id="55"/>
      </w:r>
      <w:r w:rsidRPr="00C26269">
        <w:t xml:space="preserve"> </w:t>
      </w:r>
    </w:p>
    <w:p w14:paraId="732CCF84" w14:textId="77777777" w:rsidR="00C26269" w:rsidRPr="00C26269" w:rsidRDefault="00C26269" w:rsidP="00C26269">
      <w:r w:rsidRPr="00C26269">
        <w:t xml:space="preserve">In summary, the PFUF officer’s scope of practice (which is currently limited to </w:t>
      </w:r>
      <w:r w:rsidRPr="00C26269">
        <w:rPr>
          <w:i/>
          <w:iCs/>
        </w:rPr>
        <w:t>encouraging</w:t>
      </w:r>
      <w:r w:rsidRPr="00C26269">
        <w:t xml:space="preserve"> compliance across the entire pathway) may be more effective in improving the rate and timelines of diagnostic assessment if it was expanded to include activities such as scheduling and prioritising colonoscopies; however, this needs to be balanced with the potential additional cost.</w:t>
      </w:r>
    </w:p>
    <w:p w14:paraId="671568A3" w14:textId="1CC333B1" w:rsidR="006B2754" w:rsidRPr="006B2754" w:rsidRDefault="006B2754" w:rsidP="00992BC5">
      <w:pPr>
        <w:pStyle w:val="Heading5un-numbered"/>
      </w:pPr>
      <w:r w:rsidRPr="006B2754">
        <w:t>Box 2: Innovative colonoscopy access models</w:t>
      </w:r>
    </w:p>
    <w:p w14:paraId="3B5C22D6" w14:textId="222EFF71" w:rsidR="006B2754" w:rsidRPr="006B2754" w:rsidRDefault="006B2754" w:rsidP="00FD4BB5">
      <w:pPr>
        <w:pStyle w:val="Boxtype2"/>
      </w:pPr>
      <w:r w:rsidRPr="006B2754">
        <w:t>Direct Access to Colonoscopy models</w:t>
      </w:r>
    </w:p>
    <w:p w14:paraId="58B13B9D" w14:textId="77777777" w:rsidR="006B2754" w:rsidRPr="006B2754" w:rsidRDefault="006B2754" w:rsidP="00FD4BB5">
      <w:pPr>
        <w:pStyle w:val="Boxtype2"/>
      </w:pPr>
      <w:r w:rsidRPr="006B2754">
        <w:t xml:space="preserve">The Direct Access Colonoscopy (DAC) model uses a nurse telephone triage to eliminate the initial gastroenterologist consultation appointment for low or average risk individuals who meet clinical criteria. These individuals are then fast-tracked to a procedural colonoscopy, with the appointment scheduled by the triage nurse. </w:t>
      </w:r>
    </w:p>
    <w:p w14:paraId="2248E801" w14:textId="77777777" w:rsidR="006B2754" w:rsidRPr="006B2754" w:rsidRDefault="006B2754" w:rsidP="00FD4BB5">
      <w:pPr>
        <w:pStyle w:val="Boxtype2"/>
      </w:pPr>
      <w:r w:rsidRPr="006B2754">
        <w:t xml:space="preserve">These models have typically been based at hospital intake hubs. As a result, as an added benefit, the nurse triages patients who do not need a colonoscopy at all, </w:t>
      </w:r>
      <w:proofErr w:type="gramStart"/>
      <w:r w:rsidRPr="006B2754">
        <w:t>i.e.</w:t>
      </w:r>
      <w:proofErr w:type="gramEnd"/>
      <w:r w:rsidRPr="006B2754">
        <w:t xml:space="preserve"> low value colonoscopies for average risk patients screening outside of a national screening program, thereby addressing the issue of inappropriate colonoscopies, freeing up service capacity and further reducing colonoscopies wait times.</w:t>
      </w:r>
      <w:r w:rsidRPr="006B2754">
        <w:rPr>
          <w:vertAlign w:val="superscript"/>
        </w:rPr>
        <w:endnoteReference w:id="56"/>
      </w:r>
      <w:r w:rsidRPr="006B2754">
        <w:t xml:space="preserve"> </w:t>
      </w:r>
    </w:p>
    <w:p w14:paraId="61F92C67" w14:textId="26712019" w:rsidR="006B2754" w:rsidRPr="006B2754" w:rsidRDefault="006B2754" w:rsidP="00FD4BB5">
      <w:pPr>
        <w:pStyle w:val="Boxtype2"/>
      </w:pPr>
      <w:r w:rsidRPr="006B2754">
        <w:t>This model has demonstrated success in NSW, England and Scotland.</w:t>
      </w:r>
      <w:r w:rsidRPr="006B2754">
        <w:rPr>
          <w:vertAlign w:val="superscript"/>
        </w:rPr>
        <w:endnoteReference w:id="57"/>
      </w:r>
      <w:r w:rsidRPr="006B2754">
        <w:rPr>
          <w:vertAlign w:val="superscript"/>
        </w:rPr>
        <w:t>,</w:t>
      </w:r>
      <w:r w:rsidRPr="006B2754">
        <w:rPr>
          <w:vertAlign w:val="superscript"/>
        </w:rPr>
        <w:endnoteReference w:id="58"/>
      </w:r>
      <w:r w:rsidRPr="006B2754">
        <w:rPr>
          <w:vertAlign w:val="superscript"/>
        </w:rPr>
        <w:t>,</w:t>
      </w:r>
      <w:r w:rsidRPr="006B2754">
        <w:rPr>
          <w:vertAlign w:val="superscript"/>
        </w:rPr>
        <w:endnoteReference w:id="59"/>
      </w:r>
      <w:r w:rsidRPr="006B2754">
        <w:t xml:space="preserve"> To cite one example, Campbelltown Hospital’s median time from GP referral to colonoscopy following a positive </w:t>
      </w:r>
      <w:proofErr w:type="spellStart"/>
      <w:r w:rsidRPr="006B2754">
        <w:t>iFOBT</w:t>
      </w:r>
      <w:proofErr w:type="spellEnd"/>
      <w:r w:rsidRPr="006B2754">
        <w:t xml:space="preserve"> test decreased from 100 days to 36 days as a result of the model.</w:t>
      </w:r>
      <w:r w:rsidRPr="006B2754">
        <w:rPr>
          <w:vertAlign w:val="superscript"/>
        </w:rPr>
        <w:endnoteReference w:id="60"/>
      </w:r>
      <w:r w:rsidRPr="006B2754">
        <w:t xml:space="preserve"> In the Far West Local Health District in NSW, prior to implementation of the DAC model, no patients attended a colonoscopy within the NHMRC recommended timeframe. By June 2018, 74 per cent of DAC patients attended within the 120-day recommendation.</w:t>
      </w:r>
      <w:r w:rsidRPr="006B2754">
        <w:rPr>
          <w:szCs w:val="20"/>
          <w:vertAlign w:val="superscript"/>
        </w:rPr>
        <w:endnoteReference w:id="61"/>
      </w:r>
    </w:p>
    <w:p w14:paraId="2F29548B" w14:textId="77777777" w:rsidR="006B2754" w:rsidRPr="006B2754" w:rsidRDefault="006B2754" w:rsidP="00FD4BB5">
      <w:pPr>
        <w:pStyle w:val="Boxtype2"/>
      </w:pPr>
      <w:r w:rsidRPr="006B2754">
        <w:t>Austin Health model</w:t>
      </w:r>
    </w:p>
    <w:p w14:paraId="5F9D2C44" w14:textId="77777777" w:rsidR="006B2754" w:rsidRPr="006B2754" w:rsidRDefault="006B2754" w:rsidP="00FD4BB5">
      <w:pPr>
        <w:pStyle w:val="Boxtype2"/>
      </w:pPr>
      <w:r w:rsidRPr="00FD4BB5">
        <w:rPr>
          <w:szCs w:val="20"/>
        </w:rPr>
        <w:t xml:space="preserve">A separate model, </w:t>
      </w:r>
      <w:proofErr w:type="gramStart"/>
      <w:r w:rsidRPr="00FD4BB5">
        <w:rPr>
          <w:szCs w:val="20"/>
        </w:rPr>
        <w:t>similar to</w:t>
      </w:r>
      <w:proofErr w:type="gramEnd"/>
      <w:r w:rsidRPr="00FD4BB5">
        <w:rPr>
          <w:szCs w:val="20"/>
        </w:rPr>
        <w:t xml:space="preserve"> the model of nurse navigators used in the United</w:t>
      </w:r>
      <w:r w:rsidRPr="006B2754">
        <w:t xml:space="preserve"> Kingdom’s national bowel cancer screening program (whereby a participant with a positive result receives a call from a Program dedicated gastrointestinal nurse and a colonoscopy is scheduled), was implemented at Austin Health during the pilot of the NBCSP. Several stakeholders consulted referred to the strength of this model in increasing diagnostic assessment rates and the time to diagnostic assessment and suggested it should be considered for future implementation.</w:t>
      </w:r>
    </w:p>
    <w:p w14:paraId="1921F251" w14:textId="2BB80964" w:rsidR="00C26269" w:rsidRPr="006B2754" w:rsidRDefault="006B2754" w:rsidP="00FD4BB5">
      <w:pPr>
        <w:pStyle w:val="Boxtype2"/>
      </w:pPr>
      <w:r w:rsidRPr="006B2754">
        <w:rPr>
          <w:lang w:val="en-US"/>
        </w:rPr>
        <w:t xml:space="preserve">The Austin Health model used a dedicated nurse coordinator (based at, and employed by, the hospital) to receive referrals from GPs, undertake pre-procedure assessment by phoning the participant, directly scheduling the colonoscopy, undertaking post-procedure follow up and ensuring completion of data collection. The nurse contacted individuals within two days of receiving a referral (faxed from a GP) to schedule a follow up colonoscopy within three weeks. The model resulted in </w:t>
      </w:r>
      <w:r w:rsidRPr="006B2754">
        <w:t>strong follow-up rates and consumer satisfaction, as the nurse also helped to reduce anxiety over a positive result.</w:t>
      </w:r>
      <w:r w:rsidRPr="006B2754">
        <w:rPr>
          <w:vertAlign w:val="superscript"/>
        </w:rPr>
        <w:endnoteReference w:id="62"/>
      </w:r>
    </w:p>
    <w:p w14:paraId="2B1AD13B" w14:textId="377522C7" w:rsidR="00082D23" w:rsidRDefault="00082D23" w:rsidP="00082D23">
      <w:pPr>
        <w:pStyle w:val="Heading3"/>
      </w:pPr>
      <w:r>
        <w:t>Diagnostic component of the pathway</w:t>
      </w:r>
      <w:r w:rsidR="0014770F">
        <w:t xml:space="preserve"> (part of usual care model)</w:t>
      </w:r>
    </w:p>
    <w:p w14:paraId="78BE27CB" w14:textId="1810B3B4" w:rsidR="00082D23" w:rsidRDefault="00082D23" w:rsidP="00082D23">
      <w:r w:rsidRPr="00226938">
        <w:t xml:space="preserve">This subsection outlines the appropriateness of the </w:t>
      </w:r>
      <w:r>
        <w:t>diagnostic component of the clinical pathway</w:t>
      </w:r>
      <w:r w:rsidR="001010B9">
        <w:t>.</w:t>
      </w:r>
    </w:p>
    <w:p w14:paraId="16A2A5C5" w14:textId="55C27C9D" w:rsidR="00082D23" w:rsidRDefault="00082D23" w:rsidP="001E591F">
      <w:pPr>
        <w:pStyle w:val="CaptionFigure"/>
        <w:ind w:left="0"/>
      </w:pPr>
      <w:r>
        <w:lastRenderedPageBreak/>
        <w:t>: Diagnosis component of the NBSP participant pathway</w:t>
      </w:r>
    </w:p>
    <w:p w14:paraId="6E256F17" w14:textId="36A25B52" w:rsidR="009F76F8" w:rsidRPr="009F76F8" w:rsidRDefault="008A3BEE" w:rsidP="009F76F8">
      <w:r w:rsidRPr="008A3BEE">
        <w:rPr>
          <w:noProof/>
          <w:lang w:eastAsia="en-AU"/>
        </w:rPr>
        <w:drawing>
          <wp:inline distT="0" distB="0" distL="0" distR="0" wp14:anchorId="7D42BBF9" wp14:editId="17C65A7F">
            <wp:extent cx="5731510" cy="2569210"/>
            <wp:effectExtent l="0" t="0" r="2540" b="0"/>
            <wp:docPr id="29" name="Picture 29" descr="Diagnosis component of the NBSP participant path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iagnosis component of the NBSP participant pathway"/>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31510" cy="2569210"/>
                    </a:xfrm>
                    <a:prstGeom prst="rect">
                      <a:avLst/>
                    </a:prstGeom>
                    <a:noFill/>
                    <a:ln>
                      <a:noFill/>
                    </a:ln>
                  </pic:spPr>
                </pic:pic>
              </a:graphicData>
            </a:graphic>
          </wp:inline>
        </w:drawing>
      </w:r>
    </w:p>
    <w:p w14:paraId="563DA9EB" w14:textId="55DCBE32" w:rsidR="001E591F" w:rsidRDefault="001E591F" w:rsidP="001E591F">
      <w:pPr>
        <w:pStyle w:val="Sources"/>
        <w:spacing w:before="0"/>
      </w:pPr>
      <w:r>
        <w:t>Source: Deloitte Access Economics diagram, using Department of Health</w:t>
      </w:r>
      <w:r w:rsidR="00FB0C90">
        <w:t xml:space="preserve"> information.</w:t>
      </w:r>
      <w:r w:rsidR="00FB0C90">
        <w:rPr>
          <w:rStyle w:val="EndnoteReference"/>
        </w:rPr>
        <w:endnoteReference w:id="63"/>
      </w:r>
    </w:p>
    <w:p w14:paraId="4EC854E1" w14:textId="77777777" w:rsidR="00082D23" w:rsidRPr="00B76900" w:rsidRDefault="00082D23" w:rsidP="00992BC5">
      <w:pPr>
        <w:pStyle w:val="Heading4un-numbered"/>
      </w:pPr>
      <w:r w:rsidRPr="0058191B">
        <w:t>Implementation of the Colonoscopy Clinical Care Standard is a positive step in addressing variation in the quality of colo</w:t>
      </w:r>
      <w:r>
        <w:t>no</w:t>
      </w:r>
      <w:r w:rsidRPr="0058191B">
        <w:t>scopy.</w:t>
      </w:r>
    </w:p>
    <w:p w14:paraId="60434938" w14:textId="4A867755" w:rsidR="008716CA" w:rsidRDefault="001010B9" w:rsidP="00082D23">
      <w:r>
        <w:t xml:space="preserve">Colonoscopy is </w:t>
      </w:r>
      <w:r w:rsidR="00BD6CC2">
        <w:t>considered</w:t>
      </w:r>
      <w:r>
        <w:t xml:space="preserve"> the gold standard for detection of bowel </w:t>
      </w:r>
      <w:r w:rsidR="008716CA">
        <w:t xml:space="preserve">cancer with an average sensitivity rate of </w:t>
      </w:r>
      <w:r w:rsidR="00233CA0">
        <w:t>95</w:t>
      </w:r>
      <w:r w:rsidR="009F0254">
        <w:t xml:space="preserve"> per cent</w:t>
      </w:r>
      <w:r w:rsidR="008716CA">
        <w:t xml:space="preserve"> and</w:t>
      </w:r>
      <w:r>
        <w:t xml:space="preserve"> is therefore </w:t>
      </w:r>
      <w:r w:rsidR="008716CA">
        <w:t>the most appropriate form of diagnosis as part of the screening pathway.</w:t>
      </w:r>
      <w:r w:rsidR="00537DA0">
        <w:rPr>
          <w:rStyle w:val="EndnoteReference"/>
        </w:rPr>
        <w:endnoteReference w:id="64"/>
      </w:r>
      <w:r w:rsidR="009A71A9" w:rsidRPr="002E5BFA">
        <w:rPr>
          <w:vertAlign w:val="superscript"/>
        </w:rPr>
        <w:t>,</w:t>
      </w:r>
      <w:r w:rsidR="009A71A9">
        <w:rPr>
          <w:rStyle w:val="EndnoteReference"/>
        </w:rPr>
        <w:endnoteReference w:id="65"/>
      </w:r>
      <w:r w:rsidR="009A71A9" w:rsidRPr="002E5BFA">
        <w:rPr>
          <w:vertAlign w:val="superscript"/>
        </w:rPr>
        <w:t>,</w:t>
      </w:r>
      <w:r w:rsidR="009A71A9">
        <w:rPr>
          <w:rStyle w:val="EndnoteReference"/>
        </w:rPr>
        <w:endnoteReference w:id="66"/>
      </w:r>
    </w:p>
    <w:p w14:paraId="766D1F64" w14:textId="72FD2977" w:rsidR="00082D23" w:rsidRDefault="00A674C1" w:rsidP="00082D23">
      <w:r>
        <w:t xml:space="preserve">Despite this, </w:t>
      </w:r>
      <w:r w:rsidR="00A71938">
        <w:t>stakeholders</w:t>
      </w:r>
      <w:r w:rsidR="00082D23" w:rsidRPr="00E36DB4">
        <w:t xml:space="preserve"> </w:t>
      </w:r>
      <w:r w:rsidR="00082D23">
        <w:t>consulted</w:t>
      </w:r>
      <w:r w:rsidR="00082D23" w:rsidRPr="00E36DB4">
        <w:t xml:space="preserve"> noted that</w:t>
      </w:r>
      <w:r w:rsidR="000D5DEB">
        <w:t xml:space="preserve"> </w:t>
      </w:r>
      <w:r w:rsidR="00082D23" w:rsidRPr="00E36DB4">
        <w:t xml:space="preserve">Australia </w:t>
      </w:r>
      <w:r w:rsidR="00082D23">
        <w:t>has historically</w:t>
      </w:r>
      <w:r w:rsidR="00082D23" w:rsidRPr="00E36DB4">
        <w:t xml:space="preserve"> </w:t>
      </w:r>
      <w:r w:rsidR="00082D23">
        <w:t>not</w:t>
      </w:r>
      <w:r w:rsidR="00350098">
        <w:t xml:space="preserve"> used</w:t>
      </w:r>
      <w:r w:rsidR="00082D23" w:rsidRPr="00E36DB4">
        <w:t xml:space="preserve"> </w:t>
      </w:r>
      <w:r w:rsidR="00082D23">
        <w:t>colonoscopy</w:t>
      </w:r>
      <w:r w:rsidR="00082D23" w:rsidRPr="00E36DB4">
        <w:t xml:space="preserve"> accreditation </w:t>
      </w:r>
      <w:r w:rsidR="00082D23">
        <w:t xml:space="preserve">or </w:t>
      </w:r>
      <w:r w:rsidR="00F21EB8">
        <w:t xml:space="preserve">national </w:t>
      </w:r>
      <w:r w:rsidR="00082D23">
        <w:t xml:space="preserve">quality </w:t>
      </w:r>
      <w:r w:rsidR="00082D23" w:rsidRPr="00E36DB4">
        <w:t>standards</w:t>
      </w:r>
      <w:r w:rsidR="007D2C1F">
        <w:t xml:space="preserve">. As a result, </w:t>
      </w:r>
      <w:r w:rsidR="00082D23" w:rsidRPr="00D759D6">
        <w:rPr>
          <w:i/>
        </w:rPr>
        <w:t>some</w:t>
      </w:r>
      <w:r w:rsidR="00082D23" w:rsidRPr="00E36DB4">
        <w:t xml:space="preserve"> participants</w:t>
      </w:r>
      <w:r w:rsidR="00123379">
        <w:t xml:space="preserve"> may have</w:t>
      </w:r>
      <w:r w:rsidR="00082D23" w:rsidRPr="00E36DB4">
        <w:t xml:space="preserve"> receive</w:t>
      </w:r>
      <w:r w:rsidR="00082D23">
        <w:t>d</w:t>
      </w:r>
      <w:r w:rsidR="00082D23" w:rsidRPr="00E36DB4">
        <w:t xml:space="preserve"> poor bowel preparation prior to the procedure, shorter withdrawal times, and low caecal intubation, which </w:t>
      </w:r>
      <w:r w:rsidR="00082D23">
        <w:t xml:space="preserve">can </w:t>
      </w:r>
      <w:r w:rsidR="00082D23" w:rsidRPr="00E36DB4">
        <w:t xml:space="preserve">contribute to missed cancers. </w:t>
      </w:r>
      <w:r w:rsidR="00E033AF">
        <w:t xml:space="preserve">Poor quality colonoscopy can create additional risk of interval cancers, as participants with a clear colonoscopy </w:t>
      </w:r>
      <w:r w:rsidR="00093A75">
        <w:t xml:space="preserve">will skip a round of </w:t>
      </w:r>
      <w:r w:rsidR="003170CD">
        <w:t xml:space="preserve">screening, creating a </w:t>
      </w:r>
      <w:r w:rsidR="008E79F1">
        <w:t>four</w:t>
      </w:r>
      <w:r w:rsidR="003170CD">
        <w:t>-year window.</w:t>
      </w:r>
    </w:p>
    <w:p w14:paraId="20651B6A" w14:textId="752CA513" w:rsidR="00CC58F7" w:rsidRDefault="00082D23" w:rsidP="00082D23">
      <w:r w:rsidRPr="00E36DB4">
        <w:t xml:space="preserve">Stakeholders </w:t>
      </w:r>
      <w:r w:rsidR="002629F9">
        <w:t>observed that the</w:t>
      </w:r>
      <w:r w:rsidRPr="00E36DB4">
        <w:t xml:space="preserve"> </w:t>
      </w:r>
      <w:r w:rsidR="00FE557B">
        <w:t>Australian Commission on Safety and Quality in Health Care’s (ACSQHC)</w:t>
      </w:r>
      <w:r w:rsidRPr="00E36DB4">
        <w:t xml:space="preserve"> </w:t>
      </w:r>
      <w:r w:rsidR="0025255A">
        <w:t>2018</w:t>
      </w:r>
      <w:r w:rsidRPr="00E36DB4">
        <w:t xml:space="preserve"> </w:t>
      </w:r>
      <w:r>
        <w:t>development and implementation of t</w:t>
      </w:r>
      <w:r w:rsidRPr="00E36DB4">
        <w:t>he Colonoscopy Clinical Care Standard</w:t>
      </w:r>
      <w:r w:rsidR="00123379">
        <w:t xml:space="preserve"> (CCCS)</w:t>
      </w:r>
      <w:r w:rsidRPr="00E36DB4">
        <w:t xml:space="preserve"> is a positive step in addressing this issue</w:t>
      </w:r>
      <w:r>
        <w:t xml:space="preserve">. </w:t>
      </w:r>
      <w:r w:rsidR="00A36B33">
        <w:t xml:space="preserve">Another </w:t>
      </w:r>
      <w:r w:rsidR="00655F64">
        <w:t>positive change</w:t>
      </w:r>
      <w:r w:rsidR="00471289">
        <w:t xml:space="preserve"> </w:t>
      </w:r>
      <w:r w:rsidR="00C17BCC">
        <w:t xml:space="preserve">cited </w:t>
      </w:r>
      <w:r w:rsidR="00A36B33">
        <w:t>was the</w:t>
      </w:r>
      <w:r w:rsidRPr="00E36DB4">
        <w:t xml:space="preserve"> </w:t>
      </w:r>
      <w:r w:rsidR="00CC58F7" w:rsidRPr="00E36DB4">
        <w:t>establish</w:t>
      </w:r>
      <w:r w:rsidR="00655F64">
        <w:t>ment</w:t>
      </w:r>
      <w:r w:rsidRPr="00E36DB4">
        <w:t xml:space="preserve"> </w:t>
      </w:r>
      <w:r w:rsidR="00E1042A">
        <w:t xml:space="preserve">of </w:t>
      </w:r>
      <w:r w:rsidRPr="00E36DB4">
        <w:t>a National Colonoscopy Recertification Program</w:t>
      </w:r>
      <w:r w:rsidR="00CF7072">
        <w:t xml:space="preserve"> </w:t>
      </w:r>
      <w:r w:rsidR="006F096C">
        <w:t>governed</w:t>
      </w:r>
      <w:r w:rsidR="00CF7072">
        <w:t xml:space="preserve"> by the </w:t>
      </w:r>
      <w:r w:rsidR="006F096C">
        <w:t>Gastroenterological Society of Australia</w:t>
      </w:r>
      <w:r w:rsidR="00F745B1">
        <w:t xml:space="preserve"> (GESA)</w:t>
      </w:r>
      <w:r w:rsidR="00D852C6">
        <w:t>.</w:t>
      </w:r>
      <w:r w:rsidR="003426CD">
        <w:t xml:space="preserve"> It </w:t>
      </w:r>
      <w:r w:rsidR="00F778F1">
        <w:t>is</w:t>
      </w:r>
      <w:r w:rsidR="003426CD">
        <w:t xml:space="preserve"> noted that certification bring</w:t>
      </w:r>
      <w:r w:rsidR="00F316F1">
        <w:t>s</w:t>
      </w:r>
      <w:r w:rsidR="003426CD">
        <w:t xml:space="preserve"> Australia in line with </w:t>
      </w:r>
      <w:r w:rsidR="003426CD" w:rsidRPr="00F316F1">
        <w:t xml:space="preserve">overseas trends in maintaining standards and support for practising </w:t>
      </w:r>
      <w:r w:rsidR="00284D59">
        <w:t>specialist</w:t>
      </w:r>
      <w:r w:rsidR="003426CD" w:rsidRPr="00F316F1">
        <w:t>s</w:t>
      </w:r>
      <w:r w:rsidR="00B01F82" w:rsidRPr="00B01F82">
        <w:t>.</w:t>
      </w:r>
      <w:r w:rsidR="00F26CD3">
        <w:rPr>
          <w:rStyle w:val="EndnoteReference"/>
        </w:rPr>
        <w:endnoteReference w:id="67"/>
      </w:r>
      <w:r w:rsidR="00610CDD">
        <w:t xml:space="preserve"> </w:t>
      </w:r>
    </w:p>
    <w:p w14:paraId="535A2F7F" w14:textId="2579D641" w:rsidR="00082D23" w:rsidRPr="00580218" w:rsidRDefault="008C7E33" w:rsidP="00082D23">
      <w:pPr>
        <w:rPr>
          <w:lang w:val="en-US"/>
        </w:rPr>
      </w:pPr>
      <w:r>
        <w:t xml:space="preserve">Each clinical care standard </w:t>
      </w:r>
      <w:r w:rsidR="00580218">
        <w:t xml:space="preserve">in the CCCS </w:t>
      </w:r>
      <w:r>
        <w:t>is linked to several</w:t>
      </w:r>
      <w:r w:rsidR="00082D23" w:rsidRPr="00E36DB4">
        <w:t xml:space="preserve"> indicator</w:t>
      </w:r>
      <w:r w:rsidR="00082D23">
        <w:t xml:space="preserve">s </w:t>
      </w:r>
      <w:r>
        <w:t>that can be used by health service organisations to monitor how well they are implementing the care recommended. These align with the performance indicators for certification and recertification developed by GESA (</w:t>
      </w:r>
      <w:proofErr w:type="gramStart"/>
      <w:r>
        <w:t>e.g.</w:t>
      </w:r>
      <w:proofErr w:type="gramEnd"/>
      <w:r w:rsidR="00082D23" w:rsidRPr="00E36DB4">
        <w:t xml:space="preserve"> withdrawal time, intubation distance, adenoma detection rates, bowel preparation scores</w:t>
      </w:r>
      <w:r w:rsidRPr="00E36DB4">
        <w:t>)</w:t>
      </w:r>
      <w:r>
        <w:t>.</w:t>
      </w:r>
      <w:r w:rsidR="00580218">
        <w:rPr>
          <w:lang w:val="en-US"/>
        </w:rPr>
        <w:t xml:space="preserve"> </w:t>
      </w:r>
      <w:r w:rsidR="00580218">
        <w:t>Stakeholders suggested</w:t>
      </w:r>
      <w:r w:rsidR="00082D23">
        <w:t xml:space="preserve"> </w:t>
      </w:r>
      <w:r w:rsidR="00581416">
        <w:t>t</w:t>
      </w:r>
      <w:r w:rsidR="00580218">
        <w:t>hese indic</w:t>
      </w:r>
      <w:r w:rsidR="00F743BC">
        <w:t>a</w:t>
      </w:r>
      <w:r w:rsidR="00580218">
        <w:t>tors</w:t>
      </w:r>
      <w:r w:rsidR="00082D23">
        <w:t xml:space="preserve"> should be monitored on an ongoing basis</w:t>
      </w:r>
      <w:r w:rsidR="008F79CF">
        <w:t xml:space="preserve"> to inform</w:t>
      </w:r>
      <w:r w:rsidR="007406A4">
        <w:t xml:space="preserve"> </w:t>
      </w:r>
      <w:r w:rsidR="008F79CF">
        <w:t>targeted quality improvement</w:t>
      </w:r>
      <w:r w:rsidR="00AB4D81">
        <w:t xml:space="preserve"> at th</w:t>
      </w:r>
      <w:r w:rsidR="001E2FFF">
        <w:t>e diagnostic</w:t>
      </w:r>
      <w:r w:rsidR="00AB4D81">
        <w:t xml:space="preserve"> stage of the screening pathway</w:t>
      </w:r>
      <w:r w:rsidR="00082D23">
        <w:t>.</w:t>
      </w:r>
    </w:p>
    <w:p w14:paraId="6AA21BAA" w14:textId="2238EE58" w:rsidR="00066B25" w:rsidRDefault="00082D23" w:rsidP="00066B25">
      <w:pPr>
        <w:pStyle w:val="Heading2"/>
      </w:pPr>
      <w:bookmarkStart w:id="94" w:name="_Ref68613000"/>
      <w:bookmarkStart w:id="95" w:name="_Toc107837508"/>
      <w:bookmarkStart w:id="96" w:name="_Toc66951775"/>
      <w:bookmarkStart w:id="97" w:name="_Ref67386002"/>
      <w:bookmarkStart w:id="98" w:name="_Ref67400987"/>
      <w:bookmarkStart w:id="99" w:name="_Ref67402437"/>
      <w:bookmarkStart w:id="100" w:name="_Ref67402491"/>
      <w:bookmarkStart w:id="101" w:name="_Ref67404274"/>
      <w:bookmarkStart w:id="102" w:name="_Ref67849594"/>
      <w:bookmarkStart w:id="103" w:name="_Ref68541994"/>
      <w:r>
        <w:t xml:space="preserve">What are the key identified opportunities to improve the appropriateness of </w:t>
      </w:r>
      <w:r w:rsidR="006B48D6">
        <w:t>the Program?</w:t>
      </w:r>
      <w:bookmarkEnd w:id="94"/>
      <w:bookmarkEnd w:id="95"/>
    </w:p>
    <w:p w14:paraId="7D1C5E3D" w14:textId="53CACD1E" w:rsidR="002D22BF" w:rsidRPr="002D22BF" w:rsidRDefault="002D22BF" w:rsidP="002D22BF">
      <w:pPr>
        <w:rPr>
          <w:lang w:val="en-US"/>
        </w:rPr>
      </w:pPr>
      <w:r>
        <w:rPr>
          <w:lang w:val="en-US"/>
        </w:rPr>
        <w:t>In reflecting on the key findings that emerged related to the appropriateness of the Program, the following opportunities for Program enhancement were identified</w:t>
      </w:r>
      <w:r w:rsidR="00DA49C6">
        <w:rPr>
          <w:lang w:val="en-US"/>
        </w:rPr>
        <w:t>.</w:t>
      </w:r>
    </w:p>
    <w:p w14:paraId="01E2D152" w14:textId="1D690518" w:rsidR="006B48D6" w:rsidRPr="00992BC5" w:rsidRDefault="00C81096" w:rsidP="00992BC5">
      <w:pPr>
        <w:pStyle w:val="Heading3un-numbered"/>
      </w:pPr>
      <w:r w:rsidRPr="00992BC5">
        <w:t>The Program</w:t>
      </w:r>
    </w:p>
    <w:p w14:paraId="5A07B0FD" w14:textId="0DFD3F00" w:rsidR="00352F83" w:rsidRPr="00815EA5" w:rsidRDefault="00FD630A" w:rsidP="009B7473">
      <w:pPr>
        <w:pStyle w:val="ListNumber3"/>
        <w:rPr>
          <w:lang w:val="en-US"/>
        </w:rPr>
      </w:pPr>
      <w:r w:rsidRPr="00815EA5">
        <w:rPr>
          <w:lang w:val="en-US"/>
        </w:rPr>
        <w:t xml:space="preserve">Consider </w:t>
      </w:r>
      <w:r w:rsidR="00065D6F" w:rsidRPr="009B7473">
        <w:t>feasibility</w:t>
      </w:r>
      <w:r w:rsidR="00065D6F" w:rsidRPr="00815EA5">
        <w:rPr>
          <w:lang w:val="en-US"/>
        </w:rPr>
        <w:t xml:space="preserve"> of lowering screening entry age to 40 </w:t>
      </w:r>
      <w:r w:rsidR="000A4138" w:rsidRPr="00815EA5">
        <w:rPr>
          <w:lang w:val="en-US"/>
        </w:rPr>
        <w:t xml:space="preserve">or </w:t>
      </w:r>
      <w:r w:rsidR="00065D6F" w:rsidRPr="00815EA5">
        <w:rPr>
          <w:lang w:val="en-US"/>
        </w:rPr>
        <w:t>45 for Aboriginal and Torres Strait Islander people, coupled with scale up of the Alternative Pathway pilot for this group.</w:t>
      </w:r>
    </w:p>
    <w:p w14:paraId="1BCF4E7D" w14:textId="43C0ABA4" w:rsidR="0013057A" w:rsidRPr="0013057A" w:rsidRDefault="00775866" w:rsidP="00DA046E">
      <w:r w:rsidRPr="00815EA5">
        <w:rPr>
          <w:lang w:val="en-US"/>
        </w:rPr>
        <w:lastRenderedPageBreak/>
        <w:t>This decision</w:t>
      </w:r>
      <w:r w:rsidR="008B3882" w:rsidRPr="00815EA5">
        <w:rPr>
          <w:lang w:val="en-US"/>
        </w:rPr>
        <w:t xml:space="preserve"> should </w:t>
      </w:r>
      <w:r w:rsidR="00DA046E" w:rsidRPr="00815EA5">
        <w:rPr>
          <w:lang w:val="en-US"/>
        </w:rPr>
        <w:t xml:space="preserve">consider </w:t>
      </w:r>
      <w:r w:rsidR="00DA046E" w:rsidRPr="00815EA5">
        <w:t xml:space="preserve">the existing barriers to participation in this </w:t>
      </w:r>
      <w:r w:rsidR="008B3882" w:rsidRPr="00815EA5">
        <w:t>cohort</w:t>
      </w:r>
      <w:r w:rsidR="00DA046E" w:rsidRPr="00815EA5">
        <w:t>,</w:t>
      </w:r>
      <w:r w:rsidR="008B3882" w:rsidRPr="00815EA5">
        <w:t xml:space="preserve"> and </w:t>
      </w:r>
      <w:r w:rsidR="00DA046E" w:rsidRPr="00815EA5">
        <w:t>associated</w:t>
      </w:r>
      <w:r w:rsidR="008B3882" w:rsidRPr="00815EA5">
        <w:t xml:space="preserve"> investment in alternative pathways </w:t>
      </w:r>
      <w:r w:rsidR="00DA046E" w:rsidRPr="00815EA5">
        <w:t>to optimise</w:t>
      </w:r>
      <w:r w:rsidR="008B3882" w:rsidRPr="00815EA5">
        <w:t xml:space="preserve"> participation </w:t>
      </w:r>
      <w:r w:rsidR="00DA046E" w:rsidRPr="00815EA5">
        <w:t xml:space="preserve">across the screening pathway. </w:t>
      </w:r>
      <w:r w:rsidRPr="00815EA5">
        <w:t xml:space="preserve">Please refer to </w:t>
      </w:r>
      <w:r w:rsidR="003040C0">
        <w:t>s</w:t>
      </w:r>
      <w:r w:rsidRPr="00815EA5">
        <w:t xml:space="preserve">ection </w:t>
      </w:r>
      <w:r w:rsidR="0082568E" w:rsidRPr="00815EA5">
        <w:fldChar w:fldCharType="begin"/>
      </w:r>
      <w:r w:rsidR="0082568E" w:rsidRPr="00815EA5">
        <w:instrText xml:space="preserve"> REF _Ref74292669 \n \h  \* MERGEFORMAT </w:instrText>
      </w:r>
      <w:r w:rsidR="0082568E" w:rsidRPr="00815EA5">
        <w:fldChar w:fldCharType="separate"/>
      </w:r>
      <w:r w:rsidR="00F27525">
        <w:t>6.1.5</w:t>
      </w:r>
      <w:r w:rsidR="0082568E" w:rsidRPr="00815EA5">
        <w:fldChar w:fldCharType="end"/>
      </w:r>
      <w:r w:rsidR="0082568E" w:rsidRPr="005051CA">
        <w:t>.</w:t>
      </w:r>
    </w:p>
    <w:p w14:paraId="30EE1CDD" w14:textId="525FC909" w:rsidR="00511719" w:rsidRPr="00944D88" w:rsidRDefault="00FA08FB" w:rsidP="009B7473">
      <w:pPr>
        <w:pStyle w:val="ListNumber3"/>
        <w:rPr>
          <w:lang w:val="en-US"/>
        </w:rPr>
      </w:pPr>
      <w:r w:rsidRPr="00944D88">
        <w:rPr>
          <w:lang w:val="en-US"/>
        </w:rPr>
        <w:t>Review</w:t>
      </w:r>
      <w:r w:rsidR="00E44FE8">
        <w:rPr>
          <w:lang w:val="en-US"/>
        </w:rPr>
        <w:t xml:space="preserve"> the appropriateness of</w:t>
      </w:r>
      <w:r w:rsidR="00E01360" w:rsidRPr="00944D88">
        <w:rPr>
          <w:lang w:val="en-US"/>
        </w:rPr>
        <w:t xml:space="preserve"> timing intervals for</w:t>
      </w:r>
      <w:r w:rsidR="00E44FE8">
        <w:rPr>
          <w:lang w:val="en-US"/>
        </w:rPr>
        <w:t xml:space="preserve"> GP and colono</w:t>
      </w:r>
      <w:r w:rsidR="001108D6">
        <w:rPr>
          <w:lang w:val="en-US"/>
        </w:rPr>
        <w:t>scopy</w:t>
      </w:r>
      <w:r w:rsidR="00576131">
        <w:rPr>
          <w:lang w:val="en-US"/>
        </w:rPr>
        <w:t xml:space="preserve"> </w:t>
      </w:r>
      <w:r w:rsidR="00576131" w:rsidRPr="009B7473">
        <w:t>follow</w:t>
      </w:r>
      <w:r w:rsidR="00576131">
        <w:rPr>
          <w:lang w:val="en-US"/>
        </w:rPr>
        <w:t>-up</w:t>
      </w:r>
      <w:r w:rsidR="00E01360" w:rsidRPr="00944D88">
        <w:rPr>
          <w:lang w:val="en-US"/>
        </w:rPr>
        <w:t xml:space="preserve"> reminders</w:t>
      </w:r>
      <w:r w:rsidRPr="00944D88">
        <w:rPr>
          <w:lang w:val="en-US"/>
        </w:rPr>
        <w:t xml:space="preserve"> with clinical input.</w:t>
      </w:r>
    </w:p>
    <w:p w14:paraId="1E7E5064" w14:textId="69B570C3" w:rsidR="0016714E" w:rsidRPr="00F53A52" w:rsidRDefault="00ED3117" w:rsidP="00F53A52">
      <w:r w:rsidRPr="00F53A52">
        <w:t xml:space="preserve">Proposals to </w:t>
      </w:r>
      <w:r w:rsidR="00BE68FF" w:rsidRPr="00F53A52">
        <w:t>decrease</w:t>
      </w:r>
      <w:r w:rsidRPr="00F53A52">
        <w:t xml:space="preserve"> timeframes for GP follow-up reminders and increase timeframes for colonos</w:t>
      </w:r>
      <w:r w:rsidR="00BE68FF" w:rsidRPr="00F53A52">
        <w:t>co</w:t>
      </w:r>
      <w:r w:rsidRPr="00F53A52">
        <w:t xml:space="preserve">py follow-up reminders </w:t>
      </w:r>
      <w:r w:rsidR="005565C3" w:rsidRPr="00F53A52">
        <w:t xml:space="preserve">may be appropriate based on an understanding of the key access barriers along the screening pathway. However, the suitability of the exact timings </w:t>
      </w:r>
      <w:r w:rsidR="001F139D" w:rsidRPr="00F53A52">
        <w:t xml:space="preserve">should be </w:t>
      </w:r>
      <w:r w:rsidR="005565C3" w:rsidRPr="00F53A52">
        <w:t xml:space="preserve">tested and validated with </w:t>
      </w:r>
      <w:r w:rsidR="008F4275">
        <w:t>advisory group</w:t>
      </w:r>
      <w:r w:rsidR="0025196C">
        <w:t>s</w:t>
      </w:r>
      <w:r w:rsidR="005565C3" w:rsidRPr="00F53A52">
        <w:t xml:space="preserve"> and other representatives from jurisdictional colorectal departments</w:t>
      </w:r>
      <w:r w:rsidR="00A76024" w:rsidRPr="00F53A52">
        <w:t>.</w:t>
      </w:r>
    </w:p>
    <w:p w14:paraId="7D32F843" w14:textId="16B1F1A5" w:rsidR="00F506BC" w:rsidRPr="009B7473" w:rsidRDefault="00F506BC" w:rsidP="009B7473">
      <w:pPr>
        <w:pStyle w:val="ListNumber3"/>
        <w:rPr>
          <w:lang w:val="en-US"/>
        </w:rPr>
      </w:pPr>
      <w:r w:rsidRPr="009B7473">
        <w:rPr>
          <w:lang w:val="en-US"/>
        </w:rPr>
        <w:t xml:space="preserve">Consider alternate forms of </w:t>
      </w:r>
      <w:r w:rsidR="00D81845" w:rsidRPr="009B7473">
        <w:rPr>
          <w:lang w:val="en-US"/>
        </w:rPr>
        <w:t xml:space="preserve">PFUF </w:t>
      </w:r>
      <w:r w:rsidRPr="009B7473">
        <w:rPr>
          <w:lang w:val="en-US"/>
        </w:rPr>
        <w:t xml:space="preserve">communication which do not require simultaneous </w:t>
      </w:r>
      <w:r w:rsidRPr="009B7473">
        <w:t>availability</w:t>
      </w:r>
      <w:r w:rsidRPr="009B7473">
        <w:rPr>
          <w:lang w:val="en-US"/>
        </w:rPr>
        <w:t xml:space="preserve"> of the PFUF officer and recipient (</w:t>
      </w:r>
      <w:proofErr w:type="gramStart"/>
      <w:r w:rsidRPr="009B7473">
        <w:rPr>
          <w:lang w:val="en-US"/>
        </w:rPr>
        <w:t>e.g.</w:t>
      </w:r>
      <w:proofErr w:type="gramEnd"/>
      <w:r w:rsidRPr="009B7473">
        <w:rPr>
          <w:lang w:val="en-US"/>
        </w:rPr>
        <w:t xml:space="preserve"> email/SMS).</w:t>
      </w:r>
    </w:p>
    <w:p w14:paraId="677B387D" w14:textId="2C538E46" w:rsidR="00F506BC" w:rsidRPr="00F678D8" w:rsidRDefault="007406B4" w:rsidP="00F53A52">
      <w:pPr>
        <w:rPr>
          <w:bCs/>
          <w:lang w:val="en-US"/>
        </w:rPr>
      </w:pPr>
      <w:r>
        <w:rPr>
          <w:bCs/>
          <w:lang w:val="en-US"/>
        </w:rPr>
        <w:t>E</w:t>
      </w:r>
      <w:r w:rsidR="00F506BC" w:rsidRPr="00F506BC">
        <w:rPr>
          <w:bCs/>
          <w:lang w:val="en-US"/>
        </w:rPr>
        <w:t xml:space="preserve">mail/SMS reminders may allow the Program to reach participants more efficiently, noting that these communication methods would need to comply with relevant privacy legislation as well as the legal framework of the </w:t>
      </w:r>
      <w:r w:rsidR="00942C87">
        <w:rPr>
          <w:bCs/>
          <w:lang w:val="en-US"/>
        </w:rPr>
        <w:t>NCSR</w:t>
      </w:r>
      <w:r w:rsidR="00F506BC" w:rsidRPr="00F506BC">
        <w:rPr>
          <w:bCs/>
          <w:lang w:val="en-US"/>
        </w:rPr>
        <w:t>, and the data would need to be available to support this method of communication.</w:t>
      </w:r>
    </w:p>
    <w:p w14:paraId="246966CC" w14:textId="38772AA5" w:rsidR="008C7371" w:rsidRDefault="008C7371" w:rsidP="00992BC5">
      <w:pPr>
        <w:pStyle w:val="Heading3un-numbered"/>
        <w:rPr>
          <w:lang w:val="en-US"/>
        </w:rPr>
      </w:pPr>
      <w:r w:rsidRPr="001749EF">
        <w:rPr>
          <w:lang w:val="en-US"/>
        </w:rPr>
        <w:t>Colonoscopy</w:t>
      </w:r>
    </w:p>
    <w:bookmarkEnd w:id="96"/>
    <w:bookmarkEnd w:id="97"/>
    <w:bookmarkEnd w:id="98"/>
    <w:bookmarkEnd w:id="99"/>
    <w:bookmarkEnd w:id="100"/>
    <w:bookmarkEnd w:id="101"/>
    <w:bookmarkEnd w:id="102"/>
    <w:bookmarkEnd w:id="103"/>
    <w:p w14:paraId="27A01365" w14:textId="31CA19C8" w:rsidR="003D42CD" w:rsidRPr="009B7473" w:rsidRDefault="003D42CD" w:rsidP="009B7473">
      <w:pPr>
        <w:pStyle w:val="ListNumber3"/>
        <w:rPr>
          <w:lang w:val="en-US"/>
        </w:rPr>
      </w:pPr>
      <w:r w:rsidRPr="009B7473">
        <w:rPr>
          <w:lang w:val="en-US"/>
        </w:rPr>
        <w:t>Engage with PHNs and professional bodies (</w:t>
      </w:r>
      <w:proofErr w:type="gramStart"/>
      <w:r w:rsidRPr="009B7473">
        <w:rPr>
          <w:lang w:val="en-US"/>
        </w:rPr>
        <w:t>e.g.</w:t>
      </w:r>
      <w:proofErr w:type="gramEnd"/>
      <w:r w:rsidRPr="009B7473">
        <w:rPr>
          <w:lang w:val="en-US"/>
        </w:rPr>
        <w:t xml:space="preserve"> </w:t>
      </w:r>
      <w:r w:rsidR="00B54C95" w:rsidRPr="009B7473">
        <w:rPr>
          <w:lang w:val="en-US"/>
        </w:rPr>
        <w:t xml:space="preserve">Royal Australian College of General Practitioners </w:t>
      </w:r>
      <w:r w:rsidRPr="009B7473">
        <w:rPr>
          <w:lang w:val="en-US"/>
        </w:rPr>
        <w:t xml:space="preserve">and </w:t>
      </w:r>
      <w:r w:rsidR="00B54C95" w:rsidRPr="009B7473">
        <w:rPr>
          <w:lang w:val="en-US"/>
        </w:rPr>
        <w:t>Royal Australian College of Physicians</w:t>
      </w:r>
      <w:r w:rsidRPr="009B7473">
        <w:rPr>
          <w:lang w:val="en-US"/>
        </w:rPr>
        <w:t>) to promote a comprehensive set of educational materials which describe the NHMRC</w:t>
      </w:r>
      <w:r w:rsidR="009C4B4F" w:rsidRPr="009B7473">
        <w:rPr>
          <w:lang w:val="en-US"/>
        </w:rPr>
        <w:t>-</w:t>
      </w:r>
      <w:r w:rsidRPr="009B7473">
        <w:rPr>
          <w:lang w:val="en-US"/>
        </w:rPr>
        <w:t>approved clinical practice guidelines, the Program’s full alignment with biennial screening recommendations, and recent changes to the MBS item codes for colonoscopy.</w:t>
      </w:r>
    </w:p>
    <w:p w14:paraId="742B9381" w14:textId="314BDEF4" w:rsidR="00332CD1" w:rsidRDefault="00332CD1" w:rsidP="00332CD1">
      <w:pPr>
        <w:rPr>
          <w:lang w:val="en-US"/>
        </w:rPr>
      </w:pPr>
      <w:r>
        <w:rPr>
          <w:lang w:val="en-US"/>
        </w:rPr>
        <w:t xml:space="preserve">Funding was provided during Phase Four of the Program for the revision of the following </w:t>
      </w:r>
      <w:r w:rsidR="00772593">
        <w:rPr>
          <w:lang w:val="en-US"/>
        </w:rPr>
        <w:t>NHMRC</w:t>
      </w:r>
      <w:r w:rsidR="009C4B4F">
        <w:rPr>
          <w:lang w:val="en-US"/>
        </w:rPr>
        <w:t>-</w:t>
      </w:r>
      <w:r w:rsidR="00772593">
        <w:rPr>
          <w:lang w:val="en-US"/>
        </w:rPr>
        <w:t>approved</w:t>
      </w:r>
      <w:r>
        <w:rPr>
          <w:lang w:val="en-US"/>
        </w:rPr>
        <w:t xml:space="preserve"> guidelines:</w:t>
      </w:r>
    </w:p>
    <w:p w14:paraId="46C6A9DC" w14:textId="77777777" w:rsidR="00332CD1" w:rsidRPr="00992BC5" w:rsidRDefault="00332CD1" w:rsidP="00992BC5">
      <w:pPr>
        <w:pStyle w:val="ListBullet"/>
      </w:pPr>
      <w:r w:rsidRPr="00992BC5">
        <w:t>Clinical practice guidelines for the prevention, early detection and management of colorectal cancer (updated in 2017)</w:t>
      </w:r>
    </w:p>
    <w:p w14:paraId="4E6F2946" w14:textId="77777777" w:rsidR="00332CD1" w:rsidRPr="00992BC5" w:rsidRDefault="00332CD1" w:rsidP="00992BC5">
      <w:pPr>
        <w:pStyle w:val="ListBullet"/>
      </w:pPr>
      <w:r w:rsidRPr="00992BC5">
        <w:t>Clinical practice guidelines for surveillance colonoscopy – in adenoma follow-up; following curative resection of colorectal cancer; and for cancer surveillance in inflammatory bowel disease (updated in 2019)</w:t>
      </w:r>
    </w:p>
    <w:p w14:paraId="3FF94C0F" w14:textId="3130345E" w:rsidR="00014A0D" w:rsidRDefault="00332CD1" w:rsidP="00332CD1">
      <w:pPr>
        <w:rPr>
          <w:lang w:val="en-US"/>
        </w:rPr>
      </w:pPr>
      <w:r>
        <w:rPr>
          <w:lang w:val="en-US"/>
        </w:rPr>
        <w:t xml:space="preserve">Collectively, these guidelines provide clinical advice to GPs and specialists regarding the appropriate use of colonoscopy for bowel cancer screening, diagnostic assessment and ongoing surveillance depending on the patient’s risk profile. </w:t>
      </w:r>
      <w:r w:rsidR="00227B19">
        <w:rPr>
          <w:lang w:val="en-US"/>
        </w:rPr>
        <w:t>These g</w:t>
      </w:r>
      <w:r w:rsidR="00625C70">
        <w:rPr>
          <w:lang w:val="en-US"/>
        </w:rPr>
        <w:t xml:space="preserve">uidelines also </w:t>
      </w:r>
      <w:r w:rsidR="00B17C00">
        <w:rPr>
          <w:lang w:val="en-US"/>
        </w:rPr>
        <w:t>improve understand</w:t>
      </w:r>
      <w:r w:rsidR="00C527FE">
        <w:rPr>
          <w:lang w:val="en-US"/>
        </w:rPr>
        <w:t>ing regarding</w:t>
      </w:r>
      <w:r w:rsidR="00B17C00">
        <w:rPr>
          <w:lang w:val="en-US"/>
        </w:rPr>
        <w:t xml:space="preserve"> recent changes to MBS item codes. </w:t>
      </w:r>
      <w:r>
        <w:rPr>
          <w:lang w:val="en-US"/>
        </w:rPr>
        <w:t xml:space="preserve">Consequently, increasing awareness and uptake of the guidelines among relevant health professionals may minimise the volume of low-value colonoscopies currently perceived to be contributing to capacity issues. </w:t>
      </w:r>
    </w:p>
    <w:p w14:paraId="198F3FCB" w14:textId="46B5138D" w:rsidR="00332CD1" w:rsidRPr="00617E13" w:rsidRDefault="00332CD1" w:rsidP="00332CD1">
      <w:pPr>
        <w:rPr>
          <w:lang w:val="en-US"/>
        </w:rPr>
      </w:pPr>
      <w:r>
        <w:rPr>
          <w:lang w:val="en-US"/>
        </w:rPr>
        <w:t>Given that a core function of PHNs is provision of practice support to health professionals, they are well placed to leverage their relationships and knowledge of local contextual factors to promote the guidelines in an effective manner.</w:t>
      </w:r>
      <w:r w:rsidR="00682632">
        <w:rPr>
          <w:lang w:val="en-US"/>
        </w:rPr>
        <w:t xml:space="preserve"> This co</w:t>
      </w:r>
      <w:r w:rsidR="008D3A9F">
        <w:rPr>
          <w:lang w:val="en-US"/>
        </w:rPr>
        <w:t>u</w:t>
      </w:r>
      <w:r w:rsidR="00682632">
        <w:rPr>
          <w:lang w:val="en-US"/>
        </w:rPr>
        <w:t xml:space="preserve">ld also be achieved by encouraging </w:t>
      </w:r>
      <w:r w:rsidR="00682632">
        <w:t xml:space="preserve">hospital intake hubs </w:t>
      </w:r>
      <w:r w:rsidR="000B0681">
        <w:t>to r</w:t>
      </w:r>
      <w:r w:rsidR="00682632">
        <w:t xml:space="preserve">eiterate the </w:t>
      </w:r>
      <w:r w:rsidR="00772593">
        <w:t>NHMRC</w:t>
      </w:r>
      <w:r w:rsidR="009C4B4F">
        <w:t>-</w:t>
      </w:r>
      <w:r w:rsidR="00772593">
        <w:t>approved</w:t>
      </w:r>
      <w:r w:rsidR="00C12A2F">
        <w:t xml:space="preserve"> </w:t>
      </w:r>
      <w:r w:rsidR="00682632">
        <w:t>clinical practice guidelines</w:t>
      </w:r>
      <w:r w:rsidR="000B0681">
        <w:t xml:space="preserve"> in GP electronic referral forms.</w:t>
      </w:r>
    </w:p>
    <w:p w14:paraId="4EABD64E" w14:textId="1035032B" w:rsidR="003D32B3" w:rsidRDefault="00332CD1" w:rsidP="008C7371">
      <w:r w:rsidRPr="00297A37">
        <w:t xml:space="preserve">Note: </w:t>
      </w:r>
      <w:r>
        <w:t>D</w:t>
      </w:r>
      <w:r w:rsidRPr="00297A37">
        <w:t xml:space="preserve">etailed opportunities to improve the invitation and participation component of the pathway are described </w:t>
      </w:r>
      <w:r w:rsidRPr="006C2B5C">
        <w:t xml:space="preserve">in </w:t>
      </w:r>
      <w:r w:rsidRPr="00883E3E">
        <w:t xml:space="preserve">section </w:t>
      </w:r>
      <w:r w:rsidRPr="00883E3E">
        <w:fldChar w:fldCharType="begin"/>
      </w:r>
      <w:r w:rsidRPr="00883E3E">
        <w:instrText xml:space="preserve"> REF _Ref67847596 \r \h </w:instrText>
      </w:r>
      <w:r w:rsidRPr="00883E3E">
        <w:fldChar w:fldCharType="separate"/>
      </w:r>
      <w:r w:rsidR="00F27525">
        <w:t>4.2</w:t>
      </w:r>
      <w:r w:rsidRPr="00883E3E">
        <w:fldChar w:fldCharType="end"/>
      </w:r>
      <w:r w:rsidRPr="00883E3E">
        <w:t xml:space="preserve"> </w:t>
      </w:r>
      <w:r w:rsidRPr="00297A37">
        <w:t>below.</w:t>
      </w:r>
    </w:p>
    <w:p w14:paraId="00D1054F" w14:textId="72602FCB" w:rsidR="00082D23" w:rsidRPr="009B7473" w:rsidRDefault="000F58C7" w:rsidP="009B7473">
      <w:pPr>
        <w:pStyle w:val="ListNumber3"/>
      </w:pPr>
      <w:r w:rsidRPr="009B7473">
        <w:t>S</w:t>
      </w:r>
      <w:r w:rsidR="00082D23" w:rsidRPr="009B7473">
        <w:t xml:space="preserve">tates and territories to pilot innovative </w:t>
      </w:r>
      <w:r w:rsidR="00CB2286" w:rsidRPr="009B7473">
        <w:t>colonos</w:t>
      </w:r>
      <w:r w:rsidR="002F3012" w:rsidRPr="009B7473">
        <w:t>c</w:t>
      </w:r>
      <w:r w:rsidR="00CB2286" w:rsidRPr="009B7473">
        <w:t xml:space="preserve">opy </w:t>
      </w:r>
      <w:r w:rsidR="00082D23" w:rsidRPr="009B7473">
        <w:t>access models</w:t>
      </w:r>
      <w:r w:rsidR="00CB2286" w:rsidRPr="009B7473">
        <w:t>.</w:t>
      </w:r>
    </w:p>
    <w:p w14:paraId="2C205D8F" w14:textId="0D307E52" w:rsidR="00BB71B3" w:rsidRDefault="00475986" w:rsidP="007A32A0">
      <w:r>
        <w:t xml:space="preserve">To improve compliance with the </w:t>
      </w:r>
      <w:r w:rsidR="003D5CF8">
        <w:t xml:space="preserve">diagnostic component of the </w:t>
      </w:r>
      <w:r>
        <w:t xml:space="preserve">screening pathway, </w:t>
      </w:r>
      <w:r w:rsidR="00C5431F">
        <w:t xml:space="preserve">states and territories </w:t>
      </w:r>
      <w:r w:rsidR="00CD5B19">
        <w:t>should</w:t>
      </w:r>
      <w:r w:rsidR="00C5431F">
        <w:t xml:space="preserve"> trial innovative colonoscopy access models, tailored to their jurisdictions. </w:t>
      </w:r>
      <w:r w:rsidR="00880CDE">
        <w:t>It is envisaged these</w:t>
      </w:r>
      <w:r w:rsidR="005D4C8C">
        <w:t xml:space="preserve"> p</w:t>
      </w:r>
      <w:r w:rsidR="000E76DF">
        <w:t xml:space="preserve">ilot models </w:t>
      </w:r>
      <w:r w:rsidR="00880CDE">
        <w:t>would</w:t>
      </w:r>
      <w:r w:rsidR="000F3AB9">
        <w:t xml:space="preserve"> </w:t>
      </w:r>
      <w:r w:rsidR="000E76DF">
        <w:t xml:space="preserve">involve </w:t>
      </w:r>
      <w:r w:rsidR="000F3AB9">
        <w:t xml:space="preserve">reshaping the </w:t>
      </w:r>
      <w:r w:rsidR="00F035F7">
        <w:t>role</w:t>
      </w:r>
      <w:r w:rsidR="000F3AB9">
        <w:t xml:space="preserve"> of the PFUF office</w:t>
      </w:r>
      <w:r w:rsidR="00750059">
        <w:t>r to a scope of practice which</w:t>
      </w:r>
      <w:r w:rsidR="00BE3C3A">
        <w:t xml:space="preserve"> </w:t>
      </w:r>
      <w:r w:rsidR="00C67A19">
        <w:t>directly facilitate</w:t>
      </w:r>
      <w:r w:rsidR="00750059">
        <w:t>s</w:t>
      </w:r>
      <w:r w:rsidR="00C67A19">
        <w:t xml:space="preserve"> the process of colonoscopy follow-up. </w:t>
      </w:r>
    </w:p>
    <w:p w14:paraId="1B7AF19F" w14:textId="30F73F3D" w:rsidR="00880CDE" w:rsidRDefault="00277E9D" w:rsidP="007A32A0">
      <w:r>
        <w:lastRenderedPageBreak/>
        <w:t>Reshaping</w:t>
      </w:r>
      <w:r w:rsidR="00053609">
        <w:t xml:space="preserve"> the PFUF scope of practice </w:t>
      </w:r>
      <w:r w:rsidR="002A339F">
        <w:t>may</w:t>
      </w:r>
      <w:r w:rsidR="00053609">
        <w:t xml:space="preserve"> </w:t>
      </w:r>
      <w:r>
        <w:t xml:space="preserve">also </w:t>
      </w:r>
      <w:r w:rsidR="00F24BDE">
        <w:t xml:space="preserve">change the </w:t>
      </w:r>
      <w:r w:rsidR="00FC0145">
        <w:t>expected role</w:t>
      </w:r>
      <w:r w:rsidR="006B2188">
        <w:t xml:space="preserve"> </w:t>
      </w:r>
      <w:r w:rsidR="00110893">
        <w:t xml:space="preserve">of GPs in the </w:t>
      </w:r>
      <w:r w:rsidR="00BB71B3">
        <w:t>screening pathway</w:t>
      </w:r>
      <w:r w:rsidR="009B6EBC">
        <w:t xml:space="preserve"> (as a referrer)</w:t>
      </w:r>
      <w:r w:rsidR="00185561">
        <w:t>. As a result, the design of pilot initiatives</w:t>
      </w:r>
      <w:r w:rsidR="00110893">
        <w:t xml:space="preserve"> </w:t>
      </w:r>
      <w:r w:rsidR="008A0CF6">
        <w:t xml:space="preserve">will require </w:t>
      </w:r>
      <w:r w:rsidR="00AB452A">
        <w:t xml:space="preserve">GP </w:t>
      </w:r>
      <w:r w:rsidR="006B06B6">
        <w:t>representation</w:t>
      </w:r>
      <w:r w:rsidR="000671CE">
        <w:t>,</w:t>
      </w:r>
      <w:r w:rsidR="008A0CF6">
        <w:t xml:space="preserve"> and </w:t>
      </w:r>
      <w:r w:rsidR="000671CE">
        <w:t xml:space="preserve">plans for </w:t>
      </w:r>
      <w:r w:rsidR="00B17517">
        <w:t xml:space="preserve">communication and education </w:t>
      </w:r>
      <w:r w:rsidR="009206CB">
        <w:t>ahead of implementation.</w:t>
      </w:r>
      <w:r w:rsidR="00856F6B">
        <w:t xml:space="preserve"> </w:t>
      </w:r>
    </w:p>
    <w:p w14:paraId="11028250" w14:textId="2EA1A5AC" w:rsidR="007A32A0" w:rsidRPr="00CC5E28" w:rsidRDefault="00C67A19" w:rsidP="007A32A0">
      <w:r>
        <w:t>Thi</w:t>
      </w:r>
      <w:r w:rsidR="00750059">
        <w:t xml:space="preserve">s </w:t>
      </w:r>
      <w:r w:rsidR="005F67F7">
        <w:t>opportunity</w:t>
      </w:r>
      <w:r w:rsidR="00750059">
        <w:t xml:space="preserve"> </w:t>
      </w:r>
      <w:r w:rsidR="00377D6D">
        <w:t>would</w:t>
      </w:r>
      <w:r w:rsidR="00750059">
        <w:t xml:space="preserve"> require consultation with the states and territorie</w:t>
      </w:r>
      <w:r w:rsidR="007A32A0">
        <w:t xml:space="preserve">s to </w:t>
      </w:r>
      <w:r w:rsidR="00AC7B0E">
        <w:t>create stakeholder buy-in</w:t>
      </w:r>
      <w:r w:rsidR="00BC44AC">
        <w:t xml:space="preserve"> and </w:t>
      </w:r>
      <w:r w:rsidR="00924482">
        <w:t>facilitate</w:t>
      </w:r>
      <w:r w:rsidR="00F345DD">
        <w:t xml:space="preserve"> </w:t>
      </w:r>
      <w:r w:rsidR="00462D6D">
        <w:t>integration</w:t>
      </w:r>
      <w:r w:rsidR="00F345DD">
        <w:t xml:space="preserve"> with </w:t>
      </w:r>
      <w:r w:rsidR="00924482">
        <w:t xml:space="preserve">local </w:t>
      </w:r>
      <w:r w:rsidR="00462D6D">
        <w:t>colo</w:t>
      </w:r>
      <w:r w:rsidR="00944D88">
        <w:t>rectal</w:t>
      </w:r>
      <w:r w:rsidR="00F345DD">
        <w:t xml:space="preserve"> </w:t>
      </w:r>
      <w:r w:rsidR="00462D6D">
        <w:t>departments</w:t>
      </w:r>
      <w:r w:rsidR="008D74FB">
        <w:t>.</w:t>
      </w:r>
      <w:r w:rsidR="00F345DD">
        <w:t xml:space="preserve"> </w:t>
      </w:r>
      <w:r w:rsidR="008D74FB">
        <w:t xml:space="preserve">In addition, </w:t>
      </w:r>
      <w:r w:rsidR="00717FA5">
        <w:t>future</w:t>
      </w:r>
      <w:r w:rsidR="00CC5E28">
        <w:t xml:space="preserve"> </w:t>
      </w:r>
      <w:r w:rsidR="00CC5E28">
        <w:rPr>
          <w:i/>
          <w:iCs/>
        </w:rPr>
        <w:t xml:space="preserve">National Partnership Agreements </w:t>
      </w:r>
      <w:r w:rsidR="008D74FB" w:rsidRPr="008D74FB">
        <w:t xml:space="preserve">should </w:t>
      </w:r>
      <w:r w:rsidR="00CC5E28" w:rsidRPr="008D74FB">
        <w:t>contain</w:t>
      </w:r>
      <w:r w:rsidR="00CC5E28">
        <w:t xml:space="preserve"> suitable performance requirements</w:t>
      </w:r>
      <w:r w:rsidR="00DB704D">
        <w:t xml:space="preserve"> for </w:t>
      </w:r>
      <w:r w:rsidR="00717FA5">
        <w:t>jurisdi</w:t>
      </w:r>
      <w:r w:rsidR="004D4349">
        <w:t>ctions that elect to undertake pilot projects.</w:t>
      </w:r>
    </w:p>
    <w:p w14:paraId="23C396E1" w14:textId="54ACB92D" w:rsidR="00332CD1" w:rsidRDefault="00332CD1" w:rsidP="009B7473">
      <w:pPr>
        <w:pStyle w:val="ListNumber3"/>
        <w:rPr>
          <w:lang w:val="en-US"/>
        </w:rPr>
      </w:pPr>
      <w:r w:rsidRPr="00E7052F">
        <w:rPr>
          <w:lang w:val="en-US"/>
        </w:rPr>
        <w:t xml:space="preserve">Support the </w:t>
      </w:r>
      <w:r w:rsidR="00FF126F">
        <w:rPr>
          <w:lang w:val="en-US"/>
        </w:rPr>
        <w:t>ACSQHC</w:t>
      </w:r>
      <w:r w:rsidR="00FF126F" w:rsidRPr="00E7052F">
        <w:rPr>
          <w:lang w:val="en-US"/>
        </w:rPr>
        <w:t xml:space="preserve"> </w:t>
      </w:r>
      <w:r>
        <w:rPr>
          <w:lang w:val="en-US"/>
        </w:rPr>
        <w:t>with</w:t>
      </w:r>
      <w:r w:rsidRPr="00E7052F">
        <w:rPr>
          <w:lang w:val="en-US"/>
        </w:rPr>
        <w:t xml:space="preserve"> its implementation of the CCCS</w:t>
      </w:r>
      <w:r>
        <w:rPr>
          <w:lang w:val="en-US"/>
        </w:rPr>
        <w:t xml:space="preserve"> and monitor performance against colonoscopy quality standards.</w:t>
      </w:r>
    </w:p>
    <w:p w14:paraId="62BDBB34" w14:textId="12A05C1D" w:rsidR="00332CD1" w:rsidRPr="00CC5E28" w:rsidRDefault="00332CD1" w:rsidP="007A32A0">
      <w:r>
        <w:rPr>
          <w:lang w:val="en-US"/>
        </w:rPr>
        <w:t xml:space="preserve">The Department should continue to </w:t>
      </w:r>
      <w:r w:rsidRPr="00C051B8">
        <w:t xml:space="preserve">support the </w:t>
      </w:r>
      <w:r w:rsidR="00FF126F">
        <w:t>ACSQHC</w:t>
      </w:r>
      <w:r w:rsidR="00FF126F" w:rsidRPr="00C051B8">
        <w:t xml:space="preserve"> </w:t>
      </w:r>
      <w:r w:rsidRPr="00C051B8">
        <w:t>with its implem</w:t>
      </w:r>
      <w:r>
        <w:t>entation</w:t>
      </w:r>
      <w:r w:rsidRPr="00C051B8">
        <w:t xml:space="preserve"> of the CCCS</w:t>
      </w:r>
      <w:r>
        <w:t>, as required, given its importance in standardising the delivery of appropriate evidence-based colonoscopy care. The Department should also endeavour to monitor performance against the quality indicators set in the CCCS to inform targeted quality improvement. However, it is acknowledged that systematic assessment of colonoscopy quality across geographies and sites is challenged by the absence of a national minimum dataset.</w:t>
      </w:r>
    </w:p>
    <w:p w14:paraId="03C24D25" w14:textId="46CECF4E" w:rsidR="00082D23" w:rsidRPr="00F305EF" w:rsidRDefault="000850C0" w:rsidP="000850C0">
      <w:pPr>
        <w:pStyle w:val="Heading1"/>
      </w:pPr>
      <w:bookmarkStart w:id="104" w:name="_Toc107837509"/>
      <w:r>
        <w:lastRenderedPageBreak/>
        <w:t>Fidelity</w:t>
      </w:r>
      <w:bookmarkEnd w:id="104"/>
    </w:p>
    <w:p w14:paraId="74235685" w14:textId="186ABE3F" w:rsidR="00082D23" w:rsidRDefault="002B35D0" w:rsidP="002B35D0">
      <w:pPr>
        <w:pStyle w:val="Sectionintro"/>
      </w:pPr>
      <w:r w:rsidRPr="003D1E23">
        <w:t xml:space="preserve">This chapter </w:t>
      </w:r>
      <w:r>
        <w:t xml:space="preserve">addresses the extent to which the Program was implemented as intended, </w:t>
      </w:r>
      <w:r w:rsidR="007D05EA">
        <w:t>canvassing</w:t>
      </w:r>
      <w:r>
        <w:t xml:space="preserve"> </w:t>
      </w:r>
      <w:r w:rsidR="007D05EA">
        <w:t>Program delivery</w:t>
      </w:r>
      <w:r w:rsidR="00B57D3B">
        <w:t>,</w:t>
      </w:r>
      <w:r w:rsidR="007D05EA">
        <w:t xml:space="preserve"> data collection and reporting aspects, as well as the efficacy of Program governance structures.</w:t>
      </w:r>
    </w:p>
    <w:p w14:paraId="4953C8EA" w14:textId="2A4F17B2" w:rsidR="00082D23" w:rsidRDefault="002B35D0" w:rsidP="002B35D0">
      <w:pPr>
        <w:pStyle w:val="Heading2"/>
      </w:pPr>
      <w:bookmarkStart w:id="105" w:name="_Toc107837510"/>
      <w:r>
        <w:t>Was the Program delivered as intended?</w:t>
      </w:r>
      <w:bookmarkEnd w:id="105"/>
    </w:p>
    <w:p w14:paraId="66B9B951" w14:textId="07FED53B" w:rsidR="00273DDA" w:rsidRDefault="00273DDA" w:rsidP="00273DDA">
      <w:r>
        <w:t>This section outlines the extent to which the Program was delivered as intended, encompassing:</w:t>
      </w:r>
    </w:p>
    <w:p w14:paraId="7E074751" w14:textId="192C9851" w:rsidR="00273DDA" w:rsidRDefault="00273DDA" w:rsidP="00992BC5">
      <w:pPr>
        <w:pStyle w:val="ListBullet"/>
      </w:pPr>
      <w:r>
        <w:t>delivery aspects of the Program</w:t>
      </w:r>
    </w:p>
    <w:p w14:paraId="3E036015" w14:textId="24742D43" w:rsidR="00C466A8" w:rsidRDefault="00273DDA" w:rsidP="00992BC5">
      <w:pPr>
        <w:pStyle w:val="ListBullet"/>
      </w:pPr>
      <w:r>
        <w:t>data collection and reporting.</w:t>
      </w:r>
    </w:p>
    <w:p w14:paraId="3C8B7A54" w14:textId="5A2624FA" w:rsidR="00273DDA" w:rsidRDefault="00273DDA" w:rsidP="00273DDA">
      <w:pPr>
        <w:pStyle w:val="Heading3"/>
      </w:pPr>
      <w:bookmarkStart w:id="106" w:name="_Ref74231392"/>
      <w:r>
        <w:t>Program delivery aspects of the Program</w:t>
      </w:r>
      <w:bookmarkEnd w:id="106"/>
    </w:p>
    <w:p w14:paraId="3022E116" w14:textId="4A008C9A" w:rsidR="000E6706" w:rsidRPr="00992BC5" w:rsidRDefault="002B5B6F" w:rsidP="00992BC5">
      <w:pPr>
        <w:pStyle w:val="Heading4un-numbered"/>
      </w:pPr>
      <w:r w:rsidRPr="00992BC5">
        <w:t>The Program</w:t>
      </w:r>
      <w:r w:rsidR="00A75A5D" w:rsidRPr="00992BC5">
        <w:t xml:space="preserve"> was broadly delivered as in intended in </w:t>
      </w:r>
      <w:r w:rsidR="0007482B" w:rsidRPr="00992BC5">
        <w:t>P</w:t>
      </w:r>
      <w:r w:rsidR="00A75A5D" w:rsidRPr="00992BC5">
        <w:t xml:space="preserve">hase Four, </w:t>
      </w:r>
      <w:r w:rsidR="004572DF" w:rsidRPr="00992BC5">
        <w:t>with some deviations associated with kit reach and delays to the NCSR migration.</w:t>
      </w:r>
    </w:p>
    <w:p w14:paraId="0D0FD83A" w14:textId="437260BB" w:rsidR="003E7658" w:rsidRDefault="00775006" w:rsidP="00273DDA">
      <w:pPr>
        <w:rPr>
          <w:color w:val="000000" w:themeColor="text1"/>
        </w:rPr>
      </w:pPr>
      <w:r w:rsidRPr="00A859DD">
        <w:rPr>
          <w:color w:val="000000" w:themeColor="text1"/>
        </w:rPr>
        <w:t xml:space="preserve">Overall, </w:t>
      </w:r>
      <w:r w:rsidR="00510985">
        <w:rPr>
          <w:color w:val="000000" w:themeColor="text1"/>
        </w:rPr>
        <w:t xml:space="preserve">it appears the Program was </w:t>
      </w:r>
      <w:r w:rsidR="00D434C1">
        <w:rPr>
          <w:color w:val="000000" w:themeColor="text1"/>
        </w:rPr>
        <w:t xml:space="preserve">broadly </w:t>
      </w:r>
      <w:r w:rsidR="00510985">
        <w:rPr>
          <w:color w:val="000000" w:themeColor="text1"/>
        </w:rPr>
        <w:t>delivered as intended in Phase Four.</w:t>
      </w:r>
      <w:r w:rsidR="006F0CB7">
        <w:rPr>
          <w:color w:val="000000" w:themeColor="text1"/>
        </w:rPr>
        <w:t xml:space="preserve"> The </w:t>
      </w:r>
      <w:r w:rsidR="00D434C1">
        <w:rPr>
          <w:color w:val="000000" w:themeColor="text1"/>
        </w:rPr>
        <w:t>focus</w:t>
      </w:r>
      <w:r w:rsidR="006F0CB7">
        <w:rPr>
          <w:color w:val="000000" w:themeColor="text1"/>
        </w:rPr>
        <w:t xml:space="preserve"> of Phase Four was</w:t>
      </w:r>
      <w:r w:rsidR="00C85356">
        <w:rPr>
          <w:color w:val="000000" w:themeColor="text1"/>
        </w:rPr>
        <w:t xml:space="preserve"> to</w:t>
      </w:r>
      <w:r w:rsidR="006F0CB7">
        <w:rPr>
          <w:color w:val="000000" w:themeColor="text1"/>
        </w:rPr>
        <w:t xml:space="preserve"> fully transition to biennial screening for people age</w:t>
      </w:r>
      <w:r w:rsidR="00BA0558">
        <w:rPr>
          <w:color w:val="000000" w:themeColor="text1"/>
        </w:rPr>
        <w:t>d</w:t>
      </w:r>
      <w:r w:rsidR="006F0CB7">
        <w:rPr>
          <w:color w:val="000000" w:themeColor="text1"/>
        </w:rPr>
        <w:t xml:space="preserve"> 50 to 74</w:t>
      </w:r>
      <w:r w:rsidR="00C85356">
        <w:rPr>
          <w:color w:val="000000" w:themeColor="text1"/>
        </w:rPr>
        <w:t>, which was achieved earlier than expected</w:t>
      </w:r>
      <w:r w:rsidR="00C33C84">
        <w:rPr>
          <w:color w:val="000000" w:themeColor="text1"/>
        </w:rPr>
        <w:t xml:space="preserve"> in 2019</w:t>
      </w:r>
      <w:r w:rsidR="00C85356">
        <w:rPr>
          <w:color w:val="000000" w:themeColor="text1"/>
        </w:rPr>
        <w:t>.</w:t>
      </w:r>
      <w:r w:rsidR="003D1A58">
        <w:rPr>
          <w:color w:val="000000" w:themeColor="text1"/>
        </w:rPr>
        <w:t xml:space="preserve"> </w:t>
      </w:r>
      <w:r w:rsidR="003E7658">
        <w:rPr>
          <w:color w:val="000000" w:themeColor="text1"/>
        </w:rPr>
        <w:t>Other notable activities</w:t>
      </w:r>
      <w:r w:rsidR="00406B15">
        <w:rPr>
          <w:color w:val="000000" w:themeColor="text1"/>
        </w:rPr>
        <w:t xml:space="preserve"> delivered</w:t>
      </w:r>
      <w:r w:rsidR="001170B3">
        <w:rPr>
          <w:color w:val="000000" w:themeColor="text1"/>
        </w:rPr>
        <w:t xml:space="preserve"> </w:t>
      </w:r>
      <w:r w:rsidR="00406B15">
        <w:rPr>
          <w:color w:val="000000" w:themeColor="text1"/>
        </w:rPr>
        <w:t>as intended</w:t>
      </w:r>
      <w:r w:rsidR="003E7658">
        <w:rPr>
          <w:color w:val="000000" w:themeColor="text1"/>
        </w:rPr>
        <w:t xml:space="preserve"> include</w:t>
      </w:r>
      <w:r w:rsidR="000E1325">
        <w:rPr>
          <w:color w:val="000000" w:themeColor="text1"/>
        </w:rPr>
        <w:t>d</w:t>
      </w:r>
      <w:r w:rsidR="003E7658">
        <w:rPr>
          <w:color w:val="000000" w:themeColor="text1"/>
        </w:rPr>
        <w:t xml:space="preserve"> the Alternative Pathway pilot</w:t>
      </w:r>
      <w:r w:rsidR="00B114F8">
        <w:rPr>
          <w:color w:val="000000" w:themeColor="text1"/>
        </w:rPr>
        <w:t>,</w:t>
      </w:r>
      <w:r w:rsidR="00CB329F">
        <w:rPr>
          <w:color w:val="000000" w:themeColor="text1"/>
        </w:rPr>
        <w:t xml:space="preserve"> </w:t>
      </w:r>
      <w:r w:rsidR="003E7658">
        <w:rPr>
          <w:color w:val="000000" w:themeColor="text1"/>
        </w:rPr>
        <w:t>the</w:t>
      </w:r>
      <w:r w:rsidR="00CB329F">
        <w:rPr>
          <w:color w:val="000000" w:themeColor="text1"/>
        </w:rPr>
        <w:t xml:space="preserve"> </w:t>
      </w:r>
      <w:r w:rsidR="00556076">
        <w:rPr>
          <w:color w:val="000000" w:themeColor="text1"/>
        </w:rPr>
        <w:t xml:space="preserve">introduction of a new </w:t>
      </w:r>
      <w:proofErr w:type="spellStart"/>
      <w:r w:rsidR="00556076">
        <w:rPr>
          <w:color w:val="000000" w:themeColor="text1"/>
        </w:rPr>
        <w:t>iFOBT</w:t>
      </w:r>
      <w:proofErr w:type="spellEnd"/>
      <w:r w:rsidR="00556076">
        <w:rPr>
          <w:color w:val="000000" w:themeColor="text1"/>
        </w:rPr>
        <w:t xml:space="preserve"> kit in 2018 (including new instructions)</w:t>
      </w:r>
      <w:r w:rsidR="00AB6D5B">
        <w:rPr>
          <w:color w:val="000000" w:themeColor="text1"/>
        </w:rPr>
        <w:t>,</w:t>
      </w:r>
      <w:r w:rsidR="00B114F8">
        <w:rPr>
          <w:color w:val="000000" w:themeColor="text1"/>
        </w:rPr>
        <w:t xml:space="preserve"> </w:t>
      </w:r>
      <w:r w:rsidR="00596155">
        <w:rPr>
          <w:color w:val="000000" w:themeColor="text1"/>
        </w:rPr>
        <w:t>the introduction of a new pathology service (Sonic Healthcare),</w:t>
      </w:r>
      <w:r w:rsidR="00B114F8">
        <w:rPr>
          <w:color w:val="000000" w:themeColor="text1"/>
        </w:rPr>
        <w:t xml:space="preserve"> the</w:t>
      </w:r>
      <w:r w:rsidR="003E7EDE">
        <w:rPr>
          <w:color w:val="000000" w:themeColor="text1"/>
        </w:rPr>
        <w:t xml:space="preserve"> roll out of the</w:t>
      </w:r>
      <w:r w:rsidR="00B114F8">
        <w:rPr>
          <w:color w:val="000000" w:themeColor="text1"/>
        </w:rPr>
        <w:t xml:space="preserve"> HPP</w:t>
      </w:r>
      <w:r w:rsidR="003E7EDE">
        <w:rPr>
          <w:color w:val="000000" w:themeColor="text1"/>
        </w:rPr>
        <w:t xml:space="preserve"> for healthcare practitioners</w:t>
      </w:r>
      <w:r w:rsidR="00F745B1">
        <w:rPr>
          <w:color w:val="000000" w:themeColor="text1"/>
        </w:rPr>
        <w:t xml:space="preserve">, </w:t>
      </w:r>
      <w:r w:rsidR="00773FEF">
        <w:rPr>
          <w:color w:val="000000" w:themeColor="text1"/>
        </w:rPr>
        <w:t>and</w:t>
      </w:r>
      <w:r w:rsidR="00F745B1">
        <w:rPr>
          <w:color w:val="000000" w:themeColor="text1"/>
        </w:rPr>
        <w:t xml:space="preserve"> the </w:t>
      </w:r>
      <w:r w:rsidR="00773FEF">
        <w:rPr>
          <w:color w:val="000000" w:themeColor="text1"/>
        </w:rPr>
        <w:t>provision of funding</w:t>
      </w:r>
      <w:r w:rsidR="00F745B1">
        <w:rPr>
          <w:color w:val="000000" w:themeColor="text1"/>
        </w:rPr>
        <w:t xml:space="preserve"> grants to GESA to </w:t>
      </w:r>
      <w:r w:rsidR="00773FEF">
        <w:rPr>
          <w:color w:val="000000" w:themeColor="text1"/>
        </w:rPr>
        <w:t>establish</w:t>
      </w:r>
      <w:r w:rsidR="00F745B1">
        <w:rPr>
          <w:color w:val="000000" w:themeColor="text1"/>
        </w:rPr>
        <w:t xml:space="preserve"> the </w:t>
      </w:r>
      <w:r w:rsidR="00F745B1" w:rsidRPr="00E36DB4">
        <w:t>National Colonoscopy Recertification Program</w:t>
      </w:r>
      <w:r w:rsidR="00773FEF">
        <w:t>.</w:t>
      </w:r>
    </w:p>
    <w:p w14:paraId="256667DC" w14:textId="6472E491" w:rsidR="00326D0E" w:rsidRDefault="00AA2B5D" w:rsidP="00273DDA">
      <w:pPr>
        <w:rPr>
          <w:color w:val="000000" w:themeColor="text1"/>
        </w:rPr>
      </w:pPr>
      <w:proofErr w:type="gramStart"/>
      <w:r>
        <w:rPr>
          <w:color w:val="000000" w:themeColor="text1"/>
        </w:rPr>
        <w:t>With regard to</w:t>
      </w:r>
      <w:proofErr w:type="gramEnd"/>
      <w:r>
        <w:rPr>
          <w:color w:val="000000" w:themeColor="text1"/>
        </w:rPr>
        <w:t xml:space="preserve"> kit distribution,</w:t>
      </w:r>
      <w:r w:rsidR="00182DCB">
        <w:rPr>
          <w:color w:val="000000" w:themeColor="text1"/>
        </w:rPr>
        <w:t xml:space="preserve"> in 2019 </w:t>
      </w:r>
      <w:r w:rsidR="00930726">
        <w:rPr>
          <w:color w:val="000000" w:themeColor="text1"/>
        </w:rPr>
        <w:t>(the year the Program became fully</w:t>
      </w:r>
      <w:r w:rsidR="00182DCB">
        <w:rPr>
          <w:color w:val="000000" w:themeColor="text1"/>
        </w:rPr>
        <w:t xml:space="preserve"> biennial</w:t>
      </w:r>
      <w:r w:rsidR="00930726">
        <w:rPr>
          <w:color w:val="000000" w:themeColor="text1"/>
        </w:rPr>
        <w:t>)</w:t>
      </w:r>
      <w:r w:rsidR="00182DCB">
        <w:rPr>
          <w:color w:val="000000" w:themeColor="text1"/>
        </w:rPr>
        <w:t xml:space="preserve"> </w:t>
      </w:r>
      <w:r w:rsidR="00941CDB">
        <w:rPr>
          <w:color w:val="000000" w:themeColor="text1"/>
        </w:rPr>
        <w:t xml:space="preserve">the volume of </w:t>
      </w:r>
      <w:r w:rsidR="009712A3">
        <w:rPr>
          <w:color w:val="000000" w:themeColor="text1"/>
        </w:rPr>
        <w:t>invitations sent</w:t>
      </w:r>
      <w:r w:rsidR="00060E96">
        <w:rPr>
          <w:color w:val="000000" w:themeColor="text1"/>
        </w:rPr>
        <w:t xml:space="preserve"> </w:t>
      </w:r>
      <w:r w:rsidR="00D725AB">
        <w:rPr>
          <w:color w:val="000000" w:themeColor="text1"/>
        </w:rPr>
        <w:t xml:space="preserve">was only marginally lower than </w:t>
      </w:r>
      <w:r w:rsidR="00242335">
        <w:rPr>
          <w:color w:val="000000" w:themeColor="text1"/>
        </w:rPr>
        <w:t>Australian Bureau of Statistics’ (ABS)</w:t>
      </w:r>
      <w:r w:rsidR="00D725AB">
        <w:rPr>
          <w:color w:val="000000" w:themeColor="text1"/>
        </w:rPr>
        <w:t xml:space="preserve"> </w:t>
      </w:r>
      <w:r w:rsidR="00CB33CF">
        <w:rPr>
          <w:color w:val="000000" w:themeColor="text1"/>
        </w:rPr>
        <w:t xml:space="preserve">estimate </w:t>
      </w:r>
      <w:r w:rsidR="00965AA4">
        <w:rPr>
          <w:color w:val="000000" w:themeColor="text1"/>
        </w:rPr>
        <w:t xml:space="preserve">of </w:t>
      </w:r>
      <w:r w:rsidR="00CB33CF">
        <w:rPr>
          <w:color w:val="000000" w:themeColor="text1"/>
        </w:rPr>
        <w:t xml:space="preserve">the size of the </w:t>
      </w:r>
      <w:r w:rsidR="00772A59">
        <w:rPr>
          <w:color w:val="000000" w:themeColor="text1"/>
        </w:rPr>
        <w:t>eligible population</w:t>
      </w:r>
      <w:r w:rsidR="005405DB">
        <w:rPr>
          <w:color w:val="000000" w:themeColor="text1"/>
        </w:rPr>
        <w:t xml:space="preserve"> aged</w:t>
      </w:r>
      <w:r w:rsidR="00CB33CF">
        <w:rPr>
          <w:color w:val="000000" w:themeColor="text1"/>
        </w:rPr>
        <w:t xml:space="preserve"> 50 to 74</w:t>
      </w:r>
      <w:r w:rsidR="00182DCB">
        <w:rPr>
          <w:color w:val="000000" w:themeColor="text1"/>
        </w:rPr>
        <w:t xml:space="preserve">, </w:t>
      </w:r>
      <w:r w:rsidR="00B114F8">
        <w:rPr>
          <w:color w:val="000000" w:themeColor="text1"/>
        </w:rPr>
        <w:t xml:space="preserve">suggesting </w:t>
      </w:r>
      <w:r w:rsidR="00D73219">
        <w:rPr>
          <w:color w:val="000000" w:themeColor="text1"/>
        </w:rPr>
        <w:t xml:space="preserve">kit distribution </w:t>
      </w:r>
      <w:r w:rsidR="001038CB">
        <w:rPr>
          <w:color w:val="000000" w:themeColor="text1"/>
        </w:rPr>
        <w:t xml:space="preserve">broadly </w:t>
      </w:r>
      <w:r w:rsidR="00D73219">
        <w:rPr>
          <w:color w:val="000000" w:themeColor="text1"/>
        </w:rPr>
        <w:t>met the Program requirements. The</w:t>
      </w:r>
      <w:r w:rsidR="00D73219" w:rsidDel="00054799">
        <w:rPr>
          <w:color w:val="000000" w:themeColor="text1"/>
        </w:rPr>
        <w:t xml:space="preserve"> </w:t>
      </w:r>
      <w:r w:rsidR="00D73219">
        <w:rPr>
          <w:color w:val="000000" w:themeColor="text1"/>
        </w:rPr>
        <w:t xml:space="preserve">difference in numbers </w:t>
      </w:r>
      <w:r w:rsidR="0072144E">
        <w:rPr>
          <w:color w:val="000000" w:themeColor="text1"/>
        </w:rPr>
        <w:t>may be</w:t>
      </w:r>
      <w:r w:rsidR="00060E96">
        <w:rPr>
          <w:color w:val="000000" w:themeColor="text1"/>
        </w:rPr>
        <w:t xml:space="preserve"> attributed to opt-outs and removal of</w:t>
      </w:r>
      <w:r w:rsidR="00531780">
        <w:rPr>
          <w:color w:val="000000" w:themeColor="text1"/>
        </w:rPr>
        <w:t xml:space="preserve"> people fr</w:t>
      </w:r>
      <w:r w:rsidR="00245673">
        <w:rPr>
          <w:color w:val="000000" w:themeColor="text1"/>
        </w:rPr>
        <w:t>o</w:t>
      </w:r>
      <w:r w:rsidR="00531780">
        <w:rPr>
          <w:color w:val="000000" w:themeColor="text1"/>
        </w:rPr>
        <w:t>m the</w:t>
      </w:r>
      <w:r w:rsidR="00060E96">
        <w:rPr>
          <w:color w:val="000000" w:themeColor="text1"/>
        </w:rPr>
        <w:t xml:space="preserve"> invite</w:t>
      </w:r>
      <w:r w:rsidR="00531780">
        <w:rPr>
          <w:color w:val="000000" w:themeColor="text1"/>
        </w:rPr>
        <w:t xml:space="preserve"> list</w:t>
      </w:r>
      <w:r w:rsidR="00D46272">
        <w:rPr>
          <w:color w:val="000000" w:themeColor="text1"/>
        </w:rPr>
        <w:t xml:space="preserve"> who ha</w:t>
      </w:r>
      <w:r w:rsidR="004C3A25">
        <w:rPr>
          <w:color w:val="000000" w:themeColor="text1"/>
        </w:rPr>
        <w:t>d</w:t>
      </w:r>
      <w:r w:rsidR="00D46272">
        <w:rPr>
          <w:color w:val="000000" w:themeColor="text1"/>
        </w:rPr>
        <w:t xml:space="preserve"> recently undergone a screening </w:t>
      </w:r>
      <w:r w:rsidR="00011AF5">
        <w:rPr>
          <w:color w:val="000000" w:themeColor="text1"/>
        </w:rPr>
        <w:t>colonoscopy</w:t>
      </w:r>
      <w:r w:rsidR="00D46272">
        <w:rPr>
          <w:color w:val="000000" w:themeColor="text1"/>
        </w:rPr>
        <w:t>.</w:t>
      </w:r>
      <w:r w:rsidR="00CB329F">
        <w:rPr>
          <w:color w:val="000000" w:themeColor="text1"/>
        </w:rPr>
        <w:t xml:space="preserve"> </w:t>
      </w:r>
      <w:r w:rsidR="00941CDB">
        <w:rPr>
          <w:color w:val="000000" w:themeColor="text1"/>
        </w:rPr>
        <w:t xml:space="preserve">Despite this, </w:t>
      </w:r>
      <w:r w:rsidR="001433FA">
        <w:rPr>
          <w:color w:val="000000" w:themeColor="text1"/>
        </w:rPr>
        <w:t>there were</w:t>
      </w:r>
      <w:r w:rsidR="006974B1">
        <w:rPr>
          <w:color w:val="000000" w:themeColor="text1"/>
        </w:rPr>
        <w:t xml:space="preserve"> indications that </w:t>
      </w:r>
      <w:r w:rsidR="0017051E">
        <w:rPr>
          <w:color w:val="000000" w:themeColor="text1"/>
        </w:rPr>
        <w:t xml:space="preserve">some </w:t>
      </w:r>
      <w:r w:rsidR="006974B1">
        <w:rPr>
          <w:color w:val="000000" w:themeColor="text1"/>
        </w:rPr>
        <w:t xml:space="preserve">kits </w:t>
      </w:r>
      <w:r w:rsidR="00CE0C9F">
        <w:rPr>
          <w:color w:val="000000" w:themeColor="text1"/>
        </w:rPr>
        <w:t xml:space="preserve">may not have reached invitees, with the consumer survey </w:t>
      </w:r>
      <w:r w:rsidR="000F58C7">
        <w:rPr>
          <w:color w:val="000000" w:themeColor="text1"/>
        </w:rPr>
        <w:t xml:space="preserve">indicating </w:t>
      </w:r>
      <w:r w:rsidR="00CE0C9F">
        <w:rPr>
          <w:color w:val="000000" w:themeColor="text1"/>
        </w:rPr>
        <w:t>that 9 per cent</w:t>
      </w:r>
      <w:r w:rsidR="00EA2CC3">
        <w:rPr>
          <w:color w:val="000000" w:themeColor="text1"/>
        </w:rPr>
        <w:t xml:space="preserve"> of invitees </w:t>
      </w:r>
      <w:r w:rsidR="006F43CA">
        <w:rPr>
          <w:color w:val="000000" w:themeColor="text1"/>
        </w:rPr>
        <w:t xml:space="preserve">had not </w:t>
      </w:r>
      <w:r w:rsidR="00EA2CC3">
        <w:rPr>
          <w:color w:val="000000" w:themeColor="text1"/>
        </w:rPr>
        <w:t>received a kit</w:t>
      </w:r>
      <w:r w:rsidR="006F43CA">
        <w:rPr>
          <w:color w:val="000000" w:themeColor="text1"/>
        </w:rPr>
        <w:t xml:space="preserve"> in the past two years.</w:t>
      </w:r>
      <w:r w:rsidR="00DA067F">
        <w:rPr>
          <w:color w:val="000000" w:themeColor="text1"/>
        </w:rPr>
        <w:t xml:space="preserve"> Possible </w:t>
      </w:r>
      <w:r w:rsidR="00075B8D">
        <w:rPr>
          <w:color w:val="000000" w:themeColor="text1"/>
        </w:rPr>
        <w:t>explanations</w:t>
      </w:r>
      <w:r w:rsidR="001B5425">
        <w:rPr>
          <w:color w:val="000000" w:themeColor="text1"/>
        </w:rPr>
        <w:t xml:space="preserve"> </w:t>
      </w:r>
      <w:r w:rsidR="008374CA">
        <w:rPr>
          <w:color w:val="000000" w:themeColor="text1"/>
        </w:rPr>
        <w:t>for invitees not receiving a kit</w:t>
      </w:r>
      <w:r w:rsidR="00DA067F">
        <w:rPr>
          <w:color w:val="000000" w:themeColor="text1"/>
        </w:rPr>
        <w:t xml:space="preserve"> </w:t>
      </w:r>
      <w:r w:rsidR="00B0684E">
        <w:rPr>
          <w:color w:val="000000" w:themeColor="text1"/>
        </w:rPr>
        <w:t>include</w:t>
      </w:r>
      <w:r w:rsidR="00A20986">
        <w:rPr>
          <w:color w:val="000000" w:themeColor="text1"/>
        </w:rPr>
        <w:t xml:space="preserve"> (</w:t>
      </w:r>
      <w:r w:rsidR="00326D0E">
        <w:rPr>
          <w:color w:val="000000" w:themeColor="text1"/>
        </w:rPr>
        <w:t>as described further in</w:t>
      </w:r>
      <w:r w:rsidR="00DA067F">
        <w:rPr>
          <w:color w:val="000000" w:themeColor="text1"/>
        </w:rPr>
        <w:t xml:space="preserve"> </w:t>
      </w:r>
      <w:r w:rsidR="00A045F5">
        <w:rPr>
          <w:color w:val="000000" w:themeColor="text1"/>
        </w:rPr>
        <w:t>s</w:t>
      </w:r>
      <w:r w:rsidR="00DA067F">
        <w:rPr>
          <w:color w:val="000000" w:themeColor="text1"/>
        </w:rPr>
        <w:t>ection</w:t>
      </w:r>
      <w:r w:rsidR="009D5C03">
        <w:rPr>
          <w:color w:val="000000" w:themeColor="text1"/>
        </w:rPr>
        <w:t xml:space="preserve"> </w:t>
      </w:r>
      <w:r w:rsidR="00DA067F">
        <w:rPr>
          <w:color w:val="000000" w:themeColor="text1"/>
        </w:rPr>
        <w:fldChar w:fldCharType="begin"/>
      </w:r>
      <w:r w:rsidR="00DA067F">
        <w:rPr>
          <w:color w:val="000000" w:themeColor="text1"/>
        </w:rPr>
        <w:instrText xml:space="preserve"> REF _Ref67583914 \r \h </w:instrText>
      </w:r>
      <w:r w:rsidR="00DA067F">
        <w:rPr>
          <w:color w:val="000000" w:themeColor="text1"/>
        </w:rPr>
      </w:r>
      <w:r w:rsidR="00DA067F">
        <w:rPr>
          <w:color w:val="000000" w:themeColor="text1"/>
        </w:rPr>
        <w:fldChar w:fldCharType="separate"/>
      </w:r>
      <w:r w:rsidR="00F27525">
        <w:rPr>
          <w:color w:val="000000" w:themeColor="text1"/>
        </w:rPr>
        <w:t>2.1.1.3</w:t>
      </w:r>
      <w:r w:rsidR="00DA067F">
        <w:rPr>
          <w:color w:val="000000" w:themeColor="text1"/>
        </w:rPr>
        <w:fldChar w:fldCharType="end"/>
      </w:r>
      <w:r w:rsidR="00A20986">
        <w:rPr>
          <w:color w:val="000000" w:themeColor="text1"/>
        </w:rPr>
        <w:t>)</w:t>
      </w:r>
      <w:r w:rsidR="00326D0E">
        <w:rPr>
          <w:color w:val="000000" w:themeColor="text1"/>
        </w:rPr>
        <w:t>:</w:t>
      </w:r>
    </w:p>
    <w:p w14:paraId="4343334B" w14:textId="71DDA669" w:rsidR="00326D0E" w:rsidRPr="00F678D8" w:rsidRDefault="00326D0E" w:rsidP="00992BC5">
      <w:pPr>
        <w:pStyle w:val="ListBullet"/>
      </w:pPr>
      <w:r w:rsidRPr="00F678D8">
        <w:t>incorrect addresses in Medicare</w:t>
      </w:r>
    </w:p>
    <w:p w14:paraId="58AEF3BD" w14:textId="630FE1E5" w:rsidR="00CB329F" w:rsidRPr="00326D0E" w:rsidRDefault="00326D0E" w:rsidP="00992BC5">
      <w:pPr>
        <w:pStyle w:val="ListBullet"/>
      </w:pPr>
      <w:r>
        <w:t>p</w:t>
      </w:r>
      <w:r w:rsidRPr="00F678D8">
        <w:t>ostal issues for those residing in rural and remote areas.</w:t>
      </w:r>
    </w:p>
    <w:p w14:paraId="6C5B2810" w14:textId="0E4D42DE" w:rsidR="00570927" w:rsidRDefault="00570927" w:rsidP="00570927">
      <w:pPr>
        <w:pStyle w:val="CaptionTable"/>
      </w:pPr>
      <w:r>
        <w:t xml:space="preserve">: </w:t>
      </w:r>
      <w:r w:rsidR="009057BA">
        <w:t xml:space="preserve">Volume of NBCSP </w:t>
      </w:r>
      <w:r w:rsidR="008A69E6">
        <w:t xml:space="preserve">invitations sent in </w:t>
      </w:r>
      <w:r w:rsidR="001560EF">
        <w:t>2019</w:t>
      </w:r>
      <w:r w:rsidR="009057BA">
        <w:t xml:space="preserve"> vs. </w:t>
      </w:r>
      <w:r w:rsidR="001560EF">
        <w:t xml:space="preserve">eligible </w:t>
      </w:r>
      <w:r w:rsidR="009057BA">
        <w:t xml:space="preserve">Australian population </w:t>
      </w:r>
    </w:p>
    <w:tbl>
      <w:tblPr>
        <w:tblStyle w:val="Deloittetable"/>
        <w:tblW w:w="8993" w:type="dxa"/>
        <w:tblLook w:val="04A0" w:firstRow="1" w:lastRow="0" w:firstColumn="1" w:lastColumn="0" w:noHBand="0" w:noVBand="1"/>
      </w:tblPr>
      <w:tblGrid>
        <w:gridCol w:w="5812"/>
        <w:gridCol w:w="3181"/>
      </w:tblGrid>
      <w:tr w:rsidR="00A76B7E" w14:paraId="740C8544" w14:textId="0169AEB3" w:rsidTr="009B7473">
        <w:trPr>
          <w:cnfStyle w:val="100000000000" w:firstRow="1" w:lastRow="0" w:firstColumn="0" w:lastColumn="0" w:oddVBand="0" w:evenVBand="0" w:oddHBand="0" w:evenHBand="0" w:firstRowFirstColumn="0" w:firstRowLastColumn="0" w:lastRowFirstColumn="0" w:lastRowLastColumn="0"/>
          <w:trHeight w:val="304"/>
        </w:trPr>
        <w:tc>
          <w:tcPr>
            <w:tcW w:w="5812" w:type="dxa"/>
          </w:tcPr>
          <w:p w14:paraId="00C189B0" w14:textId="1240810C" w:rsidR="00A76B7E" w:rsidRPr="009B7473" w:rsidRDefault="003D0CB1" w:rsidP="009B7473">
            <w:r>
              <w:t>Data element</w:t>
            </w:r>
          </w:p>
        </w:tc>
        <w:tc>
          <w:tcPr>
            <w:tcW w:w="3181" w:type="dxa"/>
          </w:tcPr>
          <w:p w14:paraId="1BCBC9E1" w14:textId="229BB62F" w:rsidR="00A76B7E" w:rsidRPr="00E74F9E" w:rsidRDefault="00A76B7E" w:rsidP="009B7473">
            <w:pPr>
              <w:rPr>
                <w:b w:val="0"/>
              </w:rPr>
            </w:pPr>
            <w:r w:rsidRPr="009B7473">
              <w:t>Number</w:t>
            </w:r>
          </w:p>
        </w:tc>
      </w:tr>
      <w:tr w:rsidR="00A76B7E" w14:paraId="134180F5" w14:textId="77777777" w:rsidTr="009B7473">
        <w:trPr>
          <w:trHeight w:val="315"/>
        </w:trPr>
        <w:tc>
          <w:tcPr>
            <w:tcW w:w="5812" w:type="dxa"/>
          </w:tcPr>
          <w:p w14:paraId="40BC760D" w14:textId="089AF1F5" w:rsidR="00A76B7E" w:rsidRDefault="00A76B7E" w:rsidP="00E57E06">
            <w:pPr>
              <w:spacing w:after="0"/>
            </w:pPr>
            <w:r>
              <w:t>Invitations sent</w:t>
            </w:r>
          </w:p>
        </w:tc>
        <w:tc>
          <w:tcPr>
            <w:tcW w:w="3181" w:type="dxa"/>
          </w:tcPr>
          <w:p w14:paraId="1909AB3D" w14:textId="0AD570AA" w:rsidR="00A76B7E" w:rsidRPr="0051141B" w:rsidRDefault="00A76B7E" w:rsidP="00E57E06">
            <w:pPr>
              <w:spacing w:after="0"/>
              <w:jc w:val="right"/>
            </w:pPr>
            <w:r w:rsidRPr="0051141B">
              <w:t>2</w:t>
            </w:r>
            <w:r>
              <w:t>,</w:t>
            </w:r>
            <w:r w:rsidRPr="0051141B">
              <w:t>938</w:t>
            </w:r>
            <w:r>
              <w:t>,</w:t>
            </w:r>
            <w:r w:rsidRPr="0051141B">
              <w:t>841</w:t>
            </w:r>
            <w:r>
              <w:rPr>
                <w:vertAlign w:val="superscript"/>
              </w:rPr>
              <w:t>a</w:t>
            </w:r>
          </w:p>
        </w:tc>
      </w:tr>
      <w:tr w:rsidR="00A76B7E" w14:paraId="3BCD47EB" w14:textId="77777777" w:rsidTr="009B7473">
        <w:trPr>
          <w:trHeight w:val="315"/>
        </w:trPr>
        <w:tc>
          <w:tcPr>
            <w:tcW w:w="5812" w:type="dxa"/>
          </w:tcPr>
          <w:p w14:paraId="3667B51D" w14:textId="1EEE4FA0" w:rsidR="00A76B7E" w:rsidRDefault="00A76B7E" w:rsidP="00E57E06">
            <w:pPr>
              <w:spacing w:after="0"/>
            </w:pPr>
            <w:r>
              <w:t xml:space="preserve">Eligible Australian population </w:t>
            </w:r>
          </w:p>
        </w:tc>
        <w:tc>
          <w:tcPr>
            <w:tcW w:w="3181" w:type="dxa"/>
          </w:tcPr>
          <w:p w14:paraId="439BEECE" w14:textId="6ADDF82D" w:rsidR="00A76B7E" w:rsidRPr="0051141B" w:rsidRDefault="00A76B7E" w:rsidP="00E57E06">
            <w:pPr>
              <w:spacing w:after="0"/>
              <w:jc w:val="right"/>
            </w:pPr>
            <w:r w:rsidRPr="0051141B">
              <w:t>3</w:t>
            </w:r>
            <w:r>
              <w:t>,</w:t>
            </w:r>
            <w:r w:rsidRPr="0051141B">
              <w:t>511</w:t>
            </w:r>
            <w:r>
              <w:t>,</w:t>
            </w:r>
            <w:r w:rsidRPr="0051141B">
              <w:t>434</w:t>
            </w:r>
            <w:r>
              <w:rPr>
                <w:vertAlign w:val="superscript"/>
              </w:rPr>
              <w:t>b</w:t>
            </w:r>
          </w:p>
        </w:tc>
      </w:tr>
      <w:tr w:rsidR="000C3E60" w14:paraId="42E0B289" w14:textId="77777777" w:rsidTr="009B7473">
        <w:trPr>
          <w:trHeight w:val="315"/>
        </w:trPr>
        <w:tc>
          <w:tcPr>
            <w:tcW w:w="5812" w:type="dxa"/>
          </w:tcPr>
          <w:p w14:paraId="3CF15A37" w14:textId="46DFBBE0" w:rsidR="000C3E60" w:rsidRDefault="000C3E60" w:rsidP="00E57E06">
            <w:pPr>
              <w:spacing w:after="0"/>
            </w:pPr>
            <w:r>
              <w:t>Proportion of eligible Australians receiving an invitation</w:t>
            </w:r>
          </w:p>
        </w:tc>
        <w:tc>
          <w:tcPr>
            <w:tcW w:w="3181" w:type="dxa"/>
          </w:tcPr>
          <w:p w14:paraId="121ECE65" w14:textId="54C76A37" w:rsidR="000C3E60" w:rsidRPr="0051141B" w:rsidRDefault="0017386F" w:rsidP="00E57E06">
            <w:pPr>
              <w:spacing w:after="0"/>
              <w:jc w:val="right"/>
            </w:pPr>
            <w:r>
              <w:t>83.7%</w:t>
            </w:r>
          </w:p>
        </w:tc>
      </w:tr>
    </w:tbl>
    <w:p w14:paraId="04E1E757" w14:textId="79DAAA5E" w:rsidR="005E775F" w:rsidRDefault="005E775F" w:rsidP="00815EA5">
      <w:pPr>
        <w:pStyle w:val="Source"/>
        <w:spacing w:after="0" w:line="0" w:lineRule="atLeast"/>
      </w:pPr>
      <w:r>
        <w:t>Note: Eligible Australian population is calculated as Estimated Residential Po</w:t>
      </w:r>
      <w:r w:rsidR="007A3441">
        <w:t xml:space="preserve">pulation </w:t>
      </w:r>
      <w:proofErr w:type="gramStart"/>
      <w:r w:rsidR="007A3441">
        <w:t>at</w:t>
      </w:r>
      <w:proofErr w:type="gramEnd"/>
      <w:r w:rsidR="007A3441">
        <w:t xml:space="preserve"> 30 June 2019.</w:t>
      </w:r>
    </w:p>
    <w:p w14:paraId="1E144307" w14:textId="2CFA7FBB" w:rsidR="0065427F" w:rsidRPr="00992BC5" w:rsidRDefault="00234B46" w:rsidP="00992BC5">
      <w:pPr>
        <w:pStyle w:val="Source"/>
        <w:spacing w:after="0" w:line="0" w:lineRule="atLeast"/>
      </w:pPr>
      <w:r>
        <w:t xml:space="preserve">Source: </w:t>
      </w:r>
      <w:proofErr w:type="spellStart"/>
      <w:r w:rsidR="00C9023B">
        <w:rPr>
          <w:rStyle w:val="EndnoteReference"/>
        </w:rPr>
        <w:t>a</w:t>
      </w:r>
      <w:r w:rsidR="00992170">
        <w:t>AIHW</w:t>
      </w:r>
      <w:proofErr w:type="spellEnd"/>
      <w:r w:rsidR="00992170">
        <w:t xml:space="preserve">, </w:t>
      </w:r>
      <w:r w:rsidR="00992170">
        <w:rPr>
          <w:i/>
        </w:rPr>
        <w:t>Cancer screening programs: quarterly data</w:t>
      </w:r>
      <w:r w:rsidR="00992170">
        <w:t>, December 2020;</w:t>
      </w:r>
      <w:r w:rsidR="0071629F">
        <w:t xml:space="preserve"> </w:t>
      </w:r>
      <w:proofErr w:type="spellStart"/>
      <w:r w:rsidR="00C9023B">
        <w:rPr>
          <w:rStyle w:val="EndnoteReference"/>
        </w:rPr>
        <w:t>b</w:t>
      </w:r>
      <w:r w:rsidR="0071629F">
        <w:t>ABS</w:t>
      </w:r>
      <w:proofErr w:type="spellEnd"/>
      <w:r w:rsidR="0071629F">
        <w:t xml:space="preserve">, </w:t>
      </w:r>
      <w:r w:rsidR="0071629F">
        <w:rPr>
          <w:i/>
        </w:rPr>
        <w:t>National state and territory population</w:t>
      </w:r>
      <w:r w:rsidR="00735151">
        <w:t xml:space="preserve">, </w:t>
      </w:r>
      <w:r w:rsidR="003D2DB2">
        <w:t>2021</w:t>
      </w:r>
      <w:r w:rsidR="00CE2BE2">
        <w:t>.</w:t>
      </w:r>
    </w:p>
    <w:p w14:paraId="611CCB19" w14:textId="470B7856" w:rsidR="00273DDA" w:rsidRPr="00A859DD" w:rsidRDefault="003D743A" w:rsidP="00273DDA">
      <w:pPr>
        <w:rPr>
          <w:color w:val="000000" w:themeColor="text1"/>
        </w:rPr>
      </w:pPr>
      <w:r>
        <w:rPr>
          <w:color w:val="000000" w:themeColor="text1"/>
        </w:rPr>
        <w:t>Migration to the</w:t>
      </w:r>
      <w:r w:rsidR="002356F7">
        <w:rPr>
          <w:color w:val="000000" w:themeColor="text1"/>
        </w:rPr>
        <w:t xml:space="preserve"> NCSR </w:t>
      </w:r>
      <w:r>
        <w:rPr>
          <w:color w:val="000000" w:themeColor="text1"/>
        </w:rPr>
        <w:t xml:space="preserve">from the original register housed by Services </w:t>
      </w:r>
      <w:r w:rsidR="0099495A">
        <w:rPr>
          <w:color w:val="000000" w:themeColor="text1"/>
        </w:rPr>
        <w:t>Australia</w:t>
      </w:r>
      <w:r>
        <w:rPr>
          <w:color w:val="000000" w:themeColor="text1"/>
        </w:rPr>
        <w:t xml:space="preserve"> </w:t>
      </w:r>
      <w:r w:rsidR="002356F7">
        <w:rPr>
          <w:color w:val="000000" w:themeColor="text1"/>
        </w:rPr>
        <w:t xml:space="preserve">was </w:t>
      </w:r>
      <w:r w:rsidR="000F58C7">
        <w:rPr>
          <w:color w:val="000000" w:themeColor="text1"/>
        </w:rPr>
        <w:t>postponed for</w:t>
      </w:r>
      <w:r w:rsidR="002356F7">
        <w:rPr>
          <w:color w:val="000000" w:themeColor="text1"/>
        </w:rPr>
        <w:t xml:space="preserve"> two years</w:t>
      </w:r>
      <w:r w:rsidR="004C2E07">
        <w:rPr>
          <w:color w:val="000000" w:themeColor="text1"/>
        </w:rPr>
        <w:t xml:space="preserve"> </w:t>
      </w:r>
      <w:r w:rsidR="004415F2">
        <w:rPr>
          <w:color w:val="000000" w:themeColor="text1"/>
        </w:rPr>
        <w:t xml:space="preserve">to </w:t>
      </w:r>
      <w:r w:rsidR="00392390">
        <w:rPr>
          <w:color w:val="000000" w:themeColor="text1"/>
        </w:rPr>
        <w:t xml:space="preserve">allow </w:t>
      </w:r>
      <w:r w:rsidR="00AD7EA6">
        <w:rPr>
          <w:color w:val="000000" w:themeColor="text1"/>
        </w:rPr>
        <w:t xml:space="preserve">the complete </w:t>
      </w:r>
      <w:r w:rsidR="00093332">
        <w:rPr>
          <w:color w:val="000000" w:themeColor="text1"/>
        </w:rPr>
        <w:t xml:space="preserve">migration to the </w:t>
      </w:r>
      <w:r w:rsidR="00D51282">
        <w:rPr>
          <w:color w:val="000000" w:themeColor="text1"/>
        </w:rPr>
        <w:t xml:space="preserve">NCSR for the National Cervical Cancer </w:t>
      </w:r>
      <w:r w:rsidR="009E3577">
        <w:rPr>
          <w:color w:val="000000" w:themeColor="text1"/>
        </w:rPr>
        <w:t>S</w:t>
      </w:r>
      <w:r w:rsidR="00D51282">
        <w:rPr>
          <w:color w:val="000000" w:themeColor="text1"/>
        </w:rPr>
        <w:t>creening Program</w:t>
      </w:r>
      <w:r w:rsidR="00392390">
        <w:rPr>
          <w:color w:val="000000" w:themeColor="text1"/>
        </w:rPr>
        <w:t xml:space="preserve">, which involved the merging of </w:t>
      </w:r>
      <w:r w:rsidR="00CB6199">
        <w:rPr>
          <w:color w:val="000000" w:themeColor="text1"/>
        </w:rPr>
        <w:t>eight</w:t>
      </w:r>
      <w:r w:rsidR="00392390">
        <w:rPr>
          <w:color w:val="000000" w:themeColor="text1"/>
        </w:rPr>
        <w:t xml:space="preserve"> separate state and territory cancer registries into one national register</w:t>
      </w:r>
      <w:r w:rsidR="00D51282">
        <w:rPr>
          <w:color w:val="000000" w:themeColor="text1"/>
        </w:rPr>
        <w:t>.</w:t>
      </w:r>
      <w:r w:rsidR="009E3577">
        <w:rPr>
          <w:color w:val="000000" w:themeColor="text1"/>
        </w:rPr>
        <w:t xml:space="preserve"> However, </w:t>
      </w:r>
      <w:r w:rsidR="004C0F10">
        <w:rPr>
          <w:color w:val="000000" w:themeColor="text1"/>
        </w:rPr>
        <w:t xml:space="preserve">as of </w:t>
      </w:r>
      <w:r w:rsidR="000F58C7">
        <w:rPr>
          <w:color w:val="000000" w:themeColor="text1"/>
        </w:rPr>
        <w:t xml:space="preserve">November </w:t>
      </w:r>
      <w:r w:rsidR="004C0F10">
        <w:rPr>
          <w:color w:val="000000" w:themeColor="text1"/>
        </w:rPr>
        <w:t xml:space="preserve">2019, </w:t>
      </w:r>
      <w:r w:rsidR="009E3577">
        <w:rPr>
          <w:color w:val="000000" w:themeColor="text1"/>
        </w:rPr>
        <w:t>the Program</w:t>
      </w:r>
      <w:r w:rsidR="00E23984">
        <w:rPr>
          <w:color w:val="000000" w:themeColor="text1"/>
        </w:rPr>
        <w:t xml:space="preserve"> </w:t>
      </w:r>
      <w:r w:rsidR="009E3577">
        <w:rPr>
          <w:color w:val="000000" w:themeColor="text1"/>
        </w:rPr>
        <w:t>ha</w:t>
      </w:r>
      <w:r w:rsidR="004C0F10">
        <w:rPr>
          <w:color w:val="000000" w:themeColor="text1"/>
        </w:rPr>
        <w:t>d</w:t>
      </w:r>
      <w:r w:rsidR="009E3577">
        <w:rPr>
          <w:color w:val="000000" w:themeColor="text1"/>
        </w:rPr>
        <w:t xml:space="preserve"> fully migrated </w:t>
      </w:r>
      <w:r w:rsidR="005E1AAF">
        <w:rPr>
          <w:color w:val="000000" w:themeColor="text1"/>
        </w:rPr>
        <w:t xml:space="preserve">to the NCSR. </w:t>
      </w:r>
    </w:p>
    <w:p w14:paraId="1F8DE1EA" w14:textId="0B39E18E" w:rsidR="00C466A8" w:rsidRDefault="00C466A8" w:rsidP="00C466A8">
      <w:pPr>
        <w:pStyle w:val="Heading3"/>
      </w:pPr>
      <w:bookmarkStart w:id="107" w:name="_Ref67562575"/>
      <w:r>
        <w:lastRenderedPageBreak/>
        <w:t>Data collection and reporting mechanisms</w:t>
      </w:r>
      <w:bookmarkEnd w:id="107"/>
    </w:p>
    <w:p w14:paraId="4812C038" w14:textId="75E27EA0" w:rsidR="00C466A8" w:rsidRPr="00992BC5" w:rsidRDefault="00876636" w:rsidP="00992BC5">
      <w:pPr>
        <w:pStyle w:val="Pullout"/>
      </w:pPr>
      <w:r w:rsidRPr="00992BC5">
        <w:t>There are strong data collection and reporting mechanisms for assessment of</w:t>
      </w:r>
      <w:r w:rsidR="00C466A8" w:rsidRPr="00992BC5">
        <w:t xml:space="preserve"> participation and positivity rates, however </w:t>
      </w:r>
      <w:bookmarkStart w:id="108" w:name="_Hlk68539170"/>
      <w:r w:rsidRPr="00992BC5">
        <w:t>complete and reliable data</w:t>
      </w:r>
      <w:r w:rsidR="00C466A8" w:rsidRPr="00992BC5">
        <w:t xml:space="preserve"> to demonstrate Program </w:t>
      </w:r>
      <w:r w:rsidR="0069749F" w:rsidRPr="00992BC5">
        <w:t xml:space="preserve">outcomes </w:t>
      </w:r>
      <w:r w:rsidR="00C466A8" w:rsidRPr="00992BC5">
        <w:t>is limited</w:t>
      </w:r>
      <w:bookmarkEnd w:id="108"/>
      <w:r w:rsidR="00C466A8" w:rsidRPr="00992BC5">
        <w:t>.</w:t>
      </w:r>
    </w:p>
    <w:p w14:paraId="1265047B" w14:textId="7E25044A" w:rsidR="00C466A8" w:rsidRDefault="00C466A8" w:rsidP="00C466A8">
      <w:pPr>
        <w:rPr>
          <w:lang w:val="en-US"/>
        </w:rPr>
      </w:pPr>
      <w:r>
        <w:t xml:space="preserve">The previous review of the NBCSP recommended that Program KPIs should be developed to enhance Program monitoring and transparency. In response, a set of Program </w:t>
      </w:r>
      <w:r>
        <w:rPr>
          <w:lang w:val="en-US"/>
        </w:rPr>
        <w:t xml:space="preserve">KPIs were agreed and endorsed, as outlined in the AIHW’s 2014 </w:t>
      </w:r>
      <w:r w:rsidRPr="001B7A27">
        <w:rPr>
          <w:i/>
          <w:iCs/>
          <w:lang w:val="en-US"/>
        </w:rPr>
        <w:t>Key performance indicators for the National Bowel Cancer Screening Program technical report</w:t>
      </w:r>
      <w:r>
        <w:rPr>
          <w:lang w:val="en-US"/>
        </w:rPr>
        <w:t xml:space="preserve">. Reporting against these KPIs is included, where possible, in the AIHW’s annual Monitoring Reports. </w:t>
      </w:r>
    </w:p>
    <w:p w14:paraId="486997E2" w14:textId="4078D911" w:rsidR="00C466A8" w:rsidRPr="00621931" w:rsidRDefault="00C466A8" w:rsidP="00C466A8">
      <w:pPr>
        <w:rPr>
          <w:lang w:val="en-US"/>
        </w:rPr>
      </w:pPr>
      <w:r>
        <w:rPr>
          <w:lang w:val="en-US"/>
        </w:rPr>
        <w:t xml:space="preserve">In 2018, a KPI working group was convened to review the endorsed KPIs and identify opportunities to address data gaps. At the time of the review, only preliminary progress was made. Despite this, </w:t>
      </w:r>
      <w:r w:rsidR="008C4002">
        <w:rPr>
          <w:lang w:val="en-US"/>
        </w:rPr>
        <w:t>working papers from</w:t>
      </w:r>
      <w:r>
        <w:rPr>
          <w:lang w:val="en-US"/>
        </w:rPr>
        <w:t xml:space="preserve"> the group </w:t>
      </w:r>
      <w:r w:rsidR="008C4002">
        <w:rPr>
          <w:lang w:val="en-US"/>
        </w:rPr>
        <w:t>show</w:t>
      </w:r>
      <w:r>
        <w:rPr>
          <w:lang w:val="en-US"/>
        </w:rPr>
        <w:t xml:space="preserve"> that many of </w:t>
      </w:r>
      <w:r w:rsidRPr="00F678D8">
        <w:t>the</w:t>
      </w:r>
      <w:r>
        <w:rPr>
          <w:lang w:val="en-US"/>
        </w:rPr>
        <w:t xml:space="preserve"> existing KPIs are appropriate, yet </w:t>
      </w:r>
      <w:r w:rsidR="00C662F8">
        <w:rPr>
          <w:lang w:val="en-US"/>
        </w:rPr>
        <w:t xml:space="preserve">the key challenge lies in </w:t>
      </w:r>
      <w:r w:rsidR="00E3734B">
        <w:rPr>
          <w:lang w:val="en-US"/>
        </w:rPr>
        <w:t xml:space="preserve">the </w:t>
      </w:r>
      <w:r w:rsidR="009A720B">
        <w:rPr>
          <w:lang w:val="en-US"/>
        </w:rPr>
        <w:t>feasibility</w:t>
      </w:r>
      <w:r w:rsidR="009825B0">
        <w:rPr>
          <w:lang w:val="en-US"/>
        </w:rPr>
        <w:t xml:space="preserve"> of reporting </w:t>
      </w:r>
      <w:r w:rsidR="00E3734B">
        <w:rPr>
          <w:lang w:val="en-US"/>
        </w:rPr>
        <w:t xml:space="preserve">due </w:t>
      </w:r>
      <w:r w:rsidR="00EF4391">
        <w:rPr>
          <w:lang w:val="en-US"/>
        </w:rPr>
        <w:t xml:space="preserve">to </w:t>
      </w:r>
      <w:r w:rsidR="00C662F8">
        <w:rPr>
          <w:lang w:val="en-US"/>
        </w:rPr>
        <w:t xml:space="preserve">data completeness </w:t>
      </w:r>
      <w:r w:rsidR="00B16E87">
        <w:rPr>
          <w:lang w:val="en-US"/>
        </w:rPr>
        <w:t>issues</w:t>
      </w:r>
      <w:r w:rsidR="00C662F8">
        <w:rPr>
          <w:lang w:val="en-US"/>
        </w:rPr>
        <w:t xml:space="preserve">. </w:t>
      </w:r>
      <w:r>
        <w:rPr>
          <w:lang w:val="en-US"/>
        </w:rPr>
        <w:t xml:space="preserve">The </w:t>
      </w:r>
      <w:r w:rsidR="00B63EE9">
        <w:rPr>
          <w:lang w:val="en-US"/>
        </w:rPr>
        <w:t xml:space="preserve">working </w:t>
      </w:r>
      <w:r w:rsidR="00DB3DD9">
        <w:rPr>
          <w:lang w:val="en-US"/>
        </w:rPr>
        <w:t xml:space="preserve">group </w:t>
      </w:r>
      <w:r w:rsidR="00EB48C2">
        <w:rPr>
          <w:lang w:val="en-US"/>
        </w:rPr>
        <w:t>expressed a view</w:t>
      </w:r>
      <w:r w:rsidR="005B62C2">
        <w:rPr>
          <w:lang w:val="en-US"/>
        </w:rPr>
        <w:t xml:space="preserve"> </w:t>
      </w:r>
      <w:r w:rsidR="00DB3DD9">
        <w:rPr>
          <w:lang w:val="en-US"/>
        </w:rPr>
        <w:t>that</w:t>
      </w:r>
      <w:r w:rsidR="009F7EA7">
        <w:rPr>
          <w:lang w:val="en-US"/>
        </w:rPr>
        <w:t xml:space="preserve"> all</w:t>
      </w:r>
      <w:r>
        <w:rPr>
          <w:lang w:val="en-US"/>
        </w:rPr>
        <w:t xml:space="preserve"> KPIs should </w:t>
      </w:r>
      <w:r w:rsidR="003C22DE">
        <w:rPr>
          <w:lang w:val="en-US"/>
        </w:rPr>
        <w:t xml:space="preserve">be </w:t>
      </w:r>
      <w:r>
        <w:rPr>
          <w:lang w:val="en-US"/>
        </w:rPr>
        <w:t>reported on, even where they are considered ‘aspirational’</w:t>
      </w:r>
      <w:r w:rsidR="00843A6A">
        <w:rPr>
          <w:lang w:val="en-US"/>
        </w:rPr>
        <w:t xml:space="preserve">, and initiatives to address data gaps should be </w:t>
      </w:r>
      <w:proofErr w:type="spellStart"/>
      <w:r w:rsidR="00843A6A">
        <w:rPr>
          <w:lang w:val="en-US"/>
        </w:rPr>
        <w:t>prioritised</w:t>
      </w:r>
      <w:proofErr w:type="spellEnd"/>
      <w:r w:rsidR="009F7EA7">
        <w:rPr>
          <w:lang w:val="en-US"/>
        </w:rPr>
        <w:t>.</w:t>
      </w:r>
    </w:p>
    <w:p w14:paraId="15F49198" w14:textId="26A1D3A8" w:rsidR="00C466A8" w:rsidRDefault="00C466A8" w:rsidP="00C466A8">
      <w:r>
        <w:t>A summary of the 2014 endorsed KPIs, as well as others identified as important by the KPI working group and through consultation</w:t>
      </w:r>
      <w:r w:rsidR="00D64E67">
        <w:t xml:space="preserve"> with clinicians and sectorial stakeholders</w:t>
      </w:r>
      <w:r>
        <w:t xml:space="preserve">, is shown in </w:t>
      </w:r>
      <w:r w:rsidR="00F853A3">
        <w:fldChar w:fldCharType="begin"/>
      </w:r>
      <w:r w:rsidR="00F853A3">
        <w:instrText xml:space="preserve"> REF _Ref67561720 \r \h </w:instrText>
      </w:r>
      <w:r w:rsidR="00F853A3">
        <w:fldChar w:fldCharType="separate"/>
      </w:r>
      <w:r w:rsidR="00F27525">
        <w:t>Figure 3.1</w:t>
      </w:r>
      <w:r w:rsidR="00F853A3">
        <w:fldChar w:fldCharType="end"/>
      </w:r>
      <w:r w:rsidR="00F853A3">
        <w:t xml:space="preserve"> </w:t>
      </w:r>
      <w:r>
        <w:t xml:space="preserve">across each stage of the screening pathway. Many of the endorsed and/or proposed KPIs that are most important in demonstrating the impact of the Program cannot be reported </w:t>
      </w:r>
      <w:r w:rsidR="00EB48C2">
        <w:t xml:space="preserve">due </w:t>
      </w:r>
      <w:r>
        <w:t xml:space="preserve">to data </w:t>
      </w:r>
      <w:r w:rsidR="005B62C2">
        <w:t>gaps</w:t>
      </w:r>
      <w:r>
        <w:t xml:space="preserve">. This is reflected in </w:t>
      </w:r>
      <w:r w:rsidR="00F853A3">
        <w:fldChar w:fldCharType="begin"/>
      </w:r>
      <w:r w:rsidR="00F853A3">
        <w:instrText xml:space="preserve"> REF _Ref67561720 \r \h </w:instrText>
      </w:r>
      <w:r w:rsidR="00F853A3">
        <w:fldChar w:fldCharType="separate"/>
      </w:r>
      <w:r w:rsidR="00F27525">
        <w:t>Figure 3.1</w:t>
      </w:r>
      <w:r w:rsidR="00F853A3">
        <w:fldChar w:fldCharType="end"/>
      </w:r>
      <w:r>
        <w:t xml:space="preserve">, which shows that data collection (and reporting for the endorsed </w:t>
      </w:r>
      <w:r w:rsidR="0020406F">
        <w:t>KPIs</w:t>
      </w:r>
      <w:r>
        <w:t>) is relatively complete at the screening pathway entry point, but gradually declines across the continuum as the KPIs become more important in demonstrating Program impact.</w:t>
      </w:r>
    </w:p>
    <w:p w14:paraId="324C5D65" w14:textId="33F4408B" w:rsidR="0022184A" w:rsidRPr="0022184A" w:rsidRDefault="000A10E4" w:rsidP="00815EA5">
      <w:pPr>
        <w:pStyle w:val="CaptionFigure"/>
        <w:ind w:left="0"/>
      </w:pPr>
      <w:bookmarkStart w:id="109" w:name="_Ref67561720"/>
      <w:r>
        <w:t>: Key KPIs vs. degree of data collection by stage of the screening pathway</w:t>
      </w:r>
      <w:bookmarkStart w:id="110" w:name="_Ref74308177"/>
      <w:bookmarkEnd w:id="109"/>
    </w:p>
    <w:bookmarkEnd w:id="110"/>
    <w:p w14:paraId="1A703DB4" w14:textId="5F71500F" w:rsidR="0022673B" w:rsidRPr="000A10E4" w:rsidRDefault="001F5C5A" w:rsidP="00815EA5">
      <w:pPr>
        <w:pStyle w:val="CaptionFigure"/>
        <w:numPr>
          <w:ilvl w:val="0"/>
          <w:numId w:val="0"/>
        </w:numPr>
        <w:ind w:left="284"/>
        <w:jc w:val="both"/>
      </w:pPr>
      <w:r w:rsidRPr="001F5C5A">
        <w:rPr>
          <w:noProof/>
        </w:rPr>
        <w:drawing>
          <wp:inline distT="0" distB="0" distL="0" distR="0" wp14:anchorId="6A3956C0" wp14:editId="55E3F1B3">
            <wp:extent cx="5461000" cy="3639991"/>
            <wp:effectExtent l="0" t="0" r="6350" b="0"/>
            <wp:docPr id="18" name="Picture 18" descr="Chart showing key KPIs vs. degree of data collection by stage of screening path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showing key KPIs vs. degree of data collection by stage of screening pathway"/>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133"/>
                    <a:stretch/>
                  </pic:blipFill>
                  <pic:spPr bwMode="auto">
                    <a:xfrm>
                      <a:off x="0" y="0"/>
                      <a:ext cx="5590578" cy="3726360"/>
                    </a:xfrm>
                    <a:prstGeom prst="rect">
                      <a:avLst/>
                    </a:prstGeom>
                    <a:noFill/>
                    <a:ln>
                      <a:noFill/>
                    </a:ln>
                    <a:extLst>
                      <a:ext uri="{53640926-AAD7-44D8-BBD7-CCE9431645EC}">
                        <a14:shadowObscured xmlns:a14="http://schemas.microsoft.com/office/drawing/2010/main"/>
                      </a:ext>
                    </a:extLst>
                  </pic:spPr>
                </pic:pic>
              </a:graphicData>
            </a:graphic>
          </wp:inline>
        </w:drawing>
      </w:r>
    </w:p>
    <w:p w14:paraId="740E8A96" w14:textId="09C7D390" w:rsidR="002B35D0" w:rsidRPr="006B2148" w:rsidRDefault="000A10E4" w:rsidP="000F06D0">
      <w:pPr>
        <w:spacing w:after="0" w:line="0" w:lineRule="atLeast"/>
        <w:rPr>
          <w:iCs/>
          <w:color w:val="75787B" w:themeColor="accent6"/>
          <w:sz w:val="14"/>
        </w:rPr>
      </w:pPr>
      <w:r w:rsidRPr="006B2148">
        <w:rPr>
          <w:iCs/>
          <w:color w:val="75787B" w:themeColor="accent6"/>
          <w:sz w:val="14"/>
        </w:rPr>
        <w:t>^Note: Suggested KPIs are based on suggestions from stakeholders, KPIs reported in overseas Programs and those discussed in the KPI Working Group documentation provided as part of the review.</w:t>
      </w:r>
      <w:r w:rsidR="004175C2" w:rsidRPr="006B2148">
        <w:rPr>
          <w:iCs/>
          <w:color w:val="75787B" w:themeColor="accent6"/>
          <w:sz w:val="14"/>
        </w:rPr>
        <w:t xml:space="preserve"> All </w:t>
      </w:r>
      <w:r w:rsidR="00551DCE" w:rsidRPr="006B2148">
        <w:rPr>
          <w:iCs/>
          <w:color w:val="75787B" w:themeColor="accent6"/>
          <w:sz w:val="14"/>
        </w:rPr>
        <w:t>indicators</w:t>
      </w:r>
      <w:r w:rsidR="004175C2" w:rsidRPr="006B2148">
        <w:rPr>
          <w:iCs/>
          <w:color w:val="75787B" w:themeColor="accent6"/>
          <w:sz w:val="14"/>
        </w:rPr>
        <w:t xml:space="preserve"> would ideally be captured and reported </w:t>
      </w:r>
      <w:r w:rsidR="00551DCE" w:rsidRPr="006B2148">
        <w:rPr>
          <w:iCs/>
          <w:color w:val="75787B" w:themeColor="accent6"/>
          <w:sz w:val="14"/>
        </w:rPr>
        <w:t>for different ages and demographic groups.</w:t>
      </w:r>
      <w:r w:rsidR="00F92A41" w:rsidRPr="006B2148">
        <w:rPr>
          <w:iCs/>
          <w:color w:val="75787B" w:themeColor="accent6"/>
          <w:sz w:val="14"/>
        </w:rPr>
        <w:t xml:space="preserve"> Also note, separate indicators would need to be developed to report on any alternative pathways.</w:t>
      </w:r>
    </w:p>
    <w:p w14:paraId="3B689671" w14:textId="39B0284F" w:rsidR="00233751" w:rsidRPr="00233751" w:rsidRDefault="00233751" w:rsidP="00815EA5">
      <w:pPr>
        <w:pStyle w:val="Sources"/>
        <w:spacing w:before="0" w:after="0" w:line="0" w:lineRule="atLeast"/>
      </w:pPr>
      <w:r>
        <w:t>Source: Deloitte Access Economics diagram, using Department of Health information.</w:t>
      </w:r>
      <w:r>
        <w:rPr>
          <w:rStyle w:val="EndnoteReference"/>
        </w:rPr>
        <w:endnoteReference w:id="68"/>
      </w:r>
    </w:p>
    <w:p w14:paraId="26940D41" w14:textId="53C72313" w:rsidR="00F25690" w:rsidRDefault="000A10E4" w:rsidP="000A10E4">
      <w:pPr>
        <w:pStyle w:val="Caption"/>
        <w:rPr>
          <w:iCs w:val="0"/>
          <w:color w:val="auto"/>
          <w:sz w:val="18"/>
        </w:rPr>
      </w:pPr>
      <w:r>
        <w:rPr>
          <w:iCs w:val="0"/>
          <w:color w:val="auto"/>
          <w:sz w:val="18"/>
        </w:rPr>
        <w:lastRenderedPageBreak/>
        <w:t>An overview of each broad KPI area</w:t>
      </w:r>
      <w:r w:rsidRPr="005066AD">
        <w:rPr>
          <w:iCs w:val="0"/>
          <w:color w:val="auto"/>
          <w:sz w:val="18"/>
        </w:rPr>
        <w:t xml:space="preserve"> coupled with an assessment of </w:t>
      </w:r>
      <w:r w:rsidR="005A16F5">
        <w:rPr>
          <w:iCs w:val="0"/>
          <w:color w:val="auto"/>
          <w:sz w:val="18"/>
        </w:rPr>
        <w:t xml:space="preserve">the calculation approach and </w:t>
      </w:r>
      <w:r w:rsidR="00780FA2">
        <w:rPr>
          <w:iCs w:val="0"/>
          <w:color w:val="auto"/>
          <w:sz w:val="18"/>
        </w:rPr>
        <w:t>data availability to inform the indicator</w:t>
      </w:r>
      <w:r w:rsidR="005A16F5">
        <w:rPr>
          <w:iCs w:val="0"/>
          <w:color w:val="auto"/>
          <w:sz w:val="18"/>
        </w:rPr>
        <w:t xml:space="preserve"> </w:t>
      </w:r>
      <w:r>
        <w:rPr>
          <w:iCs w:val="0"/>
          <w:color w:val="auto"/>
          <w:sz w:val="18"/>
        </w:rPr>
        <w:t>is provided in</w:t>
      </w:r>
      <w:r w:rsidR="002E3961">
        <w:rPr>
          <w:iCs w:val="0"/>
          <w:color w:val="auto"/>
          <w:sz w:val="18"/>
        </w:rPr>
        <w:t xml:space="preserve"> </w:t>
      </w:r>
      <w:r w:rsidR="006B2148">
        <w:rPr>
          <w:iCs w:val="0"/>
          <w:color w:val="auto"/>
          <w:sz w:val="18"/>
        </w:rPr>
        <w:fldChar w:fldCharType="begin"/>
      </w:r>
      <w:r w:rsidR="006B2148">
        <w:rPr>
          <w:iCs w:val="0"/>
          <w:color w:val="auto"/>
          <w:sz w:val="18"/>
        </w:rPr>
        <w:instrText xml:space="preserve"> REF _Ref74313876 \n \h </w:instrText>
      </w:r>
      <w:r w:rsidR="006B2148">
        <w:rPr>
          <w:iCs w:val="0"/>
          <w:color w:val="auto"/>
          <w:sz w:val="18"/>
        </w:rPr>
      </w:r>
      <w:r w:rsidR="006B2148">
        <w:rPr>
          <w:iCs w:val="0"/>
          <w:color w:val="auto"/>
          <w:sz w:val="18"/>
        </w:rPr>
        <w:fldChar w:fldCharType="separate"/>
      </w:r>
      <w:r w:rsidR="00F27525">
        <w:rPr>
          <w:iCs w:val="0"/>
          <w:color w:val="auto"/>
          <w:sz w:val="18"/>
        </w:rPr>
        <w:t>Table 3.2</w:t>
      </w:r>
      <w:r w:rsidR="006B2148">
        <w:rPr>
          <w:iCs w:val="0"/>
          <w:color w:val="auto"/>
          <w:sz w:val="18"/>
        </w:rPr>
        <w:fldChar w:fldCharType="end"/>
      </w:r>
      <w:r>
        <w:rPr>
          <w:iCs w:val="0"/>
          <w:color w:val="auto"/>
          <w:sz w:val="18"/>
        </w:rPr>
        <w:t>.</w:t>
      </w:r>
      <w:r w:rsidR="005A16F5" w:rsidRPr="005A16F5">
        <w:rPr>
          <w:iCs w:val="0"/>
          <w:color w:val="auto"/>
          <w:sz w:val="18"/>
        </w:rPr>
        <w:t xml:space="preserve"> </w:t>
      </w:r>
      <w:r w:rsidR="005A16F5">
        <w:rPr>
          <w:iCs w:val="0"/>
          <w:color w:val="auto"/>
          <w:sz w:val="18"/>
        </w:rPr>
        <w:t>This</w:t>
      </w:r>
      <w:r w:rsidR="00780FA2">
        <w:rPr>
          <w:iCs w:val="0"/>
          <w:color w:val="auto"/>
          <w:sz w:val="18"/>
        </w:rPr>
        <w:t xml:space="preserve"> assessment </w:t>
      </w:r>
      <w:r w:rsidR="005A16F5">
        <w:rPr>
          <w:iCs w:val="0"/>
          <w:color w:val="auto"/>
          <w:sz w:val="18"/>
        </w:rPr>
        <w:t>was</w:t>
      </w:r>
      <w:r w:rsidR="00D53CDF" w:rsidDel="0034635E">
        <w:rPr>
          <w:iCs w:val="0"/>
          <w:color w:val="auto"/>
          <w:sz w:val="18"/>
        </w:rPr>
        <w:t xml:space="preserve"> </w:t>
      </w:r>
      <w:r w:rsidR="00D53CDF">
        <w:rPr>
          <w:iCs w:val="0"/>
          <w:color w:val="auto"/>
          <w:sz w:val="18"/>
        </w:rPr>
        <w:t xml:space="preserve">based </w:t>
      </w:r>
      <w:r w:rsidR="002A5F1A">
        <w:rPr>
          <w:iCs w:val="0"/>
          <w:color w:val="auto"/>
          <w:sz w:val="18"/>
        </w:rPr>
        <w:t xml:space="preserve">on information provided in </w:t>
      </w:r>
      <w:r w:rsidR="00D53CDF">
        <w:rPr>
          <w:iCs w:val="0"/>
          <w:color w:val="auto"/>
          <w:sz w:val="18"/>
        </w:rPr>
        <w:t xml:space="preserve">AIHW </w:t>
      </w:r>
      <w:r w:rsidR="002A5F1A">
        <w:rPr>
          <w:iCs w:val="0"/>
          <w:color w:val="auto"/>
          <w:sz w:val="18"/>
        </w:rPr>
        <w:t>Monitoring Reports</w:t>
      </w:r>
      <w:r w:rsidR="00D53CDF">
        <w:rPr>
          <w:iCs w:val="0"/>
          <w:color w:val="auto"/>
          <w:sz w:val="18"/>
        </w:rPr>
        <w:t xml:space="preserve"> and</w:t>
      </w:r>
      <w:r w:rsidR="002A5F1A">
        <w:rPr>
          <w:iCs w:val="0"/>
          <w:color w:val="auto"/>
          <w:sz w:val="18"/>
        </w:rPr>
        <w:t xml:space="preserve"> insights gleaned through</w:t>
      </w:r>
      <w:r w:rsidR="00D53CDF">
        <w:rPr>
          <w:iCs w:val="0"/>
          <w:color w:val="auto"/>
          <w:sz w:val="18"/>
        </w:rPr>
        <w:t xml:space="preserve"> stakeholder consultation</w:t>
      </w:r>
      <w:r w:rsidR="005A16F5">
        <w:rPr>
          <w:iCs w:val="0"/>
          <w:color w:val="auto"/>
          <w:sz w:val="18"/>
        </w:rPr>
        <w:t>.</w:t>
      </w:r>
    </w:p>
    <w:p w14:paraId="065FA2B8" w14:textId="51780869" w:rsidR="005460DD" w:rsidRDefault="005460DD" w:rsidP="005460DD">
      <w:pPr>
        <w:pStyle w:val="CaptionTable"/>
      </w:pPr>
      <w:bookmarkStart w:id="111" w:name="_Ref74313876"/>
      <w:r>
        <w:t>: Overview of each broad KPI area</w:t>
      </w:r>
      <w:bookmarkEnd w:id="111"/>
    </w:p>
    <w:tbl>
      <w:tblPr>
        <w:tblStyle w:val="Deloittetable4"/>
        <w:tblW w:w="0" w:type="auto"/>
        <w:tblLook w:val="04A0" w:firstRow="1" w:lastRow="0" w:firstColumn="1" w:lastColumn="0" w:noHBand="0" w:noVBand="1"/>
      </w:tblPr>
      <w:tblGrid>
        <w:gridCol w:w="8922"/>
        <w:gridCol w:w="94"/>
      </w:tblGrid>
      <w:tr w:rsidR="001A41AC" w:rsidRPr="000A10E4" w14:paraId="4C7E46A6" w14:textId="77777777" w:rsidTr="000C02F8">
        <w:trPr>
          <w:gridAfter w:val="1"/>
          <w:cnfStyle w:val="100000000000" w:firstRow="1" w:lastRow="0" w:firstColumn="0" w:lastColumn="0" w:oddVBand="0" w:evenVBand="0" w:oddHBand="0" w:evenHBand="0" w:firstRowFirstColumn="0" w:firstRowLastColumn="0" w:lastRowFirstColumn="0" w:lastRowLastColumn="0"/>
          <w:wAfter w:w="94" w:type="dxa"/>
          <w:trHeight w:val="6564"/>
        </w:trPr>
        <w:tc>
          <w:tcPr>
            <w:tcW w:w="8932" w:type="dxa"/>
          </w:tcPr>
          <w:p w14:paraId="74E0C5B2" w14:textId="2102EF71" w:rsidR="001A41AC" w:rsidRPr="00992BC5" w:rsidRDefault="001A41AC" w:rsidP="00992BC5">
            <w:pPr>
              <w:pStyle w:val="Heading4un-numbered"/>
            </w:pPr>
            <w:r w:rsidRPr="00992BC5">
              <w:t>Participation</w:t>
            </w:r>
          </w:p>
          <w:p w14:paraId="0E2D9243" w14:textId="77777777" w:rsidR="001A41AC" w:rsidRPr="000F06D0" w:rsidRDefault="001A41AC" w:rsidP="00992BC5">
            <w:pPr>
              <w:pStyle w:val="Heading5un-numbered"/>
              <w:rPr>
                <w:lang w:val="en-GB"/>
              </w:rPr>
            </w:pPr>
            <w:r w:rsidRPr="000F06D0">
              <w:rPr>
                <w:lang w:val="en-GB"/>
              </w:rPr>
              <w:t>Data availability</w:t>
            </w:r>
          </w:p>
          <w:p w14:paraId="0550CD37" w14:textId="3F615BF6" w:rsidR="001A41AC" w:rsidRPr="000C02F8" w:rsidRDefault="001A41AC" w:rsidP="000C02F8">
            <w:pPr>
              <w:pStyle w:val="TabletextLeft"/>
              <w:rPr>
                <w:b w:val="0"/>
                <w:bCs/>
              </w:rPr>
            </w:pPr>
            <w:r w:rsidRPr="000C02F8">
              <w:rPr>
                <w:b w:val="0"/>
                <w:bCs/>
              </w:rPr>
              <w:t>The participation (KPI 1) is captured in the NCSR and reported in the AIHW Monitoring Reports.</w:t>
            </w:r>
          </w:p>
          <w:p w14:paraId="07DD654A" w14:textId="77777777" w:rsidR="001A41AC" w:rsidRPr="00DB60D8" w:rsidRDefault="001A41AC" w:rsidP="00992BC5">
            <w:pPr>
              <w:pStyle w:val="Heading5un-numbered"/>
              <w:rPr>
                <w:lang w:val="en-GB"/>
              </w:rPr>
            </w:pPr>
            <w:r w:rsidRPr="00DB60D8">
              <w:rPr>
                <w:lang w:val="en-GB"/>
              </w:rPr>
              <w:t>Calculation</w:t>
            </w:r>
          </w:p>
          <w:p w14:paraId="53838519" w14:textId="3176E1C9" w:rsidR="001A41AC" w:rsidRPr="000C02F8" w:rsidRDefault="001A41AC" w:rsidP="000C02F8">
            <w:pPr>
              <w:pStyle w:val="TabletextLeft"/>
              <w:rPr>
                <w:b w:val="0"/>
                <w:bCs/>
              </w:rPr>
            </w:pPr>
            <w:r w:rsidRPr="000C02F8">
              <w:rPr>
                <w:b w:val="0"/>
                <w:bCs/>
              </w:rPr>
              <w:t>The true participation is likely underestimated due to the provision of kits to those using other forms of screening (</w:t>
            </w:r>
            <w:proofErr w:type="gramStart"/>
            <w:r w:rsidRPr="000C02F8">
              <w:rPr>
                <w:b w:val="0"/>
                <w:bCs/>
              </w:rPr>
              <w:t>e.g.</w:t>
            </w:r>
            <w:proofErr w:type="gramEnd"/>
            <w:r w:rsidRPr="000C02F8">
              <w:rPr>
                <w:b w:val="0"/>
                <w:bCs/>
              </w:rPr>
              <w:t xml:space="preserve"> other at-home kits and surveillance coloscopy) and those not suitable for participation in the Program (i.e. where a colonoscopy is not considered appropriate due to the risks). As noted in </w:t>
            </w:r>
            <w:r w:rsidR="004844CF" w:rsidRPr="000C02F8">
              <w:rPr>
                <w:b w:val="0"/>
                <w:bCs/>
              </w:rPr>
              <w:fldChar w:fldCharType="begin"/>
            </w:r>
            <w:r w:rsidR="004844CF" w:rsidRPr="000C02F8">
              <w:rPr>
                <w:b w:val="0"/>
                <w:bCs/>
              </w:rPr>
              <w:instrText xml:space="preserve"> REF _Ref67591575 \n \h  \* MERGEFORMAT </w:instrText>
            </w:r>
            <w:r w:rsidR="004844CF" w:rsidRPr="000C02F8">
              <w:rPr>
                <w:b w:val="0"/>
                <w:bCs/>
              </w:rPr>
            </w:r>
            <w:r w:rsidR="004844CF" w:rsidRPr="000C02F8">
              <w:rPr>
                <w:b w:val="0"/>
                <w:bCs/>
              </w:rPr>
              <w:fldChar w:fldCharType="separate"/>
            </w:r>
            <w:r w:rsidR="00F27525" w:rsidRPr="000C02F8">
              <w:rPr>
                <w:b w:val="0"/>
                <w:bCs/>
              </w:rPr>
              <w:t>Chart 4.6</w:t>
            </w:r>
            <w:r w:rsidR="004844CF" w:rsidRPr="000C02F8">
              <w:rPr>
                <w:b w:val="0"/>
                <w:bCs/>
              </w:rPr>
              <w:fldChar w:fldCharType="end"/>
            </w:r>
            <w:r w:rsidRPr="000C02F8">
              <w:rPr>
                <w:b w:val="0"/>
                <w:bCs/>
              </w:rPr>
              <w:t>, results from the consumer survey showed that 10 per cent of all invitees do not participate because they completed another form of screening.</w:t>
            </w:r>
            <w:r w:rsidR="009C16DF" w:rsidRPr="000C02F8">
              <w:rPr>
                <w:b w:val="0"/>
                <w:bCs/>
              </w:rPr>
              <w:t xml:space="preserve"> </w:t>
            </w:r>
          </w:p>
          <w:p w14:paraId="7795F947" w14:textId="77777777" w:rsidR="001A41AC" w:rsidRPr="000C02F8" w:rsidRDefault="001A41AC" w:rsidP="000C02F8">
            <w:pPr>
              <w:pStyle w:val="TabletextLeft"/>
              <w:rPr>
                <w:b w:val="0"/>
                <w:bCs/>
              </w:rPr>
            </w:pPr>
            <w:r w:rsidRPr="000C02F8">
              <w:rPr>
                <w:b w:val="0"/>
                <w:bCs/>
              </w:rPr>
              <w:t xml:space="preserve">The recent update to integrate the NCSR with the Medicare Benefits Schedule (MBS) to ensure those undergoing surveillance colonoscopy do not receive a kit, was cited as a positive step in supporting a more reliable estimate of the true participation rate. However, this will only capture </w:t>
            </w:r>
            <w:proofErr w:type="gramStart"/>
            <w:r w:rsidRPr="000C02F8">
              <w:rPr>
                <w:b w:val="0"/>
                <w:bCs/>
              </w:rPr>
              <w:t>those undergoing colonoscopy</w:t>
            </w:r>
            <w:proofErr w:type="gramEnd"/>
            <w:r w:rsidRPr="000C02F8">
              <w:rPr>
                <w:b w:val="0"/>
                <w:bCs/>
              </w:rPr>
              <w:t xml:space="preserve"> in the private system.</w:t>
            </w:r>
          </w:p>
          <w:p w14:paraId="4F8919E5" w14:textId="5335F44B" w:rsidR="001A41AC" w:rsidRPr="000C02F8" w:rsidRDefault="00DE29DE" w:rsidP="000C02F8">
            <w:pPr>
              <w:pStyle w:val="TabletextLeft"/>
              <w:rPr>
                <w:b w:val="0"/>
                <w:bCs/>
              </w:rPr>
            </w:pPr>
            <w:r w:rsidRPr="000C02F8">
              <w:rPr>
                <w:b w:val="0"/>
                <w:bCs/>
              </w:rPr>
              <w:t>Using GPs to</w:t>
            </w:r>
            <w:r w:rsidR="001A41AC" w:rsidRPr="000C02F8">
              <w:rPr>
                <w:b w:val="0"/>
                <w:bCs/>
              </w:rPr>
              <w:t xml:space="preserve"> ‘opt-out’ individuals who may not be appropriate for the Program would further support a more accurate estimate of the true participation rate; this could be facilitated through the HPP, as suggested in </w:t>
            </w:r>
            <w:r w:rsidR="006E2361" w:rsidRPr="000C02F8">
              <w:rPr>
                <w:b w:val="0"/>
                <w:bCs/>
              </w:rPr>
              <w:t>s</w:t>
            </w:r>
            <w:r w:rsidR="001A41AC" w:rsidRPr="000C02F8">
              <w:rPr>
                <w:b w:val="0"/>
                <w:bCs/>
              </w:rPr>
              <w:t xml:space="preserve">ection </w:t>
            </w:r>
            <w:r w:rsidR="00C820FC" w:rsidRPr="000C02F8">
              <w:rPr>
                <w:b w:val="0"/>
                <w:bCs/>
              </w:rPr>
              <w:fldChar w:fldCharType="begin"/>
            </w:r>
            <w:r w:rsidR="00C820FC" w:rsidRPr="000C02F8">
              <w:rPr>
                <w:b w:val="0"/>
                <w:bCs/>
              </w:rPr>
              <w:instrText xml:space="preserve"> REF _Ref67583914 \n \h  \* MERGEFORMAT </w:instrText>
            </w:r>
            <w:r w:rsidR="00C820FC" w:rsidRPr="000C02F8">
              <w:rPr>
                <w:b w:val="0"/>
                <w:bCs/>
              </w:rPr>
            </w:r>
            <w:r w:rsidR="00C820FC" w:rsidRPr="000C02F8">
              <w:rPr>
                <w:b w:val="0"/>
                <w:bCs/>
              </w:rPr>
              <w:fldChar w:fldCharType="separate"/>
            </w:r>
            <w:r w:rsidR="00F27525" w:rsidRPr="000C02F8">
              <w:rPr>
                <w:b w:val="0"/>
                <w:bCs/>
              </w:rPr>
              <w:t>2.1.1.3</w:t>
            </w:r>
            <w:r w:rsidR="00C820FC" w:rsidRPr="000C02F8">
              <w:rPr>
                <w:b w:val="0"/>
                <w:bCs/>
              </w:rPr>
              <w:fldChar w:fldCharType="end"/>
            </w:r>
            <w:r w:rsidR="001A41AC" w:rsidRPr="000C02F8">
              <w:rPr>
                <w:b w:val="0"/>
                <w:bCs/>
              </w:rPr>
              <w:t>.</w:t>
            </w:r>
          </w:p>
          <w:p w14:paraId="77B620CA" w14:textId="762A142A" w:rsidR="00246E1F" w:rsidRPr="000C02F8" w:rsidRDefault="001A41AC" w:rsidP="000C02F8">
            <w:pPr>
              <w:pStyle w:val="TabletextLeft"/>
              <w:rPr>
                <w:b w:val="0"/>
                <w:bCs/>
                <w:lang w:val="en-US"/>
              </w:rPr>
            </w:pPr>
            <w:r w:rsidRPr="000C02F8">
              <w:rPr>
                <w:b w:val="0"/>
                <w:bCs/>
                <w:lang w:val="en-US"/>
              </w:rPr>
              <w:t xml:space="preserve">Currently, participation rates are reported in the AIHW’s </w:t>
            </w:r>
            <w:r w:rsidR="00FA4B69" w:rsidRPr="000C02F8">
              <w:rPr>
                <w:b w:val="0"/>
                <w:bCs/>
                <w:lang w:val="en-US"/>
              </w:rPr>
              <w:t xml:space="preserve">Annual </w:t>
            </w:r>
            <w:r w:rsidRPr="000C02F8">
              <w:rPr>
                <w:b w:val="0"/>
                <w:bCs/>
                <w:lang w:val="en-US"/>
              </w:rPr>
              <w:t xml:space="preserve">Monitoring Reports for Program invitees from two years prior. </w:t>
            </w:r>
            <w:r w:rsidR="005F4326" w:rsidRPr="000C02F8">
              <w:rPr>
                <w:b w:val="0"/>
                <w:bCs/>
                <w:lang w:val="en-US"/>
              </w:rPr>
              <w:t>The benefit</w:t>
            </w:r>
            <w:r w:rsidR="00246E1F" w:rsidRPr="000C02F8">
              <w:rPr>
                <w:b w:val="0"/>
                <w:bCs/>
                <w:lang w:val="en-US"/>
              </w:rPr>
              <w:t>s</w:t>
            </w:r>
            <w:r w:rsidR="005F4326" w:rsidRPr="000C02F8">
              <w:rPr>
                <w:b w:val="0"/>
                <w:bCs/>
                <w:lang w:val="en-US"/>
              </w:rPr>
              <w:t xml:space="preserve"> of </w:t>
            </w:r>
            <w:r w:rsidR="00365662" w:rsidRPr="000C02F8">
              <w:rPr>
                <w:b w:val="0"/>
                <w:bCs/>
                <w:lang w:val="en-US"/>
              </w:rPr>
              <w:t>the c</w:t>
            </w:r>
            <w:r w:rsidR="00293E1A" w:rsidRPr="000C02F8">
              <w:rPr>
                <w:b w:val="0"/>
                <w:bCs/>
                <w:lang w:val="en-US"/>
              </w:rPr>
              <w:t xml:space="preserve">urrent length of </w:t>
            </w:r>
            <w:r w:rsidR="00833D7F" w:rsidRPr="000C02F8">
              <w:rPr>
                <w:b w:val="0"/>
                <w:bCs/>
                <w:lang w:val="en-US"/>
              </w:rPr>
              <w:t>observation</w:t>
            </w:r>
            <w:r w:rsidR="00E90F6B" w:rsidRPr="000C02F8">
              <w:rPr>
                <w:b w:val="0"/>
                <w:bCs/>
                <w:lang w:val="en-US"/>
              </w:rPr>
              <w:t xml:space="preserve"> </w:t>
            </w:r>
            <w:r w:rsidR="00246E1F" w:rsidRPr="000C02F8">
              <w:rPr>
                <w:b w:val="0"/>
                <w:bCs/>
                <w:lang w:val="en-US"/>
              </w:rPr>
              <w:t>include:</w:t>
            </w:r>
          </w:p>
          <w:p w14:paraId="2C9EF3A4" w14:textId="5170083D" w:rsidR="00246E1F" w:rsidRPr="000C02F8" w:rsidRDefault="00E72971" w:rsidP="000C02F8">
            <w:pPr>
              <w:pStyle w:val="Tablebullets"/>
              <w:framePr w:wrap="around"/>
              <w:rPr>
                <w:b w:val="0"/>
                <w:bCs/>
              </w:rPr>
            </w:pPr>
            <w:r w:rsidRPr="000C02F8">
              <w:rPr>
                <w:b w:val="0"/>
                <w:bCs/>
                <w:lang w:val="en-US"/>
              </w:rPr>
              <w:t>allow</w:t>
            </w:r>
            <w:r w:rsidR="00246E1F" w:rsidRPr="000C02F8">
              <w:rPr>
                <w:b w:val="0"/>
                <w:bCs/>
                <w:lang w:val="en-US"/>
              </w:rPr>
              <w:t>ing</w:t>
            </w:r>
            <w:r w:rsidRPr="000C02F8">
              <w:rPr>
                <w:b w:val="0"/>
                <w:bCs/>
                <w:lang w:val="en-US"/>
              </w:rPr>
              <w:t xml:space="preserve"> a long </w:t>
            </w:r>
            <w:r w:rsidR="00A97D1D" w:rsidRPr="000C02F8">
              <w:rPr>
                <w:b w:val="0"/>
                <w:bCs/>
                <w:lang w:val="en-US"/>
              </w:rPr>
              <w:t>timeframe</w:t>
            </w:r>
            <w:r w:rsidRPr="000C02F8">
              <w:rPr>
                <w:b w:val="0"/>
                <w:bCs/>
                <w:lang w:val="en-US"/>
              </w:rPr>
              <w:t xml:space="preserve"> for participants to </w:t>
            </w:r>
            <w:r w:rsidRPr="000C02F8">
              <w:rPr>
                <w:b w:val="0"/>
                <w:bCs/>
              </w:rPr>
              <w:t>return</w:t>
            </w:r>
            <w:r w:rsidRPr="000C02F8">
              <w:rPr>
                <w:b w:val="0"/>
                <w:bCs/>
                <w:lang w:val="en-US"/>
              </w:rPr>
              <w:t xml:space="preserve"> their kit (</w:t>
            </w:r>
            <w:r w:rsidR="00246E1F" w:rsidRPr="000C02F8">
              <w:rPr>
                <w:b w:val="0"/>
                <w:bCs/>
                <w:lang w:val="en-US"/>
              </w:rPr>
              <w:t xml:space="preserve">which </w:t>
            </w:r>
            <w:proofErr w:type="spellStart"/>
            <w:r w:rsidR="00246E1F" w:rsidRPr="000C02F8">
              <w:rPr>
                <w:b w:val="0"/>
                <w:bCs/>
                <w:lang w:val="en-US"/>
              </w:rPr>
              <w:t>recognises</w:t>
            </w:r>
            <w:proofErr w:type="spellEnd"/>
            <w:r w:rsidRPr="000C02F8">
              <w:rPr>
                <w:b w:val="0"/>
                <w:bCs/>
                <w:lang w:val="en-US"/>
              </w:rPr>
              <w:t xml:space="preserve"> the time to expiry of the kit</w:t>
            </w:r>
            <w:r w:rsidR="00D1163D" w:rsidRPr="000C02F8">
              <w:rPr>
                <w:b w:val="0"/>
                <w:bCs/>
                <w:lang w:val="en-US"/>
              </w:rPr>
              <w:t>)</w:t>
            </w:r>
          </w:p>
          <w:p w14:paraId="2D5A4407" w14:textId="7CE32E57" w:rsidR="00151108" w:rsidRPr="000C02F8" w:rsidRDefault="004C3BBD" w:rsidP="000C02F8">
            <w:pPr>
              <w:pStyle w:val="Tablebullets"/>
              <w:framePr w:wrap="around"/>
              <w:rPr>
                <w:b w:val="0"/>
                <w:bCs/>
              </w:rPr>
            </w:pPr>
            <w:r w:rsidRPr="000C02F8">
              <w:rPr>
                <w:b w:val="0"/>
                <w:bCs/>
                <w:lang w:val="en-US"/>
              </w:rPr>
              <w:t>accounting</w:t>
            </w:r>
            <w:r w:rsidR="00E72971" w:rsidRPr="000C02F8">
              <w:rPr>
                <w:b w:val="0"/>
                <w:bCs/>
                <w:lang w:val="en-US"/>
              </w:rPr>
              <w:t xml:space="preserve"> for participants requesting multiple kits</w:t>
            </w:r>
          </w:p>
          <w:p w14:paraId="1BED8859" w14:textId="7D886C51" w:rsidR="00FB443D" w:rsidRPr="000C02F8" w:rsidRDefault="003527C4" w:rsidP="000C02F8">
            <w:pPr>
              <w:pStyle w:val="Tablebullets"/>
              <w:framePr w:wrap="around"/>
              <w:rPr>
                <w:b w:val="0"/>
                <w:bCs/>
              </w:rPr>
            </w:pPr>
            <w:r w:rsidRPr="000C02F8">
              <w:rPr>
                <w:b w:val="0"/>
                <w:bCs/>
                <w:lang w:val="en-US"/>
              </w:rPr>
              <w:t xml:space="preserve">aligning </w:t>
            </w:r>
            <w:r w:rsidR="00547EEF" w:rsidRPr="000C02F8">
              <w:rPr>
                <w:b w:val="0"/>
                <w:bCs/>
                <w:lang w:val="en-US"/>
              </w:rPr>
              <w:t>conceptually with biennial screening intervals</w:t>
            </w:r>
            <w:r w:rsidR="006F563B" w:rsidRPr="000C02F8">
              <w:rPr>
                <w:b w:val="0"/>
                <w:bCs/>
                <w:lang w:val="en-US"/>
              </w:rPr>
              <w:t>.</w:t>
            </w:r>
          </w:p>
          <w:p w14:paraId="09F6F90B" w14:textId="77777777" w:rsidR="00B346BB" w:rsidRPr="000C02F8" w:rsidRDefault="006F563B" w:rsidP="000C02F8">
            <w:pPr>
              <w:pStyle w:val="TabletextLeft"/>
              <w:rPr>
                <w:b w:val="0"/>
                <w:bCs/>
                <w:lang w:val="en-US"/>
              </w:rPr>
            </w:pPr>
            <w:r w:rsidRPr="000C02F8">
              <w:rPr>
                <w:b w:val="0"/>
                <w:bCs/>
                <w:lang w:val="en-US"/>
              </w:rPr>
              <w:t xml:space="preserve">Consequently, any decision to shorten </w:t>
            </w:r>
            <w:r w:rsidR="009E52BC" w:rsidRPr="000C02F8">
              <w:rPr>
                <w:b w:val="0"/>
                <w:bCs/>
                <w:lang w:val="en-US"/>
              </w:rPr>
              <w:t>this window</w:t>
            </w:r>
            <w:r w:rsidR="00656BA0" w:rsidRPr="000C02F8">
              <w:rPr>
                <w:b w:val="0"/>
                <w:bCs/>
                <w:lang w:val="en-US"/>
              </w:rPr>
              <w:t xml:space="preserve"> </w:t>
            </w:r>
            <w:r w:rsidR="007367C6" w:rsidRPr="000C02F8">
              <w:rPr>
                <w:b w:val="0"/>
                <w:bCs/>
                <w:lang w:val="en-US"/>
              </w:rPr>
              <w:t xml:space="preserve">will likely </w:t>
            </w:r>
            <w:r w:rsidR="000726AB" w:rsidRPr="000C02F8">
              <w:rPr>
                <w:b w:val="0"/>
                <w:bCs/>
                <w:lang w:val="en-US"/>
              </w:rPr>
              <w:t xml:space="preserve">lower the </w:t>
            </w:r>
            <w:r w:rsidR="00D64605" w:rsidRPr="000C02F8">
              <w:rPr>
                <w:b w:val="0"/>
                <w:bCs/>
                <w:lang w:val="en-US"/>
              </w:rPr>
              <w:t xml:space="preserve">reported </w:t>
            </w:r>
            <w:r w:rsidR="000726AB" w:rsidRPr="000C02F8">
              <w:rPr>
                <w:b w:val="0"/>
                <w:bCs/>
                <w:lang w:val="en-US"/>
              </w:rPr>
              <w:t>participation rate.</w:t>
            </w:r>
            <w:r w:rsidR="00900E2A" w:rsidRPr="000C02F8">
              <w:rPr>
                <w:b w:val="0"/>
                <w:bCs/>
                <w:lang w:val="en-US"/>
              </w:rPr>
              <w:t xml:space="preserve"> However, it may allow for the impact of interventions which encourage prompt participation to be </w:t>
            </w:r>
            <w:proofErr w:type="spellStart"/>
            <w:r w:rsidR="00900E2A" w:rsidRPr="000C02F8">
              <w:rPr>
                <w:b w:val="0"/>
                <w:bCs/>
                <w:lang w:val="en-US"/>
              </w:rPr>
              <w:t>recognised</w:t>
            </w:r>
            <w:proofErr w:type="spellEnd"/>
            <w:r w:rsidR="00900E2A" w:rsidRPr="000C02F8">
              <w:rPr>
                <w:b w:val="0"/>
                <w:bCs/>
                <w:lang w:val="en-US"/>
              </w:rPr>
              <w:t xml:space="preserve"> more clearly. </w:t>
            </w:r>
            <w:r w:rsidR="00CE1400" w:rsidRPr="000C02F8">
              <w:rPr>
                <w:b w:val="0"/>
                <w:bCs/>
                <w:lang w:val="en-US"/>
              </w:rPr>
              <w:t>As such, the approach to measuring participation</w:t>
            </w:r>
            <w:r w:rsidR="00553902" w:rsidRPr="000C02F8">
              <w:rPr>
                <w:b w:val="0"/>
                <w:bCs/>
                <w:lang w:val="en-US"/>
              </w:rPr>
              <w:t xml:space="preserve"> could be revised </w:t>
            </w:r>
            <w:r w:rsidR="008A39DC" w:rsidRPr="000C02F8">
              <w:rPr>
                <w:b w:val="0"/>
                <w:bCs/>
                <w:lang w:val="en-US"/>
              </w:rPr>
              <w:t xml:space="preserve">in a manner which reports the rate at </w:t>
            </w:r>
            <w:r w:rsidR="006C3D94" w:rsidRPr="000C02F8">
              <w:rPr>
                <w:b w:val="0"/>
                <w:bCs/>
                <w:lang w:val="en-US"/>
              </w:rPr>
              <w:t>shorter intervals</w:t>
            </w:r>
            <w:r w:rsidR="00B346BB" w:rsidRPr="000C02F8">
              <w:rPr>
                <w:b w:val="0"/>
                <w:bCs/>
                <w:lang w:val="en-US"/>
              </w:rPr>
              <w:t>, for example:</w:t>
            </w:r>
          </w:p>
          <w:p w14:paraId="30EAB000" w14:textId="77777777" w:rsidR="00DF151A" w:rsidRPr="000C02F8" w:rsidRDefault="00B346BB" w:rsidP="000C02F8">
            <w:pPr>
              <w:pStyle w:val="Tablebullets"/>
              <w:framePr w:wrap="around"/>
              <w:rPr>
                <w:b w:val="0"/>
                <w:bCs/>
              </w:rPr>
            </w:pPr>
            <w:r w:rsidRPr="000C02F8">
              <w:rPr>
                <w:b w:val="0"/>
                <w:bCs/>
              </w:rPr>
              <w:t>participants invited to screen between January</w:t>
            </w:r>
            <w:r w:rsidR="00603FD5" w:rsidRPr="000C02F8">
              <w:rPr>
                <w:b w:val="0"/>
                <w:bCs/>
              </w:rPr>
              <w:t xml:space="preserve"> and June of </w:t>
            </w:r>
            <w:r w:rsidR="00DF151A" w:rsidRPr="000C02F8">
              <w:rPr>
                <w:b w:val="0"/>
                <w:bCs/>
              </w:rPr>
              <w:t>2021 that return a kit by December 2021</w:t>
            </w:r>
          </w:p>
          <w:p w14:paraId="25C0CAB4" w14:textId="0F9FB8FD" w:rsidR="00FB443D" w:rsidRPr="000C02F8" w:rsidRDefault="00DF151A" w:rsidP="000C02F8">
            <w:pPr>
              <w:pStyle w:val="Tablebullets"/>
              <w:framePr w:wrap="around"/>
              <w:rPr>
                <w:b w:val="0"/>
                <w:bCs/>
              </w:rPr>
            </w:pPr>
            <w:r w:rsidRPr="000C02F8">
              <w:rPr>
                <w:b w:val="0"/>
                <w:bCs/>
              </w:rPr>
              <w:t xml:space="preserve">participants invited to screen between </w:t>
            </w:r>
            <w:r w:rsidR="00792F9C" w:rsidRPr="000C02F8">
              <w:rPr>
                <w:b w:val="0"/>
                <w:bCs/>
              </w:rPr>
              <w:t xml:space="preserve">July and December 2021 that return a kit </w:t>
            </w:r>
            <w:r w:rsidR="00172CD8" w:rsidRPr="000C02F8">
              <w:rPr>
                <w:b w:val="0"/>
                <w:bCs/>
              </w:rPr>
              <w:t>by June 2022.</w:t>
            </w:r>
          </w:p>
          <w:p w14:paraId="59B33ED5" w14:textId="7BE270F2" w:rsidR="00992BC5" w:rsidRPr="00815EA5" w:rsidRDefault="00B27005" w:rsidP="00992BC5">
            <w:pPr>
              <w:rPr>
                <w:lang w:val="en-US"/>
              </w:rPr>
            </w:pPr>
            <w:r w:rsidRPr="000C02F8">
              <w:rPr>
                <w:b w:val="0"/>
                <w:bCs/>
                <w:lang w:val="en-US"/>
              </w:rPr>
              <w:t>A</w:t>
            </w:r>
            <w:r w:rsidR="00196A93" w:rsidRPr="000C02F8">
              <w:rPr>
                <w:b w:val="0"/>
                <w:bCs/>
                <w:lang w:val="en-US"/>
              </w:rPr>
              <w:t xml:space="preserve"> revised participation rate </w:t>
            </w:r>
            <w:r w:rsidRPr="000C02F8">
              <w:rPr>
                <w:b w:val="0"/>
                <w:bCs/>
                <w:lang w:val="en-US"/>
              </w:rPr>
              <w:t xml:space="preserve">could then be </w:t>
            </w:r>
            <w:r w:rsidR="00246B7D" w:rsidRPr="000C02F8">
              <w:rPr>
                <w:b w:val="0"/>
                <w:bCs/>
                <w:lang w:val="en-US"/>
              </w:rPr>
              <w:t xml:space="preserve">calculated </w:t>
            </w:r>
            <w:r w:rsidR="00597CE0" w:rsidRPr="000C02F8">
              <w:rPr>
                <w:b w:val="0"/>
                <w:bCs/>
                <w:lang w:val="en-US"/>
              </w:rPr>
              <w:t>(using the prior method</w:t>
            </w:r>
            <w:r w:rsidR="00246B7D" w:rsidRPr="000C02F8">
              <w:rPr>
                <w:b w:val="0"/>
                <w:bCs/>
                <w:lang w:val="en-US"/>
              </w:rPr>
              <w:t xml:space="preserve"> </w:t>
            </w:r>
            <w:r w:rsidR="00597CE0" w:rsidRPr="000C02F8">
              <w:rPr>
                <w:b w:val="0"/>
                <w:bCs/>
                <w:lang w:val="en-US"/>
              </w:rPr>
              <w:t xml:space="preserve">of a longer window) </w:t>
            </w:r>
            <w:r w:rsidR="00246B7D" w:rsidRPr="000C02F8">
              <w:rPr>
                <w:b w:val="0"/>
                <w:bCs/>
                <w:lang w:val="en-US"/>
              </w:rPr>
              <w:t>and repor</w:t>
            </w:r>
            <w:r w:rsidR="00114614" w:rsidRPr="000C02F8">
              <w:rPr>
                <w:b w:val="0"/>
                <w:bCs/>
                <w:lang w:val="en-US"/>
              </w:rPr>
              <w:t>ted in the Annual Monitoring Report</w:t>
            </w:r>
            <w:r w:rsidRPr="000C02F8">
              <w:rPr>
                <w:b w:val="0"/>
                <w:bCs/>
                <w:lang w:val="en-US"/>
              </w:rPr>
              <w:t xml:space="preserve">, </w:t>
            </w:r>
            <w:r w:rsidR="009E0F45" w:rsidRPr="000C02F8">
              <w:rPr>
                <w:b w:val="0"/>
                <w:bCs/>
                <w:lang w:val="en-US"/>
              </w:rPr>
              <w:t>to provide comparable statistics over time</w:t>
            </w:r>
            <w:r w:rsidR="00114614" w:rsidRPr="000C02F8">
              <w:rPr>
                <w:b w:val="0"/>
                <w:bCs/>
                <w:lang w:val="en-US"/>
              </w:rPr>
              <w:t>.</w:t>
            </w:r>
            <w:r w:rsidR="000726AB" w:rsidRPr="000C02F8">
              <w:rPr>
                <w:b w:val="0"/>
                <w:bCs/>
                <w:lang w:val="en-US"/>
              </w:rPr>
              <w:t xml:space="preserve"> </w:t>
            </w:r>
            <w:r w:rsidR="001A41AC" w:rsidRPr="000C02F8">
              <w:rPr>
                <w:b w:val="0"/>
                <w:bCs/>
                <w:lang w:val="en-US"/>
              </w:rPr>
              <w:t xml:space="preserve">However, an appropriate window </w:t>
            </w:r>
            <w:r w:rsidR="007119D7" w:rsidRPr="000C02F8">
              <w:rPr>
                <w:b w:val="0"/>
                <w:bCs/>
                <w:lang w:val="en-US"/>
              </w:rPr>
              <w:t>would need to be</w:t>
            </w:r>
            <w:r w:rsidR="001A41AC" w:rsidRPr="000C02F8">
              <w:rPr>
                <w:b w:val="0"/>
                <w:bCs/>
                <w:lang w:val="en-US"/>
              </w:rPr>
              <w:t xml:space="preserve"> discussed and agreed with the AIHW</w:t>
            </w:r>
            <w:r w:rsidR="00567DD1" w:rsidRPr="000C02F8">
              <w:rPr>
                <w:b w:val="0"/>
                <w:bCs/>
                <w:lang w:val="en-US"/>
              </w:rPr>
              <w:t xml:space="preserve">. As well, </w:t>
            </w:r>
            <w:r w:rsidR="00D03CA8" w:rsidRPr="000C02F8">
              <w:rPr>
                <w:b w:val="0"/>
                <w:bCs/>
                <w:lang w:val="en-US"/>
              </w:rPr>
              <w:t>altering the participation rate</w:t>
            </w:r>
            <w:r w:rsidR="00676764" w:rsidRPr="000C02F8">
              <w:rPr>
                <w:b w:val="0"/>
                <w:bCs/>
                <w:lang w:val="en-US"/>
              </w:rPr>
              <w:t xml:space="preserve"> indicator </w:t>
            </w:r>
            <w:r w:rsidR="00D03CA8" w:rsidRPr="000C02F8">
              <w:rPr>
                <w:b w:val="0"/>
                <w:bCs/>
                <w:lang w:val="en-US"/>
              </w:rPr>
              <w:t xml:space="preserve">to report on a more frequent basis </w:t>
            </w:r>
            <w:r w:rsidR="00676764" w:rsidRPr="000C02F8">
              <w:rPr>
                <w:b w:val="0"/>
                <w:bCs/>
                <w:lang w:val="en-US"/>
              </w:rPr>
              <w:t xml:space="preserve">would require </w:t>
            </w:r>
            <w:r w:rsidR="00480DCC" w:rsidRPr="000C02F8">
              <w:rPr>
                <w:b w:val="0"/>
                <w:bCs/>
                <w:lang w:val="en-US"/>
              </w:rPr>
              <w:t>an additional administrative workload</w:t>
            </w:r>
            <w:r w:rsidR="001A41AC" w:rsidRPr="000C02F8" w:rsidDel="005506DB">
              <w:rPr>
                <w:b w:val="0"/>
                <w:bCs/>
                <w:lang w:val="en-US"/>
              </w:rPr>
              <w:t>.</w:t>
            </w:r>
          </w:p>
        </w:tc>
      </w:tr>
      <w:tr w:rsidR="001A41AC" w:rsidRPr="000A10E4" w14:paraId="125FEDE9" w14:textId="77777777" w:rsidTr="000C02F8">
        <w:trPr>
          <w:gridAfter w:val="1"/>
          <w:wAfter w:w="94" w:type="dxa"/>
        </w:trPr>
        <w:tc>
          <w:tcPr>
            <w:tcW w:w="8932" w:type="dxa"/>
          </w:tcPr>
          <w:p w14:paraId="23691CE8" w14:textId="77777777" w:rsidR="001A41AC" w:rsidRDefault="001A41AC" w:rsidP="00992BC5">
            <w:pPr>
              <w:pStyle w:val="Heading4un-numbered"/>
            </w:pPr>
            <w:r w:rsidRPr="00DB60D8">
              <w:t>Positivity rate</w:t>
            </w:r>
          </w:p>
          <w:p w14:paraId="1286B884" w14:textId="77777777" w:rsidR="001A41AC" w:rsidRDefault="001A41AC" w:rsidP="00992BC5">
            <w:pPr>
              <w:pStyle w:val="Heading5un-numbered"/>
            </w:pPr>
            <w:r w:rsidRPr="00DB60D8">
              <w:lastRenderedPageBreak/>
              <w:t>Data availability</w:t>
            </w:r>
            <w:r>
              <w:t xml:space="preserve"> and calculation</w:t>
            </w:r>
          </w:p>
          <w:p w14:paraId="55615753" w14:textId="6EA9EDDD" w:rsidR="001A41AC" w:rsidRPr="00DD53B8" w:rsidRDefault="001A41AC" w:rsidP="000C02F8">
            <w:pPr>
              <w:pStyle w:val="TabletextLeft"/>
              <w:rPr>
                <w:lang w:val="en-US"/>
              </w:rPr>
            </w:pPr>
            <w:r>
              <w:t>T</w:t>
            </w:r>
            <w:r w:rsidRPr="000A10E4">
              <w:t xml:space="preserve">he </w:t>
            </w:r>
            <w:proofErr w:type="spellStart"/>
            <w:r w:rsidRPr="000A10E4">
              <w:t>iFOBT</w:t>
            </w:r>
            <w:proofErr w:type="spellEnd"/>
            <w:r w:rsidRPr="000A10E4">
              <w:t xml:space="preserve"> positivity rates</w:t>
            </w:r>
            <w:r>
              <w:t xml:space="preserve"> is</w:t>
            </w:r>
            <w:r w:rsidRPr="000A10E4">
              <w:t xml:space="preserve"> </w:t>
            </w:r>
            <w:r w:rsidRPr="000A10E4">
              <w:rPr>
                <w:lang w:val="en-US"/>
              </w:rPr>
              <w:t>captured in the NCSR and reported through the AIHW Monitoring Reports in a reliable manner.</w:t>
            </w:r>
          </w:p>
        </w:tc>
      </w:tr>
      <w:tr w:rsidR="001A41AC" w:rsidRPr="000A10E4" w14:paraId="1C4A1AA4" w14:textId="77777777" w:rsidTr="000C02F8">
        <w:trPr>
          <w:trHeight w:val="2485"/>
        </w:trPr>
        <w:tc>
          <w:tcPr>
            <w:tcW w:w="9026" w:type="dxa"/>
            <w:gridSpan w:val="2"/>
          </w:tcPr>
          <w:p w14:paraId="0536C68F" w14:textId="77777777" w:rsidR="001A41AC" w:rsidRDefault="001A41AC" w:rsidP="00992BC5">
            <w:pPr>
              <w:pStyle w:val="Heading4un-numbered"/>
              <w:rPr>
                <w:lang w:val="en-US"/>
              </w:rPr>
            </w:pPr>
            <w:r>
              <w:rPr>
                <w:lang w:val="en-US"/>
              </w:rPr>
              <w:lastRenderedPageBreak/>
              <w:t>Diagnostic a</w:t>
            </w:r>
            <w:r w:rsidRPr="000A10E4">
              <w:rPr>
                <w:lang w:val="en-US"/>
              </w:rPr>
              <w:t>ssessment rates (and timeliness of assessment)</w:t>
            </w:r>
          </w:p>
          <w:p w14:paraId="4AC66CB1" w14:textId="77777777" w:rsidR="001A41AC" w:rsidRPr="00583EF8" w:rsidRDefault="001A41AC" w:rsidP="00992BC5">
            <w:pPr>
              <w:pStyle w:val="Heading5un-numbered"/>
              <w:rPr>
                <w:lang w:val="en-GB"/>
              </w:rPr>
            </w:pPr>
            <w:r w:rsidRPr="00583EF8">
              <w:rPr>
                <w:lang w:val="en-GB"/>
              </w:rPr>
              <w:t>Data availability</w:t>
            </w:r>
          </w:p>
          <w:p w14:paraId="394490FA" w14:textId="77777777" w:rsidR="001A41AC" w:rsidRPr="000A10E4" w:rsidRDefault="001A41AC" w:rsidP="000C02F8">
            <w:pPr>
              <w:pStyle w:val="TabletextLeft"/>
              <w:rPr>
                <w:lang w:val="en-US"/>
              </w:rPr>
            </w:pPr>
            <w:r w:rsidRPr="000A10E4">
              <w:rPr>
                <w:lang w:val="en-US"/>
              </w:rPr>
              <w:t xml:space="preserve">Rates and timeliness of diagnostic appointments with </w:t>
            </w:r>
            <w:r>
              <w:rPr>
                <w:lang w:val="en-US"/>
              </w:rPr>
              <w:t>specialist</w:t>
            </w:r>
            <w:r w:rsidRPr="000A10E4">
              <w:rPr>
                <w:lang w:val="en-US"/>
              </w:rPr>
              <w:t xml:space="preserve">s (following a positive </w:t>
            </w:r>
            <w:proofErr w:type="spellStart"/>
            <w:r w:rsidRPr="000A10E4">
              <w:rPr>
                <w:lang w:val="en-US"/>
              </w:rPr>
              <w:t>iFOBT</w:t>
            </w:r>
            <w:proofErr w:type="spellEnd"/>
            <w:r w:rsidRPr="000A10E4">
              <w:rPr>
                <w:lang w:val="en-US"/>
              </w:rPr>
              <w:t>) are partially captured in the NCSR and reported through the AIHW Monitoring Reports (KPI 3 and 4). However, the data captured is incomplete, owing to the voluntary nature of information provision to the NCSR by clinicians</w:t>
            </w:r>
            <w:r>
              <w:rPr>
                <w:lang w:val="en-US"/>
              </w:rPr>
              <w:t>; this is</w:t>
            </w:r>
            <w:r w:rsidRPr="000A10E4">
              <w:rPr>
                <w:lang w:val="en-US"/>
              </w:rPr>
              <w:t xml:space="preserve"> unlike the National Cervical Cancer Screening Program, where clinician reporting is mandatory. </w:t>
            </w:r>
          </w:p>
          <w:p w14:paraId="167A9606" w14:textId="51561FB2" w:rsidR="001A41AC" w:rsidRPr="000A10E4" w:rsidRDefault="001A41AC" w:rsidP="000C02F8">
            <w:pPr>
              <w:pStyle w:val="TabletextLeft"/>
              <w:rPr>
                <w:lang w:val="en-US"/>
              </w:rPr>
            </w:pPr>
            <w:r w:rsidRPr="000A10E4">
              <w:rPr>
                <w:lang w:val="en-US"/>
              </w:rPr>
              <w:t xml:space="preserve">Underreporting contributes to an inaccurate estimate of the true diagnostic assessment rate and limits the extent to which this indicator can be used to inform quality improvement. In addition, it creates inefficiencies in the PFUF role due the inability to reliably target individuals who have not had a diagnostic assessment (as described in </w:t>
            </w:r>
            <w:r w:rsidRPr="00883E3E">
              <w:rPr>
                <w:lang w:val="en-US"/>
              </w:rPr>
              <w:t xml:space="preserve">section </w:t>
            </w:r>
            <w:r w:rsidRPr="00883E3E">
              <w:rPr>
                <w:lang w:val="en-US"/>
              </w:rPr>
              <w:fldChar w:fldCharType="begin"/>
            </w:r>
            <w:r w:rsidRPr="00883E3E">
              <w:rPr>
                <w:lang w:val="en-US"/>
              </w:rPr>
              <w:instrText xml:space="preserve"> REF _Ref67561675 \r \h </w:instrText>
            </w:r>
            <w:r w:rsidRPr="00883E3E">
              <w:rPr>
                <w:lang w:val="en-US"/>
              </w:rPr>
            </w:r>
            <w:r w:rsidR="000C02F8">
              <w:rPr>
                <w:lang w:val="en-US"/>
              </w:rPr>
              <w:instrText xml:space="preserve"> \* MERGEFORMAT </w:instrText>
            </w:r>
            <w:r w:rsidRPr="00883E3E">
              <w:rPr>
                <w:lang w:val="en-US"/>
              </w:rPr>
              <w:fldChar w:fldCharType="separate"/>
            </w:r>
            <w:r w:rsidR="00F27525">
              <w:rPr>
                <w:lang w:val="en-US"/>
              </w:rPr>
              <w:t>2.1.3</w:t>
            </w:r>
            <w:r w:rsidRPr="00883E3E">
              <w:rPr>
                <w:lang w:val="en-US"/>
              </w:rPr>
              <w:fldChar w:fldCharType="end"/>
            </w:r>
            <w:r w:rsidRPr="000A10E4">
              <w:rPr>
                <w:lang w:val="en-US"/>
              </w:rPr>
              <w:t xml:space="preserve">). </w:t>
            </w:r>
          </w:p>
          <w:p w14:paraId="77DA176D" w14:textId="77777777" w:rsidR="001A41AC" w:rsidRDefault="001A41AC" w:rsidP="000C02F8">
            <w:pPr>
              <w:pStyle w:val="TabletextLeft"/>
              <w:rPr>
                <w:lang w:val="en-US"/>
              </w:rPr>
            </w:pPr>
            <w:r w:rsidRPr="000A10E4">
              <w:rPr>
                <w:lang w:val="en-US"/>
              </w:rPr>
              <w:t xml:space="preserve">Clinicians and peak body </w:t>
            </w:r>
            <w:proofErr w:type="spellStart"/>
            <w:r w:rsidRPr="000A10E4">
              <w:rPr>
                <w:lang w:val="en-US"/>
              </w:rPr>
              <w:t>organisations</w:t>
            </w:r>
            <w:proofErr w:type="spellEnd"/>
            <w:r w:rsidRPr="000A10E4">
              <w:rPr>
                <w:lang w:val="en-US"/>
              </w:rPr>
              <w:t xml:space="preserve"> expressed concerns that the proposed removal of monetary reimbursement for the provision of clinical information to the NCSR in early 2021 will create additional data gaps. It was noted that while the removal of reimbursement is coupled with a transition to digital rather than paper-based reporting, clinicians still incur time costs associated with the preparation of this information, and the lack of incentives may result in high rates of non-submission.</w:t>
            </w:r>
          </w:p>
          <w:p w14:paraId="04C1BA18" w14:textId="77777777" w:rsidR="001A41AC" w:rsidRPr="00992BC5" w:rsidRDefault="001A41AC" w:rsidP="000C02F8">
            <w:pPr>
              <w:pStyle w:val="TabletextLeft"/>
            </w:pPr>
            <w:r w:rsidRPr="000A10E4">
              <w:rPr>
                <w:lang w:val="en-US"/>
              </w:rPr>
              <w:t>Stakeholders agreed that</w:t>
            </w:r>
            <w:r>
              <w:rPr>
                <w:lang w:val="en-US"/>
              </w:rPr>
              <w:t xml:space="preserve"> to address data gaps related to diagnostic assessment,</w:t>
            </w:r>
            <w:r w:rsidRPr="000A10E4">
              <w:rPr>
                <w:lang w:val="en-US"/>
              </w:rPr>
              <w:t xml:space="preserve"> integration between the NCSR and colonoscopy software is an area that should be </w:t>
            </w:r>
            <w:proofErr w:type="spellStart"/>
            <w:r w:rsidRPr="000A10E4">
              <w:rPr>
                <w:lang w:val="en-US"/>
              </w:rPr>
              <w:t>prioritised</w:t>
            </w:r>
            <w:proofErr w:type="spellEnd"/>
            <w:r w:rsidRPr="000A10E4">
              <w:rPr>
                <w:lang w:val="en-US"/>
              </w:rPr>
              <w:t xml:space="preserve"> by the Department.</w:t>
            </w:r>
          </w:p>
          <w:p w14:paraId="170CEA30" w14:textId="77777777" w:rsidR="001A41AC" w:rsidRDefault="001A41AC" w:rsidP="00992BC5">
            <w:pPr>
              <w:pStyle w:val="Heading5un-numbered"/>
            </w:pPr>
            <w:r w:rsidRPr="00583EF8">
              <w:rPr>
                <w:lang w:val="en-GB"/>
              </w:rPr>
              <w:t>Calculation</w:t>
            </w:r>
          </w:p>
          <w:p w14:paraId="6580E124" w14:textId="7FC3B800" w:rsidR="001A41AC" w:rsidRPr="004C3AAE" w:rsidRDefault="00853F95" w:rsidP="000C02F8">
            <w:pPr>
              <w:pStyle w:val="TabletextLeft"/>
              <w:rPr>
                <w:i/>
                <w:iCs/>
                <w:lang w:val="en-GB"/>
              </w:rPr>
            </w:pPr>
            <w:r>
              <w:t xml:space="preserve">As described in section </w:t>
            </w:r>
            <w:r>
              <w:fldChar w:fldCharType="begin"/>
            </w:r>
            <w:r>
              <w:instrText xml:space="preserve"> REF _Ref82679644 \r \h </w:instrText>
            </w:r>
            <w:r w:rsidR="000C02F8">
              <w:instrText xml:space="preserve"> \* MERGEFORMAT </w:instrText>
            </w:r>
            <w:r>
              <w:fldChar w:fldCharType="separate"/>
            </w:r>
            <w:r w:rsidR="00F27525">
              <w:t>2.1.3.4</w:t>
            </w:r>
            <w:r>
              <w:fldChar w:fldCharType="end"/>
            </w:r>
            <w:r>
              <w:t>, a</w:t>
            </w:r>
            <w:r w:rsidR="001A41AC" w:rsidRPr="004C3AAE">
              <w:t>nalysis of a</w:t>
            </w:r>
            <w:r w:rsidR="001A41AC">
              <w:rPr>
                <w:i/>
                <w:iCs/>
              </w:rPr>
              <w:t xml:space="preserve"> </w:t>
            </w:r>
            <w:r w:rsidR="001A41AC">
              <w:t>cohort of participants that had evidence of a GP follow-up but no colonoscopy recorded (</w:t>
            </w:r>
            <w:r w:rsidR="008468C0">
              <w:fldChar w:fldCharType="begin"/>
            </w:r>
            <w:r w:rsidR="008468C0">
              <w:instrText xml:space="preserve"> REF _Ref74313234 \n \h </w:instrText>
            </w:r>
            <w:r w:rsidR="000C02F8">
              <w:instrText xml:space="preserve"> \* MERGEFORMAT </w:instrText>
            </w:r>
            <w:r w:rsidR="008468C0">
              <w:fldChar w:fldCharType="separate"/>
            </w:r>
            <w:r w:rsidR="00F27525">
              <w:t>Chart 2.4</w:t>
            </w:r>
            <w:r w:rsidR="008468C0">
              <w:fldChar w:fldCharType="end"/>
            </w:r>
            <w:r w:rsidR="00B93859">
              <w:t xml:space="preserve"> </w:t>
            </w:r>
            <w:r w:rsidR="00420452">
              <w:t>and</w:t>
            </w:r>
            <w:r w:rsidR="008468C0">
              <w:t xml:space="preserve"> </w:t>
            </w:r>
            <w:r w:rsidR="008468C0">
              <w:fldChar w:fldCharType="begin"/>
            </w:r>
            <w:r w:rsidR="008468C0">
              <w:instrText xml:space="preserve"> REF _Ref74313575 \n \h </w:instrText>
            </w:r>
            <w:r w:rsidR="000C02F8">
              <w:instrText xml:space="preserve"> \* MERGEFORMAT </w:instrText>
            </w:r>
            <w:r w:rsidR="008468C0">
              <w:fldChar w:fldCharType="separate"/>
            </w:r>
            <w:r w:rsidR="00F27525">
              <w:t>Chart 2.5</w:t>
            </w:r>
            <w:r w:rsidR="008468C0">
              <w:fldChar w:fldCharType="end"/>
            </w:r>
            <w:r w:rsidR="001A41AC">
              <w:t xml:space="preserve">), showed that </w:t>
            </w:r>
            <w:r w:rsidR="00420452" w:rsidRPr="00C26269">
              <w:t>one in ten participants (10.9 per cent) exited the pathway and will not complete the diagnostic assessment</w:t>
            </w:r>
            <w:r w:rsidR="001A41AC">
              <w:t>. Ideally, these participants would be removed from the calculation of the diagnostic assessment rate, which may be interpreted by external stakeholders as a function of colonos</w:t>
            </w:r>
            <w:r w:rsidR="00CF6F69">
              <w:t>cop</w:t>
            </w:r>
            <w:r w:rsidR="001A41AC">
              <w:t>y access.</w:t>
            </w:r>
          </w:p>
        </w:tc>
      </w:tr>
      <w:tr w:rsidR="001A41AC" w:rsidRPr="000A10E4" w14:paraId="339B8454" w14:textId="77777777" w:rsidTr="000C02F8">
        <w:trPr>
          <w:gridAfter w:val="1"/>
          <w:wAfter w:w="94" w:type="dxa"/>
          <w:trHeight w:val="1209"/>
        </w:trPr>
        <w:tc>
          <w:tcPr>
            <w:tcW w:w="8932" w:type="dxa"/>
          </w:tcPr>
          <w:p w14:paraId="61ECC305" w14:textId="77777777" w:rsidR="001A41AC" w:rsidRDefault="001A41AC" w:rsidP="00992BC5">
            <w:pPr>
              <w:pStyle w:val="Heading4un-numbered"/>
              <w:rPr>
                <w:lang w:val="en-US"/>
              </w:rPr>
            </w:pPr>
            <w:r w:rsidRPr="000A10E4">
              <w:rPr>
                <w:lang w:val="en-US"/>
              </w:rPr>
              <w:t>Colonoscopy detection rates and outcomes, positive predictive value and interval rates</w:t>
            </w:r>
          </w:p>
          <w:p w14:paraId="53026E8E" w14:textId="77777777" w:rsidR="001A41AC" w:rsidRPr="004C3AAE" w:rsidRDefault="001A41AC" w:rsidP="00992BC5">
            <w:pPr>
              <w:pStyle w:val="Heading5un-numbered"/>
              <w:rPr>
                <w:lang w:val="en-GB"/>
              </w:rPr>
            </w:pPr>
            <w:r w:rsidRPr="00DB60D8">
              <w:t>Data availability</w:t>
            </w:r>
            <w:r>
              <w:t xml:space="preserve"> and calculation</w:t>
            </w:r>
          </w:p>
          <w:p w14:paraId="1F583254" w14:textId="77777777" w:rsidR="001A41AC" w:rsidRPr="000A10E4" w:rsidRDefault="001A41AC" w:rsidP="000C02F8">
            <w:pPr>
              <w:pStyle w:val="TabletextLeft"/>
              <w:rPr>
                <w:lang w:val="en-US"/>
              </w:rPr>
            </w:pPr>
            <w:r w:rsidRPr="000A10E4">
              <w:rPr>
                <w:lang w:val="en-US"/>
              </w:rPr>
              <w:t xml:space="preserve">Information on colonoscopy outcomes such as the incidence and size/stage of detected lesions is only partially captured in the NCSR, owing to the voluntary nature of information provision to the NCSR by histopathology providers and the need for data linkage with state and territory cancer registries and/or the ACD. </w:t>
            </w:r>
          </w:p>
          <w:p w14:paraId="158F73D8" w14:textId="77777777" w:rsidR="001A41AC" w:rsidRPr="004C3AAE" w:rsidRDefault="001A41AC" w:rsidP="000C02F8">
            <w:pPr>
              <w:pStyle w:val="TabletextLeft"/>
              <w:rPr>
                <w:lang w:val="en-US"/>
              </w:rPr>
            </w:pPr>
            <w:r w:rsidRPr="000A10E4">
              <w:rPr>
                <w:lang w:val="en-US"/>
              </w:rPr>
              <w:t xml:space="preserve">As a result, the AIHW Monitoring Reports do not </w:t>
            </w:r>
            <w:r>
              <w:rPr>
                <w:lang w:val="en-US"/>
              </w:rPr>
              <w:t xml:space="preserve">routinely </w:t>
            </w:r>
            <w:r w:rsidRPr="000A10E4">
              <w:rPr>
                <w:lang w:val="en-US"/>
              </w:rPr>
              <w:t xml:space="preserve">report (or report with significant caveats), the following endorsed Program KPIs (KPI 5 to 8): adenoma detection rates, </w:t>
            </w:r>
            <w:proofErr w:type="spellStart"/>
            <w:r w:rsidRPr="000A10E4">
              <w:rPr>
                <w:lang w:val="en-US"/>
              </w:rPr>
              <w:t>iFOBT</w:t>
            </w:r>
            <w:proofErr w:type="spellEnd"/>
            <w:r w:rsidRPr="000A10E4">
              <w:rPr>
                <w:lang w:val="en-US"/>
              </w:rPr>
              <w:t xml:space="preserve"> positive predictive value (PPV) of detecting adenoma, </w:t>
            </w:r>
            <w:proofErr w:type="spellStart"/>
            <w:r w:rsidRPr="000A10E4">
              <w:rPr>
                <w:lang w:val="en-US"/>
              </w:rPr>
              <w:t>iFOBT</w:t>
            </w:r>
            <w:proofErr w:type="spellEnd"/>
            <w:r w:rsidRPr="000A10E4">
              <w:rPr>
                <w:lang w:val="en-US"/>
              </w:rPr>
              <w:t xml:space="preserve"> PPV of detecting colorectal cancer, interval cancer rates, and cancer stage at detection</w:t>
            </w:r>
            <w:r w:rsidRPr="004C3AAE">
              <w:rPr>
                <w:lang w:val="en-US"/>
              </w:rPr>
              <w:t xml:space="preserve">. </w:t>
            </w:r>
          </w:p>
          <w:p w14:paraId="3B5BE934" w14:textId="77777777" w:rsidR="001A41AC" w:rsidRPr="004C3AAE" w:rsidRDefault="001A41AC" w:rsidP="000C02F8">
            <w:pPr>
              <w:pStyle w:val="TabletextLeft"/>
              <w:rPr>
                <w:lang w:val="en-US"/>
              </w:rPr>
            </w:pPr>
            <w:r w:rsidRPr="004C3AAE">
              <w:rPr>
                <w:lang w:val="en-US"/>
              </w:rPr>
              <w:t xml:space="preserve">Cancer incidence and mortality (KPI 10 and 11) are reported in the AIHW Monitoring Reports based on information supplied from the ACD, however the data takes approximately five </w:t>
            </w:r>
            <w:r w:rsidRPr="004C3AAE">
              <w:rPr>
                <w:szCs w:val="17"/>
                <w:lang w:val="en-US"/>
              </w:rPr>
              <w:t xml:space="preserve">years </w:t>
            </w:r>
            <w:r w:rsidRPr="004C3AAE">
              <w:rPr>
                <w:rFonts w:cstheme="minorHAnsi"/>
                <w:szCs w:val="17"/>
              </w:rPr>
              <w:t xml:space="preserve">to </w:t>
            </w:r>
            <w:r w:rsidRPr="004C3AAE">
              <w:rPr>
                <w:lang w:val="en-US"/>
              </w:rPr>
              <w:t>be collated and verified before it can be used</w:t>
            </w:r>
            <w:r w:rsidRPr="004C3AAE">
              <w:rPr>
                <w:sz w:val="18"/>
                <w:lang w:val="en-US"/>
              </w:rPr>
              <w:t>.</w:t>
            </w:r>
          </w:p>
          <w:p w14:paraId="500E5186" w14:textId="050DE2FF" w:rsidR="001A41AC" w:rsidRDefault="001A41AC" w:rsidP="000C02F8">
            <w:pPr>
              <w:pStyle w:val="TabletextLeft"/>
              <w:rPr>
                <w:lang w:val="en-US"/>
              </w:rPr>
            </w:pPr>
            <w:r w:rsidRPr="000A10E4">
              <w:rPr>
                <w:lang w:val="en-US"/>
              </w:rPr>
              <w:lastRenderedPageBreak/>
              <w:t xml:space="preserve">Stakeholders agreed that integration between the NCSR and histopathology software is an area that should be </w:t>
            </w:r>
            <w:proofErr w:type="spellStart"/>
            <w:r w:rsidRPr="000A10E4">
              <w:rPr>
                <w:lang w:val="en-US"/>
              </w:rPr>
              <w:t>prioritised</w:t>
            </w:r>
            <w:proofErr w:type="spellEnd"/>
            <w:r w:rsidRPr="000A10E4">
              <w:rPr>
                <w:lang w:val="en-US"/>
              </w:rPr>
              <w:t xml:space="preserve"> by the Department and </w:t>
            </w:r>
            <w:r>
              <w:rPr>
                <w:lang w:val="en-US"/>
              </w:rPr>
              <w:t xml:space="preserve">the </w:t>
            </w:r>
            <w:r w:rsidR="00942C87">
              <w:rPr>
                <w:lang w:val="en-US"/>
              </w:rPr>
              <w:t>NCSR</w:t>
            </w:r>
            <w:r w:rsidR="00973B13">
              <w:rPr>
                <w:lang w:val="en-US"/>
              </w:rPr>
              <w:t xml:space="preserve"> </w:t>
            </w:r>
            <w:r>
              <w:rPr>
                <w:lang w:val="en-US"/>
              </w:rPr>
              <w:t>vendor</w:t>
            </w:r>
            <w:r w:rsidRPr="000A10E4">
              <w:rPr>
                <w:lang w:val="en-US"/>
              </w:rPr>
              <w:t xml:space="preserve"> to address data gaps. In addition, </w:t>
            </w:r>
            <w:r>
              <w:rPr>
                <w:lang w:val="en-US"/>
              </w:rPr>
              <w:t>a</w:t>
            </w:r>
            <w:r w:rsidRPr="000A10E4">
              <w:rPr>
                <w:lang w:val="en-US"/>
              </w:rPr>
              <w:t xml:space="preserve"> working group should be convened to identify priority projects for routine data linkage, for example with the ACD, to further support the feasibility of reporting on these indicators.</w:t>
            </w:r>
          </w:p>
          <w:p w14:paraId="505A4F28" w14:textId="1CA23D00" w:rsidR="006B2148" w:rsidRPr="004C3AAE" w:rsidRDefault="001A41AC" w:rsidP="000C02F8">
            <w:pPr>
              <w:pStyle w:val="TabletextLeft"/>
              <w:rPr>
                <w:lang w:val="en-US"/>
              </w:rPr>
            </w:pPr>
            <w:r w:rsidRPr="004C3AAE">
              <w:rPr>
                <w:lang w:val="en-US"/>
              </w:rPr>
              <w:t xml:space="preserve">Current calculation methods are appropriate, </w:t>
            </w:r>
            <w:r>
              <w:rPr>
                <w:lang w:val="en-US"/>
              </w:rPr>
              <w:t>however should be reviewed as data gaps are addressed.</w:t>
            </w:r>
          </w:p>
        </w:tc>
      </w:tr>
      <w:tr w:rsidR="001A41AC" w:rsidRPr="000A10E4" w14:paraId="054F5607" w14:textId="77777777" w:rsidTr="000C02F8">
        <w:trPr>
          <w:gridAfter w:val="1"/>
          <w:wAfter w:w="94" w:type="dxa"/>
        </w:trPr>
        <w:tc>
          <w:tcPr>
            <w:tcW w:w="8932" w:type="dxa"/>
          </w:tcPr>
          <w:p w14:paraId="70305956" w14:textId="19583A36" w:rsidR="001A41AC" w:rsidRPr="00BD61D6" w:rsidRDefault="001A41AC" w:rsidP="00992BC5">
            <w:pPr>
              <w:pStyle w:val="Heading4un-numbered"/>
              <w:rPr>
                <w:lang w:val="en-US"/>
              </w:rPr>
            </w:pPr>
            <w:r w:rsidRPr="000A10E4">
              <w:rPr>
                <w:lang w:val="en-US"/>
              </w:rPr>
              <w:lastRenderedPageBreak/>
              <w:t>Adverse events following colonoscopy</w:t>
            </w:r>
          </w:p>
          <w:p w14:paraId="09E03BBF" w14:textId="77777777" w:rsidR="001A41AC" w:rsidRDefault="001A41AC" w:rsidP="00992BC5">
            <w:pPr>
              <w:pStyle w:val="Heading5un-numbered"/>
              <w:rPr>
                <w:lang w:val="en-US"/>
              </w:rPr>
            </w:pPr>
            <w:r w:rsidRPr="00DB60D8">
              <w:t>Data availability</w:t>
            </w:r>
            <w:r>
              <w:t xml:space="preserve"> and calculation</w:t>
            </w:r>
          </w:p>
          <w:p w14:paraId="7A60B978" w14:textId="77777777" w:rsidR="001A41AC" w:rsidRDefault="001A41AC" w:rsidP="000C02F8">
            <w:pPr>
              <w:pStyle w:val="TabletextLeft"/>
              <w:rPr>
                <w:lang w:val="en-US"/>
              </w:rPr>
            </w:pPr>
            <w:r w:rsidRPr="000A10E4">
              <w:rPr>
                <w:lang w:val="en-US"/>
              </w:rPr>
              <w:t xml:space="preserve">Adverse events following a colonoscopy are partially captured in the NCSR (KPI 9). While data fields exist </w:t>
            </w:r>
            <w:r>
              <w:rPr>
                <w:lang w:val="en-US"/>
              </w:rPr>
              <w:t>in the NCSR to</w:t>
            </w:r>
            <w:r w:rsidRPr="000A10E4">
              <w:rPr>
                <w:lang w:val="en-US"/>
              </w:rPr>
              <w:t xml:space="preserve"> capture the type of adverse event and follow-up care required, this data is underreported due to the voluntary nature of information provision fr</w:t>
            </w:r>
            <w:r>
              <w:rPr>
                <w:lang w:val="en-US"/>
              </w:rPr>
              <w:t>o</w:t>
            </w:r>
            <w:r w:rsidRPr="000A10E4">
              <w:rPr>
                <w:lang w:val="en-US"/>
              </w:rPr>
              <w:t xml:space="preserve">m colonoscopy providers. </w:t>
            </w:r>
          </w:p>
          <w:p w14:paraId="6BB81B70" w14:textId="77777777" w:rsidR="001A41AC" w:rsidRPr="000A10E4" w:rsidRDefault="001A41AC" w:rsidP="000C02F8">
            <w:pPr>
              <w:pStyle w:val="TabletextLeft"/>
              <w:rPr>
                <w:lang w:val="en-US"/>
              </w:rPr>
            </w:pPr>
            <w:r w:rsidRPr="000A10E4">
              <w:rPr>
                <w:lang w:val="en-US"/>
              </w:rPr>
              <w:t xml:space="preserve">The AIHW Monitoring Reports include high-level statistics related to unplanned admissions within 30 days of </w:t>
            </w:r>
            <w:r>
              <w:rPr>
                <w:lang w:val="en-US"/>
              </w:rPr>
              <w:t>a</w:t>
            </w:r>
            <w:r w:rsidRPr="000A10E4">
              <w:rPr>
                <w:lang w:val="en-US"/>
              </w:rPr>
              <w:t xml:space="preserve"> procedure, however </w:t>
            </w:r>
            <w:r>
              <w:rPr>
                <w:lang w:val="en-US"/>
              </w:rPr>
              <w:t xml:space="preserve">the AIHW notes that these figures should be interpreted with caution as they </w:t>
            </w:r>
            <w:r w:rsidRPr="000A10E4">
              <w:rPr>
                <w:lang w:val="en-US"/>
              </w:rPr>
              <w:t>underrepresent the true rate of adverse events</w:t>
            </w:r>
            <w:r>
              <w:rPr>
                <w:lang w:val="en-US"/>
              </w:rPr>
              <w:t xml:space="preserve"> (</w:t>
            </w:r>
            <w:proofErr w:type="gramStart"/>
            <w:r>
              <w:rPr>
                <w:lang w:val="en-US"/>
              </w:rPr>
              <w:t>e.g.</w:t>
            </w:r>
            <w:proofErr w:type="gramEnd"/>
            <w:r>
              <w:rPr>
                <w:lang w:val="en-US"/>
              </w:rPr>
              <w:t xml:space="preserve"> due to underreporting of the true volume of unplanned admissions, and no reporting on adverse events not resulting in an admission).</w:t>
            </w:r>
          </w:p>
          <w:p w14:paraId="110198CB" w14:textId="77777777" w:rsidR="001A41AC" w:rsidRPr="000A10E4" w:rsidRDefault="001A41AC" w:rsidP="000C02F8">
            <w:pPr>
              <w:pStyle w:val="TabletextLeft"/>
              <w:rPr>
                <w:lang w:val="en-US"/>
              </w:rPr>
            </w:pPr>
            <w:r w:rsidRPr="000A10E4">
              <w:rPr>
                <w:lang w:val="en-US"/>
              </w:rPr>
              <w:t xml:space="preserve">Stakeholders agreed that in the absence of reliable information provision from </w:t>
            </w:r>
            <w:r>
              <w:rPr>
                <w:lang w:val="en-US"/>
              </w:rPr>
              <w:t>specialist</w:t>
            </w:r>
            <w:r w:rsidRPr="000A10E4">
              <w:rPr>
                <w:lang w:val="en-US"/>
              </w:rPr>
              <w:t xml:space="preserve">s on adverse events, there is a strong opportunity to engage in data linkage with </w:t>
            </w:r>
            <w:r>
              <w:rPr>
                <w:lang w:val="en-US"/>
              </w:rPr>
              <w:t>jurisdictional</w:t>
            </w:r>
            <w:r w:rsidRPr="000A10E4">
              <w:rPr>
                <w:lang w:val="en-US"/>
              </w:rPr>
              <w:t xml:space="preserve"> inpatient datasets to inform a more accurate view of this indicator. </w:t>
            </w:r>
            <w:r>
              <w:rPr>
                <w:lang w:val="en-US"/>
              </w:rPr>
              <w:t>A pilot project of this nature has recently commenced by the AIHW.</w:t>
            </w:r>
          </w:p>
        </w:tc>
      </w:tr>
      <w:tr w:rsidR="001A41AC" w:rsidRPr="000A10E4" w14:paraId="79FBD976" w14:textId="77777777" w:rsidTr="000C02F8">
        <w:trPr>
          <w:gridAfter w:val="1"/>
          <w:wAfter w:w="94" w:type="dxa"/>
          <w:trHeight w:val="3052"/>
        </w:trPr>
        <w:tc>
          <w:tcPr>
            <w:tcW w:w="8932" w:type="dxa"/>
          </w:tcPr>
          <w:p w14:paraId="4FA3F973" w14:textId="1B8FEE41" w:rsidR="001A41AC" w:rsidRDefault="001A41AC" w:rsidP="00992BC5">
            <w:pPr>
              <w:pStyle w:val="Heading4un-numbered"/>
              <w:rPr>
                <w:lang w:val="en-US"/>
              </w:rPr>
            </w:pPr>
            <w:r>
              <w:rPr>
                <w:lang w:val="en-US"/>
              </w:rPr>
              <w:t xml:space="preserve">Other suggested </w:t>
            </w:r>
            <w:r w:rsidR="006346B1">
              <w:rPr>
                <w:lang w:val="en-US"/>
              </w:rPr>
              <w:t>KPI</w:t>
            </w:r>
            <w:r w:rsidR="006038D0">
              <w:rPr>
                <w:lang w:val="en-US"/>
              </w:rPr>
              <w:t>s</w:t>
            </w:r>
          </w:p>
          <w:p w14:paraId="48147478" w14:textId="1276DAD4" w:rsidR="001A41AC" w:rsidRDefault="00946FF3" w:rsidP="000C02F8">
            <w:pPr>
              <w:pStyle w:val="TabletextLeft"/>
              <w:rPr>
                <w:lang w:val="en-US"/>
              </w:rPr>
            </w:pPr>
            <w:r>
              <w:rPr>
                <w:lang w:val="en-US"/>
              </w:rPr>
              <w:fldChar w:fldCharType="begin"/>
            </w:r>
            <w:r>
              <w:rPr>
                <w:lang w:val="en-US"/>
              </w:rPr>
              <w:instrText xml:space="preserve"> REF _Ref74308177 \r \h </w:instrText>
            </w:r>
            <w:r>
              <w:rPr>
                <w:lang w:val="en-US"/>
              </w:rPr>
            </w:r>
            <w:r w:rsidR="000C02F8">
              <w:rPr>
                <w:lang w:val="en-US"/>
              </w:rPr>
              <w:instrText xml:space="preserve"> \* MERGEFORMAT </w:instrText>
            </w:r>
            <w:r>
              <w:rPr>
                <w:lang w:val="en-US"/>
              </w:rPr>
              <w:fldChar w:fldCharType="separate"/>
            </w:r>
            <w:r w:rsidR="00F27525">
              <w:rPr>
                <w:lang w:val="en-US"/>
              </w:rPr>
              <w:t>Figure 3.1</w:t>
            </w:r>
            <w:r>
              <w:rPr>
                <w:lang w:val="en-US"/>
              </w:rPr>
              <w:fldChar w:fldCharType="end"/>
            </w:r>
            <w:r>
              <w:rPr>
                <w:lang w:val="en-US"/>
              </w:rPr>
              <w:t xml:space="preserve"> </w:t>
            </w:r>
            <w:r w:rsidR="001A41AC" w:rsidRPr="00815EA5">
              <w:rPr>
                <w:lang w:val="en-US"/>
              </w:rPr>
              <w:t>provides a summary of additional suggested indicators.</w:t>
            </w:r>
            <w:r w:rsidR="001A41AC" w:rsidRPr="00D66202">
              <w:rPr>
                <w:lang w:val="en-US"/>
              </w:rPr>
              <w:t xml:space="preserve"> A detailed description is provided below for two of these indictors that are considered a priority</w:t>
            </w:r>
            <w:r w:rsidR="007F04C9">
              <w:rPr>
                <w:lang w:val="en-US"/>
              </w:rPr>
              <w:t>, based on stakeholder consultat</w:t>
            </w:r>
            <w:r w:rsidR="00C409C5">
              <w:rPr>
                <w:lang w:val="en-US"/>
              </w:rPr>
              <w:t>ion and the KPI working group documentation</w:t>
            </w:r>
            <w:r w:rsidR="001A41AC" w:rsidRPr="00D66202">
              <w:rPr>
                <w:lang w:val="en-US"/>
              </w:rPr>
              <w:t>.</w:t>
            </w:r>
          </w:p>
          <w:p w14:paraId="47376245" w14:textId="77777777" w:rsidR="001A41AC" w:rsidRPr="00D66202" w:rsidRDefault="001A41AC" w:rsidP="00992BC5">
            <w:pPr>
              <w:pStyle w:val="Heading5un-numbered"/>
              <w:rPr>
                <w:lang w:val="en-US"/>
              </w:rPr>
            </w:pPr>
            <w:r w:rsidRPr="00D66202">
              <w:rPr>
                <w:lang w:val="en-US"/>
              </w:rPr>
              <w:t>GP assessment rates (and timeliness of assessment)</w:t>
            </w:r>
          </w:p>
          <w:p w14:paraId="51E21D50" w14:textId="77777777" w:rsidR="001A41AC" w:rsidRDefault="001A41AC" w:rsidP="000C02F8">
            <w:pPr>
              <w:pStyle w:val="TabletextLeft"/>
              <w:rPr>
                <w:lang w:val="en-US"/>
              </w:rPr>
            </w:pPr>
            <w:r w:rsidRPr="000A10E4">
              <w:rPr>
                <w:lang w:val="en-US"/>
              </w:rPr>
              <w:t xml:space="preserve">The GP consultation is the first step in the pathway for participants that receive a positive </w:t>
            </w:r>
            <w:proofErr w:type="spellStart"/>
            <w:r w:rsidRPr="000A10E4">
              <w:rPr>
                <w:lang w:val="en-US"/>
              </w:rPr>
              <w:t>iFOBT</w:t>
            </w:r>
            <w:proofErr w:type="spellEnd"/>
            <w:r w:rsidRPr="000A10E4">
              <w:rPr>
                <w:lang w:val="en-US"/>
              </w:rPr>
              <w:t xml:space="preserve"> result. Rates and timeliness of GP follow-up </w:t>
            </w:r>
            <w:r>
              <w:rPr>
                <w:lang w:val="en-US"/>
              </w:rPr>
              <w:t>are</w:t>
            </w:r>
            <w:r w:rsidRPr="000A10E4">
              <w:rPr>
                <w:lang w:val="en-US"/>
              </w:rPr>
              <w:t xml:space="preserve"> captured in the </w:t>
            </w:r>
            <w:proofErr w:type="gramStart"/>
            <w:r w:rsidRPr="000A10E4">
              <w:rPr>
                <w:lang w:val="en-US"/>
              </w:rPr>
              <w:t>NCSR</w:t>
            </w:r>
            <w:r>
              <w:rPr>
                <w:lang w:val="en-US"/>
              </w:rPr>
              <w:t>,</w:t>
            </w:r>
            <w:proofErr w:type="gramEnd"/>
            <w:r>
              <w:rPr>
                <w:lang w:val="en-US"/>
              </w:rPr>
              <w:t xml:space="preserve"> however they are underreported owing to the voluntary nature of information provision by GPs. T</w:t>
            </w:r>
            <w:r w:rsidRPr="000A10E4">
              <w:rPr>
                <w:lang w:val="en-US"/>
              </w:rPr>
              <w:t>hese metrics are not included as indicator</w:t>
            </w:r>
            <w:r>
              <w:rPr>
                <w:lang w:val="en-US"/>
              </w:rPr>
              <w:t>s</w:t>
            </w:r>
            <w:r w:rsidRPr="000A10E4">
              <w:rPr>
                <w:lang w:val="en-US"/>
              </w:rPr>
              <w:t xml:space="preserve"> under the current endorsed Program KPIs</w:t>
            </w:r>
            <w:r>
              <w:rPr>
                <w:lang w:val="en-US"/>
              </w:rPr>
              <w:t>, and they are t</w:t>
            </w:r>
            <w:r w:rsidRPr="000A10E4">
              <w:rPr>
                <w:lang w:val="en-US"/>
              </w:rPr>
              <w:t xml:space="preserve">herefore not reported as part of the AIHW Monitoring Reports. </w:t>
            </w:r>
          </w:p>
          <w:p w14:paraId="6A8B5A81" w14:textId="0F44F013" w:rsidR="001A41AC" w:rsidRPr="00D66202" w:rsidRDefault="001A41AC" w:rsidP="000C02F8">
            <w:pPr>
              <w:pStyle w:val="TabletextLeft"/>
              <w:rPr>
                <w:lang w:val="en-US"/>
              </w:rPr>
            </w:pPr>
            <w:r w:rsidRPr="000A10E4">
              <w:rPr>
                <w:lang w:val="en-US"/>
              </w:rPr>
              <w:t>Reporting against these indicators would aid an understanding of where in the screening pathway participants drop-off</w:t>
            </w:r>
            <w:r w:rsidR="00030CB2">
              <w:rPr>
                <w:lang w:val="en-US"/>
              </w:rPr>
              <w:t>,</w:t>
            </w:r>
            <w:r w:rsidRPr="000A10E4">
              <w:rPr>
                <w:lang w:val="en-US"/>
              </w:rPr>
              <w:t xml:space="preserve"> which could then be used to inform targeted quality improvement efforts. </w:t>
            </w:r>
            <w:r w:rsidR="00030CB2">
              <w:rPr>
                <w:lang w:val="en-US"/>
              </w:rPr>
              <w:t>For example, the diagnostic assessment rate</w:t>
            </w:r>
            <w:r w:rsidR="00F422E9">
              <w:rPr>
                <w:lang w:val="en-US"/>
              </w:rPr>
              <w:t xml:space="preserve"> (and time to diagnostic assessment)</w:t>
            </w:r>
            <w:r w:rsidR="00030CB2">
              <w:rPr>
                <w:lang w:val="en-US"/>
              </w:rPr>
              <w:t xml:space="preserve"> is currently calculated </w:t>
            </w:r>
            <w:r w:rsidR="00C1193B">
              <w:rPr>
                <w:lang w:val="en-US"/>
              </w:rPr>
              <w:t>using a denominator of the number of patients returning a positive</w:t>
            </w:r>
            <w:r w:rsidR="00030CB2">
              <w:rPr>
                <w:lang w:val="en-US"/>
              </w:rPr>
              <w:t xml:space="preserve"> </w:t>
            </w:r>
            <w:proofErr w:type="spellStart"/>
            <w:r w:rsidR="00030CB2">
              <w:rPr>
                <w:lang w:val="en-US"/>
              </w:rPr>
              <w:t>iFOBT</w:t>
            </w:r>
            <w:proofErr w:type="spellEnd"/>
            <w:r w:rsidR="00C1193B">
              <w:rPr>
                <w:lang w:val="en-US"/>
              </w:rPr>
              <w:t xml:space="preserve">. </w:t>
            </w:r>
            <w:r w:rsidR="00CF567A">
              <w:rPr>
                <w:lang w:val="en-US"/>
              </w:rPr>
              <w:t xml:space="preserve">If all participants that did not complete a diagnostic assessment </w:t>
            </w:r>
            <w:r w:rsidR="00CF567A" w:rsidRPr="000F06D0">
              <w:rPr>
                <w:i/>
                <w:iCs/>
                <w:lang w:val="en-US"/>
              </w:rPr>
              <w:t>did not complete a GP assessment</w:t>
            </w:r>
            <w:r w:rsidR="00CF567A">
              <w:rPr>
                <w:lang w:val="en-US"/>
              </w:rPr>
              <w:t xml:space="preserve">, </w:t>
            </w:r>
            <w:r w:rsidR="007F3893">
              <w:rPr>
                <w:lang w:val="en-US"/>
              </w:rPr>
              <w:t xml:space="preserve">Program efforts should be focused toward encouraging the initial GP appointment. </w:t>
            </w:r>
            <w:r w:rsidR="00453E9D">
              <w:rPr>
                <w:lang w:val="en-US"/>
              </w:rPr>
              <w:t xml:space="preserve">However, if </w:t>
            </w:r>
            <w:r w:rsidR="007F3893">
              <w:rPr>
                <w:lang w:val="en-US"/>
              </w:rPr>
              <w:t xml:space="preserve">all patients </w:t>
            </w:r>
            <w:r w:rsidR="00453E9D">
              <w:rPr>
                <w:lang w:val="en-US"/>
              </w:rPr>
              <w:t>that</w:t>
            </w:r>
            <w:r w:rsidR="007F3893">
              <w:rPr>
                <w:lang w:val="en-US"/>
              </w:rPr>
              <w:t xml:space="preserve"> did not complete a diagnostic assessment </w:t>
            </w:r>
            <w:r w:rsidR="007F3893" w:rsidRPr="000F06D0">
              <w:rPr>
                <w:i/>
                <w:iCs/>
                <w:lang w:val="en-US"/>
              </w:rPr>
              <w:t>had visited a GP</w:t>
            </w:r>
            <w:r w:rsidR="007F3893">
              <w:rPr>
                <w:lang w:val="en-US"/>
              </w:rPr>
              <w:t xml:space="preserve">, </w:t>
            </w:r>
            <w:r w:rsidR="00B9404D">
              <w:rPr>
                <w:lang w:val="en-US"/>
              </w:rPr>
              <w:t>colonoscopy access is more likely to be a contributing factor</w:t>
            </w:r>
            <w:r w:rsidR="0045722E">
              <w:rPr>
                <w:lang w:val="en-US"/>
              </w:rPr>
              <w:t xml:space="preserve">. </w:t>
            </w:r>
            <w:r w:rsidR="007E0796">
              <w:rPr>
                <w:lang w:val="en-US"/>
              </w:rPr>
              <w:t>T</w:t>
            </w:r>
            <w:r w:rsidRPr="000A10E4">
              <w:rPr>
                <w:lang w:val="en-US"/>
              </w:rPr>
              <w:t xml:space="preserve">he recent integration between GP clinical software and the HPP </w:t>
            </w:r>
            <w:r>
              <w:rPr>
                <w:lang w:val="en-US"/>
              </w:rPr>
              <w:t xml:space="preserve">may </w:t>
            </w:r>
            <w:r w:rsidRPr="000A10E4">
              <w:rPr>
                <w:lang w:val="en-US"/>
              </w:rPr>
              <w:t xml:space="preserve">support the feasibility of </w:t>
            </w:r>
            <w:r>
              <w:rPr>
                <w:lang w:val="en-US"/>
              </w:rPr>
              <w:t xml:space="preserve">capturing and </w:t>
            </w:r>
            <w:r w:rsidRPr="000A10E4">
              <w:rPr>
                <w:lang w:val="en-US"/>
              </w:rPr>
              <w:t xml:space="preserve">reporting this indicator in a </w:t>
            </w:r>
            <w:r>
              <w:rPr>
                <w:lang w:val="en-US"/>
              </w:rPr>
              <w:t xml:space="preserve">more </w:t>
            </w:r>
            <w:r w:rsidRPr="000A10E4">
              <w:rPr>
                <w:lang w:val="en-US"/>
              </w:rPr>
              <w:t>reliable manner</w:t>
            </w:r>
            <w:r>
              <w:rPr>
                <w:lang w:val="en-US"/>
              </w:rPr>
              <w:t xml:space="preserve"> moving forward.</w:t>
            </w:r>
          </w:p>
          <w:p w14:paraId="6F9B9C1D" w14:textId="77777777" w:rsidR="001A41AC" w:rsidRPr="00D66202" w:rsidRDefault="001A41AC" w:rsidP="00992BC5">
            <w:pPr>
              <w:pStyle w:val="Heading5un-numbered"/>
              <w:rPr>
                <w:lang w:val="en-US"/>
              </w:rPr>
            </w:pPr>
            <w:r w:rsidRPr="00D66202">
              <w:rPr>
                <w:lang w:val="en-US"/>
              </w:rPr>
              <w:t>Stage at detection and mortality rate – comparisons between screened and unscreened</w:t>
            </w:r>
          </w:p>
          <w:p w14:paraId="6AD9D8AA" w14:textId="77777777" w:rsidR="001A41AC" w:rsidRPr="000A10E4" w:rsidRDefault="001A41AC" w:rsidP="000C02F8">
            <w:pPr>
              <w:pStyle w:val="TabletextLeft"/>
            </w:pPr>
            <w:r w:rsidRPr="000A10E4">
              <w:t xml:space="preserve">An assessment of cancer incidence and mortality can only demonstrate the impact of the Program on earlier detection and better survival if these metrics are compared </w:t>
            </w:r>
            <w:r w:rsidRPr="000A10E4">
              <w:lastRenderedPageBreak/>
              <w:t xml:space="preserve">between participants and non-participants to derive relative risk/odds-ratio estimates. </w:t>
            </w:r>
            <w:r>
              <w:t>Working papers from the KPI Working Group suggest</w:t>
            </w:r>
            <w:r w:rsidRPr="000A10E4">
              <w:t xml:space="preserve"> that KPI 10 and 11 could be rephrased in a way to enable this assessment. </w:t>
            </w:r>
          </w:p>
          <w:p w14:paraId="4259DA5C" w14:textId="40FEC3EA" w:rsidR="001A41AC" w:rsidRDefault="001A41AC" w:rsidP="000C02F8">
            <w:pPr>
              <w:pStyle w:val="TabletextLeft"/>
              <w:rPr>
                <w:lang w:val="en-US"/>
              </w:rPr>
            </w:pPr>
            <w:r>
              <w:rPr>
                <w:lang w:val="en-US"/>
              </w:rPr>
              <w:t>This is noted with the caveat that e</w:t>
            </w:r>
            <w:r w:rsidRPr="000A10E4">
              <w:rPr>
                <w:lang w:val="en-US"/>
              </w:rPr>
              <w:t xml:space="preserve">ven if these KPIs were rephrased to enable this assessment, their feasibility is contingent on routine data linkage with the </w:t>
            </w:r>
            <w:r w:rsidR="00285393">
              <w:rPr>
                <w:lang w:val="en-US"/>
              </w:rPr>
              <w:t>NCSR</w:t>
            </w:r>
            <w:r w:rsidRPr="000A10E4">
              <w:rPr>
                <w:lang w:val="en-US"/>
              </w:rPr>
              <w:t xml:space="preserve">, state and territory cancer registries, and the Australian Death Index. </w:t>
            </w:r>
          </w:p>
          <w:p w14:paraId="0C1AC4C8" w14:textId="24E6A554" w:rsidR="001A41AC" w:rsidRPr="000A10E4" w:rsidRDefault="001A41AC" w:rsidP="000C02F8">
            <w:pPr>
              <w:pStyle w:val="TabletextLeft"/>
              <w:rPr>
                <w:lang w:val="en-US"/>
              </w:rPr>
            </w:pPr>
            <w:r w:rsidRPr="000A10E4">
              <w:rPr>
                <w:lang w:val="en-US"/>
              </w:rPr>
              <w:t xml:space="preserve">It is acknowledged that the Department has commissioned two bespoke projects of this nature in 2014 and 2018, however stakeholders agreed that this information should be generated more </w:t>
            </w:r>
            <w:r w:rsidR="000C02F8" w:rsidRPr="000A10E4">
              <w:rPr>
                <w:lang w:val="en-US"/>
              </w:rPr>
              <w:t>frequently and</w:t>
            </w:r>
            <w:r w:rsidRPr="000A10E4">
              <w:rPr>
                <w:lang w:val="en-US"/>
              </w:rPr>
              <w:t xml:space="preserve"> used in media and communications strategies to promote the benefits of the Program to non-participants.</w:t>
            </w:r>
            <w:r w:rsidR="00DA6371">
              <w:rPr>
                <w:lang w:val="en-US"/>
              </w:rPr>
              <w:t xml:space="preserve"> As well, this </w:t>
            </w:r>
            <w:r w:rsidR="006D002C">
              <w:rPr>
                <w:lang w:val="en-US"/>
              </w:rPr>
              <w:t xml:space="preserve">information is valuable for use </w:t>
            </w:r>
            <w:r w:rsidR="008D33A8">
              <w:rPr>
                <w:lang w:val="en-US"/>
              </w:rPr>
              <w:t xml:space="preserve">in </w:t>
            </w:r>
            <w:r w:rsidR="006D002C">
              <w:rPr>
                <w:lang w:val="en-US"/>
              </w:rPr>
              <w:t>academic clinical research as well as economic analyses of the Program</w:t>
            </w:r>
            <w:r w:rsidR="009F2BC6">
              <w:rPr>
                <w:lang w:val="en-US"/>
              </w:rPr>
              <w:t>, to better inform policy recommendations</w:t>
            </w:r>
            <w:r w:rsidR="006D002C">
              <w:rPr>
                <w:lang w:val="en-US"/>
              </w:rPr>
              <w:t>.</w:t>
            </w:r>
          </w:p>
        </w:tc>
      </w:tr>
    </w:tbl>
    <w:p w14:paraId="0C73F98A" w14:textId="6DA0FFCF" w:rsidR="000A10E4" w:rsidRDefault="000A10E4" w:rsidP="000A10E4">
      <w:pPr>
        <w:rPr>
          <w:lang w:val="en-US"/>
        </w:rPr>
      </w:pPr>
      <w:r>
        <w:rPr>
          <w:lang w:val="en-US"/>
        </w:rPr>
        <w:lastRenderedPageBreak/>
        <w:t>In summary, development of endorsed Program KPIs are a positive step in promoting accountability and transparency of the Program. However, several of the endorsed KPIs</w:t>
      </w:r>
      <w:r w:rsidR="004712AC">
        <w:rPr>
          <w:lang w:val="en-US"/>
        </w:rPr>
        <w:t xml:space="preserve"> and others proposed for potential inclusion</w:t>
      </w:r>
      <w:r>
        <w:rPr>
          <w:lang w:val="en-US"/>
        </w:rPr>
        <w:t xml:space="preserve">, particularly those most important in demonstrating Program impact, cannot be reported owing to data gaps. These gaps could be addressed through better integration between the NCSR and practitioner software, as well as routine data linkage with </w:t>
      </w:r>
      <w:r w:rsidR="005121EA">
        <w:rPr>
          <w:lang w:val="en-US"/>
        </w:rPr>
        <w:t xml:space="preserve">jurisdictional </w:t>
      </w:r>
      <w:r>
        <w:rPr>
          <w:lang w:val="en-US"/>
        </w:rPr>
        <w:t xml:space="preserve">cancer and inpatient datasets. </w:t>
      </w:r>
    </w:p>
    <w:p w14:paraId="0EB9D879" w14:textId="3AA711DD" w:rsidR="002B35D0" w:rsidRDefault="002B35D0" w:rsidP="002B35D0">
      <w:pPr>
        <w:pStyle w:val="Heading2"/>
      </w:pPr>
      <w:bookmarkStart w:id="112" w:name="_Toc107837511"/>
      <w:r w:rsidRPr="002B35D0">
        <w:t>To what extent did Phase Four address the recommendations of the previous evaluation?</w:t>
      </w:r>
      <w:bookmarkEnd w:id="112"/>
    </w:p>
    <w:p w14:paraId="676A00C8" w14:textId="281C6534" w:rsidR="000A10E4" w:rsidRPr="00E42E2E" w:rsidRDefault="000A10E4" w:rsidP="000A10E4">
      <w:r>
        <w:t xml:space="preserve">The </w:t>
      </w:r>
      <w:r w:rsidR="00B57158">
        <w:t xml:space="preserve">previous </w:t>
      </w:r>
      <w:r>
        <w:t>Program review evaluated Phase Two of the Program in 2012. The review recommended a suite of opportunities to improve the Program. A</w:t>
      </w:r>
      <w:r w:rsidR="00E42E2E">
        <w:t>n</w:t>
      </w:r>
      <w:r>
        <w:t xml:space="preserve"> assessment of the extent to which the key recommendations of the previous review were addressed is outlined</w:t>
      </w:r>
      <w:r w:rsidR="00F22F5A">
        <w:t xml:space="preserve"> in </w:t>
      </w:r>
      <w:r w:rsidR="00F22F5A">
        <w:fldChar w:fldCharType="begin"/>
      </w:r>
      <w:r w:rsidR="00F22F5A">
        <w:instrText xml:space="preserve"> REF _Ref67561545 \r \h </w:instrText>
      </w:r>
      <w:r w:rsidR="00F22F5A">
        <w:fldChar w:fldCharType="separate"/>
      </w:r>
      <w:r w:rsidR="00F27525">
        <w:t>Table 3.3</w:t>
      </w:r>
      <w:r w:rsidR="00F22F5A">
        <w:fldChar w:fldCharType="end"/>
      </w:r>
      <w:r>
        <w:t xml:space="preserve">. </w:t>
      </w:r>
      <w:r>
        <w:rPr>
          <w:lang w:val="en-US"/>
        </w:rPr>
        <w:t>In summary, the</w:t>
      </w:r>
      <w:r w:rsidRPr="000A10E4">
        <w:rPr>
          <w:lang w:val="en-US"/>
        </w:rPr>
        <w:t xml:space="preserve"> </w:t>
      </w:r>
      <w:bookmarkStart w:id="113" w:name="_Hlk68959965"/>
      <w:r w:rsidRPr="000A10E4">
        <w:rPr>
          <w:lang w:val="en-US"/>
        </w:rPr>
        <w:t xml:space="preserve">recommendations were </w:t>
      </w:r>
      <w:r>
        <w:rPr>
          <w:lang w:val="en-US"/>
        </w:rPr>
        <w:t>largely</w:t>
      </w:r>
      <w:r w:rsidRPr="000A10E4">
        <w:rPr>
          <w:lang w:val="en-US"/>
        </w:rPr>
        <w:t xml:space="preserve"> addressed, with </w:t>
      </w:r>
      <w:r w:rsidR="006A55BA">
        <w:rPr>
          <w:lang w:val="en-US"/>
        </w:rPr>
        <w:t xml:space="preserve">partially implemented </w:t>
      </w:r>
      <w:r>
        <w:rPr>
          <w:lang w:val="en-US"/>
        </w:rPr>
        <w:t xml:space="preserve">activities related to facilitation of </w:t>
      </w:r>
      <w:r w:rsidRPr="000A10E4">
        <w:rPr>
          <w:lang w:val="en-US"/>
        </w:rPr>
        <w:t>outcome data and the need for a consistent national message</w:t>
      </w:r>
      <w:r>
        <w:rPr>
          <w:lang w:val="en-US"/>
        </w:rPr>
        <w:t xml:space="preserve"> across the Department and sectorial stakeholders</w:t>
      </w:r>
      <w:r w:rsidRPr="000A10E4">
        <w:rPr>
          <w:lang w:val="en-US"/>
        </w:rPr>
        <w:t>.</w:t>
      </w:r>
      <w:bookmarkEnd w:id="113"/>
    </w:p>
    <w:p w14:paraId="4B4A6A55" w14:textId="296C2E1B" w:rsidR="000A10E4" w:rsidRPr="000A10E4" w:rsidRDefault="00E42E2E" w:rsidP="00E42E2E">
      <w:pPr>
        <w:pStyle w:val="CaptionTable"/>
        <w:rPr>
          <w:lang w:val="en-US"/>
        </w:rPr>
      </w:pPr>
      <w:bookmarkStart w:id="114" w:name="_Ref67561545"/>
      <w:r>
        <w:rPr>
          <w:lang w:val="en-US"/>
        </w:rPr>
        <w:t xml:space="preserve">: </w:t>
      </w:r>
      <w:r>
        <w:t xml:space="preserve">Assessment </w:t>
      </w:r>
      <w:r w:rsidR="006A7DDA">
        <w:t xml:space="preserve">of </w:t>
      </w:r>
      <w:r>
        <w:t>the extent to which the recommendations of the previous Program review were implemented</w:t>
      </w:r>
      <w:bookmarkEnd w:id="114"/>
    </w:p>
    <w:tbl>
      <w:tblPr>
        <w:tblStyle w:val="Deloittetable4"/>
        <w:tblW w:w="0" w:type="auto"/>
        <w:tblLook w:val="04A0" w:firstRow="1" w:lastRow="0" w:firstColumn="1" w:lastColumn="0" w:noHBand="0" w:noVBand="1"/>
      </w:tblPr>
      <w:tblGrid>
        <w:gridCol w:w="1465"/>
        <w:gridCol w:w="7551"/>
      </w:tblGrid>
      <w:tr w:rsidR="000A10E4" w:rsidRPr="00AD10DC" w14:paraId="2F42FD13" w14:textId="77777777" w:rsidTr="0047315A">
        <w:trPr>
          <w:cnfStyle w:val="100000000000" w:firstRow="1" w:lastRow="0" w:firstColumn="0" w:lastColumn="0" w:oddVBand="0" w:evenVBand="0" w:oddHBand="0" w:evenHBand="0" w:firstRowFirstColumn="0" w:firstRowLastColumn="0" w:lastRowFirstColumn="0" w:lastRowLastColumn="0"/>
          <w:cantSplit/>
          <w:tblHeader/>
        </w:trPr>
        <w:tc>
          <w:tcPr>
            <w:tcW w:w="1254" w:type="dxa"/>
            <w:tcBorders>
              <w:bottom w:val="single" w:sz="4" w:space="0" w:color="000000" w:themeColor="text1"/>
            </w:tcBorders>
          </w:tcPr>
          <w:p w14:paraId="00DE120E" w14:textId="77777777" w:rsidR="000A10E4" w:rsidRPr="00AD10DC" w:rsidRDefault="000A10E4" w:rsidP="00AD10DC">
            <w:r w:rsidRPr="00AD10DC">
              <w:t>Assessment</w:t>
            </w:r>
          </w:p>
        </w:tc>
        <w:tc>
          <w:tcPr>
            <w:tcW w:w="7772" w:type="dxa"/>
            <w:tcBorders>
              <w:bottom w:val="single" w:sz="4" w:space="0" w:color="000000" w:themeColor="text1"/>
            </w:tcBorders>
          </w:tcPr>
          <w:p w14:paraId="62674806" w14:textId="77777777" w:rsidR="000A10E4" w:rsidRPr="00AD10DC" w:rsidRDefault="000A10E4" w:rsidP="00AD10DC">
            <w:r w:rsidRPr="00AD10DC">
              <w:t>Notes</w:t>
            </w:r>
          </w:p>
        </w:tc>
      </w:tr>
      <w:tr w:rsidR="000A10E4" w:rsidRPr="000A10E4" w14:paraId="1865714B" w14:textId="77777777" w:rsidTr="000C02F8">
        <w:tc>
          <w:tcPr>
            <w:tcW w:w="9026" w:type="dxa"/>
            <w:gridSpan w:val="2"/>
            <w:tcBorders>
              <w:top w:val="single" w:sz="4" w:space="0" w:color="000000" w:themeColor="text1"/>
              <w:bottom w:val="single" w:sz="4" w:space="0" w:color="auto"/>
            </w:tcBorders>
            <w:shd w:val="clear" w:color="auto" w:fill="auto"/>
          </w:tcPr>
          <w:p w14:paraId="37F3A09D" w14:textId="77777777" w:rsidR="000A10E4" w:rsidRPr="000A10E4" w:rsidRDefault="000A10E4" w:rsidP="000A10E4">
            <w:pPr>
              <w:spacing w:after="0"/>
              <w:rPr>
                <w:b/>
                <w:bCs/>
              </w:rPr>
            </w:pPr>
            <w:r w:rsidRPr="000A10E4">
              <w:rPr>
                <w:b/>
                <w:bCs/>
                <w:lang w:val="en-US"/>
              </w:rPr>
              <w:t>Develop strategy to support expansion of the Program</w:t>
            </w:r>
          </w:p>
        </w:tc>
      </w:tr>
      <w:tr w:rsidR="000A10E4" w:rsidRPr="000A10E4" w14:paraId="0B5DA8D3" w14:textId="77777777" w:rsidTr="000C02F8">
        <w:tc>
          <w:tcPr>
            <w:tcW w:w="1254" w:type="dxa"/>
            <w:tcBorders>
              <w:top w:val="single" w:sz="4" w:space="0" w:color="auto"/>
              <w:bottom w:val="single" w:sz="4" w:space="0" w:color="000000" w:themeColor="text1"/>
            </w:tcBorders>
          </w:tcPr>
          <w:p w14:paraId="06B7FDF3" w14:textId="54EEF9D4" w:rsidR="000A10E4" w:rsidRPr="000C02F8" w:rsidRDefault="00675965" w:rsidP="00725383">
            <w:pPr>
              <w:rPr>
                <w:lang w:val="en-US"/>
              </w:rPr>
            </w:pPr>
            <w:r w:rsidRPr="000C02F8">
              <w:rPr>
                <w:color w:val="012169" w:themeColor="accent4"/>
                <w:lang w:val="en-US"/>
              </w:rPr>
              <w:t>Implemented as planned</w:t>
            </w:r>
          </w:p>
        </w:tc>
        <w:tc>
          <w:tcPr>
            <w:tcW w:w="7772" w:type="dxa"/>
            <w:tcBorders>
              <w:top w:val="single" w:sz="4" w:space="0" w:color="auto"/>
              <w:bottom w:val="single" w:sz="4" w:space="0" w:color="000000" w:themeColor="text1"/>
            </w:tcBorders>
          </w:tcPr>
          <w:p w14:paraId="5B96137D" w14:textId="2241B8D6" w:rsidR="000A10E4" w:rsidRPr="000A10E4" w:rsidRDefault="000A10E4" w:rsidP="000A10E4">
            <w:r w:rsidRPr="000A10E4">
              <w:t>The previous review recommended the development of a strategy for full implementation of the Program by 2019. Since this time, the Department accelerated the phased approach to implementation of biennial screening, resulting in the full implementation</w:t>
            </w:r>
            <w:r w:rsidR="00C075D1">
              <w:t xml:space="preserve"> in</w:t>
            </w:r>
            <w:r w:rsidRPr="000A10E4">
              <w:t xml:space="preserve"> 2019.</w:t>
            </w:r>
          </w:p>
          <w:p w14:paraId="277695CD" w14:textId="4CE07207" w:rsidR="000A10E4" w:rsidRPr="000A10E4" w:rsidRDefault="000A10E4" w:rsidP="000A10E4">
            <w:pPr>
              <w:rPr>
                <w:lang w:val="en-US"/>
              </w:rPr>
            </w:pPr>
            <w:r w:rsidRPr="000A10E4">
              <w:t xml:space="preserve">The previous review also recommended development of an </w:t>
            </w:r>
            <w:r w:rsidR="000C3BA5">
              <w:t>A</w:t>
            </w:r>
            <w:r w:rsidR="000C3BA5" w:rsidRPr="000A10E4">
              <w:t>lternative</w:t>
            </w:r>
            <w:r w:rsidRPr="000A10E4">
              <w:t xml:space="preserve"> </w:t>
            </w:r>
            <w:r w:rsidR="000C3BA5">
              <w:t>P</w:t>
            </w:r>
            <w:r w:rsidRPr="000A10E4">
              <w:t>athway pilot for Aboriginal and Torr</w:t>
            </w:r>
            <w:r w:rsidR="001A29DA">
              <w:t>e</w:t>
            </w:r>
            <w:r w:rsidRPr="000A10E4">
              <w:t xml:space="preserve">s Strait Islander participants. In 2015, the Department announced funding for </w:t>
            </w:r>
            <w:r w:rsidR="009B6683">
              <w:t>an Alternative Pathway pilot</w:t>
            </w:r>
            <w:r w:rsidRPr="000A10E4">
              <w:t xml:space="preserve"> for Aboriginal and Torres Strait Islander people, which was implemented in 2018. The Alternative Pathway is discussed further in Section </w:t>
            </w:r>
            <w:r w:rsidR="00CB4123">
              <w:fldChar w:fldCharType="begin"/>
            </w:r>
            <w:r w:rsidR="00CB4123">
              <w:instrText xml:space="preserve"> REF _Ref67563079 \r \h </w:instrText>
            </w:r>
            <w:r w:rsidR="00CB4123">
              <w:fldChar w:fldCharType="separate"/>
            </w:r>
            <w:r w:rsidR="00F27525">
              <w:t>2.1.1.6</w:t>
            </w:r>
            <w:r w:rsidR="00CB4123">
              <w:fldChar w:fldCharType="end"/>
            </w:r>
            <w:r w:rsidR="00CB4123">
              <w:rPr>
                <w:sz w:val="18"/>
              </w:rPr>
              <w:t>.</w:t>
            </w:r>
          </w:p>
        </w:tc>
      </w:tr>
      <w:tr w:rsidR="000A10E4" w:rsidRPr="000A10E4" w14:paraId="79F67DFE" w14:textId="77777777" w:rsidTr="000C02F8">
        <w:trPr>
          <w:trHeight w:val="238"/>
        </w:trPr>
        <w:tc>
          <w:tcPr>
            <w:tcW w:w="9026" w:type="dxa"/>
            <w:gridSpan w:val="2"/>
            <w:tcBorders>
              <w:top w:val="single" w:sz="4" w:space="0" w:color="000000" w:themeColor="text1"/>
              <w:bottom w:val="single" w:sz="4" w:space="0" w:color="auto"/>
            </w:tcBorders>
            <w:shd w:val="clear" w:color="auto" w:fill="auto"/>
          </w:tcPr>
          <w:p w14:paraId="232267D8" w14:textId="29BBEAB4" w:rsidR="000A10E4" w:rsidRPr="000A10E4" w:rsidRDefault="000A10E4" w:rsidP="000A10E4">
            <w:pPr>
              <w:spacing w:after="0"/>
              <w:rPr>
                <w:b/>
                <w:bCs/>
              </w:rPr>
            </w:pPr>
            <w:r w:rsidRPr="000A10E4">
              <w:rPr>
                <w:b/>
                <w:bCs/>
                <w:lang w:val="en-US"/>
              </w:rPr>
              <w:t>Revise governance and advisory structures (to align with proposed new structure)</w:t>
            </w:r>
          </w:p>
        </w:tc>
      </w:tr>
      <w:tr w:rsidR="000A10E4" w:rsidRPr="000A10E4" w14:paraId="02E183D1" w14:textId="77777777" w:rsidTr="000C02F8">
        <w:tc>
          <w:tcPr>
            <w:tcW w:w="1254" w:type="dxa"/>
            <w:tcBorders>
              <w:top w:val="single" w:sz="4" w:space="0" w:color="auto"/>
              <w:bottom w:val="single" w:sz="4" w:space="0" w:color="000000" w:themeColor="text1"/>
            </w:tcBorders>
          </w:tcPr>
          <w:p w14:paraId="004C5FC8" w14:textId="5E2162F5" w:rsidR="000A10E4" w:rsidRPr="000C02F8" w:rsidRDefault="00675965" w:rsidP="00725383">
            <w:pPr>
              <w:rPr>
                <w:b/>
                <w:bCs/>
                <w:lang w:val="en-US"/>
              </w:rPr>
            </w:pPr>
            <w:r w:rsidRPr="000C02F8">
              <w:rPr>
                <w:color w:val="012169" w:themeColor="accent4"/>
                <w:lang w:val="en-US"/>
              </w:rPr>
              <w:t>Implemented as planned</w:t>
            </w:r>
            <w:r w:rsidRPr="000C02F8" w:rsidDel="00675965">
              <w:rPr>
                <w:noProof/>
                <w:color w:val="012169" w:themeColor="accent4"/>
              </w:rPr>
              <w:t xml:space="preserve"> </w:t>
            </w:r>
          </w:p>
        </w:tc>
        <w:tc>
          <w:tcPr>
            <w:tcW w:w="7772" w:type="dxa"/>
            <w:tcBorders>
              <w:top w:val="single" w:sz="4" w:space="0" w:color="auto"/>
              <w:bottom w:val="single" w:sz="4" w:space="0" w:color="000000" w:themeColor="text1"/>
            </w:tcBorders>
          </w:tcPr>
          <w:p w14:paraId="0D031B5B" w14:textId="1BDDE63A" w:rsidR="000A10E4" w:rsidRPr="000A10E4" w:rsidRDefault="000A10E4" w:rsidP="000A10E4">
            <w:pPr>
              <w:rPr>
                <w:lang w:val="en-US"/>
              </w:rPr>
            </w:pPr>
            <w:r w:rsidRPr="000A10E4">
              <w:rPr>
                <w:lang w:val="en-US"/>
              </w:rPr>
              <w:t xml:space="preserve">The previous review recommended a revised governance and advisory structure to align with the structure </w:t>
            </w:r>
            <w:r w:rsidRPr="000A10E4">
              <w:rPr>
                <w:color w:val="000000" w:themeColor="text1"/>
                <w:lang w:val="en-US"/>
              </w:rPr>
              <w:t xml:space="preserve">shown in </w:t>
            </w:r>
            <w:r w:rsidR="004F5B99" w:rsidRPr="004F5B99">
              <w:rPr>
                <w:color w:val="000000" w:themeColor="text1"/>
                <w:lang w:val="en-US"/>
              </w:rPr>
              <w:fldChar w:fldCharType="begin"/>
            </w:r>
            <w:r w:rsidR="004F5B99" w:rsidRPr="004F5B99">
              <w:rPr>
                <w:color w:val="000000" w:themeColor="text1"/>
                <w:lang w:val="en-US"/>
              </w:rPr>
              <w:instrText xml:space="preserve"> REF _Ref67561568 \r \h </w:instrText>
            </w:r>
            <w:r w:rsidR="004F5B99" w:rsidRPr="004F5B99">
              <w:rPr>
                <w:color w:val="000000" w:themeColor="text1"/>
                <w:lang w:val="en-US"/>
              </w:rPr>
            </w:r>
            <w:r w:rsidR="004F5B99" w:rsidRPr="004F5B99">
              <w:rPr>
                <w:color w:val="000000" w:themeColor="text1"/>
                <w:lang w:val="en-US"/>
              </w:rPr>
              <w:fldChar w:fldCharType="separate"/>
            </w:r>
            <w:r w:rsidR="00F27525">
              <w:rPr>
                <w:color w:val="000000" w:themeColor="text1"/>
                <w:lang w:val="en-US"/>
              </w:rPr>
              <w:t>Figure 3.2</w:t>
            </w:r>
            <w:r w:rsidR="004F5B99" w:rsidRPr="004F5B99">
              <w:rPr>
                <w:color w:val="000000" w:themeColor="text1"/>
                <w:lang w:val="en-US"/>
              </w:rPr>
              <w:fldChar w:fldCharType="end"/>
            </w:r>
            <w:r w:rsidR="004F5B99" w:rsidRPr="004F5B99">
              <w:rPr>
                <w:color w:val="000000" w:themeColor="text1"/>
                <w:lang w:val="en-US"/>
              </w:rPr>
              <w:t xml:space="preserve">. </w:t>
            </w:r>
            <w:r w:rsidRPr="000A10E4">
              <w:rPr>
                <w:color w:val="000000" w:themeColor="text1"/>
                <w:lang w:val="en-US"/>
              </w:rPr>
              <w:t>Under this structure, the Minister for Health has the decision-making authority</w:t>
            </w:r>
            <w:r w:rsidRPr="000A10E4">
              <w:rPr>
                <w:lang w:val="en-US"/>
              </w:rPr>
              <w:t xml:space="preserve">, with the Department responsible for </w:t>
            </w:r>
            <w:r w:rsidR="001415B6">
              <w:rPr>
                <w:lang w:val="en-US"/>
              </w:rPr>
              <w:t>P</w:t>
            </w:r>
            <w:r w:rsidRPr="000A10E4">
              <w:rPr>
                <w:lang w:val="en-US"/>
              </w:rPr>
              <w:t xml:space="preserve">rogram management. The </w:t>
            </w:r>
            <w:r w:rsidR="001415B6">
              <w:rPr>
                <w:lang w:val="en-US"/>
              </w:rPr>
              <w:t xml:space="preserve">original </w:t>
            </w:r>
            <w:r w:rsidRPr="000A10E4">
              <w:rPr>
                <w:lang w:val="en-US"/>
              </w:rPr>
              <w:t xml:space="preserve">Program Advisory Group and a Program Delivery Group were to be replaced by two standing advisory committees: a “Clinical Reference </w:t>
            </w:r>
            <w:r w:rsidRPr="000A10E4">
              <w:rPr>
                <w:lang w:val="en-US"/>
              </w:rPr>
              <w:lastRenderedPageBreak/>
              <w:t xml:space="preserve">Group” (now known as CAG) and a “Program Delivery Group” (now known as PDAG). It was recommended that sitting below these two advisory committees </w:t>
            </w:r>
            <w:r w:rsidR="005E33C2">
              <w:rPr>
                <w:lang w:val="en-US"/>
              </w:rPr>
              <w:t>are</w:t>
            </w:r>
            <w:r w:rsidRPr="000A10E4">
              <w:rPr>
                <w:lang w:val="en-US"/>
              </w:rPr>
              <w:t xml:space="preserve"> time-limited working groups. </w:t>
            </w:r>
          </w:p>
          <w:p w14:paraId="534AE778" w14:textId="77777777" w:rsidR="002B01C8" w:rsidRDefault="000A10E4" w:rsidP="000A10E4">
            <w:pPr>
              <w:rPr>
                <w:lang w:val="en-US"/>
              </w:rPr>
            </w:pPr>
            <w:r w:rsidRPr="000A10E4">
              <w:rPr>
                <w:lang w:val="en-US"/>
              </w:rPr>
              <w:t>This recommendation was subsequently implemented. The CAG provides clinical advice to the Department, while PDAG provides advice on the operational aspects of the Program. Additionally, during Phase Four, two time-limited working groups were established</w:t>
            </w:r>
            <w:r w:rsidR="00672025">
              <w:rPr>
                <w:lang w:val="en-US"/>
              </w:rPr>
              <w:t>:</w:t>
            </w:r>
            <w:r w:rsidRPr="000A10E4">
              <w:rPr>
                <w:lang w:val="en-US"/>
              </w:rPr>
              <w:t xml:space="preserve"> the KPI Working Group and the Alternative Pathway Working Group. </w:t>
            </w:r>
          </w:p>
          <w:p w14:paraId="4B3D1F2B" w14:textId="6F059CAA" w:rsidR="000A10E4" w:rsidRPr="000A10E4" w:rsidRDefault="000875DC" w:rsidP="000A10E4">
            <w:pPr>
              <w:rPr>
                <w:lang w:val="en-US"/>
              </w:rPr>
            </w:pPr>
            <w:r>
              <w:rPr>
                <w:lang w:val="en-US"/>
              </w:rPr>
              <w:t xml:space="preserve">This </w:t>
            </w:r>
            <w:r w:rsidR="002B01C8">
              <w:rPr>
                <w:lang w:val="en-US"/>
              </w:rPr>
              <w:t>efficacy of the current governance structure is explored in</w:t>
            </w:r>
            <w:r w:rsidR="00E3453D">
              <w:rPr>
                <w:lang w:val="en-US"/>
              </w:rPr>
              <w:t xml:space="preserve"> section</w:t>
            </w:r>
            <w:r w:rsidR="002B01C8">
              <w:rPr>
                <w:lang w:val="en-US"/>
              </w:rPr>
              <w:t xml:space="preserve"> </w:t>
            </w:r>
            <w:r w:rsidR="00E3453D">
              <w:rPr>
                <w:lang w:val="en-US"/>
              </w:rPr>
              <w:fldChar w:fldCharType="begin"/>
            </w:r>
            <w:r w:rsidR="00E3453D">
              <w:rPr>
                <w:lang w:val="en-US"/>
              </w:rPr>
              <w:instrText xml:space="preserve"> REF _Ref69908296 \r \h </w:instrText>
            </w:r>
            <w:r w:rsidR="00E3453D">
              <w:rPr>
                <w:lang w:val="en-US"/>
              </w:rPr>
            </w:r>
            <w:r w:rsidR="00E3453D">
              <w:rPr>
                <w:lang w:val="en-US"/>
              </w:rPr>
              <w:fldChar w:fldCharType="separate"/>
            </w:r>
            <w:r w:rsidR="00F27525">
              <w:rPr>
                <w:lang w:val="en-US"/>
              </w:rPr>
              <w:t>3.3</w:t>
            </w:r>
            <w:r w:rsidR="00E3453D">
              <w:rPr>
                <w:lang w:val="en-US"/>
              </w:rPr>
              <w:fldChar w:fldCharType="end"/>
            </w:r>
            <w:r w:rsidR="00E3453D">
              <w:rPr>
                <w:lang w:val="en-US"/>
              </w:rPr>
              <w:t>.</w:t>
            </w:r>
          </w:p>
        </w:tc>
      </w:tr>
      <w:tr w:rsidR="000A10E4" w:rsidRPr="000A10E4" w14:paraId="7E4BE7DC" w14:textId="77777777" w:rsidTr="000A30FC">
        <w:trPr>
          <w:trHeight w:val="157"/>
        </w:trPr>
        <w:tc>
          <w:tcPr>
            <w:tcW w:w="9026" w:type="dxa"/>
            <w:gridSpan w:val="2"/>
            <w:tcBorders>
              <w:top w:val="single" w:sz="4" w:space="0" w:color="000000" w:themeColor="text1"/>
              <w:bottom w:val="nil"/>
            </w:tcBorders>
          </w:tcPr>
          <w:p w14:paraId="208A8CE5" w14:textId="77777777" w:rsidR="000A10E4" w:rsidRPr="000A10E4" w:rsidRDefault="000A10E4" w:rsidP="000A10E4">
            <w:pPr>
              <w:spacing w:after="0"/>
              <w:rPr>
                <w:b/>
                <w:bCs/>
                <w:lang w:val="en-US"/>
              </w:rPr>
            </w:pPr>
            <w:r w:rsidRPr="000A10E4">
              <w:rPr>
                <w:b/>
                <w:bCs/>
                <w:lang w:val="en-US"/>
              </w:rPr>
              <w:lastRenderedPageBreak/>
              <w:t>Develop a quality management plan, and revise information packages for primary healthcare providers</w:t>
            </w:r>
          </w:p>
        </w:tc>
      </w:tr>
      <w:tr w:rsidR="000A10E4" w:rsidRPr="000A10E4" w14:paraId="15A6E2DF" w14:textId="77777777" w:rsidTr="0047315A">
        <w:tc>
          <w:tcPr>
            <w:tcW w:w="1254" w:type="dxa"/>
            <w:tcBorders>
              <w:top w:val="nil"/>
              <w:bottom w:val="single" w:sz="4" w:space="0" w:color="000000" w:themeColor="text1"/>
            </w:tcBorders>
          </w:tcPr>
          <w:p w14:paraId="410ADC62" w14:textId="41E04975" w:rsidR="000A10E4" w:rsidRPr="000C02F8" w:rsidRDefault="00675965" w:rsidP="00725383">
            <w:pPr>
              <w:rPr>
                <w:b/>
                <w:bCs/>
                <w:lang w:val="en-US"/>
              </w:rPr>
            </w:pPr>
            <w:r w:rsidRPr="000C02F8">
              <w:rPr>
                <w:color w:val="012169" w:themeColor="accent4"/>
                <w:lang w:val="en-US"/>
              </w:rPr>
              <w:t>Implemented as planned</w:t>
            </w:r>
            <w:r w:rsidRPr="000C02F8" w:rsidDel="00675965">
              <w:rPr>
                <w:noProof/>
                <w:color w:val="012169" w:themeColor="accent4"/>
              </w:rPr>
              <w:t xml:space="preserve"> </w:t>
            </w:r>
          </w:p>
        </w:tc>
        <w:tc>
          <w:tcPr>
            <w:tcW w:w="7772" w:type="dxa"/>
            <w:tcBorders>
              <w:top w:val="nil"/>
              <w:bottom w:val="single" w:sz="4" w:space="0" w:color="000000" w:themeColor="text1"/>
            </w:tcBorders>
          </w:tcPr>
          <w:p w14:paraId="58B56003" w14:textId="0B68A964" w:rsidR="000A10E4" w:rsidRPr="000A10E4" w:rsidRDefault="000A10E4" w:rsidP="000A10E4">
            <w:pPr>
              <w:ind w:left="0"/>
              <w:rPr>
                <w:lang w:val="en-US"/>
              </w:rPr>
            </w:pPr>
            <w:r w:rsidRPr="000A10E4">
              <w:rPr>
                <w:lang w:val="en-US"/>
              </w:rPr>
              <w:t xml:space="preserve">The previous review suggested the Program implement a quality management plan or quality assurance framework at a national level. A Quality Framework was published in 2016. The Framework states the desired quality outcomes </w:t>
            </w:r>
            <w:r w:rsidR="00D80D44">
              <w:rPr>
                <w:lang w:val="en-US"/>
              </w:rPr>
              <w:t xml:space="preserve">for </w:t>
            </w:r>
            <w:r w:rsidRPr="000A10E4">
              <w:rPr>
                <w:lang w:val="en-US"/>
              </w:rPr>
              <w:t>each element of the pathway</w:t>
            </w:r>
            <w:r w:rsidR="00ED6F7D">
              <w:rPr>
                <w:lang w:val="en-US"/>
              </w:rPr>
              <w:t xml:space="preserve">. </w:t>
            </w:r>
            <w:r w:rsidR="002C0B15">
              <w:rPr>
                <w:lang w:val="en-US"/>
              </w:rPr>
              <w:t>T</w:t>
            </w:r>
            <w:r w:rsidR="0011509C">
              <w:rPr>
                <w:lang w:val="en-US"/>
              </w:rPr>
              <w:t>he Quality</w:t>
            </w:r>
            <w:r w:rsidR="002C0B15">
              <w:rPr>
                <w:lang w:val="en-US"/>
              </w:rPr>
              <w:t xml:space="preserve"> </w:t>
            </w:r>
            <w:r w:rsidR="0011509C">
              <w:rPr>
                <w:lang w:val="en-US"/>
              </w:rPr>
              <w:t>F</w:t>
            </w:r>
            <w:r w:rsidR="00085044">
              <w:rPr>
                <w:lang w:val="en-US"/>
              </w:rPr>
              <w:t xml:space="preserve">ramework is referenced throughout this report, including performance against </w:t>
            </w:r>
            <w:r w:rsidR="0011509C">
              <w:rPr>
                <w:lang w:val="en-US"/>
              </w:rPr>
              <w:t xml:space="preserve">desired </w:t>
            </w:r>
            <w:r w:rsidR="00085044">
              <w:rPr>
                <w:lang w:val="en-US"/>
              </w:rPr>
              <w:t>follow-up</w:t>
            </w:r>
            <w:r w:rsidR="0011509C">
              <w:rPr>
                <w:lang w:val="en-US"/>
              </w:rPr>
              <w:t xml:space="preserve"> timeliness targets</w:t>
            </w:r>
            <w:r w:rsidR="00085044">
              <w:rPr>
                <w:lang w:val="en-US"/>
              </w:rPr>
              <w:t xml:space="preserve">, as </w:t>
            </w:r>
            <w:r w:rsidR="0011509C">
              <w:rPr>
                <w:lang w:val="en-US"/>
              </w:rPr>
              <w:t>defined</w:t>
            </w:r>
            <w:r w:rsidR="00085044">
              <w:rPr>
                <w:lang w:val="en-US"/>
              </w:rPr>
              <w:t xml:space="preserve"> in the Quality Framework.</w:t>
            </w:r>
          </w:p>
          <w:p w14:paraId="413126B6" w14:textId="477A7F6C" w:rsidR="000A10E4" w:rsidRPr="000A10E4" w:rsidRDefault="000A10E4" w:rsidP="000A10E4">
            <w:pPr>
              <w:ind w:left="0"/>
              <w:rPr>
                <w:lang w:val="en-US"/>
              </w:rPr>
            </w:pPr>
            <w:r w:rsidRPr="000A10E4">
              <w:rPr>
                <w:lang w:val="en-US"/>
              </w:rPr>
              <w:t>The previous evaluation highlighted the need for information packs for primary healthcare providers. A NBCSP Primary Healthcare Engagement Strategy was published in October 2016. In addition, with the move to the HPP, the Department has invested in development of a suite of information package</w:t>
            </w:r>
            <w:r w:rsidR="00D80D44">
              <w:rPr>
                <w:lang w:val="en-US"/>
              </w:rPr>
              <w:t>s</w:t>
            </w:r>
            <w:r w:rsidRPr="000A10E4">
              <w:rPr>
                <w:lang w:val="en-US"/>
              </w:rPr>
              <w:t xml:space="preserve"> targeted at GPs advising how and when the HPP </w:t>
            </w:r>
            <w:r w:rsidR="00183600">
              <w:rPr>
                <w:lang w:val="en-US"/>
              </w:rPr>
              <w:t>should be used to</w:t>
            </w:r>
            <w:r w:rsidRPr="000A10E4">
              <w:rPr>
                <w:lang w:val="en-US"/>
              </w:rPr>
              <w:t xml:space="preserve"> support uptake of the Program.  </w:t>
            </w:r>
          </w:p>
        </w:tc>
      </w:tr>
      <w:tr w:rsidR="000A10E4" w:rsidRPr="000A10E4" w14:paraId="25A90B6C" w14:textId="77777777" w:rsidTr="000C02F8">
        <w:tc>
          <w:tcPr>
            <w:tcW w:w="9026" w:type="dxa"/>
            <w:gridSpan w:val="2"/>
            <w:tcBorders>
              <w:top w:val="single" w:sz="4" w:space="0" w:color="000000" w:themeColor="text1"/>
              <w:bottom w:val="single" w:sz="4" w:space="0" w:color="auto"/>
            </w:tcBorders>
          </w:tcPr>
          <w:p w14:paraId="3E5A34D1" w14:textId="77777777" w:rsidR="000A10E4" w:rsidRPr="000A10E4" w:rsidRDefault="000A10E4" w:rsidP="000A10E4">
            <w:pPr>
              <w:spacing w:after="0"/>
              <w:rPr>
                <w:b/>
                <w:bCs/>
                <w:lang w:val="en-US"/>
              </w:rPr>
            </w:pPr>
            <w:r w:rsidRPr="000A10E4">
              <w:rPr>
                <w:b/>
                <w:bCs/>
                <w:lang w:val="en-US"/>
              </w:rPr>
              <w:t>Develop KPIs and address gaps in data relating to outcomes post diagnosis</w:t>
            </w:r>
          </w:p>
        </w:tc>
      </w:tr>
      <w:tr w:rsidR="000A10E4" w:rsidRPr="000A10E4" w14:paraId="1EC13E50" w14:textId="77777777" w:rsidTr="000C02F8">
        <w:tc>
          <w:tcPr>
            <w:tcW w:w="1254" w:type="dxa"/>
            <w:tcBorders>
              <w:top w:val="single" w:sz="4" w:space="0" w:color="auto"/>
              <w:bottom w:val="single" w:sz="4" w:space="0" w:color="000000" w:themeColor="text1"/>
            </w:tcBorders>
          </w:tcPr>
          <w:p w14:paraId="6127EB60" w14:textId="146BC49B" w:rsidR="000A10E4" w:rsidRPr="000C02F8" w:rsidRDefault="00675965" w:rsidP="00725383">
            <w:pPr>
              <w:rPr>
                <w:b/>
                <w:bCs/>
                <w:lang w:val="en-US"/>
              </w:rPr>
            </w:pPr>
            <w:r w:rsidRPr="000C02F8">
              <w:rPr>
                <w:color w:val="012169" w:themeColor="accent4"/>
                <w:lang w:val="en-US"/>
              </w:rPr>
              <w:t xml:space="preserve">Partially implemented </w:t>
            </w:r>
            <w:r w:rsidRPr="000C02F8" w:rsidDel="00675965">
              <w:rPr>
                <w:noProof/>
                <w:color w:val="012169" w:themeColor="accent4"/>
              </w:rPr>
              <w:t xml:space="preserve"> </w:t>
            </w:r>
          </w:p>
        </w:tc>
        <w:tc>
          <w:tcPr>
            <w:tcW w:w="7772" w:type="dxa"/>
            <w:tcBorders>
              <w:top w:val="single" w:sz="4" w:space="0" w:color="auto"/>
              <w:bottom w:val="single" w:sz="4" w:space="0" w:color="000000" w:themeColor="text1"/>
            </w:tcBorders>
          </w:tcPr>
          <w:p w14:paraId="537DA41B" w14:textId="262BA073" w:rsidR="000A10E4" w:rsidRPr="000A10E4" w:rsidRDefault="000A10E4" w:rsidP="000A10E4">
            <w:pPr>
              <w:ind w:left="0"/>
              <w:rPr>
                <w:lang w:val="en-US"/>
              </w:rPr>
            </w:pPr>
            <w:r w:rsidRPr="000A10E4">
              <w:rPr>
                <w:lang w:val="en-US"/>
              </w:rPr>
              <w:t>The previous review recommended the development of KPIs and highlighted to the need to address data gaps on participant outcomes post diagnosis.</w:t>
            </w:r>
          </w:p>
          <w:p w14:paraId="160D7EAC" w14:textId="5EDB00F6" w:rsidR="000A10E4" w:rsidRPr="000A10E4" w:rsidRDefault="004F5B99" w:rsidP="000A10E4">
            <w:pPr>
              <w:ind w:left="0"/>
              <w:rPr>
                <w:lang w:val="en-US"/>
              </w:rPr>
            </w:pPr>
            <w:r>
              <w:t>A</w:t>
            </w:r>
            <w:r w:rsidR="000A10E4" w:rsidRPr="000A10E4">
              <w:t xml:space="preserve"> set of Program </w:t>
            </w:r>
            <w:r w:rsidR="000A10E4" w:rsidRPr="000A10E4">
              <w:rPr>
                <w:lang w:val="en-US"/>
              </w:rPr>
              <w:t>KPIs were agreed and endorsed, as outlined in the AIHW’s 2014</w:t>
            </w:r>
            <w:r w:rsidR="001F12DC">
              <w:rPr>
                <w:lang w:val="en-US"/>
              </w:rPr>
              <w:t xml:space="preserve"> </w:t>
            </w:r>
            <w:r w:rsidR="000A10E4" w:rsidRPr="001F12DC">
              <w:rPr>
                <w:i/>
                <w:iCs/>
                <w:lang w:val="en-US"/>
              </w:rPr>
              <w:t xml:space="preserve">Key performance indicators for the National Bowel Cancer Screening Program </w:t>
            </w:r>
            <w:r w:rsidR="000A10E4" w:rsidRPr="000A10E4">
              <w:rPr>
                <w:lang w:val="en-US"/>
              </w:rPr>
              <w:t xml:space="preserve">technical report. Despite this, several of the endorsed KPIs, particularly those related to participant outcomes, cannot be reported owing to data gaps. A time-limited working group was established in 2018 to identify opportunities to address these data gaps, however only preliminary progress was made. </w:t>
            </w:r>
            <w:r w:rsidR="00C86FA4">
              <w:rPr>
                <w:lang w:val="en-US"/>
              </w:rPr>
              <w:t xml:space="preserve">A more detailed discussion on Program KPIs is provided in section </w:t>
            </w:r>
            <w:r w:rsidR="00C86FA4">
              <w:rPr>
                <w:lang w:val="en-US"/>
              </w:rPr>
              <w:fldChar w:fldCharType="begin"/>
            </w:r>
            <w:r w:rsidR="00C86FA4">
              <w:rPr>
                <w:lang w:val="en-US"/>
              </w:rPr>
              <w:instrText xml:space="preserve"> REF _Ref67562575 \r \h </w:instrText>
            </w:r>
            <w:r w:rsidR="00C86FA4">
              <w:rPr>
                <w:lang w:val="en-US"/>
              </w:rPr>
            </w:r>
            <w:r w:rsidR="00C86FA4">
              <w:rPr>
                <w:lang w:val="en-US"/>
              </w:rPr>
              <w:fldChar w:fldCharType="separate"/>
            </w:r>
            <w:r w:rsidR="00F27525">
              <w:rPr>
                <w:lang w:val="en-US"/>
              </w:rPr>
              <w:t>3.1.2</w:t>
            </w:r>
            <w:r w:rsidR="00C86FA4">
              <w:rPr>
                <w:lang w:val="en-US"/>
              </w:rPr>
              <w:fldChar w:fldCharType="end"/>
            </w:r>
            <w:r w:rsidR="00C86FA4">
              <w:rPr>
                <w:lang w:val="en-US"/>
              </w:rPr>
              <w:t>.</w:t>
            </w:r>
          </w:p>
        </w:tc>
      </w:tr>
      <w:tr w:rsidR="000A10E4" w:rsidRPr="000A10E4" w14:paraId="3445496E" w14:textId="77777777" w:rsidTr="000C02F8">
        <w:tc>
          <w:tcPr>
            <w:tcW w:w="9026" w:type="dxa"/>
            <w:gridSpan w:val="2"/>
            <w:tcBorders>
              <w:top w:val="single" w:sz="4" w:space="0" w:color="000000" w:themeColor="text1"/>
              <w:bottom w:val="single" w:sz="4" w:space="0" w:color="auto"/>
            </w:tcBorders>
          </w:tcPr>
          <w:p w14:paraId="768054E2" w14:textId="77777777" w:rsidR="000A10E4" w:rsidRPr="000A10E4" w:rsidRDefault="000A10E4" w:rsidP="000A10E4">
            <w:pPr>
              <w:spacing w:after="0"/>
              <w:rPr>
                <w:b/>
                <w:bCs/>
              </w:rPr>
            </w:pPr>
            <w:r w:rsidRPr="000A10E4">
              <w:rPr>
                <w:b/>
                <w:bCs/>
                <w:lang w:val="en-US"/>
              </w:rPr>
              <w:t>Work with NGOs and communities to develop a consistent, national messaging to promote screening awareness and capture information regarding non-NBCSP screening</w:t>
            </w:r>
          </w:p>
        </w:tc>
      </w:tr>
      <w:tr w:rsidR="000A10E4" w:rsidRPr="000A10E4" w14:paraId="62FBF426" w14:textId="77777777" w:rsidTr="000C02F8">
        <w:tc>
          <w:tcPr>
            <w:tcW w:w="1254" w:type="dxa"/>
            <w:tcBorders>
              <w:top w:val="single" w:sz="4" w:space="0" w:color="auto"/>
              <w:bottom w:val="single" w:sz="4" w:space="0" w:color="000000" w:themeColor="text1"/>
            </w:tcBorders>
          </w:tcPr>
          <w:p w14:paraId="611EC704" w14:textId="7DE57CCF" w:rsidR="000A10E4" w:rsidRPr="000C02F8" w:rsidRDefault="00366D14" w:rsidP="00725383">
            <w:pPr>
              <w:rPr>
                <w:b/>
                <w:bCs/>
                <w:lang w:val="en-US"/>
              </w:rPr>
            </w:pPr>
            <w:r w:rsidRPr="000C02F8">
              <w:rPr>
                <w:color w:val="012169" w:themeColor="accent4"/>
                <w:lang w:val="en-US"/>
              </w:rPr>
              <w:t xml:space="preserve">Partially implemented </w:t>
            </w:r>
            <w:r w:rsidRPr="000C02F8" w:rsidDel="00675965">
              <w:rPr>
                <w:noProof/>
                <w:color w:val="012169" w:themeColor="accent4"/>
              </w:rPr>
              <w:t xml:space="preserve"> </w:t>
            </w:r>
          </w:p>
        </w:tc>
        <w:tc>
          <w:tcPr>
            <w:tcW w:w="7772" w:type="dxa"/>
            <w:tcBorders>
              <w:top w:val="single" w:sz="4" w:space="0" w:color="auto"/>
              <w:bottom w:val="single" w:sz="4" w:space="0" w:color="000000" w:themeColor="text1"/>
            </w:tcBorders>
          </w:tcPr>
          <w:p w14:paraId="74C5DE49" w14:textId="4AF55937" w:rsidR="000A10E4" w:rsidRPr="000A10E4" w:rsidRDefault="000A10E4" w:rsidP="000A10E4">
            <w:pPr>
              <w:ind w:left="0"/>
            </w:pPr>
            <w:r w:rsidRPr="000A10E4">
              <w:t xml:space="preserve">The previous review highlighted the need to capture information on individuals screening outside of the Program and to develop a consistent national message across the Department, </w:t>
            </w:r>
            <w:r w:rsidR="00B80C4D">
              <w:t>non-government organisations (NGOs)</w:t>
            </w:r>
            <w:r w:rsidRPr="000A10E4">
              <w:t xml:space="preserve"> and local communities. </w:t>
            </w:r>
          </w:p>
          <w:p w14:paraId="65ED7DB2" w14:textId="1AE2BCAD" w:rsidR="000A10E4" w:rsidRPr="000A10E4" w:rsidRDefault="000A10E4" w:rsidP="000A10E4">
            <w:pPr>
              <w:ind w:left="0"/>
            </w:pPr>
            <w:r w:rsidRPr="000A10E4">
              <w:t xml:space="preserve">Consultations indicated limited engagement with NGOs to progress this </w:t>
            </w:r>
            <w:r w:rsidR="00F520A8">
              <w:t>recommendation.</w:t>
            </w:r>
            <w:r w:rsidRPr="000A10E4">
              <w:t xml:space="preserve"> </w:t>
            </w:r>
            <w:r w:rsidR="00C70A64">
              <w:t>T</w:t>
            </w:r>
            <w:r w:rsidR="00795C2F">
              <w:t>here</w:t>
            </w:r>
            <w:r w:rsidR="007A5660">
              <w:t xml:space="preserve"> was strong </w:t>
            </w:r>
            <w:r w:rsidRPr="000A10E4">
              <w:t xml:space="preserve">sentiment </w:t>
            </w:r>
            <w:r w:rsidR="005025FC">
              <w:t xml:space="preserve">across stakeholders </w:t>
            </w:r>
            <w:r w:rsidR="005025FC">
              <w:lastRenderedPageBreak/>
              <w:t xml:space="preserve">consulted </w:t>
            </w:r>
            <w:r w:rsidRPr="000A10E4">
              <w:t xml:space="preserve">that better integration and coordination with </w:t>
            </w:r>
            <w:r w:rsidR="00B80C4D">
              <w:t>cancer charities</w:t>
            </w:r>
            <w:r w:rsidRPr="000A10E4">
              <w:t xml:space="preserve"> is an action that should be prioritised in the next phase of the </w:t>
            </w:r>
            <w:r w:rsidR="00F520A8">
              <w:t>P</w:t>
            </w:r>
            <w:r w:rsidRPr="000A10E4">
              <w:t xml:space="preserve">rogram. </w:t>
            </w:r>
          </w:p>
        </w:tc>
      </w:tr>
    </w:tbl>
    <w:p w14:paraId="346845B2" w14:textId="62E14841" w:rsidR="002B35D0" w:rsidRDefault="002B35D0" w:rsidP="002B35D0">
      <w:pPr>
        <w:pStyle w:val="Heading2"/>
      </w:pPr>
      <w:bookmarkStart w:id="115" w:name="_Ref69908296"/>
      <w:bookmarkStart w:id="116" w:name="_Toc107837512"/>
      <w:r w:rsidRPr="002B35D0">
        <w:lastRenderedPageBreak/>
        <w:t>To what extent are governance structures operating effectively?</w:t>
      </w:r>
      <w:bookmarkEnd w:id="115"/>
      <w:bookmarkEnd w:id="116"/>
    </w:p>
    <w:p w14:paraId="202CBE59" w14:textId="0A317394" w:rsidR="007C685F" w:rsidRDefault="007C685F" w:rsidP="007C685F">
      <w:r>
        <w:t>The following sections discusses the current governance arrangements and their operations, as well as the Program’s engagement with other stakeholder groups.</w:t>
      </w:r>
    </w:p>
    <w:p w14:paraId="4C088EC8" w14:textId="7772540E" w:rsidR="007C685F" w:rsidRPr="007C685F" w:rsidRDefault="007C685F" w:rsidP="00F678D8">
      <w:pPr>
        <w:pStyle w:val="Heading3"/>
      </w:pPr>
      <w:r>
        <w:t>Program governance</w:t>
      </w:r>
    </w:p>
    <w:p w14:paraId="15404BFF" w14:textId="22D2223D" w:rsidR="000A30FC" w:rsidRDefault="00FD1CDA" w:rsidP="00FD1CDA">
      <w:pPr>
        <w:rPr>
          <w:rFonts w:cs="Arial"/>
        </w:rPr>
      </w:pPr>
      <w:r>
        <w:rPr>
          <w:rFonts w:cs="Arial"/>
        </w:rPr>
        <w:t xml:space="preserve">The Program is an Australian Government program that is delivered with cooperation and support from state and territory governments. This is </w:t>
      </w:r>
      <w:r w:rsidR="006476F5">
        <w:rPr>
          <w:rFonts w:cs="Arial"/>
        </w:rPr>
        <w:t>a key</w:t>
      </w:r>
      <w:r>
        <w:rPr>
          <w:rFonts w:cs="Arial"/>
        </w:rPr>
        <w:t xml:space="preserve"> aspect of the Program that makes it distinct from comparable programs delivered in the United Kingdom or New Zealand, where the </w:t>
      </w:r>
      <w:r w:rsidR="000D7D36">
        <w:rPr>
          <w:rFonts w:cs="Arial"/>
        </w:rPr>
        <w:t>complete</w:t>
      </w:r>
      <w:r>
        <w:rPr>
          <w:rFonts w:cs="Arial"/>
        </w:rPr>
        <w:t xml:space="preserve"> screening pathway is delivered by the national healthcare provider.</w:t>
      </w:r>
    </w:p>
    <w:p w14:paraId="7CB7C064" w14:textId="72783FB8" w:rsidR="00FD1CDA" w:rsidRDefault="00FD1CDA" w:rsidP="00FD1CDA">
      <w:r>
        <w:t>The current Program governance structure is outlined</w:t>
      </w:r>
      <w:r w:rsidR="00F22F5A">
        <w:rPr>
          <w:color w:val="FF0000"/>
        </w:rPr>
        <w:t xml:space="preserve"> </w:t>
      </w:r>
      <w:r w:rsidR="00F22F5A" w:rsidRPr="00F22F5A">
        <w:rPr>
          <w:color w:val="000000" w:themeColor="text1"/>
        </w:rPr>
        <w:fldChar w:fldCharType="begin"/>
      </w:r>
      <w:r w:rsidR="00F22F5A" w:rsidRPr="00F22F5A">
        <w:rPr>
          <w:color w:val="000000" w:themeColor="text1"/>
        </w:rPr>
        <w:instrText xml:space="preserve"> REF _Ref67561568 \r \h </w:instrText>
      </w:r>
      <w:r w:rsidR="00F22F5A" w:rsidRPr="00F22F5A">
        <w:rPr>
          <w:color w:val="000000" w:themeColor="text1"/>
        </w:rPr>
      </w:r>
      <w:r w:rsidR="00F22F5A" w:rsidRPr="00F22F5A">
        <w:rPr>
          <w:color w:val="000000" w:themeColor="text1"/>
        </w:rPr>
        <w:fldChar w:fldCharType="separate"/>
      </w:r>
      <w:r w:rsidR="00F27525">
        <w:rPr>
          <w:color w:val="000000" w:themeColor="text1"/>
        </w:rPr>
        <w:t>Figure 3.2</w:t>
      </w:r>
      <w:r w:rsidR="00F22F5A" w:rsidRPr="00F22F5A">
        <w:rPr>
          <w:color w:val="000000" w:themeColor="text1"/>
        </w:rPr>
        <w:fldChar w:fldCharType="end"/>
      </w:r>
      <w:r w:rsidR="00F22F5A" w:rsidRPr="00F22F5A">
        <w:rPr>
          <w:color w:val="000000" w:themeColor="text1"/>
        </w:rPr>
        <w:t>.</w:t>
      </w:r>
    </w:p>
    <w:p w14:paraId="3354C760" w14:textId="252883C7" w:rsidR="00FD1CDA" w:rsidRDefault="00FD1CDA" w:rsidP="009E06D0">
      <w:pPr>
        <w:pStyle w:val="CaptionFigure"/>
        <w:ind w:left="0"/>
      </w:pPr>
      <w:bookmarkStart w:id="117" w:name="_Ref67561568"/>
      <w:r>
        <w:t xml:space="preserve">: Summarised NBCSP governance structure, as </w:t>
      </w:r>
      <w:r w:rsidR="00A61FB0">
        <w:t>outlined</w:t>
      </w:r>
      <w:r>
        <w:t xml:space="preserve"> in the Phase Four Policy Framework</w:t>
      </w:r>
      <w:bookmarkEnd w:id="117"/>
    </w:p>
    <w:p w14:paraId="359194A5" w14:textId="49463AC6" w:rsidR="00FD1CDA" w:rsidRDefault="002A132F" w:rsidP="00F678D8">
      <w:pPr>
        <w:pStyle w:val="CaptionFigure"/>
        <w:numPr>
          <w:ilvl w:val="0"/>
          <w:numId w:val="0"/>
        </w:numPr>
      </w:pPr>
      <w:r w:rsidRPr="002A132F">
        <w:rPr>
          <w:noProof/>
        </w:rPr>
        <w:drawing>
          <wp:inline distT="0" distB="0" distL="0" distR="0" wp14:anchorId="6492A25B" wp14:editId="4713AA11">
            <wp:extent cx="5151630" cy="3005593"/>
            <wp:effectExtent l="0" t="0" r="0" b="0"/>
            <wp:docPr id="10" name="Picture 10" descr="Flow chart depicting NBCSP governance structure, as outlined in the Phase Four Policy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low chart depicting NBCSP governance structure, as outlined in the Phase Four Policy Framework"/>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169349" cy="3015931"/>
                    </a:xfrm>
                    <a:prstGeom prst="rect">
                      <a:avLst/>
                    </a:prstGeom>
                    <a:noFill/>
                    <a:ln>
                      <a:noFill/>
                    </a:ln>
                  </pic:spPr>
                </pic:pic>
              </a:graphicData>
            </a:graphic>
          </wp:inline>
        </w:drawing>
      </w:r>
    </w:p>
    <w:p w14:paraId="48DFD9EF" w14:textId="1D42D287" w:rsidR="00FD1CDA" w:rsidRPr="00FD1CDA" w:rsidRDefault="00610DC5" w:rsidP="00610DC5">
      <w:pPr>
        <w:pStyle w:val="Sources"/>
        <w:spacing w:before="0"/>
      </w:pPr>
      <w:r>
        <w:t xml:space="preserve">Source: Deloitte Access Economics diagram, using Department of Health </w:t>
      </w:r>
      <w:r w:rsidR="00567E4C">
        <w:t>information.</w:t>
      </w:r>
      <w:r w:rsidR="00567E4C">
        <w:rPr>
          <w:rStyle w:val="EndnoteReference"/>
        </w:rPr>
        <w:endnoteReference w:id="69"/>
      </w:r>
      <w:r w:rsidR="00567E4C">
        <w:t xml:space="preserve"> </w:t>
      </w:r>
      <w:r>
        <w:t xml:space="preserve"> </w:t>
      </w:r>
    </w:p>
    <w:p w14:paraId="7C08660B" w14:textId="6ABAFEE9" w:rsidR="00866AD9" w:rsidRDefault="00FD1CDA" w:rsidP="00FD1CDA">
      <w:pPr>
        <w:rPr>
          <w:rFonts w:cs="Arial"/>
        </w:rPr>
      </w:pPr>
      <w:r>
        <w:rPr>
          <w:rFonts w:cs="Arial"/>
        </w:rPr>
        <w:t xml:space="preserve">The Department is responsible </w:t>
      </w:r>
      <w:r>
        <w:rPr>
          <w:rFonts w:cs="Arial"/>
          <w:color w:val="000000"/>
        </w:rPr>
        <w:t xml:space="preserve">for </w:t>
      </w:r>
      <w:r w:rsidR="006476F5">
        <w:rPr>
          <w:rFonts w:cs="Arial"/>
          <w:color w:val="000000"/>
        </w:rPr>
        <w:t>P</w:t>
      </w:r>
      <w:r>
        <w:rPr>
          <w:rFonts w:cs="Arial"/>
          <w:color w:val="000000"/>
        </w:rPr>
        <w:t>rogram management and governance</w:t>
      </w:r>
      <w:r w:rsidR="006476F5">
        <w:rPr>
          <w:rFonts w:cs="Arial"/>
          <w:color w:val="000000"/>
        </w:rPr>
        <w:t>,</w:t>
      </w:r>
      <w:r>
        <w:rPr>
          <w:rFonts w:cs="Arial"/>
          <w:color w:val="000000"/>
        </w:rPr>
        <w:t xml:space="preserve"> policy development</w:t>
      </w:r>
      <w:r w:rsidR="006476F5">
        <w:rPr>
          <w:rFonts w:cs="Arial"/>
          <w:color w:val="000000"/>
        </w:rPr>
        <w:t>, and</w:t>
      </w:r>
      <w:r>
        <w:rPr>
          <w:rFonts w:cs="Arial"/>
          <w:color w:val="000000"/>
        </w:rPr>
        <w:t xml:space="preserve"> </w:t>
      </w:r>
      <w:r>
        <w:rPr>
          <w:rFonts w:cs="Arial"/>
        </w:rPr>
        <w:t xml:space="preserve">expenditure of </w:t>
      </w:r>
      <w:r w:rsidR="006476F5">
        <w:rPr>
          <w:rFonts w:cs="Arial"/>
        </w:rPr>
        <w:t>P</w:t>
      </w:r>
      <w:r>
        <w:rPr>
          <w:rFonts w:cs="Arial"/>
        </w:rPr>
        <w:t>rogram funds (</w:t>
      </w:r>
      <w:proofErr w:type="gramStart"/>
      <w:r w:rsidR="000949CB">
        <w:rPr>
          <w:rFonts w:cs="Arial"/>
        </w:rPr>
        <w:t>e.g.</w:t>
      </w:r>
      <w:proofErr w:type="gramEnd"/>
      <w:r>
        <w:rPr>
          <w:rFonts w:cs="Arial"/>
        </w:rPr>
        <w:t xml:space="preserve"> </w:t>
      </w:r>
      <w:proofErr w:type="spellStart"/>
      <w:r>
        <w:rPr>
          <w:rFonts w:cs="Arial"/>
        </w:rPr>
        <w:t>iFOBT</w:t>
      </w:r>
      <w:proofErr w:type="spellEnd"/>
      <w:r>
        <w:rPr>
          <w:rFonts w:cs="Arial"/>
        </w:rPr>
        <w:t xml:space="preserve"> screening and partnership follow-up support delivered via states and territories).</w:t>
      </w:r>
    </w:p>
    <w:p w14:paraId="1B345625" w14:textId="0646F1E8" w:rsidR="00F02399" w:rsidRDefault="00FD1CDA" w:rsidP="00FD1CDA">
      <w:pPr>
        <w:rPr>
          <w:rFonts w:cs="Arial"/>
          <w:color w:val="000000"/>
        </w:rPr>
      </w:pPr>
      <w:r>
        <w:rPr>
          <w:rFonts w:cs="Arial"/>
          <w:color w:val="000000"/>
        </w:rPr>
        <w:t>State and territory governments have responsibility for</w:t>
      </w:r>
      <w:r w:rsidR="00426743">
        <w:rPr>
          <w:rFonts w:cs="Arial"/>
          <w:color w:val="000000"/>
        </w:rPr>
        <w:t xml:space="preserve">: </w:t>
      </w:r>
      <w:r>
        <w:rPr>
          <w:rFonts w:cs="Arial"/>
          <w:color w:val="000000"/>
        </w:rPr>
        <w:t>providing usual care services for Program participants following a positive screening test; local coordination of the Program, including health system workforce and colonoscopy capacity; and other support activities to improve awareness of the Program and increase participation and follow-up.</w:t>
      </w:r>
    </w:p>
    <w:p w14:paraId="3BC7576F" w14:textId="62814CAE" w:rsidR="00653266" w:rsidRDefault="00653266" w:rsidP="00FD1CDA">
      <w:pPr>
        <w:rPr>
          <w:rFonts w:cs="Arial"/>
          <w:color w:val="000000"/>
        </w:rPr>
      </w:pPr>
      <w:r>
        <w:rPr>
          <w:rFonts w:cs="Arial"/>
          <w:color w:val="000000"/>
        </w:rPr>
        <w:t xml:space="preserve">State and territory governments have an advisory role in </w:t>
      </w:r>
      <w:r w:rsidR="00A21743">
        <w:rPr>
          <w:rFonts w:cs="Arial"/>
          <w:color w:val="000000"/>
        </w:rPr>
        <w:t>P</w:t>
      </w:r>
      <w:r>
        <w:rPr>
          <w:rFonts w:cs="Arial"/>
          <w:color w:val="000000"/>
        </w:rPr>
        <w:t>rogram policy and management through the PDAG</w:t>
      </w:r>
      <w:r w:rsidR="00A21743">
        <w:rPr>
          <w:rFonts w:cs="Arial"/>
          <w:color w:val="000000"/>
        </w:rPr>
        <w:t>, which comprises jurisdictional Program managers</w:t>
      </w:r>
      <w:r w:rsidR="002D428A">
        <w:rPr>
          <w:rFonts w:cs="Arial"/>
          <w:color w:val="000000"/>
        </w:rPr>
        <w:t>,</w:t>
      </w:r>
      <w:r w:rsidR="00A21743">
        <w:rPr>
          <w:rFonts w:cs="Arial"/>
          <w:color w:val="000000"/>
        </w:rPr>
        <w:t xml:space="preserve"> and </w:t>
      </w:r>
      <w:r w:rsidR="002D428A">
        <w:rPr>
          <w:rFonts w:cs="Arial"/>
          <w:color w:val="000000"/>
        </w:rPr>
        <w:t xml:space="preserve">representation by </w:t>
      </w:r>
      <w:r w:rsidR="00A21743">
        <w:rPr>
          <w:rFonts w:cs="Arial"/>
          <w:color w:val="000000"/>
        </w:rPr>
        <w:t>vendors</w:t>
      </w:r>
      <w:r w:rsidR="002D428A">
        <w:rPr>
          <w:rFonts w:cs="Arial"/>
          <w:color w:val="000000"/>
        </w:rPr>
        <w:t xml:space="preserve"> as needed</w:t>
      </w:r>
      <w:r>
        <w:rPr>
          <w:rFonts w:cs="Arial"/>
          <w:color w:val="000000"/>
        </w:rPr>
        <w:t xml:space="preserve">. </w:t>
      </w:r>
      <w:r w:rsidR="00703D9E">
        <w:rPr>
          <w:rFonts w:cs="Arial"/>
          <w:color w:val="000000"/>
        </w:rPr>
        <w:t>Ter</w:t>
      </w:r>
      <w:r w:rsidR="00752A46">
        <w:rPr>
          <w:rFonts w:cs="Arial"/>
          <w:color w:val="000000"/>
        </w:rPr>
        <w:t>m</w:t>
      </w:r>
      <w:r w:rsidR="00703D9E">
        <w:rPr>
          <w:rFonts w:cs="Arial"/>
          <w:color w:val="000000"/>
        </w:rPr>
        <w:t xml:space="preserve">s of reference </w:t>
      </w:r>
      <w:r w:rsidR="00752A46">
        <w:rPr>
          <w:rFonts w:cs="Arial"/>
          <w:color w:val="000000"/>
        </w:rPr>
        <w:t xml:space="preserve">for the </w:t>
      </w:r>
      <w:r w:rsidR="003A3BCD">
        <w:rPr>
          <w:rFonts w:cs="Arial"/>
          <w:color w:val="000000"/>
        </w:rPr>
        <w:t>P</w:t>
      </w:r>
      <w:r w:rsidR="00752A46">
        <w:rPr>
          <w:rFonts w:cs="Arial"/>
          <w:color w:val="000000"/>
        </w:rPr>
        <w:t>DAG include</w:t>
      </w:r>
      <w:r w:rsidR="00F02399">
        <w:rPr>
          <w:rFonts w:cs="Arial"/>
          <w:color w:val="000000"/>
        </w:rPr>
        <w:t>s</w:t>
      </w:r>
      <w:r w:rsidR="00AB37F4">
        <w:rPr>
          <w:rFonts w:cs="Arial"/>
          <w:color w:val="000000"/>
        </w:rPr>
        <w:t xml:space="preserve"> provision of advice and input on</w:t>
      </w:r>
      <w:r w:rsidR="00752A46">
        <w:rPr>
          <w:rFonts w:cs="Arial"/>
          <w:color w:val="000000"/>
        </w:rPr>
        <w:t>:</w:t>
      </w:r>
    </w:p>
    <w:p w14:paraId="553ECE5D" w14:textId="77777777" w:rsidR="007D6308" w:rsidRPr="00582FAF" w:rsidRDefault="007D6308" w:rsidP="00582FAF">
      <w:pPr>
        <w:pStyle w:val="ListBullet"/>
      </w:pPr>
      <w:r w:rsidRPr="00582FAF">
        <w:t>policy development</w:t>
      </w:r>
    </w:p>
    <w:p w14:paraId="657FAD1C" w14:textId="77777777" w:rsidR="007D6308" w:rsidRPr="00582FAF" w:rsidRDefault="007D6308" w:rsidP="00582FAF">
      <w:pPr>
        <w:pStyle w:val="ListBullet"/>
      </w:pPr>
      <w:r w:rsidRPr="00582FAF">
        <w:t xml:space="preserve">reviews and monitoring activities </w:t>
      </w:r>
    </w:p>
    <w:p w14:paraId="5029F181" w14:textId="62BAC525" w:rsidR="00E81350" w:rsidRPr="00582FAF" w:rsidRDefault="00C24B54" w:rsidP="00582FAF">
      <w:pPr>
        <w:pStyle w:val="ListBullet"/>
      </w:pPr>
      <w:r>
        <w:t>P</w:t>
      </w:r>
      <w:r w:rsidRPr="00582FAF">
        <w:t xml:space="preserve">rogram </w:t>
      </w:r>
      <w:r w:rsidR="007D6308" w:rsidRPr="00582FAF">
        <w:t>delivery issues</w:t>
      </w:r>
    </w:p>
    <w:p w14:paraId="04AB6CA1" w14:textId="79B1C791" w:rsidR="009A7238" w:rsidRPr="00582FAF" w:rsidRDefault="009A7238" w:rsidP="00582FAF">
      <w:pPr>
        <w:pStyle w:val="ListBullet"/>
      </w:pPr>
      <w:r w:rsidRPr="00582FAF">
        <w:lastRenderedPageBreak/>
        <w:t xml:space="preserve">population screening, relevant settings and monitoring of </w:t>
      </w:r>
      <w:r w:rsidR="000949CB">
        <w:t>KPIs</w:t>
      </w:r>
      <w:r w:rsidRPr="00582FAF">
        <w:t>, including participation targets</w:t>
      </w:r>
    </w:p>
    <w:p w14:paraId="2ED943D2" w14:textId="0DF0334F" w:rsidR="007D6308" w:rsidRPr="00582FAF" w:rsidRDefault="003D6123" w:rsidP="00582FAF">
      <w:pPr>
        <w:pStyle w:val="ListBullet"/>
      </w:pPr>
      <w:r w:rsidRPr="00582FAF">
        <w:t>development of policy documents including position statements</w:t>
      </w:r>
    </w:p>
    <w:p w14:paraId="52ED1C43" w14:textId="1F85AA13" w:rsidR="003D6123" w:rsidRPr="00582FAF" w:rsidRDefault="00582FAF" w:rsidP="002612E6">
      <w:pPr>
        <w:pStyle w:val="ListBullet"/>
        <w:spacing w:after="120"/>
      </w:pPr>
      <w:r w:rsidRPr="00582FAF">
        <w:t>jurisdictional and key stakeholder agency perspectives and advice, and act as a conduit for consultation and collaboration between the relevant agencies.</w:t>
      </w:r>
    </w:p>
    <w:p w14:paraId="56128E79" w14:textId="6E32257B" w:rsidR="00E81350" w:rsidRDefault="00FF3F8C" w:rsidP="002612E6">
      <w:r>
        <w:t>The other advisory group is the</w:t>
      </w:r>
      <w:r w:rsidR="00FD1CDA" w:rsidRPr="00582FAF">
        <w:t xml:space="preserve"> CAG</w:t>
      </w:r>
      <w:r>
        <w:t xml:space="preserve">, </w:t>
      </w:r>
      <w:r w:rsidR="00020319">
        <w:t xml:space="preserve">who </w:t>
      </w:r>
      <w:r w:rsidR="00746998" w:rsidRPr="00582FAF">
        <w:t>provides clinical advice</w:t>
      </w:r>
      <w:r w:rsidR="00746998">
        <w:t xml:space="preserve"> on the Program. The group</w:t>
      </w:r>
      <w:r>
        <w:t xml:space="preserve"> is</w:t>
      </w:r>
      <w:r w:rsidR="006B46D3">
        <w:t xml:space="preserve"> comprise</w:t>
      </w:r>
      <w:r w:rsidR="00C91605">
        <w:t xml:space="preserve">d </w:t>
      </w:r>
      <w:r w:rsidR="006B46D3">
        <w:t>of clinical representative</w:t>
      </w:r>
      <w:r w:rsidR="00C91605">
        <w:t>s</w:t>
      </w:r>
      <w:r w:rsidR="006B46D3">
        <w:t xml:space="preserve"> </w:t>
      </w:r>
      <w:r w:rsidR="00020319">
        <w:t xml:space="preserve">including </w:t>
      </w:r>
      <w:r w:rsidR="006B46D3">
        <w:t xml:space="preserve">epidemiologists, pathologists, primary care practitioners, colorectal </w:t>
      </w:r>
      <w:r w:rsidR="00C91605">
        <w:t>surgeons,</w:t>
      </w:r>
      <w:r w:rsidR="006B46D3">
        <w:t xml:space="preserve"> and gastroenterologists</w:t>
      </w:r>
      <w:r w:rsidR="00FD1CDA" w:rsidRPr="00582FAF">
        <w:t>.</w:t>
      </w:r>
      <w:r w:rsidR="003A3BCD" w:rsidRPr="00582FAF">
        <w:t xml:space="preserve"> </w:t>
      </w:r>
      <w:r w:rsidR="003A3BCD">
        <w:t xml:space="preserve">Terms of reference for the </w:t>
      </w:r>
      <w:r w:rsidR="0013636F">
        <w:t>CAG</w:t>
      </w:r>
      <w:r w:rsidR="003A3BCD">
        <w:t xml:space="preserve"> include:</w:t>
      </w:r>
    </w:p>
    <w:p w14:paraId="710725D0" w14:textId="5DC6CAC1" w:rsidR="009D2A36" w:rsidRPr="00582FAF" w:rsidRDefault="009D2A36" w:rsidP="00582FAF">
      <w:pPr>
        <w:pStyle w:val="ListBullet"/>
      </w:pPr>
      <w:r w:rsidRPr="00582FAF">
        <w:t>review, monitor and advise on clinical outcomes and performance issues for the NBCSP</w:t>
      </w:r>
    </w:p>
    <w:p w14:paraId="17100115" w14:textId="1618BA70" w:rsidR="009D2A36" w:rsidRPr="00582FAF" w:rsidRDefault="009D2A36" w:rsidP="00582FAF">
      <w:pPr>
        <w:pStyle w:val="ListBullet"/>
      </w:pPr>
      <w:r w:rsidRPr="00582FAF">
        <w:t>advise on issues of safety and quality (</w:t>
      </w:r>
      <w:proofErr w:type="gramStart"/>
      <w:r w:rsidRPr="00582FAF">
        <w:t>e.g.</w:t>
      </w:r>
      <w:proofErr w:type="gramEnd"/>
      <w:r w:rsidRPr="00582FAF">
        <w:t xml:space="preserve"> Program colonoscopy outcomes, test sensitivity and </w:t>
      </w:r>
      <w:r w:rsidR="003D5171" w:rsidRPr="00582FAF">
        <w:t>specifi</w:t>
      </w:r>
      <w:r w:rsidR="00597307">
        <w:t>ci</w:t>
      </w:r>
      <w:r w:rsidR="003D5171" w:rsidRPr="00582FAF">
        <w:t>ty</w:t>
      </w:r>
      <w:r w:rsidRPr="00582FAF">
        <w:t>)</w:t>
      </w:r>
    </w:p>
    <w:p w14:paraId="32A759CD" w14:textId="7DAA2CC2" w:rsidR="009D2A36" w:rsidRPr="00A54373" w:rsidRDefault="009D2A36" w:rsidP="00582FAF">
      <w:pPr>
        <w:pStyle w:val="ListBullet"/>
      </w:pPr>
      <w:r w:rsidRPr="00A54373">
        <w:t xml:space="preserve">provide clinical and technical input into monitoring of </w:t>
      </w:r>
      <w:r w:rsidR="003D5171">
        <w:t>KPIs</w:t>
      </w:r>
      <w:r w:rsidR="001D7631">
        <w:t xml:space="preserve">, </w:t>
      </w:r>
      <w:r w:rsidRPr="00A54373">
        <w:t>new and emerging bowel screening technologies</w:t>
      </w:r>
      <w:r w:rsidR="001D7631">
        <w:t xml:space="preserve">, </w:t>
      </w:r>
      <w:r w:rsidRPr="00A54373">
        <w:t>position statements</w:t>
      </w:r>
      <w:r w:rsidR="00652847">
        <w:t xml:space="preserve">, </w:t>
      </w:r>
      <w:r w:rsidR="00503535">
        <w:t xml:space="preserve">and </w:t>
      </w:r>
      <w:r w:rsidRPr="00A54373">
        <w:t>the development of enhanced data collection</w:t>
      </w:r>
    </w:p>
    <w:p w14:paraId="592CE0DE" w14:textId="3BE6B30D" w:rsidR="009D2A36" w:rsidRPr="00A54373" w:rsidRDefault="009D2A36" w:rsidP="00582FAF">
      <w:pPr>
        <w:pStyle w:val="ListBullet"/>
      </w:pPr>
      <w:r w:rsidRPr="00A54373">
        <w:t>review adverse events resulting from participation in the NBCSP and, if relevant, provide clinical advice</w:t>
      </w:r>
    </w:p>
    <w:p w14:paraId="75625401" w14:textId="082851CB" w:rsidR="00E056BA" w:rsidRPr="00582FAF" w:rsidRDefault="009D2A36" w:rsidP="00AD10DC">
      <w:pPr>
        <w:pStyle w:val="ListBullet"/>
      </w:pPr>
      <w:r w:rsidRPr="00A54373">
        <w:t>act as a conduit for consultation and collaboration with clinical stakeholder agencies.</w:t>
      </w:r>
    </w:p>
    <w:p w14:paraId="4682B418" w14:textId="3229F7C8" w:rsidR="00FD1CDA" w:rsidRPr="00202835" w:rsidRDefault="002A1EC0" w:rsidP="00952DA9">
      <w:pPr>
        <w:pStyle w:val="Heading4un-numbered"/>
        <w:rPr>
          <w:b w:val="0"/>
          <w:bCs w:val="0"/>
          <w:color w:val="012169" w:themeColor="accent4"/>
        </w:rPr>
      </w:pPr>
      <w:r>
        <w:rPr>
          <w:color w:val="012169" w:themeColor="accent4"/>
        </w:rPr>
        <w:t>Program advisory functions</w:t>
      </w:r>
      <w:r w:rsidR="00FD1CDA" w:rsidRPr="00202835">
        <w:rPr>
          <w:color w:val="012169" w:themeColor="accent4"/>
        </w:rPr>
        <w:t xml:space="preserve"> provide valuable </w:t>
      </w:r>
      <w:r w:rsidR="009A279E">
        <w:rPr>
          <w:color w:val="012169" w:themeColor="accent4"/>
        </w:rPr>
        <w:t xml:space="preserve">advice </w:t>
      </w:r>
      <w:r w:rsidR="00FD1CDA" w:rsidRPr="00202835">
        <w:rPr>
          <w:color w:val="012169" w:themeColor="accent4"/>
        </w:rPr>
        <w:t>on how to optimise the Program</w:t>
      </w:r>
      <w:r w:rsidR="007E2765">
        <w:rPr>
          <w:color w:val="012169" w:themeColor="accent4"/>
        </w:rPr>
        <w:t xml:space="preserve"> from an operational and clinic</w:t>
      </w:r>
      <w:r w:rsidR="00DC2A2F">
        <w:rPr>
          <w:color w:val="012169" w:themeColor="accent4"/>
        </w:rPr>
        <w:t>al</w:t>
      </w:r>
      <w:r w:rsidR="007E2765">
        <w:rPr>
          <w:color w:val="012169" w:themeColor="accent4"/>
        </w:rPr>
        <w:t xml:space="preserve"> perspective</w:t>
      </w:r>
      <w:r w:rsidR="00FD1CDA" w:rsidRPr="00202835">
        <w:rPr>
          <w:color w:val="012169" w:themeColor="accent4"/>
        </w:rPr>
        <w:t>.</w:t>
      </w:r>
    </w:p>
    <w:p w14:paraId="1F43E4B9" w14:textId="6FDFE1D7" w:rsidR="00FD1CDA" w:rsidRDefault="00FD1CDA" w:rsidP="00FD1CDA">
      <w:r>
        <w:t xml:space="preserve">Among stakeholders consulted </w:t>
      </w:r>
      <w:r w:rsidR="00D10AA2">
        <w:t xml:space="preserve">that were </w:t>
      </w:r>
      <w:r>
        <w:t xml:space="preserve">aware of the Program’s governance structures, there </w:t>
      </w:r>
      <w:r w:rsidR="002A754E">
        <w:t xml:space="preserve">was </w:t>
      </w:r>
      <w:r>
        <w:t xml:space="preserve">agreement that </w:t>
      </w:r>
      <w:r w:rsidR="00447C65">
        <w:t xml:space="preserve">the </w:t>
      </w:r>
      <w:r w:rsidR="009C254A">
        <w:t xml:space="preserve">operational and clinical aspects of the advisory functions </w:t>
      </w:r>
      <w:r>
        <w:t xml:space="preserve">provide important and unique insights </w:t>
      </w:r>
      <w:r w:rsidR="009C254A">
        <w:t>to guide Program delivery</w:t>
      </w:r>
      <w:r w:rsidRPr="004935EF">
        <w:t>.</w:t>
      </w:r>
    </w:p>
    <w:p w14:paraId="0AAA452F" w14:textId="0C0B3C59" w:rsidR="00FD1CDA" w:rsidRDefault="00FD1CDA" w:rsidP="00FD1CDA">
      <w:r>
        <w:t xml:space="preserve">It was observed that </w:t>
      </w:r>
      <w:r w:rsidRPr="00A70FC1">
        <w:t xml:space="preserve">separation between </w:t>
      </w:r>
      <w:r>
        <w:t>CAG and PDAG</w:t>
      </w:r>
      <w:r w:rsidRPr="004935EF">
        <w:rPr>
          <w:b/>
          <w:bCs/>
        </w:rPr>
        <w:t xml:space="preserve"> </w:t>
      </w:r>
      <w:r w:rsidRPr="004935EF">
        <w:t xml:space="preserve">can make it difficult to progress </w:t>
      </w:r>
      <w:r>
        <w:t xml:space="preserve">new </w:t>
      </w:r>
      <w:r w:rsidRPr="004935EF">
        <w:t xml:space="preserve">ideas </w:t>
      </w:r>
      <w:r>
        <w:t>or actions</w:t>
      </w:r>
      <w:r w:rsidR="00582591">
        <w:t xml:space="preserve">, </w:t>
      </w:r>
      <w:r>
        <w:t>that require</w:t>
      </w:r>
      <w:r w:rsidRPr="004935EF">
        <w:t xml:space="preserve"> both clinical and operational input</w:t>
      </w:r>
      <w:r w:rsidR="00582591">
        <w:t xml:space="preserve">, </w:t>
      </w:r>
      <w:r w:rsidRPr="004935EF">
        <w:t xml:space="preserve">in a timely </w:t>
      </w:r>
      <w:r w:rsidR="00805AEA">
        <w:t>manner</w:t>
      </w:r>
      <w:r w:rsidRPr="004935EF">
        <w:t xml:space="preserve">. </w:t>
      </w:r>
      <w:r w:rsidR="00D16F66" w:rsidRPr="00F678D8">
        <w:t>There was strong sentiment that the integrated forum between the groups (which currently occurs annually) should be retained, as it is important for a sense of connectivity and streamlining the process for gathering shared input.</w:t>
      </w:r>
    </w:p>
    <w:p w14:paraId="468CFD3A" w14:textId="5D830440" w:rsidR="001D16AD" w:rsidRPr="00F678D8" w:rsidRDefault="00FD1CDA" w:rsidP="001D16AD">
      <w:r>
        <w:t xml:space="preserve">Stakeholders noted that the establishment of </w:t>
      </w:r>
      <w:r w:rsidRPr="00294C56">
        <w:t xml:space="preserve">time-limited working groups </w:t>
      </w:r>
      <w:r>
        <w:t xml:space="preserve">to address opportunities raised through CAG and PDAG </w:t>
      </w:r>
      <w:r w:rsidR="00FD0402">
        <w:t xml:space="preserve">is </w:t>
      </w:r>
      <w:r w:rsidRPr="00294C56">
        <w:t>a strength</w:t>
      </w:r>
      <w:r w:rsidRPr="004935EF">
        <w:rPr>
          <w:b/>
          <w:bCs/>
        </w:rPr>
        <w:t xml:space="preserve"> </w:t>
      </w:r>
      <w:r w:rsidRPr="004935EF">
        <w:t>of the Program</w:t>
      </w:r>
      <w:r>
        <w:t>.</w:t>
      </w:r>
      <w:r w:rsidRPr="004935EF">
        <w:t xml:space="preserve"> </w:t>
      </w:r>
      <w:r w:rsidR="00FD1962">
        <w:t>T</w:t>
      </w:r>
      <w:r w:rsidR="001D16AD" w:rsidRPr="00F678D8">
        <w:t xml:space="preserve">here was a perception that the status of the </w:t>
      </w:r>
      <w:r w:rsidR="00CB4C62">
        <w:t>w</w:t>
      </w:r>
      <w:r w:rsidR="001D16AD" w:rsidRPr="00F678D8">
        <w:t xml:space="preserve">orking </w:t>
      </w:r>
      <w:r w:rsidR="00CB4C62">
        <w:t>g</w:t>
      </w:r>
      <w:r w:rsidR="001D16AD" w:rsidRPr="00F678D8">
        <w:t xml:space="preserve">roups implemented in Phase Four were not always clear or well communicated across and between CAG, PDAG, the Department and the </w:t>
      </w:r>
      <w:r w:rsidR="00CB4C62">
        <w:t>w</w:t>
      </w:r>
      <w:r w:rsidR="001D16AD" w:rsidRPr="00F678D8">
        <w:t xml:space="preserve">orking </w:t>
      </w:r>
      <w:r w:rsidR="00CB4C62">
        <w:t>g</w:t>
      </w:r>
      <w:r w:rsidR="001D16AD" w:rsidRPr="00F678D8">
        <w:t xml:space="preserve">roup itself. </w:t>
      </w:r>
      <w:r w:rsidR="00DE1A8C">
        <w:t>How</w:t>
      </w:r>
      <w:r w:rsidR="009552CC">
        <w:t>ever, m</w:t>
      </w:r>
      <w:r w:rsidR="00D81504">
        <w:t xml:space="preserve">eeting minutes provided by the Department </w:t>
      </w:r>
      <w:r w:rsidR="002B2B97">
        <w:t xml:space="preserve">demonstrated that meetings included </w:t>
      </w:r>
      <w:r w:rsidR="001D16AD" w:rsidRPr="00F678D8">
        <w:t xml:space="preserve">standing agenda items for updates on </w:t>
      </w:r>
      <w:r w:rsidR="00BC669E">
        <w:t>w</w:t>
      </w:r>
      <w:r w:rsidR="007F42CC">
        <w:t xml:space="preserve">orking </w:t>
      </w:r>
      <w:r w:rsidR="00BC669E">
        <w:t>g</w:t>
      </w:r>
      <w:r w:rsidR="007F42CC">
        <w:t xml:space="preserve">roup </w:t>
      </w:r>
      <w:r w:rsidR="001D16AD" w:rsidRPr="00F678D8">
        <w:t>progress at Advisory Group meeting</w:t>
      </w:r>
      <w:r w:rsidR="00D75974">
        <w:t>s</w:t>
      </w:r>
      <w:r w:rsidR="001D16AD" w:rsidRPr="00F678D8">
        <w:t>.</w:t>
      </w:r>
    </w:p>
    <w:p w14:paraId="29DB7F13" w14:textId="739B1BD9" w:rsidR="001D16AD" w:rsidRDefault="00D331F4" w:rsidP="001D16AD">
      <w:r>
        <w:t xml:space="preserve">This finding related to </w:t>
      </w:r>
      <w:r w:rsidR="00805CFF">
        <w:t>w</w:t>
      </w:r>
      <w:r>
        <w:t xml:space="preserve">orking </w:t>
      </w:r>
      <w:r w:rsidR="00805CFF">
        <w:t>g</w:t>
      </w:r>
      <w:r>
        <w:t>roups</w:t>
      </w:r>
      <w:r w:rsidR="001D16AD" w:rsidRPr="00F678D8">
        <w:t xml:space="preserve"> was consistent with a finding from the previous review of the Program, which observed </w:t>
      </w:r>
      <w:r w:rsidR="001D16AD" w:rsidRPr="000F06D0">
        <w:rPr>
          <w:i/>
          <w:iCs/>
        </w:rPr>
        <w:t xml:space="preserve">“there was a lack of clarity around the current status of the various </w:t>
      </w:r>
      <w:r w:rsidR="007F42CC" w:rsidRPr="000F06D0">
        <w:rPr>
          <w:i/>
          <w:iCs/>
        </w:rPr>
        <w:t>W</w:t>
      </w:r>
      <w:r w:rsidR="001D16AD" w:rsidRPr="000F06D0">
        <w:rPr>
          <w:i/>
          <w:iCs/>
        </w:rPr>
        <w:t xml:space="preserve">orking </w:t>
      </w:r>
      <w:r w:rsidR="007F42CC" w:rsidRPr="000F06D0">
        <w:rPr>
          <w:i/>
          <w:iCs/>
        </w:rPr>
        <w:t>G</w:t>
      </w:r>
      <w:r w:rsidR="001D16AD" w:rsidRPr="000F06D0">
        <w:rPr>
          <w:i/>
          <w:iCs/>
        </w:rPr>
        <w:t>roups that had operated during Phase Two”</w:t>
      </w:r>
      <w:r w:rsidR="002C12F3" w:rsidRPr="000F06D0">
        <w:rPr>
          <w:i/>
          <w:iCs/>
        </w:rPr>
        <w:t>.</w:t>
      </w:r>
    </w:p>
    <w:p w14:paraId="749E27BF" w14:textId="7FB52F12" w:rsidR="00D96141" w:rsidRDefault="00B71FC9" w:rsidP="00FD1CDA">
      <w:r>
        <w:t xml:space="preserve">Given </w:t>
      </w:r>
      <w:r w:rsidR="00D16BA1">
        <w:t xml:space="preserve">variation in </w:t>
      </w:r>
      <w:r>
        <w:t xml:space="preserve">perceptions </w:t>
      </w:r>
      <w:r w:rsidR="005B2156">
        <w:t>across the</w:t>
      </w:r>
      <w:r>
        <w:t xml:space="preserve"> stakeholders involved in </w:t>
      </w:r>
      <w:r w:rsidR="003E04C1">
        <w:t>Program governance</w:t>
      </w:r>
      <w:r>
        <w:t xml:space="preserve">, </w:t>
      </w:r>
      <w:r w:rsidR="00D16BA1">
        <w:t>it may be useful to reset working relationship</w:t>
      </w:r>
      <w:r w:rsidR="00CC7755">
        <w:t>s</w:t>
      </w:r>
      <w:r w:rsidR="00D16BA1">
        <w:t xml:space="preserve"> to ensure needs are being met </w:t>
      </w:r>
      <w:proofErr w:type="gramStart"/>
      <w:r w:rsidR="00D16BA1">
        <w:t>in regard to</w:t>
      </w:r>
      <w:proofErr w:type="gramEnd"/>
      <w:r w:rsidR="00D16BA1">
        <w:t xml:space="preserve"> the purpose of each group and expectations on </w:t>
      </w:r>
      <w:r w:rsidR="00946A70">
        <w:t>information sharing.</w:t>
      </w:r>
    </w:p>
    <w:p w14:paraId="6D545AB7" w14:textId="3FDC9F79" w:rsidR="00FD1CDA" w:rsidRPr="00202835" w:rsidRDefault="00FD1CDA" w:rsidP="00952DA9">
      <w:pPr>
        <w:pStyle w:val="Heading4un-numbered"/>
        <w:rPr>
          <w:b w:val="0"/>
          <w:bCs w:val="0"/>
          <w:color w:val="012169" w:themeColor="accent4"/>
        </w:rPr>
      </w:pPr>
      <w:r w:rsidRPr="00952DA9">
        <w:rPr>
          <w:color w:val="012169" w:themeColor="accent4"/>
        </w:rPr>
        <w:t xml:space="preserve">With an increased focus on supporting access to timely colonoscopy, there is scope to consider broader representation </w:t>
      </w:r>
      <w:r w:rsidR="006F2DBB" w:rsidRPr="00202835">
        <w:rPr>
          <w:color w:val="012169" w:themeColor="accent4"/>
        </w:rPr>
        <w:t>fr</w:t>
      </w:r>
      <w:r w:rsidR="00427A8E" w:rsidRPr="00202835">
        <w:rPr>
          <w:color w:val="012169" w:themeColor="accent4"/>
        </w:rPr>
        <w:t>o</w:t>
      </w:r>
      <w:r w:rsidR="006F2DBB" w:rsidRPr="00202835">
        <w:rPr>
          <w:color w:val="012169" w:themeColor="accent4"/>
        </w:rPr>
        <w:t>m the jurisdictions</w:t>
      </w:r>
      <w:r w:rsidRPr="00202835">
        <w:rPr>
          <w:color w:val="012169" w:themeColor="accent4"/>
        </w:rPr>
        <w:t xml:space="preserve"> </w:t>
      </w:r>
      <w:r w:rsidR="0040710F" w:rsidRPr="00202835">
        <w:rPr>
          <w:color w:val="012169" w:themeColor="accent4"/>
        </w:rPr>
        <w:t>on</w:t>
      </w:r>
      <w:r w:rsidRPr="00202835">
        <w:rPr>
          <w:color w:val="012169" w:themeColor="accent4"/>
        </w:rPr>
        <w:t xml:space="preserve"> PDAG.</w:t>
      </w:r>
    </w:p>
    <w:p w14:paraId="4ADB3B7A" w14:textId="7C802EC0" w:rsidR="00FD4064" w:rsidRDefault="00FD1CDA" w:rsidP="00FD1CDA">
      <w:r>
        <w:t xml:space="preserve">PDAG is currently represented by Program managers and vendors, with </w:t>
      </w:r>
      <w:r w:rsidR="001E2A14">
        <w:t>jurisdictional</w:t>
      </w:r>
      <w:r w:rsidR="00FD4064">
        <w:t xml:space="preserve"> representative</w:t>
      </w:r>
      <w:r w:rsidR="001E2A14">
        <w:t>s</w:t>
      </w:r>
      <w:r w:rsidR="00F71D13">
        <w:t xml:space="preserve"> </w:t>
      </w:r>
      <w:r w:rsidR="00FD4064">
        <w:t>act</w:t>
      </w:r>
      <w:r w:rsidR="001F073E">
        <w:t>ing</w:t>
      </w:r>
      <w:r w:rsidR="00FD4064">
        <w:t xml:space="preserve"> as</w:t>
      </w:r>
      <w:r w:rsidR="006814D5">
        <w:t xml:space="preserve"> a</w:t>
      </w:r>
      <w:r w:rsidR="00FD4064">
        <w:t xml:space="preserve"> conduit to other relevant jurisdictional agencies, as defined in the </w:t>
      </w:r>
      <w:r w:rsidR="001954D8">
        <w:t xml:space="preserve">PDAG </w:t>
      </w:r>
      <w:r w:rsidR="00FD4064">
        <w:t xml:space="preserve">Terms of Reference. </w:t>
      </w:r>
    </w:p>
    <w:p w14:paraId="7B4E1CA0" w14:textId="403636E1" w:rsidR="001A337C" w:rsidRDefault="005A4893" w:rsidP="00FD1CDA">
      <w:r>
        <w:t>As noted in</w:t>
      </w:r>
      <w:r w:rsidR="00D0169B">
        <w:t xml:space="preserve"> section</w:t>
      </w:r>
      <w:r>
        <w:t xml:space="preserve"> </w:t>
      </w:r>
      <w:r>
        <w:fldChar w:fldCharType="begin"/>
      </w:r>
      <w:r>
        <w:instrText xml:space="preserve"> REF _Ref66972588 \r \h </w:instrText>
      </w:r>
      <w:r>
        <w:fldChar w:fldCharType="separate"/>
      </w:r>
      <w:r w:rsidR="00F27525">
        <w:t>2.1.2.3</w:t>
      </w:r>
      <w:r>
        <w:fldChar w:fldCharType="end"/>
      </w:r>
      <w:r w:rsidR="00D0169B">
        <w:t xml:space="preserve">, access to colonoscopy for Program participants is a challenge that has persisted for </w:t>
      </w:r>
      <w:proofErr w:type="gramStart"/>
      <w:r w:rsidR="00D0169B">
        <w:t>a number of</w:t>
      </w:r>
      <w:proofErr w:type="gramEnd"/>
      <w:r w:rsidR="00D0169B">
        <w:t xml:space="preserve"> years</w:t>
      </w:r>
      <w:r w:rsidR="005702A6">
        <w:t>, suggesting</w:t>
      </w:r>
      <w:r w:rsidR="00396CD5">
        <w:t xml:space="preserve"> </w:t>
      </w:r>
      <w:r w:rsidR="005702A6">
        <w:t>th</w:t>
      </w:r>
      <w:r w:rsidR="001A337C">
        <w:t>e</w:t>
      </w:r>
      <w:r w:rsidR="005702A6">
        <w:t xml:space="preserve"> conduit model may not be the most </w:t>
      </w:r>
      <w:r w:rsidR="00D85028">
        <w:t>effective</w:t>
      </w:r>
      <w:r w:rsidR="005702A6">
        <w:t xml:space="preserve"> mechanism for understa</w:t>
      </w:r>
      <w:r w:rsidR="00770C15">
        <w:t xml:space="preserve">nding </w:t>
      </w:r>
      <w:r w:rsidR="001A337C">
        <w:t>colonoscopy</w:t>
      </w:r>
      <w:r w:rsidR="005702A6">
        <w:t xml:space="preserve"> </w:t>
      </w:r>
      <w:r w:rsidR="001A337C">
        <w:t>barriers</w:t>
      </w:r>
      <w:r w:rsidR="005702A6">
        <w:t xml:space="preserve"> </w:t>
      </w:r>
      <w:r w:rsidR="001A337C">
        <w:t>a</w:t>
      </w:r>
      <w:r w:rsidR="005702A6">
        <w:t xml:space="preserve">nd </w:t>
      </w:r>
      <w:r w:rsidR="001A337C">
        <w:t>potential</w:t>
      </w:r>
      <w:r w:rsidR="005702A6">
        <w:t xml:space="preserve"> solutions</w:t>
      </w:r>
      <w:r w:rsidR="00D0169B">
        <w:t xml:space="preserve">. </w:t>
      </w:r>
    </w:p>
    <w:p w14:paraId="5829032F" w14:textId="0F9FC780" w:rsidR="00FD1CDA" w:rsidRDefault="00B241C0" w:rsidP="00FD1CDA">
      <w:r>
        <w:lastRenderedPageBreak/>
        <w:t>Given this, it</w:t>
      </w:r>
      <w:r w:rsidR="00D34518">
        <w:t xml:space="preserve"> may be worthwhile to consider </w:t>
      </w:r>
      <w:r w:rsidR="00B50E52">
        <w:t xml:space="preserve">more direct </w:t>
      </w:r>
      <w:r w:rsidR="00D34518">
        <w:t xml:space="preserve">representation from </w:t>
      </w:r>
      <w:r w:rsidR="00B50E52">
        <w:t xml:space="preserve">jurisdictional colorectal departments </w:t>
      </w:r>
      <w:r w:rsidR="00D34518">
        <w:t xml:space="preserve">as part of PDAG. </w:t>
      </w:r>
      <w:r w:rsidR="00EE4165">
        <w:t xml:space="preserve">This </w:t>
      </w:r>
      <w:r w:rsidR="00ED045D">
        <w:t xml:space="preserve">is suggested </w:t>
      </w:r>
      <w:r w:rsidR="00396CD5">
        <w:t>in the context that</w:t>
      </w:r>
      <w:r w:rsidR="00AC607D">
        <w:t xml:space="preserve"> </w:t>
      </w:r>
      <w:r w:rsidR="00EE4165">
        <w:t xml:space="preserve">any </w:t>
      </w:r>
      <w:r w:rsidR="008E3DF7">
        <w:t>initiative</w:t>
      </w:r>
      <w:r w:rsidR="00EE4165">
        <w:t xml:space="preserve"> to improve access to colonoscopy</w:t>
      </w:r>
      <w:r w:rsidR="00FD1CDA">
        <w:t xml:space="preserve"> (</w:t>
      </w:r>
      <w:proofErr w:type="gramStart"/>
      <w:r w:rsidR="00FD1CDA">
        <w:t>e.g.</w:t>
      </w:r>
      <w:proofErr w:type="gramEnd"/>
      <w:r w:rsidR="00FD1CDA" w:rsidRPr="00FF3FCE">
        <w:t xml:space="preserve"> </w:t>
      </w:r>
      <w:r w:rsidR="00FD1CDA">
        <w:t xml:space="preserve">rescoping aspects of the PFUF role to become more integrated within </w:t>
      </w:r>
      <w:r w:rsidR="00E951F9">
        <w:t>L</w:t>
      </w:r>
      <w:r w:rsidR="00D00DF5">
        <w:t xml:space="preserve">ocal </w:t>
      </w:r>
      <w:r w:rsidR="00E951F9">
        <w:t>H</w:t>
      </w:r>
      <w:r w:rsidR="00D00DF5">
        <w:t xml:space="preserve">ealth </w:t>
      </w:r>
      <w:r w:rsidR="00E951F9">
        <w:t>D</w:t>
      </w:r>
      <w:r w:rsidR="0022254A">
        <w:t>istricts</w:t>
      </w:r>
      <w:r w:rsidR="00D00DF5">
        <w:t xml:space="preserve"> </w:t>
      </w:r>
      <w:r w:rsidR="00E331F8">
        <w:t>[</w:t>
      </w:r>
      <w:r w:rsidR="00FD1CDA">
        <w:t>L</w:t>
      </w:r>
      <w:r w:rsidR="00EF21D8">
        <w:t>HD</w:t>
      </w:r>
      <w:r w:rsidR="00E331F8">
        <w:t>]</w:t>
      </w:r>
      <w:r w:rsidR="001D57EA">
        <w:t xml:space="preserve"> or </w:t>
      </w:r>
      <w:r w:rsidR="00EF21D8">
        <w:t>HHS</w:t>
      </w:r>
      <w:r w:rsidR="00E951F9">
        <w:t>s</w:t>
      </w:r>
      <w:r w:rsidR="00413825">
        <w:t xml:space="preserve">, </w:t>
      </w:r>
      <w:r w:rsidR="00FD1CDA">
        <w:t>as described in</w:t>
      </w:r>
      <w:r w:rsidR="00F22F5A">
        <w:t xml:space="preserve"> section </w:t>
      </w:r>
      <w:r w:rsidR="00F22F5A">
        <w:fldChar w:fldCharType="begin"/>
      </w:r>
      <w:r w:rsidR="00F22F5A">
        <w:instrText xml:space="preserve"> REF _Ref67561675 \r \h </w:instrText>
      </w:r>
      <w:r w:rsidR="00F22F5A">
        <w:fldChar w:fldCharType="separate"/>
      </w:r>
      <w:r w:rsidR="00F27525">
        <w:t>2.1.3</w:t>
      </w:r>
      <w:r w:rsidR="00F22F5A">
        <w:fldChar w:fldCharType="end"/>
      </w:r>
      <w:r w:rsidR="00FD1CDA">
        <w:t xml:space="preserve">) would require buy-in and operational support from </w:t>
      </w:r>
      <w:r w:rsidR="002C0970">
        <w:t>these agencies</w:t>
      </w:r>
      <w:r w:rsidR="00783A85">
        <w:t>.</w:t>
      </w:r>
    </w:p>
    <w:p w14:paraId="484669A2" w14:textId="77777777" w:rsidR="00117F4F" w:rsidRPr="00F678D8" w:rsidRDefault="00117F4F" w:rsidP="00117F4F">
      <w:pPr>
        <w:pStyle w:val="Heading4un-numbered"/>
        <w:rPr>
          <w:color w:val="002060"/>
        </w:rPr>
      </w:pPr>
      <w:r w:rsidRPr="00F678D8">
        <w:rPr>
          <w:color w:val="002060"/>
        </w:rPr>
        <w:t>Opportunity to better align external research with the Program’s priority research areas.</w:t>
      </w:r>
    </w:p>
    <w:p w14:paraId="22640968" w14:textId="11E169AD" w:rsidR="00FD1CDA" w:rsidRDefault="00FD1CDA" w:rsidP="00FD1CDA">
      <w:r>
        <w:t>Program, sectorial and academic stakeholders consulted noted the importance of commissioning research targeted at improving the Program. It was noted that to date, there has been a limited number of Randomised Controlled Trials or other observational research studies</w:t>
      </w:r>
      <w:r w:rsidR="00403870">
        <w:t xml:space="preserve"> conducted</w:t>
      </w:r>
      <w:r>
        <w:t>, with the intent o</w:t>
      </w:r>
      <w:r w:rsidR="004458E9">
        <w:t>f</w:t>
      </w:r>
      <w:r>
        <w:t xml:space="preserve"> examining changes to Program design and its impact on uptake and outcomes. Research of this nature is important for establishing an evidence-base before deciding to change a </w:t>
      </w:r>
      <w:r w:rsidR="0040710F">
        <w:t xml:space="preserve">Program </w:t>
      </w:r>
      <w:r>
        <w:t>feature at scale.</w:t>
      </w:r>
    </w:p>
    <w:p w14:paraId="1455DD6F" w14:textId="0647C54F" w:rsidR="00996013" w:rsidRDefault="00FD1CDA" w:rsidP="00FD1CDA">
      <w:r>
        <w:t>It was noted that now the Program is fully biennial, the next phase of the Program can shift from a focus o</w:t>
      </w:r>
      <w:r w:rsidR="001F4121">
        <w:t>n</w:t>
      </w:r>
      <w:r>
        <w:t xml:space="preserve"> Program expansion to a focus on </w:t>
      </w:r>
      <w:r w:rsidR="00C6041A">
        <w:t>optimising</w:t>
      </w:r>
      <w:r>
        <w:t xml:space="preserve"> Program</w:t>
      </w:r>
      <w:r w:rsidR="00900EBF">
        <w:t xml:space="preserve"> design</w:t>
      </w:r>
      <w:r>
        <w:t>. In addition, transition to the NCSR provides the enabling infrastructure to better support targeted research</w:t>
      </w:r>
      <w:r w:rsidR="00D83A29" w:rsidRPr="00F678D8">
        <w:t>. A number of opportunities to pursue research grants already exist (</w:t>
      </w:r>
      <w:proofErr w:type="gramStart"/>
      <w:r w:rsidR="00D83A29" w:rsidRPr="00F678D8">
        <w:t>e.g.</w:t>
      </w:r>
      <w:proofErr w:type="gramEnd"/>
      <w:r w:rsidR="00D83A29" w:rsidRPr="00F678D8">
        <w:t xml:space="preserve"> through the NHMRC or elsewhere), and external researchers should be encourage</w:t>
      </w:r>
      <w:r w:rsidR="007944B2">
        <w:t>d</w:t>
      </w:r>
      <w:r w:rsidR="00D83A29" w:rsidRPr="00F678D8">
        <w:t xml:space="preserve"> to use these mechanisms to address the Program’s key research objectives.</w:t>
      </w:r>
    </w:p>
    <w:p w14:paraId="1DC68066" w14:textId="52C840F0" w:rsidR="007C685F" w:rsidRDefault="00DC063A" w:rsidP="007C685F">
      <w:pPr>
        <w:pStyle w:val="Heading3"/>
      </w:pPr>
      <w:r>
        <w:t>Stakeholder engagement</w:t>
      </w:r>
    </w:p>
    <w:p w14:paraId="447BC70E" w14:textId="0F255F4B" w:rsidR="00C47754" w:rsidRDefault="004C4C26" w:rsidP="00C47754">
      <w:r>
        <w:t>T</w:t>
      </w:r>
      <w:r w:rsidR="00C47754">
        <w:t>he P</w:t>
      </w:r>
      <w:r w:rsidR="00C47754" w:rsidRPr="006D3193">
        <w:t xml:space="preserve">rogram engages with </w:t>
      </w:r>
      <w:r w:rsidR="00C47754">
        <w:t xml:space="preserve">a variety of </w:t>
      </w:r>
      <w:r>
        <w:t xml:space="preserve">external </w:t>
      </w:r>
      <w:r w:rsidR="00C47754">
        <w:t>stakeholder groups in different ways to support the Program. This is summarised below by stakeholder type:</w:t>
      </w:r>
    </w:p>
    <w:p w14:paraId="7B7B9BDC" w14:textId="4859430A" w:rsidR="006A6A6F" w:rsidRPr="000C02F8" w:rsidRDefault="006A6A6F" w:rsidP="000F06D0">
      <w:r w:rsidRPr="002F4112">
        <w:rPr>
          <w:b/>
          <w:bCs/>
        </w:rPr>
        <w:t xml:space="preserve">PHNs. </w:t>
      </w:r>
      <w:r w:rsidRPr="00F208D1">
        <w:t xml:space="preserve">PHNs </w:t>
      </w:r>
      <w:r>
        <w:t xml:space="preserve">are an important enabler in promoting participation in the Program, and in encouraging and supporting GPs to recommend screening. PHN’s perform this function by developing local resources and tools, as well as pilot initiatives with specific GP practices </w:t>
      </w:r>
      <w:r w:rsidRPr="00322E7F">
        <w:t xml:space="preserve">such as the </w:t>
      </w:r>
      <w:proofErr w:type="spellStart"/>
      <w:r w:rsidRPr="00322E7F">
        <w:t>LaTrobe</w:t>
      </w:r>
      <w:proofErr w:type="spellEnd"/>
      <w:r w:rsidRPr="00322E7F">
        <w:t xml:space="preserve"> Cancer Screening Collaborative run by Gippsland PHN (described in Box 3</w:t>
      </w:r>
      <w:r w:rsidR="004064C4">
        <w:t xml:space="preserve"> in Section </w:t>
      </w:r>
      <w:r w:rsidR="004064C4">
        <w:fldChar w:fldCharType="begin"/>
      </w:r>
      <w:r w:rsidR="004064C4">
        <w:instrText xml:space="preserve"> REF _Ref67663156 \r \h </w:instrText>
      </w:r>
      <w:r w:rsidR="004064C4">
        <w:fldChar w:fldCharType="separate"/>
      </w:r>
      <w:r w:rsidR="00F27525">
        <w:t>4.1.4.2</w:t>
      </w:r>
      <w:r w:rsidR="004064C4">
        <w:fldChar w:fldCharType="end"/>
      </w:r>
      <w:r w:rsidRPr="00322E7F">
        <w:t>).</w:t>
      </w:r>
    </w:p>
    <w:p w14:paraId="2D52C74B" w14:textId="427F5EF9" w:rsidR="002F4112" w:rsidRPr="000C02F8" w:rsidRDefault="003170B4" w:rsidP="000F06D0">
      <w:pPr>
        <w:spacing w:line="259" w:lineRule="auto"/>
      </w:pPr>
      <w:r w:rsidRPr="002F4112">
        <w:rPr>
          <w:b/>
          <w:bCs/>
        </w:rPr>
        <w:t xml:space="preserve">Peak bodies. </w:t>
      </w:r>
      <w:r w:rsidRPr="00431B69">
        <w:t xml:space="preserve">The Program </w:t>
      </w:r>
      <w:r>
        <w:t xml:space="preserve">collaborates with peak bodies in a variety of ways. As noted in section </w:t>
      </w:r>
      <w:r w:rsidR="006A6F4B">
        <w:fldChar w:fldCharType="begin"/>
      </w:r>
      <w:r w:rsidR="006A6F4B">
        <w:instrText xml:space="preserve"> REF _Ref74231392 \r \h </w:instrText>
      </w:r>
      <w:r w:rsidR="006A6F4B">
        <w:fldChar w:fldCharType="separate"/>
      </w:r>
      <w:r w:rsidR="00F27525">
        <w:t>3.1.1</w:t>
      </w:r>
      <w:r w:rsidR="006A6F4B">
        <w:fldChar w:fldCharType="end"/>
      </w:r>
      <w:r>
        <w:t xml:space="preserve">, as part of Phase Four, the Program </w:t>
      </w:r>
      <w:r w:rsidRPr="002F4112">
        <w:rPr>
          <w:color w:val="000000" w:themeColor="text1"/>
        </w:rPr>
        <w:t xml:space="preserve">provided funded grants to GESA to establish the </w:t>
      </w:r>
      <w:r w:rsidRPr="00E36DB4">
        <w:t>National Colonoscopy Recertification Program</w:t>
      </w:r>
      <w:r>
        <w:t>. Further, the Program engaged with RACGP to discuss the scope of the HPP and the role of GPs as part of the transition. The Program also commissioned the Cancer Council to deliver a national media and communications campaign in 2019.</w:t>
      </w:r>
    </w:p>
    <w:p w14:paraId="3440D281" w14:textId="4FA67D43" w:rsidR="003170B4" w:rsidRPr="002F4112" w:rsidRDefault="003170B4" w:rsidP="000F06D0">
      <w:pPr>
        <w:spacing w:line="259" w:lineRule="auto"/>
        <w:rPr>
          <w:lang w:val="en-US"/>
        </w:rPr>
      </w:pPr>
      <w:r w:rsidRPr="00322E7F">
        <w:t>As noted in</w:t>
      </w:r>
      <w:r w:rsidR="002F6ACD">
        <w:t xml:space="preserve"> </w:t>
      </w:r>
      <w:r w:rsidR="00E06127">
        <w:t xml:space="preserve">section </w:t>
      </w:r>
      <w:r w:rsidR="00E06127">
        <w:fldChar w:fldCharType="begin"/>
      </w:r>
      <w:r w:rsidR="00E06127">
        <w:instrText xml:space="preserve"> REF _Ref68613000 \r \h </w:instrText>
      </w:r>
      <w:r w:rsidR="00E06127">
        <w:fldChar w:fldCharType="separate"/>
      </w:r>
      <w:r w:rsidR="00F27525">
        <w:t>2.2</w:t>
      </w:r>
      <w:r w:rsidR="00E06127">
        <w:fldChar w:fldCharType="end"/>
      </w:r>
      <w:r w:rsidRPr="00322E7F">
        <w:t>, the</w:t>
      </w:r>
      <w:r>
        <w:t xml:space="preserve">re is an opportunity for the Program to </w:t>
      </w:r>
      <w:r w:rsidRPr="002F4112">
        <w:rPr>
          <w:lang w:val="en-US"/>
        </w:rPr>
        <w:t>engage with PHNs and professional bodies (</w:t>
      </w:r>
      <w:proofErr w:type="gramStart"/>
      <w:r w:rsidRPr="002F4112">
        <w:rPr>
          <w:lang w:val="en-US"/>
        </w:rPr>
        <w:t>e.g.</w:t>
      </w:r>
      <w:proofErr w:type="gramEnd"/>
      <w:r w:rsidRPr="002F4112">
        <w:rPr>
          <w:lang w:val="en-US"/>
        </w:rPr>
        <w:t xml:space="preserve"> RACGP and RACP) to promote a comprehensive set of educational materials which describe the NHMRC</w:t>
      </w:r>
      <w:r w:rsidR="009C4B4F">
        <w:rPr>
          <w:lang w:val="en-US"/>
        </w:rPr>
        <w:t>-</w:t>
      </w:r>
      <w:r w:rsidRPr="002F4112">
        <w:rPr>
          <w:lang w:val="en-US"/>
        </w:rPr>
        <w:t>approved clinical practice guidelines.</w:t>
      </w:r>
    </w:p>
    <w:p w14:paraId="1273F276" w14:textId="77777777" w:rsidR="0011675A" w:rsidRPr="00F678D8" w:rsidRDefault="0011675A" w:rsidP="000F06D0">
      <w:pPr>
        <w:spacing w:line="259" w:lineRule="auto"/>
      </w:pPr>
      <w:r w:rsidRPr="002F4112">
        <w:rPr>
          <w:b/>
          <w:bCs/>
        </w:rPr>
        <w:t>NGO advocacy groups.</w:t>
      </w:r>
      <w:r w:rsidRPr="00F678D8">
        <w:t xml:space="preserve"> Representatives from relevant bowel cancer related NGO advocacy groups are invited to participate in governance groups for special projects, where relevant and appropriate. </w:t>
      </w:r>
    </w:p>
    <w:p w14:paraId="667007A1" w14:textId="47194F90" w:rsidR="006A6A6F" w:rsidRDefault="0011675A" w:rsidP="000F06D0">
      <w:pPr>
        <w:spacing w:line="259" w:lineRule="auto"/>
      </w:pPr>
      <w:r w:rsidRPr="00F678D8">
        <w:t>As noted in section</w:t>
      </w:r>
      <w:r>
        <w:t xml:space="preserve"> </w:t>
      </w:r>
      <w:r>
        <w:fldChar w:fldCharType="begin"/>
      </w:r>
      <w:r>
        <w:instrText xml:space="preserve"> REF _Ref67847596 \r \h </w:instrText>
      </w:r>
      <w:r>
        <w:fldChar w:fldCharType="separate"/>
      </w:r>
      <w:r w:rsidR="00F27525">
        <w:t>4.2</w:t>
      </w:r>
      <w:r>
        <w:fldChar w:fldCharType="end"/>
      </w:r>
      <w:r w:rsidRPr="00F678D8">
        <w:t>, there is an opportunity to strengthen engagement with NGO advocacy groups to develop a consistent national message regarding bowel cancer screening. In addition, as noted in section</w:t>
      </w:r>
      <w:r>
        <w:t xml:space="preserve"> </w:t>
      </w:r>
      <w:r>
        <w:fldChar w:fldCharType="begin"/>
      </w:r>
      <w:r>
        <w:instrText xml:space="preserve"> REF _Ref68542088 \r \h </w:instrText>
      </w:r>
      <w:r>
        <w:fldChar w:fldCharType="separate"/>
      </w:r>
      <w:r w:rsidR="00F27525">
        <w:t>3.4</w:t>
      </w:r>
      <w:r>
        <w:fldChar w:fldCharType="end"/>
      </w:r>
      <w:r w:rsidRPr="00F678D8">
        <w:t>, improving visibility of participation in screening using other at-home kits operated by NGOs such a Bowel Cancer Australia, would support estimating a more accurate participation rate.</w:t>
      </w:r>
    </w:p>
    <w:p w14:paraId="115A5410" w14:textId="075118E0" w:rsidR="008F5DCD" w:rsidRPr="000C02F8" w:rsidRDefault="008615AD" w:rsidP="000F06D0">
      <w:pPr>
        <w:spacing w:line="259" w:lineRule="auto"/>
      </w:pPr>
      <w:r w:rsidRPr="002F4112">
        <w:rPr>
          <w:b/>
          <w:bCs/>
        </w:rPr>
        <w:t xml:space="preserve">Other government agencies. </w:t>
      </w:r>
      <w:r w:rsidRPr="00F5043B">
        <w:t xml:space="preserve">The Program is </w:t>
      </w:r>
      <w:r>
        <w:t>ena</w:t>
      </w:r>
      <w:r w:rsidRPr="00F5043B">
        <w:t>bled by support from other government agencies such as the AIHW and Australia Post.</w:t>
      </w:r>
      <w:r>
        <w:t xml:space="preserve"> As noted in section </w:t>
      </w:r>
      <w:r w:rsidR="00451D41">
        <w:fldChar w:fldCharType="begin"/>
      </w:r>
      <w:r w:rsidR="00451D41">
        <w:instrText xml:space="preserve"> REF _Ref67562575 \r \h </w:instrText>
      </w:r>
      <w:r w:rsidR="00451D41">
        <w:fldChar w:fldCharType="separate"/>
      </w:r>
      <w:r w:rsidR="00F27525">
        <w:t>3.1.2</w:t>
      </w:r>
      <w:r w:rsidR="00451D41">
        <w:fldChar w:fldCharType="end"/>
      </w:r>
      <w:r>
        <w:t xml:space="preserve">, the AIHW uses Program data to report against the Program’s endorsed KPIs in </w:t>
      </w:r>
      <w:r w:rsidR="00064910">
        <w:rPr>
          <w:lang w:val="en-US"/>
        </w:rPr>
        <w:t>A</w:t>
      </w:r>
      <w:r w:rsidR="00064910" w:rsidRPr="002F4112">
        <w:rPr>
          <w:lang w:val="en-US"/>
        </w:rPr>
        <w:t xml:space="preserve">nnual </w:t>
      </w:r>
      <w:r w:rsidRPr="002F4112">
        <w:rPr>
          <w:lang w:val="en-US"/>
        </w:rPr>
        <w:t>Monitoring Reports and engages in bespoke projects to address key Program areas of interest on an ad hoc basis. Australia Post has responsibility for delivering Program kits to invitees.</w:t>
      </w:r>
    </w:p>
    <w:p w14:paraId="081515A7" w14:textId="4A416C90" w:rsidR="00FD1CDA" w:rsidRDefault="002B35D0" w:rsidP="00330E7F">
      <w:pPr>
        <w:pStyle w:val="Heading2"/>
      </w:pPr>
      <w:bookmarkStart w:id="118" w:name="_Toc74219867"/>
      <w:bookmarkStart w:id="119" w:name="_Toc74219916"/>
      <w:bookmarkStart w:id="120" w:name="_Toc74219964"/>
      <w:bookmarkStart w:id="121" w:name="_Toc74220012"/>
      <w:bookmarkStart w:id="122" w:name="_Toc74219868"/>
      <w:bookmarkStart w:id="123" w:name="_Toc74219917"/>
      <w:bookmarkStart w:id="124" w:name="_Toc74219965"/>
      <w:bookmarkStart w:id="125" w:name="_Toc74220013"/>
      <w:bookmarkStart w:id="126" w:name="_Toc74219869"/>
      <w:bookmarkStart w:id="127" w:name="_Toc74219918"/>
      <w:bookmarkStart w:id="128" w:name="_Toc74219966"/>
      <w:bookmarkStart w:id="129" w:name="_Toc74220014"/>
      <w:bookmarkStart w:id="130" w:name="_Toc74219870"/>
      <w:bookmarkStart w:id="131" w:name="_Toc74219919"/>
      <w:bookmarkStart w:id="132" w:name="_Toc74219967"/>
      <w:bookmarkStart w:id="133" w:name="_Toc74220015"/>
      <w:bookmarkStart w:id="134" w:name="_Toc74219871"/>
      <w:bookmarkStart w:id="135" w:name="_Toc74219920"/>
      <w:bookmarkStart w:id="136" w:name="_Toc74219968"/>
      <w:bookmarkStart w:id="137" w:name="_Toc74220016"/>
      <w:bookmarkStart w:id="138" w:name="_Ref68542088"/>
      <w:bookmarkStart w:id="139" w:name="_Ref68596118"/>
      <w:bookmarkStart w:id="140" w:name="_Ref68613029"/>
      <w:bookmarkStart w:id="141" w:name="_Toc107837513"/>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r>
        <w:lastRenderedPageBreak/>
        <w:t xml:space="preserve">What are the key identified opportunities to improve </w:t>
      </w:r>
      <w:r w:rsidR="00116B4E">
        <w:t>governance and data collection</w:t>
      </w:r>
      <w:r>
        <w:t>?</w:t>
      </w:r>
      <w:bookmarkEnd w:id="138"/>
      <w:bookmarkEnd w:id="139"/>
      <w:bookmarkEnd w:id="140"/>
      <w:bookmarkEnd w:id="141"/>
    </w:p>
    <w:p w14:paraId="65FA837F" w14:textId="17A9A5EA" w:rsidR="0013057A" w:rsidRPr="0013057A" w:rsidRDefault="00C849D4" w:rsidP="0013057A">
      <w:pPr>
        <w:rPr>
          <w:lang w:val="en-US"/>
        </w:rPr>
      </w:pPr>
      <w:r>
        <w:rPr>
          <w:lang w:val="en-US"/>
        </w:rPr>
        <w:t xml:space="preserve">In reflecting on the key findings that emerged related to </w:t>
      </w:r>
      <w:r w:rsidR="002D22BF">
        <w:rPr>
          <w:lang w:val="en-US"/>
        </w:rPr>
        <w:t>P</w:t>
      </w:r>
      <w:r>
        <w:rPr>
          <w:lang w:val="en-US"/>
        </w:rPr>
        <w:t>rogram implementation, data collecti</w:t>
      </w:r>
      <w:r w:rsidR="00876E46">
        <w:rPr>
          <w:lang w:val="en-US"/>
        </w:rPr>
        <w:t>on</w:t>
      </w:r>
      <w:r>
        <w:rPr>
          <w:lang w:val="en-US"/>
        </w:rPr>
        <w:t xml:space="preserve"> and reporting </w:t>
      </w:r>
      <w:r w:rsidR="00876E46">
        <w:rPr>
          <w:lang w:val="en-US"/>
        </w:rPr>
        <w:t>mechanisms</w:t>
      </w:r>
      <w:r w:rsidR="009F6D87">
        <w:rPr>
          <w:lang w:val="en-US"/>
        </w:rPr>
        <w:t>,</w:t>
      </w:r>
      <w:r>
        <w:rPr>
          <w:lang w:val="en-US"/>
        </w:rPr>
        <w:t xml:space="preserve"> and the efficacy of governance </w:t>
      </w:r>
      <w:r w:rsidR="00876E46">
        <w:rPr>
          <w:lang w:val="en-US"/>
        </w:rPr>
        <w:t>structures, the following opportunities for Program enhancement were identified</w:t>
      </w:r>
      <w:r w:rsidR="00BD67FF">
        <w:rPr>
          <w:lang w:val="en-US"/>
        </w:rPr>
        <w:t>.</w:t>
      </w:r>
    </w:p>
    <w:p w14:paraId="034DCA2A" w14:textId="77777777" w:rsidR="00001908" w:rsidRPr="00881497" w:rsidRDefault="00001908" w:rsidP="00AD10DC">
      <w:pPr>
        <w:pStyle w:val="Heading3un-numbered"/>
      </w:pPr>
      <w:r w:rsidRPr="00881497">
        <w:t xml:space="preserve">Data </w:t>
      </w:r>
      <w:r w:rsidRPr="00AD10DC">
        <w:t>collection</w:t>
      </w:r>
    </w:p>
    <w:p w14:paraId="5A516108" w14:textId="7B8C1325" w:rsidR="00001908" w:rsidRDefault="00001908" w:rsidP="00001908">
      <w:pPr>
        <w:pStyle w:val="ListParagraph"/>
        <w:numPr>
          <w:ilvl w:val="0"/>
          <w:numId w:val="21"/>
        </w:numPr>
        <w:rPr>
          <w:b/>
          <w:bCs/>
        </w:rPr>
      </w:pPr>
      <w:r>
        <w:rPr>
          <w:b/>
          <w:bCs/>
        </w:rPr>
        <w:t>Reconvene a working group with the goal of prioritising initiatives to address data gaps and agree on any required changes to the endorsed set of KPIs.</w:t>
      </w:r>
    </w:p>
    <w:p w14:paraId="7F045D73" w14:textId="77777777" w:rsidR="00001908" w:rsidRDefault="00001908" w:rsidP="00001908">
      <w:pPr>
        <w:rPr>
          <w:lang w:val="en-US"/>
        </w:rPr>
      </w:pPr>
      <w:r>
        <w:rPr>
          <w:lang w:val="en-US"/>
        </w:rPr>
        <w:t>The Department should reconvene a working group with the goal of improving data collection and reporting against Program indicators. The purpose of this group should be two-fold:</w:t>
      </w:r>
    </w:p>
    <w:p w14:paraId="65820B0C" w14:textId="60B12F42" w:rsidR="00001908" w:rsidRDefault="00001908" w:rsidP="00001908">
      <w:pPr>
        <w:pStyle w:val="ListParagraph"/>
        <w:numPr>
          <w:ilvl w:val="0"/>
          <w:numId w:val="27"/>
        </w:numPr>
        <w:rPr>
          <w:lang w:val="en-US"/>
        </w:rPr>
      </w:pPr>
      <w:r w:rsidRPr="00A1502F">
        <w:rPr>
          <w:lang w:val="en-US"/>
        </w:rPr>
        <w:t>confirm an agreed revised set of KPIs</w:t>
      </w:r>
      <w:r w:rsidR="00360E4B">
        <w:rPr>
          <w:lang w:val="en-US"/>
        </w:rPr>
        <w:t xml:space="preserve"> and calculation approaches</w:t>
      </w:r>
      <w:r>
        <w:rPr>
          <w:lang w:val="en-US"/>
        </w:rPr>
        <w:t xml:space="preserve">, </w:t>
      </w:r>
      <w:r w:rsidR="001302FD">
        <w:rPr>
          <w:lang w:val="en-US"/>
        </w:rPr>
        <w:t xml:space="preserve">considering those </w:t>
      </w:r>
      <w:r w:rsidR="0075754D">
        <w:rPr>
          <w:lang w:val="en-US"/>
        </w:rPr>
        <w:t xml:space="preserve">outlined in section </w:t>
      </w:r>
      <w:r w:rsidR="0075754D">
        <w:rPr>
          <w:lang w:val="en-US"/>
        </w:rPr>
        <w:fldChar w:fldCharType="begin"/>
      </w:r>
      <w:r w:rsidR="0075754D">
        <w:rPr>
          <w:lang w:val="en-US"/>
        </w:rPr>
        <w:instrText xml:space="preserve"> REF _Ref67562575 \r \h </w:instrText>
      </w:r>
      <w:r w:rsidR="0075754D">
        <w:rPr>
          <w:lang w:val="en-US"/>
        </w:rPr>
      </w:r>
      <w:r w:rsidR="0075754D">
        <w:rPr>
          <w:lang w:val="en-US"/>
        </w:rPr>
        <w:fldChar w:fldCharType="separate"/>
      </w:r>
      <w:r w:rsidR="00F27525">
        <w:rPr>
          <w:lang w:val="en-US"/>
        </w:rPr>
        <w:t>3.1.2</w:t>
      </w:r>
      <w:r w:rsidR="0075754D">
        <w:rPr>
          <w:lang w:val="en-US"/>
        </w:rPr>
        <w:fldChar w:fldCharType="end"/>
      </w:r>
    </w:p>
    <w:p w14:paraId="48EEB861" w14:textId="29166D92" w:rsidR="00001908" w:rsidRDefault="00001908" w:rsidP="00001908">
      <w:pPr>
        <w:pStyle w:val="ListParagraph"/>
        <w:numPr>
          <w:ilvl w:val="0"/>
          <w:numId w:val="27"/>
        </w:numPr>
        <w:rPr>
          <w:lang w:val="en-US"/>
        </w:rPr>
      </w:pPr>
      <w:r w:rsidRPr="00A1502F">
        <w:rPr>
          <w:lang w:val="en-US"/>
        </w:rPr>
        <w:t>improv</w:t>
      </w:r>
      <w:r>
        <w:rPr>
          <w:lang w:val="en-US"/>
        </w:rPr>
        <w:t>e</w:t>
      </w:r>
      <w:r w:rsidRPr="00A1502F">
        <w:rPr>
          <w:lang w:val="en-US"/>
        </w:rPr>
        <w:t xml:space="preserve"> the feasibility of reporting against each indicator by </w:t>
      </w:r>
      <w:proofErr w:type="spellStart"/>
      <w:r w:rsidRPr="00A1502F">
        <w:rPr>
          <w:lang w:val="en-US"/>
        </w:rPr>
        <w:t>prioriti</w:t>
      </w:r>
      <w:r>
        <w:rPr>
          <w:lang w:val="en-US"/>
        </w:rPr>
        <w:t>s</w:t>
      </w:r>
      <w:r w:rsidRPr="00A1502F">
        <w:rPr>
          <w:lang w:val="en-US"/>
        </w:rPr>
        <w:t>ing</w:t>
      </w:r>
      <w:proofErr w:type="spellEnd"/>
      <w:r w:rsidRPr="00A1502F">
        <w:rPr>
          <w:lang w:val="en-US"/>
        </w:rPr>
        <w:t xml:space="preserve"> initiatives and/or dedicated resourcing to address data gaps</w:t>
      </w:r>
      <w:r>
        <w:rPr>
          <w:lang w:val="en-US"/>
        </w:rPr>
        <w:t>, such as data linkage or clinical interoperability</w:t>
      </w:r>
      <w:r w:rsidR="00C4183D">
        <w:rPr>
          <w:lang w:val="en-US"/>
        </w:rPr>
        <w:t>,</w:t>
      </w:r>
      <w:r>
        <w:rPr>
          <w:lang w:val="en-US"/>
        </w:rPr>
        <w:t xml:space="preserve"> </w:t>
      </w:r>
    </w:p>
    <w:p w14:paraId="09244618" w14:textId="77777777" w:rsidR="002B1219" w:rsidRPr="002B1219" w:rsidRDefault="00001908" w:rsidP="002B1219">
      <w:pPr>
        <w:pStyle w:val="ListParagraph"/>
        <w:ind w:left="360"/>
        <w:rPr>
          <w:lang w:val="en-US"/>
        </w:rPr>
      </w:pPr>
      <w:r>
        <w:rPr>
          <w:lang w:val="en-US"/>
        </w:rPr>
        <w:t>noting that a number of these initiatives would require detailed workplans and dedicated funding for the AIHW or Telstra Health.</w:t>
      </w:r>
    </w:p>
    <w:p w14:paraId="78704822" w14:textId="4430CD9E" w:rsidR="00AC62F6" w:rsidRPr="00F678D8" w:rsidRDefault="00001908" w:rsidP="00F678D8">
      <w:pPr>
        <w:rPr>
          <w:lang w:val="en-US"/>
        </w:rPr>
      </w:pPr>
      <w:r w:rsidRPr="007F0164">
        <w:rPr>
          <w:lang w:val="en-US"/>
        </w:rPr>
        <w:t xml:space="preserve">This group should be set-up over a medium to long term period, given the timeframes, effort and stakeholder engagement required to oversee initiatives to improve data quality and completeness. </w:t>
      </w:r>
      <w:r>
        <w:rPr>
          <w:lang w:val="en-US"/>
        </w:rPr>
        <w:t>The group should include representation from CAG, PDAG, AIHW, Telstra Health and as well custodians of relevant jurisdictional datasets (</w:t>
      </w:r>
      <w:proofErr w:type="gramStart"/>
      <w:r>
        <w:rPr>
          <w:lang w:val="en-US"/>
        </w:rPr>
        <w:t>e.g.</w:t>
      </w:r>
      <w:proofErr w:type="gramEnd"/>
      <w:r>
        <w:rPr>
          <w:lang w:val="en-US"/>
        </w:rPr>
        <w:t xml:space="preserve"> inpatient data or cancer registries).</w:t>
      </w:r>
      <w:r w:rsidR="00AC62F6">
        <w:rPr>
          <w:lang w:val="en-US"/>
        </w:rPr>
        <w:t xml:space="preserve"> </w:t>
      </w:r>
    </w:p>
    <w:p w14:paraId="0D3F8182" w14:textId="498B19F9" w:rsidR="00001908" w:rsidRDefault="00001908" w:rsidP="00001908">
      <w:pPr>
        <w:pStyle w:val="ListParagraph"/>
        <w:numPr>
          <w:ilvl w:val="0"/>
          <w:numId w:val="21"/>
        </w:numPr>
        <w:rPr>
          <w:b/>
          <w:bCs/>
        </w:rPr>
      </w:pPr>
      <w:r>
        <w:rPr>
          <w:b/>
          <w:bCs/>
        </w:rPr>
        <w:t xml:space="preserve">Improve visibility regarding the target population’s participation in other forms of bowel cancer screening. </w:t>
      </w:r>
    </w:p>
    <w:p w14:paraId="293221F7" w14:textId="4543342D" w:rsidR="00001908" w:rsidRPr="00001908" w:rsidRDefault="00001908" w:rsidP="00C849D4">
      <w:r>
        <w:t xml:space="preserve">The Department should aim to improve visibility regarding the extent to which the target population is undertaking other forms of screening (particularly via the use of other </w:t>
      </w:r>
      <w:proofErr w:type="spellStart"/>
      <w:r>
        <w:t>iFOBT</w:t>
      </w:r>
      <w:proofErr w:type="spellEnd"/>
      <w:r>
        <w:t xml:space="preserve"> kits). At present, the Program incurs a cost associated with unreturned kits, and the improper inclusion of invitees who have already engaged in other forms of screening reduces the reported participation rate. </w:t>
      </w:r>
    </w:p>
    <w:p w14:paraId="5ABCBE74" w14:textId="0355EE43" w:rsidR="008D0D84" w:rsidRPr="00AD10DC" w:rsidRDefault="008D0D84" w:rsidP="00AD10DC">
      <w:pPr>
        <w:pStyle w:val="Heading3un-numbered"/>
      </w:pPr>
      <w:r w:rsidRPr="00AD10DC">
        <w:t>Governance</w:t>
      </w:r>
    </w:p>
    <w:p w14:paraId="0D133D6A" w14:textId="53DBD927" w:rsidR="00E41B5F" w:rsidRPr="002568B8" w:rsidRDefault="008C0A55" w:rsidP="00886E63">
      <w:pPr>
        <w:pStyle w:val="ListParagraph"/>
        <w:numPr>
          <w:ilvl w:val="0"/>
          <w:numId w:val="21"/>
        </w:numPr>
        <w:rPr>
          <w:b/>
        </w:rPr>
      </w:pPr>
      <w:r>
        <w:rPr>
          <w:b/>
        </w:rPr>
        <w:t xml:space="preserve">Re-configure </w:t>
      </w:r>
      <w:r w:rsidR="0060735F" w:rsidRPr="002568B8">
        <w:rPr>
          <w:b/>
        </w:rPr>
        <w:t>PDAG to include</w:t>
      </w:r>
      <w:r w:rsidR="00505FB1" w:rsidRPr="002568B8">
        <w:rPr>
          <w:b/>
        </w:rPr>
        <w:t xml:space="preserve"> jurisdictional </w:t>
      </w:r>
      <w:r w:rsidR="00934E09" w:rsidRPr="002568B8">
        <w:rPr>
          <w:b/>
        </w:rPr>
        <w:t xml:space="preserve">representatives </w:t>
      </w:r>
      <w:r w:rsidR="00133D2B" w:rsidRPr="002568B8">
        <w:rPr>
          <w:b/>
        </w:rPr>
        <w:t>that</w:t>
      </w:r>
      <w:r w:rsidR="00934E09" w:rsidRPr="002568B8">
        <w:rPr>
          <w:b/>
        </w:rPr>
        <w:t xml:space="preserve"> </w:t>
      </w:r>
      <w:r w:rsidR="00636600">
        <w:rPr>
          <w:b/>
        </w:rPr>
        <w:t>can</w:t>
      </w:r>
      <w:r w:rsidR="003325E3" w:rsidRPr="002568B8">
        <w:rPr>
          <w:b/>
        </w:rPr>
        <w:t xml:space="preserve"> </w:t>
      </w:r>
      <w:r w:rsidR="008A562E" w:rsidRPr="002568B8">
        <w:rPr>
          <w:b/>
        </w:rPr>
        <w:t xml:space="preserve">provide </w:t>
      </w:r>
      <w:r w:rsidR="004106FE" w:rsidRPr="002568B8">
        <w:rPr>
          <w:b/>
        </w:rPr>
        <w:t xml:space="preserve">operational </w:t>
      </w:r>
      <w:r w:rsidR="008A562E" w:rsidRPr="002568B8">
        <w:rPr>
          <w:b/>
        </w:rPr>
        <w:t xml:space="preserve">advice on contextual </w:t>
      </w:r>
      <w:r w:rsidR="003770A6" w:rsidRPr="002568B8">
        <w:rPr>
          <w:b/>
        </w:rPr>
        <w:t>issues related</w:t>
      </w:r>
      <w:r w:rsidR="00C54197" w:rsidRPr="002568B8">
        <w:rPr>
          <w:b/>
        </w:rPr>
        <w:t xml:space="preserve"> to colonoscopy access.</w:t>
      </w:r>
    </w:p>
    <w:p w14:paraId="6D235659" w14:textId="5AF90ECA" w:rsidR="009E6C4F" w:rsidRPr="009E6C4F" w:rsidRDefault="00B07AD4" w:rsidP="009E6C4F">
      <w:r w:rsidRPr="002568B8">
        <w:t xml:space="preserve">Given the </w:t>
      </w:r>
      <w:r w:rsidR="00106C05" w:rsidRPr="002568B8">
        <w:t>critical role</w:t>
      </w:r>
      <w:r w:rsidR="00C75C28" w:rsidRPr="002568B8">
        <w:t xml:space="preserve"> of timely colonoscopy access to </w:t>
      </w:r>
      <w:r w:rsidR="00F73CBE" w:rsidRPr="002568B8">
        <w:t xml:space="preserve">the </w:t>
      </w:r>
      <w:r w:rsidR="00C75C28" w:rsidRPr="002568B8">
        <w:t>successful delivery of the Program</w:t>
      </w:r>
      <w:r w:rsidR="000E4BFA" w:rsidRPr="002568B8">
        <w:t xml:space="preserve">, it </w:t>
      </w:r>
      <w:r w:rsidR="00CB58C8">
        <w:t>may prove beneficial to include</w:t>
      </w:r>
      <w:r w:rsidR="003E2497" w:rsidRPr="002568B8">
        <w:t xml:space="preserve"> representation from jurisdiction</w:t>
      </w:r>
      <w:r w:rsidR="000D4912">
        <w:t>al colorectal departments</w:t>
      </w:r>
      <w:r w:rsidR="003A494B" w:rsidRPr="002568B8">
        <w:t xml:space="preserve"> </w:t>
      </w:r>
      <w:r w:rsidR="00846B2F" w:rsidRPr="002568B8">
        <w:t>on PDAG</w:t>
      </w:r>
      <w:r w:rsidR="00A95107" w:rsidRPr="002568B8">
        <w:t xml:space="preserve">. </w:t>
      </w:r>
      <w:r w:rsidR="00017BA4" w:rsidRPr="002568B8">
        <w:t>These representatives would be able to provide operational</w:t>
      </w:r>
      <w:r w:rsidR="00FA0599" w:rsidRPr="002568B8">
        <w:t xml:space="preserve"> </w:t>
      </w:r>
      <w:r w:rsidR="00EB4B17" w:rsidRPr="002568B8">
        <w:t xml:space="preserve">advice </w:t>
      </w:r>
      <w:r w:rsidR="00017BA4" w:rsidRPr="002568B8">
        <w:t>related to</w:t>
      </w:r>
      <w:r w:rsidR="00FA0599" w:rsidRPr="002568B8">
        <w:t xml:space="preserve"> contextual </w:t>
      </w:r>
      <w:r w:rsidR="00367485" w:rsidRPr="002568B8">
        <w:t xml:space="preserve">barriers </w:t>
      </w:r>
      <w:r w:rsidR="00127B65" w:rsidRPr="002568B8">
        <w:t xml:space="preserve">and </w:t>
      </w:r>
      <w:r w:rsidR="00EB4B17" w:rsidRPr="002568B8">
        <w:t>enablers</w:t>
      </w:r>
      <w:r w:rsidR="00017BA4" w:rsidRPr="002568B8">
        <w:t>.</w:t>
      </w:r>
      <w:r w:rsidR="00B274C4" w:rsidRPr="002568B8">
        <w:t xml:space="preserve"> </w:t>
      </w:r>
      <w:r w:rsidR="00B170F6">
        <w:t>In addition</w:t>
      </w:r>
      <w:r w:rsidR="00701877" w:rsidRPr="002568B8">
        <w:t xml:space="preserve">, </w:t>
      </w:r>
      <w:r w:rsidR="00CD5575" w:rsidRPr="002568B8">
        <w:t xml:space="preserve">it is envisioned that </w:t>
      </w:r>
      <w:r w:rsidR="00B170F6">
        <w:t>these</w:t>
      </w:r>
      <w:r w:rsidR="00701877" w:rsidRPr="002568B8">
        <w:t xml:space="preserve"> re</w:t>
      </w:r>
      <w:r w:rsidR="00505FE5" w:rsidRPr="002568B8">
        <w:t>presentative</w:t>
      </w:r>
      <w:r w:rsidR="00CB483E" w:rsidRPr="002568B8">
        <w:t>s</w:t>
      </w:r>
      <w:r w:rsidR="00505FE5" w:rsidRPr="002568B8">
        <w:t xml:space="preserve"> will </w:t>
      </w:r>
      <w:r w:rsidR="00CD5575" w:rsidRPr="002568B8">
        <w:t xml:space="preserve">play a key </w:t>
      </w:r>
      <w:r w:rsidR="00AD745B" w:rsidRPr="002568B8">
        <w:t xml:space="preserve">intermediary </w:t>
      </w:r>
      <w:r w:rsidR="00CD5575" w:rsidRPr="002568B8">
        <w:t xml:space="preserve">role in </w:t>
      </w:r>
      <w:r w:rsidR="006F0E2E" w:rsidRPr="002568B8">
        <w:t>relation to</w:t>
      </w:r>
      <w:r w:rsidR="00CD38D0" w:rsidRPr="002568B8">
        <w:t xml:space="preserve"> </w:t>
      </w:r>
      <w:r w:rsidR="0092518E" w:rsidRPr="002568B8">
        <w:t xml:space="preserve">pilot initiatives </w:t>
      </w:r>
      <w:r w:rsidR="00F06A95" w:rsidRPr="002568B8">
        <w:t xml:space="preserve">which </w:t>
      </w:r>
      <w:r w:rsidR="0092518E" w:rsidRPr="002568B8">
        <w:t xml:space="preserve">are trialled in </w:t>
      </w:r>
      <w:r w:rsidR="006F0E2E" w:rsidRPr="002568B8">
        <w:t xml:space="preserve">their states and </w:t>
      </w:r>
      <w:r w:rsidR="00F06A95" w:rsidRPr="002568B8">
        <w:t>territories</w:t>
      </w:r>
      <w:r w:rsidR="0092518E" w:rsidRPr="002568B8">
        <w:t>.</w:t>
      </w:r>
      <w:r w:rsidR="004C0ECF">
        <w:t xml:space="preserve"> </w:t>
      </w:r>
    </w:p>
    <w:p w14:paraId="7B3F33DF" w14:textId="77777777" w:rsidR="00F40F1C" w:rsidRPr="00F678D8" w:rsidRDefault="00F40F1C" w:rsidP="00F40F1C">
      <w:pPr>
        <w:pStyle w:val="ListParagraph"/>
        <w:numPr>
          <w:ilvl w:val="0"/>
          <w:numId w:val="21"/>
        </w:numPr>
        <w:rPr>
          <w:b/>
        </w:rPr>
      </w:pPr>
      <w:bookmarkStart w:id="142" w:name="_Hlk73886165"/>
      <w:r w:rsidRPr="00F678D8">
        <w:rPr>
          <w:b/>
        </w:rPr>
        <w:t>Promote the Program’s research priorities to external researchers.</w:t>
      </w:r>
    </w:p>
    <w:bookmarkEnd w:id="142"/>
    <w:p w14:paraId="7D37E664" w14:textId="3970E24D" w:rsidR="000900B2" w:rsidRPr="000900B2" w:rsidRDefault="000900B2" w:rsidP="00F678D8">
      <w:r w:rsidRPr="000900B2">
        <w:t>E</w:t>
      </w:r>
      <w:r w:rsidRPr="00403870">
        <w:t>xternal researchers should be encouraged to pursue research which is a priority</w:t>
      </w:r>
      <w:r w:rsidRPr="00D80B8D">
        <w:t xml:space="preserve"> </w:t>
      </w:r>
      <w:r w:rsidRPr="00D83A29">
        <w:t xml:space="preserve">of the Program. </w:t>
      </w:r>
      <w:r w:rsidRPr="000900B2">
        <w:t xml:space="preserve">Current Program-related priority research areas should include the pilot projects suggested in the review to improve participation (described further in section </w:t>
      </w:r>
      <w:r w:rsidRPr="004661C1">
        <w:fldChar w:fldCharType="begin"/>
      </w:r>
      <w:r w:rsidRPr="000900B2">
        <w:instrText xml:space="preserve"> REF _Ref67847596 \r \h  \* MERGEFORMAT </w:instrText>
      </w:r>
      <w:r w:rsidRPr="004661C1">
        <w:fldChar w:fldCharType="separate"/>
      </w:r>
      <w:r w:rsidR="00F27525">
        <w:t>4.2</w:t>
      </w:r>
      <w:r w:rsidRPr="004661C1">
        <w:fldChar w:fldCharType="end"/>
      </w:r>
      <w:r w:rsidRPr="000900B2">
        <w:t xml:space="preserve">) and opportunities to validate emerging overseas innovations related to quantitative </w:t>
      </w:r>
      <w:proofErr w:type="spellStart"/>
      <w:r w:rsidRPr="000900B2">
        <w:t>iFOBT</w:t>
      </w:r>
      <w:proofErr w:type="spellEnd"/>
      <w:r w:rsidRPr="000900B2">
        <w:t xml:space="preserve"> readings in the Australian context (described in section </w:t>
      </w:r>
      <w:r w:rsidRPr="004661C1">
        <w:fldChar w:fldCharType="begin"/>
      </w:r>
      <w:r w:rsidRPr="000900B2">
        <w:instrText xml:space="preserve"> REF _Ref67849594 \r \h  \* MERGEFORMAT </w:instrText>
      </w:r>
      <w:r w:rsidRPr="004661C1">
        <w:fldChar w:fldCharType="separate"/>
      </w:r>
      <w:r w:rsidR="00F27525">
        <w:t>2.2</w:t>
      </w:r>
      <w:r w:rsidRPr="004661C1">
        <w:fldChar w:fldCharType="end"/>
      </w:r>
      <w:r w:rsidRPr="000900B2">
        <w:t>).</w:t>
      </w:r>
    </w:p>
    <w:p w14:paraId="648E892E" w14:textId="77777777" w:rsidR="000900B2" w:rsidRPr="000900B2" w:rsidRDefault="000900B2" w:rsidP="00F678D8">
      <w:r w:rsidRPr="000900B2">
        <w:t>External researchers should be encouraged to seek grant opportunities through the NHMRC or elsewhere to address these research areas. To do this, the Department should promote the Program’s key research priorities and the Program data available to inform such research (</w:t>
      </w:r>
      <w:proofErr w:type="gramStart"/>
      <w:r w:rsidRPr="000900B2">
        <w:t>e.g.</w:t>
      </w:r>
      <w:proofErr w:type="gramEnd"/>
      <w:r w:rsidRPr="000900B2">
        <w:t xml:space="preserve"> in the NCSR) to academic organisations. External researchers can then develop research protocols and HREC submissions that align with the Program’s research objectives.</w:t>
      </w:r>
    </w:p>
    <w:p w14:paraId="4A1C4498" w14:textId="3ACD2A1F" w:rsidR="000900B2" w:rsidRPr="000900B2" w:rsidRDefault="000900B2" w:rsidP="00F678D8">
      <w:r w:rsidRPr="000900B2">
        <w:lastRenderedPageBreak/>
        <w:t>Where external researchers do pursue Program-related research, updates should be included as part of CAG meetings to allow the group to determine how the research outcomes could be translated into Program modifications.</w:t>
      </w:r>
    </w:p>
    <w:p w14:paraId="2BF7A743" w14:textId="2D0564E8" w:rsidR="00827ECA" w:rsidRPr="00F678D8" w:rsidRDefault="00827ECA" w:rsidP="00F678D8">
      <w:pPr>
        <w:pStyle w:val="ListParagraph"/>
        <w:numPr>
          <w:ilvl w:val="0"/>
          <w:numId w:val="21"/>
        </w:numPr>
        <w:rPr>
          <w:b/>
        </w:rPr>
      </w:pPr>
      <w:r w:rsidRPr="00F678D8">
        <w:rPr>
          <w:b/>
        </w:rPr>
        <w:t xml:space="preserve">Reset the working relationship with all </w:t>
      </w:r>
      <w:r w:rsidR="00947A70">
        <w:rPr>
          <w:b/>
        </w:rPr>
        <w:t>a</w:t>
      </w:r>
      <w:r w:rsidR="003D32B3">
        <w:rPr>
          <w:b/>
        </w:rPr>
        <w:t xml:space="preserve">dvisory </w:t>
      </w:r>
      <w:r w:rsidR="00947A70">
        <w:rPr>
          <w:b/>
        </w:rPr>
        <w:t>g</w:t>
      </w:r>
      <w:r w:rsidR="003D32B3">
        <w:rPr>
          <w:b/>
        </w:rPr>
        <w:t xml:space="preserve">roup </w:t>
      </w:r>
      <w:r w:rsidRPr="00F678D8">
        <w:rPr>
          <w:b/>
        </w:rPr>
        <w:t xml:space="preserve">stakeholders to ensure needs are being met </w:t>
      </w:r>
      <w:proofErr w:type="gramStart"/>
      <w:r w:rsidRPr="00F678D8">
        <w:rPr>
          <w:b/>
        </w:rPr>
        <w:t>in regard to</w:t>
      </w:r>
      <w:proofErr w:type="gramEnd"/>
      <w:r w:rsidRPr="00F678D8">
        <w:rPr>
          <w:b/>
        </w:rPr>
        <w:t xml:space="preserve"> the purpose of each group and expectations on information sharing. </w:t>
      </w:r>
    </w:p>
    <w:p w14:paraId="7AA9265D" w14:textId="009DC756" w:rsidR="00F73E6D" w:rsidRPr="0057278F" w:rsidRDefault="00DB2C63" w:rsidP="00F678D8">
      <w:r w:rsidRPr="00F678D8">
        <w:rPr>
          <w:lang w:val="en-US"/>
        </w:rPr>
        <w:t xml:space="preserve">This would enhance clarity on the status of key actions and the work </w:t>
      </w:r>
      <w:r w:rsidR="00D45168" w:rsidRPr="00F678D8">
        <w:rPr>
          <w:lang w:val="en-US"/>
        </w:rPr>
        <w:t xml:space="preserve">produced by </w:t>
      </w:r>
      <w:r w:rsidR="00947A70">
        <w:rPr>
          <w:lang w:val="en-US"/>
        </w:rPr>
        <w:t>advisory group functions</w:t>
      </w:r>
      <w:r w:rsidR="00D45168" w:rsidRPr="00F678D8">
        <w:rPr>
          <w:lang w:val="en-US"/>
        </w:rPr>
        <w:t xml:space="preserve"> and enhance </w:t>
      </w:r>
      <w:r w:rsidR="00D45168">
        <w:rPr>
          <w:lang w:val="en-US"/>
        </w:rPr>
        <w:t xml:space="preserve">the sense of partnership across and between </w:t>
      </w:r>
      <w:r w:rsidR="00CA5F48">
        <w:rPr>
          <w:lang w:val="en-US"/>
        </w:rPr>
        <w:t>all relevant stakeholders.</w:t>
      </w:r>
      <w:r w:rsidR="00F73E6D" w:rsidRPr="0057278F">
        <w:br w:type="page"/>
      </w:r>
    </w:p>
    <w:p w14:paraId="5A885ECB" w14:textId="5EB03C4B" w:rsidR="00FD1CDA" w:rsidRDefault="00F73E6D" w:rsidP="00F73E6D">
      <w:pPr>
        <w:pStyle w:val="Heading1"/>
      </w:pPr>
      <w:bookmarkStart w:id="143" w:name="_Awareness_and_adoption"/>
      <w:bookmarkStart w:id="144" w:name="_Toc107837514"/>
      <w:bookmarkEnd w:id="143"/>
      <w:r>
        <w:lastRenderedPageBreak/>
        <w:t>Awareness and adoption</w:t>
      </w:r>
      <w:bookmarkEnd w:id="144"/>
    </w:p>
    <w:p w14:paraId="39A5125E" w14:textId="77777777" w:rsidR="00395DA3" w:rsidRDefault="00395DA3" w:rsidP="00395DA3">
      <w:pPr>
        <w:pStyle w:val="Sectionintro"/>
      </w:pPr>
      <w:r>
        <w:t xml:space="preserve">This chapter addresses the extent to which consumers and clinicians are aware of, and have adopted, the Program. </w:t>
      </w:r>
    </w:p>
    <w:p w14:paraId="0C77B8B8" w14:textId="57D2F03D" w:rsidR="00021BC3" w:rsidRPr="00021BC3" w:rsidRDefault="009F5B8E" w:rsidP="00021BC3">
      <w:pPr>
        <w:pStyle w:val="Heading2"/>
      </w:pPr>
      <w:bookmarkStart w:id="145" w:name="_Toc66951771"/>
      <w:bookmarkStart w:id="146" w:name="_Toc107837515"/>
      <w:r w:rsidRPr="00AA62EB">
        <w:t>To what extent is the Program achieving participation levels that maximise the population benefit of early detection of bowel cancer in the target population (</w:t>
      </w:r>
      <w:proofErr w:type="gramStart"/>
      <w:r w:rsidRPr="00AA62EB">
        <w:t xml:space="preserve">50 to 74-year </w:t>
      </w:r>
      <w:proofErr w:type="spellStart"/>
      <w:r w:rsidRPr="00AA62EB">
        <w:t>olds</w:t>
      </w:r>
      <w:proofErr w:type="spellEnd"/>
      <w:proofErr w:type="gramEnd"/>
      <w:r w:rsidRPr="00AA62EB">
        <w:t>)?</w:t>
      </w:r>
      <w:bookmarkEnd w:id="145"/>
      <w:bookmarkEnd w:id="146"/>
    </w:p>
    <w:p w14:paraId="4C98C4B5" w14:textId="3FF4D4E8" w:rsidR="00157E6A" w:rsidRDefault="00157E6A" w:rsidP="00157E6A">
      <w:r>
        <w:t xml:space="preserve">This section outlines findings related to awareness of the Program, bowel cancer and the benefits of screening among the </w:t>
      </w:r>
      <w:r w:rsidR="00296398">
        <w:t xml:space="preserve">eligible </w:t>
      </w:r>
      <w:r>
        <w:t>population. It also explores trends in participation rates over time and concludes by considering the key drivers and barriers to participation across different sub-groups.</w:t>
      </w:r>
    </w:p>
    <w:p w14:paraId="6EDA6D1C" w14:textId="428482D4" w:rsidR="00157E6A" w:rsidRDefault="001B76BF" w:rsidP="001B76BF">
      <w:pPr>
        <w:pStyle w:val="Heading3"/>
      </w:pPr>
      <w:r>
        <w:t xml:space="preserve">Program awareness and among </w:t>
      </w:r>
      <w:r w:rsidR="00E33EB7">
        <w:t>consumers</w:t>
      </w:r>
    </w:p>
    <w:p w14:paraId="3E0DD841" w14:textId="0D1FC24C" w:rsidR="002423E0" w:rsidRPr="004E288D" w:rsidRDefault="002423E0" w:rsidP="002423E0">
      <w:pPr>
        <w:pStyle w:val="Heading4un-numbered"/>
        <w:rPr>
          <w:color w:val="012169" w:themeColor="accent4"/>
        </w:rPr>
      </w:pPr>
      <w:r>
        <w:rPr>
          <w:color w:val="012169" w:themeColor="accent4"/>
        </w:rPr>
        <w:t>There is a r</w:t>
      </w:r>
      <w:r w:rsidRPr="004E288D">
        <w:rPr>
          <w:color w:val="012169" w:themeColor="accent4"/>
        </w:rPr>
        <w:t>elatively strong degree of public awareness of the Program among consumers</w:t>
      </w:r>
      <w:r>
        <w:rPr>
          <w:color w:val="012169" w:themeColor="accent4"/>
        </w:rPr>
        <w:t xml:space="preserve">. However, awareness is </w:t>
      </w:r>
      <w:r w:rsidR="00255C07">
        <w:rPr>
          <w:color w:val="012169" w:themeColor="accent4"/>
        </w:rPr>
        <w:t>relatively low among people aged</w:t>
      </w:r>
      <w:r>
        <w:rPr>
          <w:color w:val="012169" w:themeColor="accent4"/>
        </w:rPr>
        <w:t xml:space="preserve"> 50</w:t>
      </w:r>
      <w:r w:rsidR="00255C07">
        <w:rPr>
          <w:color w:val="012169" w:themeColor="accent4"/>
        </w:rPr>
        <w:t xml:space="preserve"> to </w:t>
      </w:r>
      <w:r>
        <w:rPr>
          <w:color w:val="012169" w:themeColor="accent4"/>
        </w:rPr>
        <w:t>54</w:t>
      </w:r>
      <w:r w:rsidRPr="004E288D">
        <w:rPr>
          <w:color w:val="012169" w:themeColor="accent4"/>
        </w:rPr>
        <w:t>.</w:t>
      </w:r>
    </w:p>
    <w:p w14:paraId="113197CC" w14:textId="1F5AF011" w:rsidR="003B7359" w:rsidRPr="00CF5620" w:rsidRDefault="003B7359" w:rsidP="003B7359">
      <w:r>
        <w:t>The consumer survey showed that</w:t>
      </w:r>
      <w:r w:rsidRPr="00CF5620">
        <w:t xml:space="preserve"> </w:t>
      </w:r>
      <w:r>
        <w:t xml:space="preserve">approximately 92 per cent of Australians aged 50 to 74 years </w:t>
      </w:r>
      <w:r w:rsidR="00CB664D">
        <w:t>were</w:t>
      </w:r>
      <w:r>
        <w:t xml:space="preserve"> aware of the NBCSP in 2020. Awareness </w:t>
      </w:r>
      <w:r w:rsidR="00F8119D">
        <w:t xml:space="preserve">was </w:t>
      </w:r>
      <w:r>
        <w:t xml:space="preserve">higher in cohorts that are more </w:t>
      </w:r>
      <w:r w:rsidR="00743AE0">
        <w:t>health conscious</w:t>
      </w:r>
      <w:r>
        <w:t xml:space="preserve">, </w:t>
      </w:r>
      <w:r w:rsidR="00393EB7">
        <w:t>based on</w:t>
      </w:r>
      <w:r w:rsidR="002A1EE1">
        <w:t xml:space="preserve"> factors such as</w:t>
      </w:r>
      <w:r w:rsidR="00743AE0">
        <w:t xml:space="preserve"> </w:t>
      </w:r>
      <w:r w:rsidR="00393EB7">
        <w:t>likelihood</w:t>
      </w:r>
      <w:r>
        <w:t xml:space="preserve"> to visit a GP for general check-ups as well as general health </w:t>
      </w:r>
      <w:r w:rsidR="00030D33">
        <w:t>behaviours</w:t>
      </w:r>
      <w:r>
        <w:t>, such as smoking.</w:t>
      </w:r>
      <w:r w:rsidR="00844A63">
        <w:t xml:space="preserve"> A</w:t>
      </w:r>
      <w:r w:rsidR="00007A3C">
        <w:t xml:space="preserve">wareness </w:t>
      </w:r>
      <w:r w:rsidR="00844A63">
        <w:t>was lower in</w:t>
      </w:r>
      <w:r w:rsidR="00007A3C">
        <w:t xml:space="preserve"> </w:t>
      </w:r>
      <w:r w:rsidR="00844A63">
        <w:t>people from</w:t>
      </w:r>
      <w:r>
        <w:t xml:space="preserve"> CALD </w:t>
      </w:r>
      <w:r w:rsidR="00B11357">
        <w:t xml:space="preserve">backgrounds </w:t>
      </w:r>
      <w:r>
        <w:t xml:space="preserve">and low socioeconomic </w:t>
      </w:r>
      <w:r w:rsidR="00A32AA1">
        <w:t>status</w:t>
      </w:r>
      <w:r>
        <w:t xml:space="preserve">. Further, awareness was approximately five percentage points lower for people aged 50 to 54 years </w:t>
      </w:r>
      <w:r w:rsidR="008C3C31">
        <w:t>compared to</w:t>
      </w:r>
      <w:r>
        <w:t xml:space="preserve"> </w:t>
      </w:r>
      <w:r w:rsidR="008C3C31">
        <w:t>people 55 or older</w:t>
      </w:r>
      <w:r>
        <w:t xml:space="preserve"> (</w:t>
      </w:r>
      <w:r w:rsidR="00712635">
        <w:t xml:space="preserve">see </w:t>
      </w:r>
      <w:r w:rsidR="00913790">
        <w:fldChar w:fldCharType="begin"/>
      </w:r>
      <w:r w:rsidR="00913790">
        <w:instrText xml:space="preserve"> REF _Ref67571901 \r \h </w:instrText>
      </w:r>
      <w:r w:rsidR="00913790">
        <w:fldChar w:fldCharType="separate"/>
      </w:r>
      <w:r w:rsidR="00F27525">
        <w:t>Chart 4.1</w:t>
      </w:r>
      <w:r w:rsidR="00913790">
        <w:fldChar w:fldCharType="end"/>
      </w:r>
      <w:r w:rsidR="00913790">
        <w:t>).</w:t>
      </w:r>
      <w:r>
        <w:t xml:space="preserve"> </w:t>
      </w:r>
    </w:p>
    <w:p w14:paraId="58B8A138" w14:textId="7830E0C3" w:rsidR="002423E0" w:rsidRPr="002423E0" w:rsidRDefault="008713DA" w:rsidP="002F6AF9">
      <w:pPr>
        <w:pStyle w:val="CaptionChart"/>
      </w:pPr>
      <w:bookmarkStart w:id="147" w:name="_Ref67571901"/>
      <w:r>
        <w:t>: Consumer survey: ‘</w:t>
      </w:r>
      <w:r w:rsidR="00C73468">
        <w:t>Before today, had you heard of the National Bowel cancer Screening Program?’, percentage by age group</w:t>
      </w:r>
      <w:bookmarkEnd w:id="147"/>
    </w:p>
    <w:p w14:paraId="16E893AC" w14:textId="77777777" w:rsidR="00F92C4F" w:rsidRDefault="00F92C4F" w:rsidP="00B25076">
      <w:pPr>
        <w:pStyle w:val="NoSpacing"/>
      </w:pPr>
      <w:r w:rsidRPr="00F703AF">
        <w:rPr>
          <w:noProof/>
          <w:lang w:eastAsia="en-AU"/>
        </w:rPr>
        <w:drawing>
          <wp:inline distT="0" distB="0" distL="0" distR="0" wp14:anchorId="39436847" wp14:editId="695ACE41">
            <wp:extent cx="5696465" cy="2627184"/>
            <wp:effectExtent l="0" t="0" r="0" b="0"/>
            <wp:docPr id="27" name="Picture 27" descr="Chart showing who has knowledge of the National Nowel cancer screening program over percentage of population over age of eligible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hart showing who has knowledge of the National Nowel cancer screening program over percentage of population over age of eligible population"/>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698140" cy="2627957"/>
                    </a:xfrm>
                    <a:prstGeom prst="rect">
                      <a:avLst/>
                    </a:prstGeom>
                    <a:noFill/>
                    <a:ln>
                      <a:noFill/>
                    </a:ln>
                  </pic:spPr>
                </pic:pic>
              </a:graphicData>
            </a:graphic>
          </wp:inline>
        </w:drawing>
      </w:r>
    </w:p>
    <w:p w14:paraId="3B75A248" w14:textId="59B9B6B5" w:rsidR="00EC6F72" w:rsidRDefault="00EC6F72" w:rsidP="00815EA5">
      <w:pPr>
        <w:pStyle w:val="Sources"/>
        <w:spacing w:after="0" w:line="0" w:lineRule="atLeast"/>
      </w:pPr>
      <w:r w:rsidRPr="00BE365A">
        <w:t>Note:</w:t>
      </w:r>
      <w:r w:rsidR="00A91672" w:rsidRPr="00BE365A">
        <w:t xml:space="preserve"> Shading represents </w:t>
      </w:r>
      <w:r w:rsidR="00233751" w:rsidRPr="00BE365A">
        <w:t>a 95</w:t>
      </w:r>
      <w:r w:rsidR="00D72794">
        <w:t xml:space="preserve"> per cent</w:t>
      </w:r>
      <w:r w:rsidR="00233751" w:rsidRPr="00BE365A">
        <w:t xml:space="preserve"> confidence interval.</w:t>
      </w:r>
    </w:p>
    <w:p w14:paraId="5CDF250A" w14:textId="0D7B5E57" w:rsidR="00F05A0A" w:rsidRPr="007E0C0D" w:rsidRDefault="00F05A0A" w:rsidP="00815EA5">
      <w:pPr>
        <w:pStyle w:val="Sources"/>
        <w:spacing w:line="0" w:lineRule="atLeast"/>
      </w:pPr>
      <w:r w:rsidRPr="00DE5647">
        <w:t xml:space="preserve">Source: </w:t>
      </w:r>
      <w:r>
        <w:t>Deloitte Access Economic</w:t>
      </w:r>
      <w:r w:rsidR="00416269">
        <w:t>s</w:t>
      </w:r>
      <w:r>
        <w:t xml:space="preserve"> NBCSP Consumer Survey, 2020</w:t>
      </w:r>
      <w:r w:rsidR="0050228B">
        <w:t>.</w:t>
      </w:r>
    </w:p>
    <w:p w14:paraId="3F48D12A" w14:textId="4E82BAE1" w:rsidR="00D62C3C" w:rsidRDefault="00203D2F" w:rsidP="00D62C3C">
      <w:pPr>
        <w:pStyle w:val="ListBullet"/>
        <w:numPr>
          <w:ilvl w:val="0"/>
          <w:numId w:val="0"/>
        </w:numPr>
        <w:rPr>
          <w:szCs w:val="18"/>
        </w:rPr>
      </w:pPr>
      <w:r w:rsidRPr="00F07A47">
        <w:rPr>
          <w:szCs w:val="18"/>
        </w:rPr>
        <w:t xml:space="preserve">Stakeholders consulted agreed that there is good awareness of the Program among the public, however </w:t>
      </w:r>
      <w:r w:rsidR="009962A3" w:rsidRPr="00D62C3C">
        <w:rPr>
          <w:szCs w:val="18"/>
        </w:rPr>
        <w:t>it was noted that</w:t>
      </w:r>
      <w:r w:rsidRPr="00F07A47">
        <w:rPr>
          <w:szCs w:val="18"/>
        </w:rPr>
        <w:t xml:space="preserve"> poor transparency on key Program updates/changes can contribute to confusion regarding the scope and timing of kit distribution. </w:t>
      </w:r>
      <w:r w:rsidR="009962A3" w:rsidRPr="00F07A47">
        <w:rPr>
          <w:szCs w:val="18"/>
        </w:rPr>
        <w:t xml:space="preserve">Examples cited included </w:t>
      </w:r>
      <w:r w:rsidR="00F07A47" w:rsidRPr="00F07A47">
        <w:rPr>
          <w:szCs w:val="18"/>
        </w:rPr>
        <w:t>the shift from a strict biennial</w:t>
      </w:r>
      <w:r w:rsidR="0032687F">
        <w:rPr>
          <w:szCs w:val="18"/>
        </w:rPr>
        <w:t xml:space="preserve"> kit distribution</w:t>
      </w:r>
      <w:r w:rsidR="00F07A47" w:rsidRPr="00F07A47">
        <w:rPr>
          <w:szCs w:val="18"/>
        </w:rPr>
        <w:t xml:space="preserve"> interval </w:t>
      </w:r>
      <w:r w:rsidR="00BA41D9">
        <w:rPr>
          <w:szCs w:val="18"/>
        </w:rPr>
        <w:t xml:space="preserve">based on birth date </w:t>
      </w:r>
      <w:r w:rsidR="00F07A47" w:rsidRPr="00F07A47">
        <w:rPr>
          <w:szCs w:val="18"/>
        </w:rPr>
        <w:t>to two years after</w:t>
      </w:r>
      <w:r w:rsidR="0032687F">
        <w:rPr>
          <w:szCs w:val="18"/>
        </w:rPr>
        <w:t xml:space="preserve"> an</w:t>
      </w:r>
      <w:r w:rsidR="00F07A47" w:rsidRPr="00F07A47">
        <w:rPr>
          <w:szCs w:val="18"/>
        </w:rPr>
        <w:t xml:space="preserve"> individual completed their previous test</w:t>
      </w:r>
      <w:r w:rsidR="00D62C3C">
        <w:rPr>
          <w:szCs w:val="18"/>
        </w:rPr>
        <w:t xml:space="preserve">, as well as </w:t>
      </w:r>
      <w:r w:rsidR="00BA41D9">
        <w:rPr>
          <w:szCs w:val="18"/>
        </w:rPr>
        <w:t>the</w:t>
      </w:r>
      <w:r w:rsidR="00D62C3C">
        <w:rPr>
          <w:szCs w:val="18"/>
        </w:rPr>
        <w:t xml:space="preserve"> </w:t>
      </w:r>
      <w:r w:rsidR="00D62C3C" w:rsidRPr="00D62C3C">
        <w:rPr>
          <w:szCs w:val="18"/>
        </w:rPr>
        <w:t>hot zone policy affect</w:t>
      </w:r>
      <w:r w:rsidR="00BA41D9">
        <w:rPr>
          <w:szCs w:val="18"/>
        </w:rPr>
        <w:t>ing</w:t>
      </w:r>
      <w:r w:rsidR="00D62C3C" w:rsidRPr="00D62C3C">
        <w:rPr>
          <w:szCs w:val="18"/>
        </w:rPr>
        <w:t xml:space="preserve"> kit </w:t>
      </w:r>
      <w:r w:rsidR="00BA41D9">
        <w:rPr>
          <w:szCs w:val="18"/>
        </w:rPr>
        <w:t>distribution timing in some</w:t>
      </w:r>
      <w:r w:rsidR="00D62C3C" w:rsidRPr="00D62C3C">
        <w:rPr>
          <w:szCs w:val="18"/>
        </w:rPr>
        <w:t xml:space="preserve"> areas</w:t>
      </w:r>
      <w:r w:rsidR="00D62C3C">
        <w:rPr>
          <w:szCs w:val="18"/>
        </w:rPr>
        <w:t>.</w:t>
      </w:r>
    </w:p>
    <w:p w14:paraId="2B97831C" w14:textId="3C44FE29" w:rsidR="005D78E4" w:rsidRPr="00202835" w:rsidRDefault="005D78E4" w:rsidP="00202835">
      <w:pPr>
        <w:spacing w:after="0"/>
        <w:rPr>
          <w:b/>
          <w:bCs/>
          <w:color w:val="012169" w:themeColor="accent4"/>
        </w:rPr>
      </w:pPr>
      <w:r w:rsidRPr="00202835">
        <w:rPr>
          <w:b/>
          <w:bCs/>
          <w:color w:val="012169" w:themeColor="accent4"/>
        </w:rPr>
        <w:t xml:space="preserve">The understanding of personal cancer risk and the benefits of bowel cancer screening </w:t>
      </w:r>
      <w:r w:rsidR="00EE0115" w:rsidRPr="00202835">
        <w:rPr>
          <w:b/>
          <w:bCs/>
          <w:color w:val="012169" w:themeColor="accent4"/>
        </w:rPr>
        <w:t>varies by population sub-group.</w:t>
      </w:r>
    </w:p>
    <w:p w14:paraId="6E8D8915" w14:textId="05806142" w:rsidR="005D78E4" w:rsidRDefault="006516C4" w:rsidP="005D78E4">
      <w:r>
        <w:lastRenderedPageBreak/>
        <w:t xml:space="preserve">Evidence in the literature </w:t>
      </w:r>
      <w:r w:rsidR="005D78E4">
        <w:t>shows that people may underestimate their risk of d</w:t>
      </w:r>
      <w:bookmarkStart w:id="148" w:name="_Hlk66784369"/>
      <w:r w:rsidR="005D78E4">
        <w:t>evelo</w:t>
      </w:r>
      <w:bookmarkEnd w:id="148"/>
      <w:r w:rsidR="005D78E4">
        <w:t>ping cancer, which can reduce the perceived benefits of participating in screening.</w:t>
      </w:r>
      <w:r w:rsidR="005D78E4">
        <w:rPr>
          <w:rStyle w:val="EndnoteReference"/>
        </w:rPr>
        <w:endnoteReference w:id="70"/>
      </w:r>
      <w:r w:rsidR="005D78E4" w:rsidRPr="000A6151">
        <w:t xml:space="preserve"> </w:t>
      </w:r>
      <w:r w:rsidR="005D78E4">
        <w:t xml:space="preserve">The findings from the consumer survey </w:t>
      </w:r>
      <w:r w:rsidR="001B12F6">
        <w:t>support this finding</w:t>
      </w:r>
      <w:r w:rsidR="005D78E4">
        <w:t xml:space="preserve">, showing </w:t>
      </w:r>
      <w:r w:rsidR="004C6DB3">
        <w:t xml:space="preserve">that population groups </w:t>
      </w:r>
      <w:r w:rsidR="00912A1F">
        <w:t xml:space="preserve">with low NBCSP participation rates were </w:t>
      </w:r>
      <w:r w:rsidR="00894A67">
        <w:t>less likely to agree with statements</w:t>
      </w:r>
      <w:r w:rsidR="008517DD">
        <w:t xml:space="preserve"> s</w:t>
      </w:r>
      <w:r w:rsidR="00894A67">
        <w:t>uch as: ‘</w:t>
      </w:r>
      <w:r w:rsidR="0047311D">
        <w:t xml:space="preserve">people who have never been </w:t>
      </w:r>
      <w:r w:rsidR="008517DD">
        <w:t>diagnosed</w:t>
      </w:r>
      <w:r w:rsidR="0047311D">
        <w:t xml:space="preserve"> </w:t>
      </w:r>
      <w:r w:rsidR="00522D7E">
        <w:t xml:space="preserve">with bowel cancer should </w:t>
      </w:r>
      <w:r w:rsidR="008517DD">
        <w:t>participate in screening’</w:t>
      </w:r>
      <w:r w:rsidR="005D78E4">
        <w:t xml:space="preserve"> (</w:t>
      </w:r>
      <w:r w:rsidR="00A51229">
        <w:fldChar w:fldCharType="begin"/>
      </w:r>
      <w:r w:rsidR="00A51229">
        <w:instrText xml:space="preserve"> REF _Ref67594235 \r \h </w:instrText>
      </w:r>
      <w:r w:rsidR="00A51229">
        <w:fldChar w:fldCharType="separate"/>
      </w:r>
      <w:r w:rsidR="00F27525">
        <w:t>Chart 4.2</w:t>
      </w:r>
      <w:r w:rsidR="00A51229">
        <w:fldChar w:fldCharType="end"/>
      </w:r>
      <w:r w:rsidR="00C72205">
        <w:t>).</w:t>
      </w:r>
    </w:p>
    <w:p w14:paraId="526C17D5" w14:textId="38DA35AA" w:rsidR="00F07A47" w:rsidRDefault="00FC5CF9" w:rsidP="002F6AF9">
      <w:pPr>
        <w:pStyle w:val="CaptionChart"/>
      </w:pPr>
      <w:bookmarkStart w:id="149" w:name="_Ref67594235"/>
      <w:r>
        <w:t xml:space="preserve">: </w:t>
      </w:r>
      <w:r w:rsidR="00B6786B">
        <w:t>Consumer</w:t>
      </w:r>
      <w:r w:rsidR="00254F43">
        <w:t xml:space="preserve"> survey: agreement </w:t>
      </w:r>
      <w:r w:rsidR="00B6786B">
        <w:t xml:space="preserve">with statements related to cancer risk, percentage by </w:t>
      </w:r>
      <w:r w:rsidR="00C90ADD">
        <w:t>population group</w:t>
      </w:r>
      <w:bookmarkEnd w:id="149"/>
    </w:p>
    <w:p w14:paraId="70B0F96C" w14:textId="66EC3115" w:rsidR="00C90ADD" w:rsidRPr="00C90ADD" w:rsidRDefault="0050228B" w:rsidP="00C90ADD">
      <w:r w:rsidRPr="00C32676">
        <w:rPr>
          <w:noProof/>
          <w:lang w:eastAsia="en-AU"/>
        </w:rPr>
        <w:drawing>
          <wp:inline distT="0" distB="0" distL="0" distR="0" wp14:anchorId="0E23EC17" wp14:editId="0651CDCD">
            <wp:extent cx="5731510" cy="3024505"/>
            <wp:effectExtent l="0" t="0" r="2540" b="4445"/>
            <wp:docPr id="43" name="Picture 43" descr="Chart showing results from a consumer survey. Agreement with statements related to cancer risk, percentage by population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Chart showing results from a consumer survey. Agreement with statements related to cancer risk, percentage by population group"/>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31510" cy="3024505"/>
                    </a:xfrm>
                    <a:prstGeom prst="rect">
                      <a:avLst/>
                    </a:prstGeom>
                    <a:noFill/>
                    <a:ln>
                      <a:noFill/>
                    </a:ln>
                  </pic:spPr>
                </pic:pic>
              </a:graphicData>
            </a:graphic>
          </wp:inline>
        </w:drawing>
      </w:r>
    </w:p>
    <w:p w14:paraId="724CC8A5" w14:textId="79A72311" w:rsidR="0050228B" w:rsidRPr="007E0C0D" w:rsidRDefault="0050228B" w:rsidP="0050228B">
      <w:pPr>
        <w:pStyle w:val="Sources"/>
      </w:pPr>
      <w:r w:rsidRPr="00DE5647">
        <w:t xml:space="preserve">Source: </w:t>
      </w:r>
      <w:r>
        <w:t>Deloitte Access Economic</w:t>
      </w:r>
      <w:r w:rsidR="00137C57">
        <w:t>s</w:t>
      </w:r>
      <w:r>
        <w:t xml:space="preserve"> NBCSP Consumer Survey, 2020.</w:t>
      </w:r>
    </w:p>
    <w:p w14:paraId="2A05EE1A" w14:textId="1E96FF12" w:rsidR="000A30FC" w:rsidRDefault="00E33EB7" w:rsidP="00943FFB">
      <w:pPr>
        <w:pStyle w:val="Heading3"/>
      </w:pPr>
      <w:r>
        <w:t>Program awareness among clinicians</w:t>
      </w:r>
    </w:p>
    <w:p w14:paraId="14F05E66" w14:textId="2E9897A2" w:rsidR="00BB66C9" w:rsidRDefault="007E006C" w:rsidP="00A85E18">
      <w:pPr>
        <w:pStyle w:val="Heading4un-numbered"/>
        <w:rPr>
          <w:color w:val="012169" w:themeColor="accent4"/>
        </w:rPr>
      </w:pPr>
      <w:r>
        <w:rPr>
          <w:color w:val="012169" w:themeColor="accent4"/>
        </w:rPr>
        <w:t xml:space="preserve">There is </w:t>
      </w:r>
      <w:r w:rsidR="006D16E3">
        <w:rPr>
          <w:color w:val="012169" w:themeColor="accent4"/>
        </w:rPr>
        <w:t xml:space="preserve">a </w:t>
      </w:r>
      <w:r>
        <w:rPr>
          <w:color w:val="012169" w:themeColor="accent4"/>
        </w:rPr>
        <w:t>r</w:t>
      </w:r>
      <w:r w:rsidR="00A85E18" w:rsidRPr="004E288D">
        <w:rPr>
          <w:color w:val="012169" w:themeColor="accent4"/>
        </w:rPr>
        <w:t xml:space="preserve">elatively strong </w:t>
      </w:r>
      <w:r w:rsidR="006D16E3">
        <w:rPr>
          <w:color w:val="012169" w:themeColor="accent4"/>
        </w:rPr>
        <w:t xml:space="preserve">degree of </w:t>
      </w:r>
      <w:r w:rsidR="00A85E18" w:rsidRPr="004E288D">
        <w:rPr>
          <w:color w:val="012169" w:themeColor="accent4"/>
        </w:rPr>
        <w:t xml:space="preserve">understanding of the </w:t>
      </w:r>
      <w:r w:rsidR="0086787A">
        <w:rPr>
          <w:color w:val="012169" w:themeColor="accent4"/>
        </w:rPr>
        <w:t>Program</w:t>
      </w:r>
      <w:r w:rsidR="00A85E18" w:rsidRPr="004E288D">
        <w:rPr>
          <w:color w:val="012169" w:themeColor="accent4"/>
        </w:rPr>
        <w:t xml:space="preserve"> among </w:t>
      </w:r>
      <w:r w:rsidR="009F1824">
        <w:rPr>
          <w:color w:val="012169" w:themeColor="accent4"/>
        </w:rPr>
        <w:t>respondents to the clinician survey</w:t>
      </w:r>
      <w:r w:rsidR="00A85E18" w:rsidRPr="004E288D">
        <w:rPr>
          <w:color w:val="012169" w:themeColor="accent4"/>
        </w:rPr>
        <w:t xml:space="preserve">, however understanding of the screening </w:t>
      </w:r>
      <w:r w:rsidR="002240DA">
        <w:rPr>
          <w:color w:val="012169" w:themeColor="accent4"/>
        </w:rPr>
        <w:t xml:space="preserve">interval </w:t>
      </w:r>
      <w:r w:rsidR="00A85E18" w:rsidRPr="004E288D">
        <w:rPr>
          <w:color w:val="012169" w:themeColor="accent4"/>
        </w:rPr>
        <w:t xml:space="preserve">is mixed. </w:t>
      </w:r>
    </w:p>
    <w:p w14:paraId="192F8580" w14:textId="10435C6A" w:rsidR="00BB66C9" w:rsidRDefault="00BC7575" w:rsidP="00BB66C9">
      <w:pPr>
        <w:rPr>
          <w:color w:val="000000" w:themeColor="text1"/>
        </w:rPr>
      </w:pPr>
      <w:r>
        <w:rPr>
          <w:color w:val="000000" w:themeColor="text1"/>
        </w:rPr>
        <w:t xml:space="preserve">Of the </w:t>
      </w:r>
      <w:r w:rsidR="00A51108">
        <w:rPr>
          <w:color w:val="000000" w:themeColor="text1"/>
        </w:rPr>
        <w:t>respondents</w:t>
      </w:r>
      <w:r>
        <w:rPr>
          <w:color w:val="000000" w:themeColor="text1"/>
        </w:rPr>
        <w:t xml:space="preserve"> to the clinician survey</w:t>
      </w:r>
      <w:r w:rsidR="00A51108">
        <w:rPr>
          <w:color w:val="000000" w:themeColor="text1"/>
        </w:rPr>
        <w:t>,</w:t>
      </w:r>
      <w:r>
        <w:rPr>
          <w:color w:val="000000" w:themeColor="text1"/>
        </w:rPr>
        <w:t xml:space="preserve"> 71 per cent agreed that had a very good understanding of the Program</w:t>
      </w:r>
      <w:r w:rsidR="009618E9">
        <w:rPr>
          <w:color w:val="000000" w:themeColor="text1"/>
        </w:rPr>
        <w:t>.</w:t>
      </w:r>
      <w:r w:rsidR="00202E7C">
        <w:rPr>
          <w:rStyle w:val="FootnoteReference"/>
          <w:color w:val="000000" w:themeColor="text1"/>
        </w:rPr>
        <w:footnoteReference w:id="18"/>
      </w:r>
      <w:r w:rsidR="009618E9">
        <w:rPr>
          <w:color w:val="000000" w:themeColor="text1"/>
        </w:rPr>
        <w:t xml:space="preserve"> This was supported by insights gleaned from consultation</w:t>
      </w:r>
      <w:r w:rsidR="009F6497">
        <w:rPr>
          <w:color w:val="000000" w:themeColor="text1"/>
        </w:rPr>
        <w:t>s</w:t>
      </w:r>
      <w:r w:rsidR="009618E9">
        <w:rPr>
          <w:color w:val="000000" w:themeColor="text1"/>
        </w:rPr>
        <w:t xml:space="preserve"> which indicated good p</w:t>
      </w:r>
      <w:r w:rsidR="009F6497">
        <w:rPr>
          <w:color w:val="000000" w:themeColor="text1"/>
        </w:rPr>
        <w:t>ractitioner</w:t>
      </w:r>
      <w:r w:rsidR="009618E9">
        <w:rPr>
          <w:color w:val="000000" w:themeColor="text1"/>
        </w:rPr>
        <w:t xml:space="preserve"> awareness of the </w:t>
      </w:r>
      <w:r w:rsidR="00BB2A41">
        <w:rPr>
          <w:color w:val="000000" w:themeColor="text1"/>
        </w:rPr>
        <w:t>Program;</w:t>
      </w:r>
      <w:r w:rsidR="009618E9">
        <w:rPr>
          <w:color w:val="000000" w:themeColor="text1"/>
        </w:rPr>
        <w:t xml:space="preserve"> </w:t>
      </w:r>
      <w:r w:rsidR="00BB2A41">
        <w:rPr>
          <w:color w:val="000000" w:themeColor="text1"/>
        </w:rPr>
        <w:t>however,</w:t>
      </w:r>
      <w:r w:rsidR="009618E9">
        <w:rPr>
          <w:color w:val="000000" w:themeColor="text1"/>
        </w:rPr>
        <w:t xml:space="preserve"> </w:t>
      </w:r>
      <w:r w:rsidR="00BB2A41">
        <w:rPr>
          <w:color w:val="000000" w:themeColor="text1"/>
        </w:rPr>
        <w:t xml:space="preserve">it was noted that there is some confusion regarding the Program screening interval. </w:t>
      </w:r>
      <w:r w:rsidR="00A16F43">
        <w:rPr>
          <w:color w:val="000000" w:themeColor="text1"/>
        </w:rPr>
        <w:t>Stakeholders</w:t>
      </w:r>
      <w:r w:rsidR="00BB66C9">
        <w:rPr>
          <w:color w:val="000000" w:themeColor="text1"/>
        </w:rPr>
        <w:t xml:space="preserve"> attributed</w:t>
      </w:r>
      <w:r w:rsidR="00A16F43">
        <w:rPr>
          <w:color w:val="000000" w:themeColor="text1"/>
        </w:rPr>
        <w:t xml:space="preserve"> this</w:t>
      </w:r>
      <w:r w:rsidR="00BB66C9">
        <w:rPr>
          <w:color w:val="000000" w:themeColor="text1"/>
        </w:rPr>
        <w:t xml:space="preserve"> to the incremental implementation of the Program, coupled with the absence of media campaigns promoting the complete transition to biennial screening. </w:t>
      </w:r>
    </w:p>
    <w:p w14:paraId="4F212C88" w14:textId="77777777" w:rsidR="00BB66C9" w:rsidRDefault="00BB66C9" w:rsidP="00BB66C9">
      <w:r>
        <w:rPr>
          <w:color w:val="000000" w:themeColor="text1"/>
        </w:rPr>
        <w:t>In addition, stakeholders reported some confusion among primary care providers regarding</w:t>
      </w:r>
      <w:r>
        <w:t xml:space="preserve"> appropriate clinical management for ‘non-typical’ patients, such as those who:</w:t>
      </w:r>
    </w:p>
    <w:p w14:paraId="46B63D9D" w14:textId="2EFDEE81" w:rsidR="00BB66C9" w:rsidRPr="00AC4953" w:rsidRDefault="00BB66C9" w:rsidP="00BB66C9">
      <w:pPr>
        <w:pStyle w:val="ListBullet"/>
      </w:pPr>
      <w:r>
        <w:t>have</w:t>
      </w:r>
      <w:r w:rsidRPr="004F4F8E">
        <w:t xml:space="preserve"> had a </w:t>
      </w:r>
      <w:r>
        <w:t>negative</w:t>
      </w:r>
      <w:r w:rsidRPr="004F4F8E">
        <w:t xml:space="preserve"> colonoscopy </w:t>
      </w:r>
      <w:r>
        <w:t xml:space="preserve">following a positive </w:t>
      </w:r>
      <w:r w:rsidRPr="004F4F8E">
        <w:t xml:space="preserve">NBCSP </w:t>
      </w:r>
      <w:proofErr w:type="spellStart"/>
      <w:r>
        <w:t>iFOBT</w:t>
      </w:r>
      <w:proofErr w:type="spellEnd"/>
      <w:r w:rsidRPr="004F4F8E">
        <w:t xml:space="preserve"> test </w:t>
      </w:r>
      <w:r>
        <w:t>(</w:t>
      </w:r>
      <w:proofErr w:type="gramStart"/>
      <w:r>
        <w:t>i.e.</w:t>
      </w:r>
      <w:proofErr w:type="gramEnd"/>
      <w:r>
        <w:t xml:space="preserve"> the ‘skip round’ policy, wher</w:t>
      </w:r>
      <w:r w:rsidR="00F06A0F">
        <w:t>e</w:t>
      </w:r>
      <w:r>
        <w:t xml:space="preserve"> </w:t>
      </w:r>
      <w:r w:rsidRPr="000276EF">
        <w:rPr>
          <w:rFonts w:cs="Arial"/>
        </w:rPr>
        <w:t>if a patient receives a negative colonoscopy result</w:t>
      </w:r>
      <w:r w:rsidR="00E93D2A" w:rsidRPr="000276EF">
        <w:rPr>
          <w:rFonts w:cs="Arial"/>
        </w:rPr>
        <w:t>,</w:t>
      </w:r>
      <w:r w:rsidRPr="000276EF">
        <w:rPr>
          <w:rFonts w:cs="Arial"/>
        </w:rPr>
        <w:t xml:space="preserve"> they will skip one screening round and be invited to re-screen in four years</w:t>
      </w:r>
      <w:r>
        <w:t>)</w:t>
      </w:r>
    </w:p>
    <w:p w14:paraId="58669291" w14:textId="462FA2DD" w:rsidR="00BB66C9" w:rsidRDefault="00BB66C9" w:rsidP="008C2276">
      <w:pPr>
        <w:pStyle w:val="ListBullet"/>
        <w:spacing w:after="120"/>
      </w:pPr>
      <w:r>
        <w:t xml:space="preserve">are undertaking surveillance colonoscopies </w:t>
      </w:r>
      <w:r w:rsidR="007E1BD5">
        <w:t>that do not meet the</w:t>
      </w:r>
      <w:r>
        <w:t xml:space="preserve"> NHRMC </w:t>
      </w:r>
      <w:r w:rsidR="000526FF">
        <w:t xml:space="preserve">clinical practice </w:t>
      </w:r>
      <w:r>
        <w:t>guidelines</w:t>
      </w:r>
      <w:r w:rsidR="007E1BD5">
        <w:t>.</w:t>
      </w:r>
    </w:p>
    <w:p w14:paraId="28292911" w14:textId="5EB39DBC" w:rsidR="00BB66C9" w:rsidRDefault="00BB66C9" w:rsidP="00BB66C9">
      <w:r>
        <w:t xml:space="preserve">Stakeholders agreed that now the Program is aligned with the </w:t>
      </w:r>
      <w:r w:rsidR="00772593">
        <w:t>NHMRC</w:t>
      </w:r>
      <w:r w:rsidR="009C4B4F">
        <w:t>-</w:t>
      </w:r>
      <w:r w:rsidR="00772593">
        <w:t>approved</w:t>
      </w:r>
      <w:r w:rsidR="00C12A2F">
        <w:t xml:space="preserve"> </w:t>
      </w:r>
      <w:r w:rsidR="006163E3">
        <w:t>c</w:t>
      </w:r>
      <w:r>
        <w:t xml:space="preserve">linical </w:t>
      </w:r>
      <w:r w:rsidR="006163E3">
        <w:t>p</w:t>
      </w:r>
      <w:r>
        <w:t xml:space="preserve">ractice guidelines, this will help </w:t>
      </w:r>
      <w:r w:rsidR="008A63CD">
        <w:t xml:space="preserve">clarify the </w:t>
      </w:r>
      <w:r w:rsidR="00293D5C">
        <w:t xml:space="preserve">messaging around </w:t>
      </w:r>
      <w:r w:rsidR="008011BE">
        <w:t xml:space="preserve">best clinical practice </w:t>
      </w:r>
      <w:r>
        <w:t>to the Australian public.</w:t>
      </w:r>
      <w:r>
        <w:rPr>
          <w:rStyle w:val="EndnoteReference"/>
        </w:rPr>
        <w:endnoteReference w:id="71"/>
      </w:r>
      <w:r>
        <w:t xml:space="preserve"> It was also noted that with the transition to biennial screening </w:t>
      </w:r>
      <w:r>
        <w:lastRenderedPageBreak/>
        <w:t xml:space="preserve">now complete, the next </w:t>
      </w:r>
      <w:r w:rsidR="00FC40D9">
        <w:t xml:space="preserve">12 </w:t>
      </w:r>
      <w:r>
        <w:t xml:space="preserve">to 24 months present an opportune time to raise awareness, which may include the development of decision-making tools/resources for GPs regarding eligibility, screening interval and appropriate management </w:t>
      </w:r>
      <w:r w:rsidR="002D6963">
        <w:t xml:space="preserve">for different types of </w:t>
      </w:r>
      <w:r>
        <w:t xml:space="preserve">participants. </w:t>
      </w:r>
    </w:p>
    <w:p w14:paraId="0B949471" w14:textId="025A9D7F" w:rsidR="00A85E18" w:rsidRDefault="003D5AEA" w:rsidP="003D5AEA">
      <w:pPr>
        <w:pStyle w:val="Heading3"/>
      </w:pPr>
      <w:bookmarkStart w:id="150" w:name="_Ref67834144"/>
      <w:r>
        <w:t>Program participation rates</w:t>
      </w:r>
      <w:bookmarkEnd w:id="150"/>
    </w:p>
    <w:p w14:paraId="0B0EA8A6" w14:textId="25F19096" w:rsidR="003D5AEA" w:rsidRDefault="00C33C6D" w:rsidP="00C33C6D">
      <w:pPr>
        <w:pStyle w:val="Heading4un-numbered"/>
        <w:rPr>
          <w:color w:val="012169" w:themeColor="accent4"/>
        </w:rPr>
      </w:pPr>
      <w:r w:rsidRPr="00C33C6D">
        <w:rPr>
          <w:color w:val="012169" w:themeColor="accent4"/>
        </w:rPr>
        <w:t>Participation rates have gradually increased over time; however, they remain low relative to comparable cancer screening programs, both locally and overseas.</w:t>
      </w:r>
    </w:p>
    <w:p w14:paraId="22DCF471" w14:textId="42E751AE" w:rsidR="000D2271" w:rsidRDefault="0046453F" w:rsidP="00EA168C">
      <w:r>
        <w:t xml:space="preserve">The overall Program participation rate for </w:t>
      </w:r>
      <w:bookmarkStart w:id="151" w:name="_Hlk68952116"/>
      <w:r>
        <w:t xml:space="preserve">2018-19 was 44 per cent, </w:t>
      </w:r>
      <w:r w:rsidRPr="00D23CE2">
        <w:t>compared to 4</w:t>
      </w:r>
      <w:r>
        <w:t>1 per cent</w:t>
      </w:r>
      <w:r w:rsidRPr="00D23CE2">
        <w:t xml:space="preserve"> in 2015-16</w:t>
      </w:r>
      <w:bookmarkEnd w:id="151"/>
      <w:r w:rsidRPr="00D23CE2">
        <w:t>, as shown in</w:t>
      </w:r>
      <w:r>
        <w:t xml:space="preserve"> </w:t>
      </w:r>
      <w:r w:rsidR="00A51229">
        <w:fldChar w:fldCharType="begin"/>
      </w:r>
      <w:r w:rsidR="00A51229">
        <w:instrText xml:space="preserve"> REF _Ref67574765 \r \h </w:instrText>
      </w:r>
      <w:r w:rsidR="00A51229">
        <w:fldChar w:fldCharType="separate"/>
      </w:r>
      <w:r w:rsidR="00F27525">
        <w:t>Chart 4.3</w:t>
      </w:r>
      <w:r w:rsidR="00A51229">
        <w:fldChar w:fldCharType="end"/>
      </w:r>
      <w:r w:rsidR="00AD63DA">
        <w:t xml:space="preserve">. </w:t>
      </w:r>
      <w:r w:rsidRPr="00D23CE2">
        <w:t>The participation rate has gradually increased year-on-year since 2012-13.</w:t>
      </w:r>
      <w:r>
        <w:t xml:space="preserve"> </w:t>
      </w:r>
    </w:p>
    <w:p w14:paraId="094C0DFB" w14:textId="79C4594F" w:rsidR="00EA168C" w:rsidRDefault="009C2808" w:rsidP="00EA168C">
      <w:r>
        <w:t xml:space="preserve">The statistics also shows that </w:t>
      </w:r>
      <w:r w:rsidR="00EA168C">
        <w:t>each year s</w:t>
      </w:r>
      <w:r w:rsidR="00EA168C" w:rsidRPr="00C33C8F">
        <w:t>ince</w:t>
      </w:r>
      <w:r w:rsidR="00EA168C">
        <w:t xml:space="preserve"> Program commencement, the participation rate was positively correlated with age</w:t>
      </w:r>
      <w:r w:rsidR="00C72205">
        <w:t>.</w:t>
      </w:r>
      <w:r w:rsidR="00EA168C">
        <w:t xml:space="preserve"> In </w:t>
      </w:r>
      <w:r w:rsidR="009176FB">
        <w:t>2018-19</w:t>
      </w:r>
      <w:r w:rsidR="00EA168C">
        <w:t xml:space="preserve">, the participation rate ranged from </w:t>
      </w:r>
      <w:r w:rsidR="00DD3C72">
        <w:t xml:space="preserve">34 </w:t>
      </w:r>
      <w:r w:rsidR="00EA168C">
        <w:t xml:space="preserve">per cent for people aged 50 to 54 to </w:t>
      </w:r>
      <w:r w:rsidR="00DD3C72">
        <w:t xml:space="preserve">54 </w:t>
      </w:r>
      <w:r w:rsidR="00EA168C">
        <w:t>per cent for people aged 70 to 74</w:t>
      </w:r>
      <w:r w:rsidR="00725C21">
        <w:t>. This likely reflects a</w:t>
      </w:r>
      <w:r w:rsidR="00F200E4">
        <w:t>n</w:t>
      </w:r>
      <w:r w:rsidR="00725C21">
        <w:t xml:space="preserve"> </w:t>
      </w:r>
      <w:r w:rsidR="00E16FB5">
        <w:t>attitudinal</w:t>
      </w:r>
      <w:r w:rsidR="00725C21">
        <w:t xml:space="preserve"> </w:t>
      </w:r>
      <w:r w:rsidR="004B6166">
        <w:t>and awareness</w:t>
      </w:r>
      <w:r w:rsidR="00725C21">
        <w:t xml:space="preserve"> </w:t>
      </w:r>
      <w:r w:rsidR="00E16FB5">
        <w:t>barrier among younger cohorts on the perceived need for screening. Consumer</w:t>
      </w:r>
      <w:r w:rsidR="000D2271">
        <w:t xml:space="preserve"> survey findings indicate th</w:t>
      </w:r>
      <w:r w:rsidR="00FE0512">
        <w:t>at</w:t>
      </w:r>
      <w:r w:rsidR="000D2271">
        <w:t xml:space="preserve"> </w:t>
      </w:r>
      <w:r w:rsidR="00E16FB5">
        <w:t>p</w:t>
      </w:r>
      <w:r w:rsidR="000D2271">
        <w:t>eople aged 50</w:t>
      </w:r>
      <w:r w:rsidR="00E16FB5">
        <w:t xml:space="preserve"> to </w:t>
      </w:r>
      <w:r w:rsidR="000D2271">
        <w:t>54 years were more likely to be concerned about the costs of bowel cancer screening (1.8 times), would feel ashamed if they received a positive diagnosis (1.7 times), and show scepticism in the reliability of at home screening kits (1.4 times)</w:t>
      </w:r>
      <w:r w:rsidR="00E16FB5">
        <w:t xml:space="preserve">, as compared with people above </w:t>
      </w:r>
      <w:r w:rsidR="0063358F">
        <w:t>55 or older</w:t>
      </w:r>
      <w:r w:rsidR="000D2271">
        <w:t xml:space="preserve"> (</w:t>
      </w:r>
      <w:r w:rsidR="00DB77F6">
        <w:fldChar w:fldCharType="begin"/>
      </w:r>
      <w:r w:rsidR="00DB77F6">
        <w:instrText xml:space="preserve"> REF _Ref67579816 \n \h </w:instrText>
      </w:r>
      <w:r w:rsidR="00DB77F6">
        <w:fldChar w:fldCharType="separate"/>
      </w:r>
      <w:r w:rsidR="00F27525">
        <w:t>Chart 4.4</w:t>
      </w:r>
      <w:r w:rsidR="00DB77F6">
        <w:fldChar w:fldCharType="end"/>
      </w:r>
      <w:r w:rsidR="000D2271">
        <w:t>).</w:t>
      </w:r>
    </w:p>
    <w:p w14:paraId="3F942BCE" w14:textId="77777777" w:rsidR="00582182" w:rsidRDefault="001E4F39">
      <w:pPr>
        <w:pStyle w:val="CaptionChart"/>
      </w:pPr>
      <w:bookmarkStart w:id="152" w:name="_Ref67574765"/>
      <w:r>
        <w:t xml:space="preserve">: </w:t>
      </w:r>
      <w:r w:rsidR="00E91C07">
        <w:t>NBCSP participation rate, by age, over tim</w:t>
      </w:r>
      <w:r w:rsidR="00BC561C">
        <w:t>e</w:t>
      </w:r>
    </w:p>
    <w:bookmarkEnd w:id="152"/>
    <w:p w14:paraId="0F38C456" w14:textId="2053F456" w:rsidR="006D4DA7" w:rsidRPr="006D4DA7" w:rsidRDefault="00AA602E" w:rsidP="00AD10DC">
      <w:r w:rsidRPr="00AD10DC">
        <w:rPr>
          <w:noProof/>
        </w:rPr>
        <w:drawing>
          <wp:inline distT="0" distB="0" distL="0" distR="0" wp14:anchorId="75FC435E" wp14:editId="149527B5">
            <wp:extent cx="5731510" cy="3675380"/>
            <wp:effectExtent l="0" t="0" r="0" b="0"/>
            <wp:docPr id="48" name="Picture 48" descr="Chart showing NBSCP participation rate by age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Chart showing NBSCP participation rate by age over tim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31510" cy="3675380"/>
                    </a:xfrm>
                    <a:prstGeom prst="rect">
                      <a:avLst/>
                    </a:prstGeom>
                    <a:noFill/>
                    <a:ln>
                      <a:noFill/>
                    </a:ln>
                  </pic:spPr>
                </pic:pic>
              </a:graphicData>
            </a:graphic>
          </wp:inline>
        </w:drawing>
      </w:r>
    </w:p>
    <w:p w14:paraId="30AC89AF" w14:textId="2B6B8A52" w:rsidR="007E5A2A" w:rsidRDefault="007E5A2A" w:rsidP="00AD10DC">
      <w:pPr>
        <w:pStyle w:val="Sources"/>
        <w:spacing w:before="0"/>
      </w:pPr>
      <w:r>
        <w:t xml:space="preserve">Source: </w:t>
      </w:r>
      <w:r w:rsidR="004E3F4D">
        <w:t>AIHW</w:t>
      </w:r>
      <w:r w:rsidR="00FB43B8">
        <w:t xml:space="preserve">, </w:t>
      </w:r>
      <w:r w:rsidR="00FB43B8">
        <w:rPr>
          <w:i/>
          <w:iCs w:val="0"/>
        </w:rPr>
        <w:t>Cancer Screening programs</w:t>
      </w:r>
      <w:r w:rsidR="00AE01CB">
        <w:rPr>
          <w:i/>
          <w:iCs w:val="0"/>
        </w:rPr>
        <w:t>: quarterly data</w:t>
      </w:r>
      <w:r w:rsidR="00AE01CB">
        <w:t xml:space="preserve"> (20</w:t>
      </w:r>
      <w:r w:rsidR="00EF7E1D">
        <w:t>20)</w:t>
      </w:r>
      <w:r w:rsidR="00B44066">
        <w:t>.</w:t>
      </w:r>
      <w:r>
        <w:t xml:space="preserve"> </w:t>
      </w:r>
    </w:p>
    <w:p w14:paraId="683CA8F6" w14:textId="1B182A69" w:rsidR="00B75C76" w:rsidRDefault="00D87A03" w:rsidP="002F6AF9">
      <w:pPr>
        <w:pStyle w:val="CaptionChart"/>
      </w:pPr>
      <w:bookmarkStart w:id="153" w:name="_Ref67579816"/>
      <w:r>
        <w:lastRenderedPageBreak/>
        <w:t xml:space="preserve">: </w:t>
      </w:r>
      <w:r w:rsidR="00B75C76">
        <w:t xml:space="preserve">Consumer survey: Odds ratios of the </w:t>
      </w:r>
      <w:r w:rsidR="00AA39C2">
        <w:t>likelihood</w:t>
      </w:r>
      <w:r w:rsidR="00B75C76">
        <w:t xml:space="preserve"> that people aged 50 to 54 </w:t>
      </w:r>
      <w:r w:rsidR="00A51F23">
        <w:t xml:space="preserve">years agree with the following statements, compared to people aged </w:t>
      </w:r>
      <w:r w:rsidR="00E32501">
        <w:t>55 to 74</w:t>
      </w:r>
      <w:bookmarkEnd w:id="153"/>
    </w:p>
    <w:p w14:paraId="22E7BBAA" w14:textId="69362A36" w:rsidR="00D87A03" w:rsidRDefault="002F5B4D" w:rsidP="00AD10DC">
      <w:r w:rsidRPr="00AD10DC">
        <w:rPr>
          <w:noProof/>
        </w:rPr>
        <w:drawing>
          <wp:inline distT="0" distB="0" distL="0" distR="0" wp14:anchorId="5DFE4D15" wp14:editId="11E12179">
            <wp:extent cx="5520690" cy="2863850"/>
            <wp:effectExtent l="0" t="0" r="0" b="0"/>
            <wp:docPr id="53" name="Picture 53" descr="Chart showing consumer survey. Odds ration of the likelihood that people aged 50 to 54 years agree with several statements related to bowel cancer, compared to people aged 55 to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Chart showing consumer survey. Odds ration of the likelihood that people aged 50 to 54 years agree with several statements related to bowel cancer, compared to people aged 55 to 7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520690" cy="2863850"/>
                    </a:xfrm>
                    <a:prstGeom prst="rect">
                      <a:avLst/>
                    </a:prstGeom>
                    <a:noFill/>
                    <a:ln>
                      <a:noFill/>
                    </a:ln>
                  </pic:spPr>
                </pic:pic>
              </a:graphicData>
            </a:graphic>
          </wp:inline>
        </w:drawing>
      </w:r>
    </w:p>
    <w:p w14:paraId="4B27A891" w14:textId="7FDB45E4" w:rsidR="00AC1164" w:rsidRPr="00AC1164" w:rsidRDefault="00AC1164" w:rsidP="00815EA5">
      <w:pPr>
        <w:pStyle w:val="Source"/>
        <w:spacing w:line="0" w:lineRule="atLeast"/>
      </w:pPr>
      <w:r w:rsidRPr="00AC1164">
        <w:t>Notes: Agreement with the following statements was rated on a 7-point Likert scale. Scores of 5 and above were categorised as ‘agreement’. An odds ratio of greater than one indicates that the 50</w:t>
      </w:r>
      <w:r>
        <w:t xml:space="preserve"> to </w:t>
      </w:r>
      <w:r w:rsidR="00DC41B7" w:rsidRPr="00AC1164">
        <w:t>54-year</w:t>
      </w:r>
      <w:r w:rsidRPr="00AC1164">
        <w:t xml:space="preserve"> cohort are more likely to agree with the statement. </w:t>
      </w:r>
      <w:r w:rsidR="00D72794">
        <w:t>Bars indicate a 95 per cent confidence interval.</w:t>
      </w:r>
    </w:p>
    <w:p w14:paraId="4B7A99BE" w14:textId="0BBD2BDA" w:rsidR="00AC1164" w:rsidRPr="00AC1164" w:rsidRDefault="00AC1164" w:rsidP="00815EA5">
      <w:pPr>
        <w:pStyle w:val="Source"/>
        <w:spacing w:line="0" w:lineRule="atLeast"/>
      </w:pPr>
      <w:r w:rsidRPr="00AC1164">
        <w:t>Source: Deloitte Access Economics NBCSP Consumer Survey, 2020</w:t>
      </w:r>
      <w:r w:rsidR="00B44066">
        <w:t>.</w:t>
      </w:r>
    </w:p>
    <w:p w14:paraId="32D609CA" w14:textId="1ACC8F2F" w:rsidR="009F147B" w:rsidRDefault="00C63C5D" w:rsidP="00C63C5D">
      <w:r>
        <w:t xml:space="preserve">Participation rates </w:t>
      </w:r>
      <w:r w:rsidR="006976AF">
        <w:t>in the NBSCP</w:t>
      </w:r>
      <w:r>
        <w:t xml:space="preserve"> are relatively low compared to those observed in other Australian cancer screening programs. For example, in the year 2018-19, </w:t>
      </w:r>
      <w:proofErr w:type="spellStart"/>
      <w:r>
        <w:t>BreastScreen</w:t>
      </w:r>
      <w:proofErr w:type="spellEnd"/>
      <w:r>
        <w:t xml:space="preserve"> reported a participation rate of 55 per cent and the National Cervical Screening Program reported a rate of 46 per cent (see</w:t>
      </w:r>
      <w:r w:rsidR="00FF36E8">
        <w:t xml:space="preserve"> </w:t>
      </w:r>
      <w:r w:rsidR="00FF36E8">
        <w:fldChar w:fldCharType="begin"/>
      </w:r>
      <w:r w:rsidR="00FF36E8">
        <w:instrText xml:space="preserve"> REF _Ref67580274 \r \h </w:instrText>
      </w:r>
      <w:r w:rsidR="00FF36E8">
        <w:fldChar w:fldCharType="separate"/>
      </w:r>
      <w:r w:rsidR="00F27525">
        <w:t>Table 4.1</w:t>
      </w:r>
      <w:r w:rsidR="00FF36E8">
        <w:fldChar w:fldCharType="end"/>
      </w:r>
      <w:r>
        <w:t>). Higher rates of participation in these programs may be driven by</w:t>
      </w:r>
      <w:r w:rsidR="009F147B">
        <w:t xml:space="preserve"> the following factors:</w:t>
      </w:r>
      <w:r>
        <w:t xml:space="preserve"> </w:t>
      </w:r>
    </w:p>
    <w:p w14:paraId="518544BE" w14:textId="4FB44428" w:rsidR="009F147B" w:rsidRDefault="00C63C5D" w:rsidP="009F147B">
      <w:pPr>
        <w:pStyle w:val="ListBullet"/>
      </w:pPr>
      <w:r>
        <w:t>the female only target cohort, with females generally more likely than males to participate in cancer screening program</w:t>
      </w:r>
      <w:r w:rsidR="000F640E">
        <w:t>s</w:t>
      </w:r>
      <w:r w:rsidR="009F147B">
        <w:rPr>
          <w:rStyle w:val="EndnoteReference"/>
        </w:rPr>
        <w:endnoteReference w:id="72"/>
      </w:r>
    </w:p>
    <w:p w14:paraId="026B7DA3" w14:textId="39343E47" w:rsidR="00A910E4" w:rsidRDefault="00E17D7D" w:rsidP="009F147B">
      <w:pPr>
        <w:pStyle w:val="ListBullet"/>
      </w:pPr>
      <w:r>
        <w:t xml:space="preserve">not facing the </w:t>
      </w:r>
      <w:r w:rsidR="00C63C5D">
        <w:t xml:space="preserve">perceived hygiene barrier associated with </w:t>
      </w:r>
      <w:proofErr w:type="spellStart"/>
      <w:r w:rsidR="00C63C5D">
        <w:t>iFOBTs</w:t>
      </w:r>
      <w:proofErr w:type="spellEnd"/>
      <w:r w:rsidR="00197702">
        <w:t>.</w:t>
      </w:r>
      <w:r w:rsidR="00C63C5D">
        <w:t xml:space="preserve"> </w:t>
      </w:r>
    </w:p>
    <w:p w14:paraId="154EBB74" w14:textId="0EF60EC9" w:rsidR="004B3971" w:rsidRDefault="00FF36E8" w:rsidP="00FF36E8">
      <w:pPr>
        <w:pStyle w:val="CaptionTable"/>
      </w:pPr>
      <w:bookmarkStart w:id="154" w:name="_Ref67580274"/>
      <w:r>
        <w:t>: Participation rates in other Australian cancer screening Programs</w:t>
      </w:r>
      <w:bookmarkEnd w:id="154"/>
      <w:r w:rsidR="00BD721F">
        <w:t xml:space="preserve"> and overseas bowel cancer screening Programs</w:t>
      </w:r>
    </w:p>
    <w:tbl>
      <w:tblPr>
        <w:tblStyle w:val="Deloittetable"/>
        <w:tblW w:w="0" w:type="auto"/>
        <w:tblLook w:val="04A0" w:firstRow="1" w:lastRow="0" w:firstColumn="1" w:lastColumn="0" w:noHBand="0" w:noVBand="1"/>
      </w:tblPr>
      <w:tblGrid>
        <w:gridCol w:w="6237"/>
        <w:gridCol w:w="2683"/>
      </w:tblGrid>
      <w:tr w:rsidR="00E57E06" w14:paraId="59996566" w14:textId="77777777" w:rsidTr="00AD10DC">
        <w:trPr>
          <w:cnfStyle w:val="100000000000" w:firstRow="1" w:lastRow="0" w:firstColumn="0" w:lastColumn="0" w:oddVBand="0" w:evenVBand="0" w:oddHBand="0" w:evenHBand="0" w:firstRowFirstColumn="0" w:firstRowLastColumn="0" w:lastRowFirstColumn="0" w:lastRowLastColumn="0"/>
          <w:tblHeader/>
        </w:trPr>
        <w:tc>
          <w:tcPr>
            <w:tcW w:w="6237" w:type="dxa"/>
          </w:tcPr>
          <w:p w14:paraId="037952E1" w14:textId="549FAECA" w:rsidR="004B3971" w:rsidRPr="00AD10DC" w:rsidRDefault="004B3971" w:rsidP="00AD10DC">
            <w:r w:rsidRPr="00AD10DC">
              <w:t>Program</w:t>
            </w:r>
          </w:p>
        </w:tc>
        <w:tc>
          <w:tcPr>
            <w:tcW w:w="2683" w:type="dxa"/>
          </w:tcPr>
          <w:p w14:paraId="606D3BBB" w14:textId="6655E359" w:rsidR="004B3971" w:rsidRPr="00AD10DC" w:rsidRDefault="004B3971" w:rsidP="00AD10DC">
            <w:r w:rsidRPr="00AD10DC">
              <w:t>Overall participation rate</w:t>
            </w:r>
          </w:p>
        </w:tc>
      </w:tr>
      <w:tr w:rsidR="004B3971" w14:paraId="74EF12C6" w14:textId="77777777" w:rsidTr="00AD10DC">
        <w:tc>
          <w:tcPr>
            <w:tcW w:w="6237" w:type="dxa"/>
          </w:tcPr>
          <w:p w14:paraId="6CD3EC8B" w14:textId="732159C1" w:rsidR="004B3971" w:rsidRDefault="004B3971" w:rsidP="004B3971">
            <w:pPr>
              <w:pStyle w:val="ListBullet"/>
              <w:numPr>
                <w:ilvl w:val="0"/>
                <w:numId w:val="0"/>
              </w:numPr>
            </w:pPr>
            <w:r>
              <w:t>NBCSP</w:t>
            </w:r>
          </w:p>
        </w:tc>
        <w:tc>
          <w:tcPr>
            <w:tcW w:w="2683" w:type="dxa"/>
          </w:tcPr>
          <w:p w14:paraId="19267F51" w14:textId="7A4A933E" w:rsidR="004B3971" w:rsidRDefault="001B0456" w:rsidP="00CE7CFE">
            <w:pPr>
              <w:pStyle w:val="ListBullet"/>
              <w:numPr>
                <w:ilvl w:val="0"/>
                <w:numId w:val="0"/>
              </w:numPr>
              <w:jc w:val="right"/>
            </w:pPr>
            <w:r>
              <w:t>43.8%</w:t>
            </w:r>
            <w:r w:rsidR="001677EB">
              <w:rPr>
                <w:vertAlign w:val="superscript"/>
              </w:rPr>
              <w:t>a</w:t>
            </w:r>
          </w:p>
        </w:tc>
      </w:tr>
      <w:tr w:rsidR="00261E31" w14:paraId="4BD39B7D" w14:textId="77777777" w:rsidTr="00AD10DC">
        <w:tc>
          <w:tcPr>
            <w:tcW w:w="6237" w:type="dxa"/>
          </w:tcPr>
          <w:p w14:paraId="20E99A38" w14:textId="65A9CBD6" w:rsidR="00261E31" w:rsidRDefault="00261E31" w:rsidP="004B3971">
            <w:pPr>
              <w:pStyle w:val="ListBullet"/>
              <w:numPr>
                <w:ilvl w:val="0"/>
                <w:numId w:val="0"/>
              </w:numPr>
            </w:pPr>
            <w:r>
              <w:t>Other Australian cancer screening Programs</w:t>
            </w:r>
          </w:p>
        </w:tc>
        <w:tc>
          <w:tcPr>
            <w:tcW w:w="2683" w:type="dxa"/>
          </w:tcPr>
          <w:p w14:paraId="3CCE27A4" w14:textId="77777777" w:rsidR="00261E31" w:rsidRDefault="00261E31" w:rsidP="004B3971">
            <w:pPr>
              <w:pStyle w:val="ListBullet"/>
              <w:numPr>
                <w:ilvl w:val="0"/>
                <w:numId w:val="0"/>
              </w:numPr>
            </w:pPr>
          </w:p>
        </w:tc>
      </w:tr>
      <w:tr w:rsidR="004B3971" w14:paraId="6677582B" w14:textId="77777777" w:rsidTr="00AD10DC">
        <w:tc>
          <w:tcPr>
            <w:tcW w:w="0" w:type="dxa"/>
          </w:tcPr>
          <w:p w14:paraId="12B039A8" w14:textId="3B240289" w:rsidR="004B3971" w:rsidRDefault="004B3971" w:rsidP="004B3971">
            <w:pPr>
              <w:pStyle w:val="ListBullet"/>
              <w:numPr>
                <w:ilvl w:val="0"/>
                <w:numId w:val="0"/>
              </w:numPr>
            </w:pPr>
            <w:proofErr w:type="spellStart"/>
            <w:r>
              <w:t>Breast</w:t>
            </w:r>
            <w:r w:rsidR="00E440F7">
              <w:t>S</w:t>
            </w:r>
            <w:r>
              <w:t>creen</w:t>
            </w:r>
            <w:proofErr w:type="spellEnd"/>
          </w:p>
        </w:tc>
        <w:tc>
          <w:tcPr>
            <w:tcW w:w="0" w:type="dxa"/>
          </w:tcPr>
          <w:p w14:paraId="0DA0A219" w14:textId="76DCBD7A" w:rsidR="004B3971" w:rsidRPr="00BE365A" w:rsidRDefault="004B3971" w:rsidP="00CE7CFE">
            <w:pPr>
              <w:pStyle w:val="ListBullet"/>
              <w:numPr>
                <w:ilvl w:val="0"/>
                <w:numId w:val="0"/>
              </w:numPr>
              <w:jc w:val="right"/>
              <w:rPr>
                <w:color w:val="000000" w:themeColor="text1"/>
              </w:rPr>
            </w:pPr>
            <w:r w:rsidRPr="00AC608A">
              <w:rPr>
                <w:rFonts w:cs="Arial"/>
                <w:color w:val="000000" w:themeColor="text1"/>
                <w:kern w:val="24"/>
                <w:lang w:val="en-US"/>
              </w:rPr>
              <w:t>54.8%</w:t>
            </w:r>
            <w:r w:rsidRPr="00BE365A">
              <w:rPr>
                <w:color w:val="000000" w:themeColor="text1"/>
                <w:vertAlign w:val="superscript"/>
                <w:lang w:val="en-US"/>
              </w:rPr>
              <w:t>a</w:t>
            </w:r>
            <w:r w:rsidRPr="00AC608A">
              <w:rPr>
                <w:rFonts w:cs="Arial"/>
                <w:color w:val="000000" w:themeColor="text1"/>
                <w:kern w:val="24"/>
                <w:lang w:val="en-US"/>
              </w:rPr>
              <w:t xml:space="preserve"> </w:t>
            </w:r>
          </w:p>
        </w:tc>
      </w:tr>
      <w:tr w:rsidR="004B3971" w14:paraId="576301D2" w14:textId="77777777" w:rsidTr="00AD10DC">
        <w:tc>
          <w:tcPr>
            <w:tcW w:w="0" w:type="dxa"/>
          </w:tcPr>
          <w:p w14:paraId="0B7E6794" w14:textId="6F77C8A5" w:rsidR="004B3971" w:rsidRDefault="004B3971" w:rsidP="004B3971">
            <w:pPr>
              <w:pStyle w:val="ListBullet"/>
              <w:numPr>
                <w:ilvl w:val="0"/>
                <w:numId w:val="0"/>
              </w:numPr>
            </w:pPr>
            <w:r>
              <w:t>National Cervical Screening Program</w:t>
            </w:r>
          </w:p>
        </w:tc>
        <w:tc>
          <w:tcPr>
            <w:tcW w:w="0" w:type="dxa"/>
          </w:tcPr>
          <w:p w14:paraId="0B585935" w14:textId="0D5DE0E4" w:rsidR="004B3971" w:rsidRPr="00BE365A" w:rsidRDefault="004B3971" w:rsidP="00CE7CFE">
            <w:pPr>
              <w:pStyle w:val="ListBullet"/>
              <w:numPr>
                <w:ilvl w:val="0"/>
                <w:numId w:val="0"/>
              </w:numPr>
              <w:jc w:val="right"/>
              <w:rPr>
                <w:color w:val="000000" w:themeColor="text1"/>
              </w:rPr>
            </w:pPr>
            <w:r w:rsidRPr="00AC608A">
              <w:rPr>
                <w:rFonts w:cs="Arial"/>
                <w:color w:val="000000" w:themeColor="text1"/>
                <w:kern w:val="24"/>
                <w:lang w:val="en-US"/>
              </w:rPr>
              <w:t>46.3%</w:t>
            </w:r>
            <w:r w:rsidRPr="00BE365A">
              <w:rPr>
                <w:color w:val="000000" w:themeColor="text1"/>
                <w:vertAlign w:val="superscript"/>
                <w:lang w:val="en-US"/>
              </w:rPr>
              <w:t>a</w:t>
            </w:r>
            <w:r w:rsidRPr="00AC608A">
              <w:rPr>
                <w:rFonts w:cs="Arial"/>
                <w:color w:val="000000" w:themeColor="text1"/>
                <w:kern w:val="24"/>
                <w:lang w:val="en-US"/>
              </w:rPr>
              <w:t xml:space="preserve"> </w:t>
            </w:r>
          </w:p>
        </w:tc>
      </w:tr>
      <w:tr w:rsidR="00261E31" w14:paraId="12036840" w14:textId="77777777" w:rsidTr="00AD10DC">
        <w:tc>
          <w:tcPr>
            <w:tcW w:w="0" w:type="dxa"/>
          </w:tcPr>
          <w:p w14:paraId="393FFFEB" w14:textId="2DCB4AB7" w:rsidR="00261E31" w:rsidRDefault="00261E31" w:rsidP="004B3971">
            <w:pPr>
              <w:pStyle w:val="ListBullet"/>
              <w:numPr>
                <w:ilvl w:val="0"/>
                <w:numId w:val="0"/>
              </w:numPr>
            </w:pPr>
            <w:r>
              <w:t>Overseas bowel cancer screening Programs</w:t>
            </w:r>
          </w:p>
        </w:tc>
        <w:tc>
          <w:tcPr>
            <w:tcW w:w="0" w:type="dxa"/>
          </w:tcPr>
          <w:p w14:paraId="6749B721" w14:textId="77777777" w:rsidR="00261E31" w:rsidRPr="00AC608A" w:rsidRDefault="00261E31" w:rsidP="004B3971">
            <w:pPr>
              <w:pStyle w:val="ListBullet"/>
              <w:numPr>
                <w:ilvl w:val="0"/>
                <w:numId w:val="0"/>
              </w:numPr>
              <w:rPr>
                <w:rFonts w:cs="Arial"/>
                <w:color w:val="000000" w:themeColor="text1"/>
                <w:kern w:val="24"/>
                <w:lang w:val="en-US"/>
              </w:rPr>
            </w:pPr>
          </w:p>
        </w:tc>
      </w:tr>
      <w:tr w:rsidR="00261E31" w14:paraId="0CA8D303" w14:textId="77777777" w:rsidTr="00AD10DC">
        <w:tc>
          <w:tcPr>
            <w:tcW w:w="0" w:type="dxa"/>
          </w:tcPr>
          <w:p w14:paraId="4F42F82D" w14:textId="0F60D6D6" w:rsidR="00261E31" w:rsidRDefault="004E51AC" w:rsidP="004B3971">
            <w:pPr>
              <w:pStyle w:val="ListBullet"/>
              <w:numPr>
                <w:ilvl w:val="0"/>
                <w:numId w:val="0"/>
              </w:numPr>
            </w:pPr>
            <w:r>
              <w:t>England</w:t>
            </w:r>
          </w:p>
        </w:tc>
        <w:tc>
          <w:tcPr>
            <w:tcW w:w="0" w:type="dxa"/>
          </w:tcPr>
          <w:p w14:paraId="5737A459" w14:textId="7ACA5B17" w:rsidR="00261E31" w:rsidRPr="00AC608A" w:rsidRDefault="004E51AC" w:rsidP="00EB5134">
            <w:pPr>
              <w:pStyle w:val="ListBullet"/>
              <w:numPr>
                <w:ilvl w:val="0"/>
                <w:numId w:val="0"/>
              </w:numPr>
              <w:jc w:val="right"/>
              <w:rPr>
                <w:rFonts w:cs="Arial"/>
                <w:color w:val="000000" w:themeColor="text1"/>
                <w:kern w:val="24"/>
                <w:lang w:val="en-US"/>
              </w:rPr>
            </w:pPr>
            <w:r w:rsidRPr="00AC608A">
              <w:rPr>
                <w:rFonts w:cs="Arial"/>
                <w:color w:val="000000" w:themeColor="text1"/>
                <w:kern w:val="24"/>
                <w:lang w:val="en-US"/>
              </w:rPr>
              <w:t>64.5%</w:t>
            </w:r>
            <w:r w:rsidR="00BB6099" w:rsidRPr="00BE365A">
              <w:rPr>
                <w:color w:val="000000" w:themeColor="text1"/>
                <w:vertAlign w:val="superscript"/>
                <w:lang w:val="en-US"/>
              </w:rPr>
              <w:t>b</w:t>
            </w:r>
            <w:r w:rsidRPr="00BE365A">
              <w:rPr>
                <w:color w:val="000000" w:themeColor="text1"/>
                <w:vertAlign w:val="superscript"/>
                <w:lang w:val="en-US"/>
              </w:rPr>
              <w:t xml:space="preserve"> </w:t>
            </w:r>
          </w:p>
        </w:tc>
      </w:tr>
      <w:tr w:rsidR="00A0065D" w14:paraId="52A67CEA" w14:textId="77777777" w:rsidTr="00AD10DC">
        <w:tc>
          <w:tcPr>
            <w:tcW w:w="0" w:type="dxa"/>
          </w:tcPr>
          <w:p w14:paraId="0324C382" w14:textId="5C20DB8E" w:rsidR="00A0065D" w:rsidRDefault="004E51AC" w:rsidP="004B3971">
            <w:pPr>
              <w:pStyle w:val="ListBullet"/>
              <w:numPr>
                <w:ilvl w:val="0"/>
                <w:numId w:val="0"/>
              </w:numPr>
            </w:pPr>
            <w:r>
              <w:t>Sweden</w:t>
            </w:r>
          </w:p>
        </w:tc>
        <w:tc>
          <w:tcPr>
            <w:tcW w:w="0" w:type="dxa"/>
          </w:tcPr>
          <w:p w14:paraId="346CF2AC" w14:textId="74B29F96" w:rsidR="00A0065D" w:rsidRPr="00AC608A" w:rsidRDefault="004E51AC" w:rsidP="00EB5134">
            <w:pPr>
              <w:pStyle w:val="ListBullet"/>
              <w:numPr>
                <w:ilvl w:val="0"/>
                <w:numId w:val="0"/>
              </w:numPr>
              <w:jc w:val="right"/>
              <w:rPr>
                <w:rFonts w:cs="Arial"/>
                <w:color w:val="000000" w:themeColor="text1"/>
                <w:kern w:val="24"/>
                <w:lang w:val="en-US"/>
              </w:rPr>
            </w:pPr>
            <w:r w:rsidRPr="00AC608A">
              <w:rPr>
                <w:rFonts w:cs="Arial"/>
                <w:color w:val="000000" w:themeColor="text1"/>
                <w:kern w:val="24"/>
                <w:lang w:val="en-US"/>
              </w:rPr>
              <w:t>64</w:t>
            </w:r>
            <w:r w:rsidR="00E67167">
              <w:rPr>
                <w:rFonts w:cs="Arial"/>
                <w:color w:val="000000" w:themeColor="text1"/>
                <w:kern w:val="24"/>
                <w:lang w:val="en-US"/>
              </w:rPr>
              <w:t>.0</w:t>
            </w:r>
            <w:r w:rsidRPr="00AC608A">
              <w:rPr>
                <w:rFonts w:cs="Arial"/>
                <w:color w:val="000000" w:themeColor="text1"/>
                <w:kern w:val="24"/>
                <w:lang w:val="en-US"/>
              </w:rPr>
              <w:t>%</w:t>
            </w:r>
            <w:r w:rsidR="00BB6099" w:rsidRPr="00BE365A">
              <w:rPr>
                <w:color w:val="000000" w:themeColor="text1"/>
                <w:vertAlign w:val="superscript"/>
                <w:lang w:val="en-US"/>
              </w:rPr>
              <w:t>c</w:t>
            </w:r>
            <w:r w:rsidRPr="00AC608A">
              <w:rPr>
                <w:rFonts w:cs="Arial"/>
                <w:color w:val="000000" w:themeColor="text1"/>
                <w:kern w:val="24"/>
                <w:lang w:val="en-US"/>
              </w:rPr>
              <w:t xml:space="preserve"> </w:t>
            </w:r>
          </w:p>
        </w:tc>
      </w:tr>
      <w:tr w:rsidR="00A0065D" w14:paraId="19EA75E0" w14:textId="77777777" w:rsidTr="00AD10DC">
        <w:tc>
          <w:tcPr>
            <w:tcW w:w="0" w:type="dxa"/>
          </w:tcPr>
          <w:p w14:paraId="65FCAF5C" w14:textId="06AFD712" w:rsidR="00A0065D" w:rsidRDefault="004E51AC" w:rsidP="004B3971">
            <w:pPr>
              <w:pStyle w:val="ListBullet"/>
              <w:numPr>
                <w:ilvl w:val="0"/>
                <w:numId w:val="0"/>
              </w:numPr>
            </w:pPr>
            <w:r>
              <w:t>Denmark</w:t>
            </w:r>
          </w:p>
        </w:tc>
        <w:tc>
          <w:tcPr>
            <w:tcW w:w="0" w:type="dxa"/>
          </w:tcPr>
          <w:p w14:paraId="29E038A9" w14:textId="3813E69A" w:rsidR="00A0065D" w:rsidRPr="00AC608A" w:rsidRDefault="004E51AC" w:rsidP="00EB5134">
            <w:pPr>
              <w:pStyle w:val="ListBullet"/>
              <w:numPr>
                <w:ilvl w:val="0"/>
                <w:numId w:val="0"/>
              </w:numPr>
              <w:jc w:val="right"/>
              <w:rPr>
                <w:rFonts w:cs="Arial"/>
                <w:color w:val="000000" w:themeColor="text1"/>
                <w:kern w:val="24"/>
                <w:lang w:val="en-US"/>
              </w:rPr>
            </w:pPr>
            <w:r w:rsidRPr="00AC608A">
              <w:rPr>
                <w:rFonts w:cs="Arial"/>
                <w:color w:val="000000" w:themeColor="text1"/>
                <w:kern w:val="24"/>
                <w:lang w:val="en-US"/>
              </w:rPr>
              <w:t>64</w:t>
            </w:r>
            <w:r w:rsidR="00A0056E">
              <w:rPr>
                <w:rFonts w:cs="Arial"/>
                <w:color w:val="000000" w:themeColor="text1"/>
                <w:kern w:val="24"/>
                <w:lang w:val="en-US"/>
              </w:rPr>
              <w:t>.0</w:t>
            </w:r>
            <w:r w:rsidRPr="00AC608A">
              <w:rPr>
                <w:rFonts w:cs="Arial"/>
                <w:color w:val="000000" w:themeColor="text1"/>
                <w:kern w:val="24"/>
                <w:lang w:val="en-US"/>
              </w:rPr>
              <w:t>%</w:t>
            </w:r>
            <w:r w:rsidR="00BB6099" w:rsidRPr="00BE365A">
              <w:rPr>
                <w:color w:val="000000" w:themeColor="text1"/>
                <w:vertAlign w:val="superscript"/>
                <w:lang w:val="en-US"/>
              </w:rPr>
              <w:t>d</w:t>
            </w:r>
            <w:r w:rsidRPr="00AC608A">
              <w:rPr>
                <w:rFonts w:cs="Arial"/>
                <w:color w:val="000000" w:themeColor="text1"/>
                <w:kern w:val="24"/>
                <w:lang w:val="en-US"/>
              </w:rPr>
              <w:t xml:space="preserve"> </w:t>
            </w:r>
          </w:p>
        </w:tc>
      </w:tr>
      <w:tr w:rsidR="00A0065D" w14:paraId="6635C9BB" w14:textId="77777777" w:rsidTr="00AD10DC">
        <w:tc>
          <w:tcPr>
            <w:tcW w:w="0" w:type="dxa"/>
          </w:tcPr>
          <w:p w14:paraId="0C307C35" w14:textId="44BB1775" w:rsidR="00A0065D" w:rsidRDefault="004E51AC" w:rsidP="004B3971">
            <w:pPr>
              <w:pStyle w:val="ListBullet"/>
              <w:numPr>
                <w:ilvl w:val="0"/>
                <w:numId w:val="0"/>
              </w:numPr>
            </w:pPr>
            <w:r>
              <w:t>Netherlands</w:t>
            </w:r>
          </w:p>
        </w:tc>
        <w:tc>
          <w:tcPr>
            <w:tcW w:w="0" w:type="dxa"/>
          </w:tcPr>
          <w:p w14:paraId="3B19C20A" w14:textId="0CE357B9" w:rsidR="00A0065D" w:rsidRPr="00AC608A" w:rsidRDefault="004E51AC" w:rsidP="00EB5134">
            <w:pPr>
              <w:pStyle w:val="ListBullet"/>
              <w:numPr>
                <w:ilvl w:val="0"/>
                <w:numId w:val="0"/>
              </w:numPr>
              <w:jc w:val="right"/>
              <w:rPr>
                <w:rFonts w:cs="Arial"/>
                <w:color w:val="000000" w:themeColor="text1"/>
                <w:kern w:val="24"/>
                <w:lang w:val="en-US"/>
              </w:rPr>
            </w:pPr>
            <w:r w:rsidRPr="00AC608A">
              <w:rPr>
                <w:rFonts w:cs="Arial"/>
                <w:color w:val="000000" w:themeColor="text1"/>
                <w:kern w:val="24"/>
                <w:lang w:val="en-US"/>
              </w:rPr>
              <w:t>73</w:t>
            </w:r>
            <w:r w:rsidR="00D53B3A">
              <w:rPr>
                <w:rFonts w:cs="Arial"/>
                <w:color w:val="000000" w:themeColor="text1"/>
                <w:kern w:val="24"/>
                <w:lang w:val="en-US"/>
              </w:rPr>
              <w:t>.0</w:t>
            </w:r>
            <w:r w:rsidRPr="00AC608A">
              <w:rPr>
                <w:rFonts w:cs="Arial"/>
                <w:color w:val="000000" w:themeColor="text1"/>
                <w:kern w:val="24"/>
                <w:lang w:val="en-US"/>
              </w:rPr>
              <w:t>%</w:t>
            </w:r>
            <w:r w:rsidR="00BB6099" w:rsidRPr="00BE365A">
              <w:rPr>
                <w:color w:val="000000" w:themeColor="text1"/>
                <w:vertAlign w:val="superscript"/>
                <w:lang w:val="en-US"/>
              </w:rPr>
              <w:t>e</w:t>
            </w:r>
          </w:p>
        </w:tc>
      </w:tr>
      <w:tr w:rsidR="00A0065D" w14:paraId="35D35DEE" w14:textId="77777777" w:rsidTr="00AD10DC">
        <w:tc>
          <w:tcPr>
            <w:tcW w:w="0" w:type="dxa"/>
          </w:tcPr>
          <w:p w14:paraId="2E6B2A9B" w14:textId="5EA4BE1B" w:rsidR="00A0065D" w:rsidRDefault="004E51AC" w:rsidP="004B3971">
            <w:pPr>
              <w:pStyle w:val="ListBullet"/>
              <w:numPr>
                <w:ilvl w:val="0"/>
                <w:numId w:val="0"/>
              </w:numPr>
            </w:pPr>
            <w:r>
              <w:t>New Zealand</w:t>
            </w:r>
          </w:p>
        </w:tc>
        <w:tc>
          <w:tcPr>
            <w:tcW w:w="0" w:type="dxa"/>
          </w:tcPr>
          <w:p w14:paraId="604E45A9" w14:textId="4013F3A4" w:rsidR="00A0065D" w:rsidRPr="00AC608A" w:rsidRDefault="004E51AC" w:rsidP="00EB5134">
            <w:pPr>
              <w:pStyle w:val="ListBullet"/>
              <w:numPr>
                <w:ilvl w:val="0"/>
                <w:numId w:val="0"/>
              </w:numPr>
              <w:jc w:val="right"/>
              <w:rPr>
                <w:rFonts w:cs="Arial"/>
                <w:color w:val="000000" w:themeColor="text1"/>
                <w:kern w:val="24"/>
                <w:lang w:val="en-US"/>
              </w:rPr>
            </w:pPr>
            <w:r w:rsidRPr="00AC608A">
              <w:rPr>
                <w:rFonts w:cs="Arial"/>
                <w:color w:val="000000" w:themeColor="text1"/>
                <w:kern w:val="24"/>
                <w:lang w:val="en-US"/>
              </w:rPr>
              <w:t>5</w:t>
            </w:r>
            <w:r w:rsidR="00685207">
              <w:rPr>
                <w:rFonts w:cs="Arial"/>
                <w:color w:val="000000" w:themeColor="text1"/>
                <w:kern w:val="24"/>
                <w:lang w:val="en-US"/>
              </w:rPr>
              <w:t>6.8</w:t>
            </w:r>
            <w:r w:rsidR="00263C80">
              <w:rPr>
                <w:rFonts w:cs="Arial"/>
                <w:color w:val="000000" w:themeColor="text1"/>
                <w:kern w:val="24"/>
                <w:lang w:val="en-US"/>
              </w:rPr>
              <w:t>%</w:t>
            </w:r>
            <w:r w:rsidR="00685207">
              <w:rPr>
                <w:rFonts w:cs="Arial"/>
                <w:color w:val="000000" w:themeColor="text1"/>
                <w:kern w:val="24"/>
                <w:lang w:val="en-US"/>
              </w:rPr>
              <w:t xml:space="preserve"> to </w:t>
            </w:r>
            <w:r w:rsidRPr="00AC608A">
              <w:rPr>
                <w:rFonts w:cs="Arial"/>
                <w:color w:val="000000" w:themeColor="text1"/>
                <w:kern w:val="24"/>
                <w:lang w:val="en-US"/>
              </w:rPr>
              <w:t>58</w:t>
            </w:r>
            <w:r w:rsidR="00685207">
              <w:rPr>
                <w:rFonts w:cs="Arial"/>
                <w:color w:val="000000" w:themeColor="text1"/>
                <w:kern w:val="24"/>
                <w:lang w:val="en-US"/>
              </w:rPr>
              <w:t>.1</w:t>
            </w:r>
            <w:r w:rsidRPr="00AC608A">
              <w:rPr>
                <w:rFonts w:cs="Arial"/>
                <w:color w:val="000000" w:themeColor="text1"/>
                <w:kern w:val="24"/>
                <w:lang w:val="en-US"/>
              </w:rPr>
              <w:t>%</w:t>
            </w:r>
            <w:r w:rsidR="00BB6099" w:rsidRPr="00BE365A">
              <w:rPr>
                <w:color w:val="000000" w:themeColor="text1"/>
                <w:vertAlign w:val="superscript"/>
                <w:lang w:val="en-US"/>
              </w:rPr>
              <w:t>f</w:t>
            </w:r>
            <w:r w:rsidRPr="00AC608A">
              <w:rPr>
                <w:rFonts w:cs="Arial"/>
                <w:color w:val="000000" w:themeColor="text1"/>
                <w:kern w:val="24"/>
                <w:lang w:val="en-US"/>
              </w:rPr>
              <w:t xml:space="preserve"> </w:t>
            </w:r>
          </w:p>
        </w:tc>
      </w:tr>
      <w:tr w:rsidR="00A0065D" w14:paraId="7D61301F" w14:textId="77777777" w:rsidTr="00AD10DC">
        <w:tc>
          <w:tcPr>
            <w:tcW w:w="0" w:type="dxa"/>
          </w:tcPr>
          <w:p w14:paraId="7A78D88A" w14:textId="2544C133" w:rsidR="00A0065D" w:rsidRDefault="004E51AC" w:rsidP="004B3971">
            <w:pPr>
              <w:pStyle w:val="ListBullet"/>
              <w:numPr>
                <w:ilvl w:val="0"/>
                <w:numId w:val="0"/>
              </w:numPr>
            </w:pPr>
            <w:r w:rsidRPr="00BD22A3">
              <w:rPr>
                <w:rFonts w:hAnsi="+mn-lt" w:cs="Arial"/>
                <w:color w:val="000000" w:themeColor="text1"/>
                <w:kern w:val="24"/>
                <w:lang w:val="en-US"/>
              </w:rPr>
              <w:t>Scotland</w:t>
            </w:r>
          </w:p>
        </w:tc>
        <w:tc>
          <w:tcPr>
            <w:tcW w:w="0" w:type="dxa"/>
          </w:tcPr>
          <w:p w14:paraId="09181EC5" w14:textId="7C3AD048" w:rsidR="00A0065D" w:rsidRPr="00AC608A" w:rsidRDefault="004E51AC" w:rsidP="00EB5134">
            <w:pPr>
              <w:pStyle w:val="ListBullet"/>
              <w:numPr>
                <w:ilvl w:val="0"/>
                <w:numId w:val="0"/>
              </w:numPr>
              <w:jc w:val="right"/>
              <w:rPr>
                <w:rFonts w:cs="Arial"/>
                <w:color w:val="000000" w:themeColor="text1"/>
                <w:kern w:val="24"/>
                <w:lang w:val="en-US"/>
              </w:rPr>
            </w:pPr>
            <w:r w:rsidRPr="00AC608A">
              <w:rPr>
                <w:rFonts w:hAnsi="+mn-lt" w:cs="Arial"/>
                <w:color w:val="000000" w:themeColor="text1"/>
                <w:kern w:val="24"/>
                <w:lang w:val="en-US"/>
              </w:rPr>
              <w:t>64.1%</w:t>
            </w:r>
            <w:r w:rsidR="00BB6099" w:rsidRPr="00BE365A">
              <w:rPr>
                <w:color w:val="000000" w:themeColor="text1"/>
                <w:vertAlign w:val="superscript"/>
                <w:lang w:val="en-US"/>
              </w:rPr>
              <w:t>g</w:t>
            </w:r>
          </w:p>
        </w:tc>
      </w:tr>
      <w:tr w:rsidR="00A0065D" w14:paraId="2937FD44" w14:textId="77777777" w:rsidTr="00AD10DC">
        <w:tc>
          <w:tcPr>
            <w:tcW w:w="0" w:type="dxa"/>
          </w:tcPr>
          <w:p w14:paraId="33619CCA" w14:textId="60ACE845" w:rsidR="00A0065D" w:rsidRDefault="00EB5134" w:rsidP="004B3971">
            <w:pPr>
              <w:pStyle w:val="ListBullet"/>
              <w:numPr>
                <w:ilvl w:val="0"/>
                <w:numId w:val="0"/>
              </w:numPr>
            </w:pPr>
            <w:r w:rsidRPr="00BD22A3">
              <w:rPr>
                <w:rFonts w:hAnsi="+mn-lt" w:cs="Arial"/>
                <w:color w:val="000000" w:themeColor="text1"/>
                <w:kern w:val="24"/>
                <w:lang w:val="en-US"/>
              </w:rPr>
              <w:t>Ireland</w:t>
            </w:r>
          </w:p>
        </w:tc>
        <w:tc>
          <w:tcPr>
            <w:tcW w:w="0" w:type="dxa"/>
          </w:tcPr>
          <w:p w14:paraId="42C8B797" w14:textId="1D39929F" w:rsidR="00A0065D" w:rsidRPr="00AC608A" w:rsidRDefault="00EB5134" w:rsidP="00EB5134">
            <w:pPr>
              <w:pStyle w:val="ListBullet"/>
              <w:numPr>
                <w:ilvl w:val="0"/>
                <w:numId w:val="0"/>
              </w:numPr>
              <w:jc w:val="right"/>
              <w:rPr>
                <w:rFonts w:cs="Arial"/>
                <w:color w:val="000000" w:themeColor="text1"/>
                <w:kern w:val="24"/>
                <w:lang w:val="en-US"/>
              </w:rPr>
            </w:pPr>
            <w:r w:rsidRPr="00AC608A">
              <w:rPr>
                <w:rFonts w:hAnsi="+mn-lt" w:cs="Arial"/>
                <w:color w:val="000000" w:themeColor="text1"/>
                <w:kern w:val="24"/>
                <w:lang w:val="en-US"/>
              </w:rPr>
              <w:t>41.4%</w:t>
            </w:r>
            <w:r w:rsidR="00BB6099" w:rsidRPr="00BE365A">
              <w:rPr>
                <w:color w:val="000000" w:themeColor="text1"/>
                <w:vertAlign w:val="superscript"/>
                <w:lang w:val="en-US"/>
              </w:rPr>
              <w:t>h</w:t>
            </w:r>
            <w:r w:rsidRPr="00BE365A">
              <w:rPr>
                <w:color w:val="000000" w:themeColor="text1"/>
                <w:vertAlign w:val="superscript"/>
                <w:lang w:val="en-US"/>
              </w:rPr>
              <w:t xml:space="preserve"> </w:t>
            </w:r>
          </w:p>
        </w:tc>
      </w:tr>
    </w:tbl>
    <w:p w14:paraId="140B7042" w14:textId="2ED37D06" w:rsidR="00DB73BD" w:rsidRDefault="001B0456" w:rsidP="00815EA5">
      <w:pPr>
        <w:pStyle w:val="Source"/>
        <w:spacing w:line="0" w:lineRule="atLeast"/>
      </w:pPr>
      <w:r w:rsidRPr="00DE5647">
        <w:lastRenderedPageBreak/>
        <w:t xml:space="preserve">Source: </w:t>
      </w:r>
      <w:proofErr w:type="spellStart"/>
      <w:r w:rsidR="00AB4FD9" w:rsidRPr="3C448C84">
        <w:rPr>
          <w:vertAlign w:val="superscript"/>
        </w:rPr>
        <w:t>a</w:t>
      </w:r>
      <w:r w:rsidR="00AB4FD9">
        <w:t>AIHW</w:t>
      </w:r>
      <w:proofErr w:type="spellEnd"/>
      <w:r w:rsidR="00AB4FD9">
        <w:t xml:space="preserve">, </w:t>
      </w:r>
      <w:r w:rsidR="00AB4FD9">
        <w:rPr>
          <w:i/>
        </w:rPr>
        <w:t>Cancer screening programs: quarterly data</w:t>
      </w:r>
      <w:r w:rsidR="00AB4FD9">
        <w:t xml:space="preserve">, December </w:t>
      </w:r>
      <w:r w:rsidDel="00AB4FD9">
        <w:t>2020</w:t>
      </w:r>
      <w:r w:rsidR="0072501A">
        <w:t>;</w:t>
      </w:r>
      <w:r w:rsidR="00BB6099" w:rsidRPr="00BB6099">
        <w:rPr>
          <w:vertAlign w:val="superscript"/>
        </w:rPr>
        <w:t xml:space="preserve"> </w:t>
      </w:r>
      <w:proofErr w:type="spellStart"/>
      <w:r w:rsidR="00BB6099">
        <w:rPr>
          <w:vertAlign w:val="superscript"/>
        </w:rPr>
        <w:t>b</w:t>
      </w:r>
      <w:r w:rsidR="00BB6099">
        <w:t>Public</w:t>
      </w:r>
      <w:proofErr w:type="spellEnd"/>
      <w:r w:rsidR="00BB6099">
        <w:t xml:space="preserve"> Health England, </w:t>
      </w:r>
      <w:r w:rsidR="00BB6099">
        <w:rPr>
          <w:i/>
        </w:rPr>
        <w:t>Screening KPI data summary factsheets</w:t>
      </w:r>
      <w:r w:rsidR="00BB6099">
        <w:t xml:space="preserve">, June 2020; </w:t>
      </w:r>
      <w:proofErr w:type="spellStart"/>
      <w:r w:rsidR="00BB6099">
        <w:rPr>
          <w:vertAlign w:val="superscript"/>
        </w:rPr>
        <w:t>c</w:t>
      </w:r>
      <w:r w:rsidR="00BB6099">
        <w:t>Blom</w:t>
      </w:r>
      <w:proofErr w:type="spellEnd"/>
      <w:r w:rsidR="00BB6099">
        <w:t xml:space="preserve">, J; </w:t>
      </w:r>
      <w:proofErr w:type="spellStart"/>
      <w:r w:rsidR="00BB6099">
        <w:t>Kilpelainen</w:t>
      </w:r>
      <w:proofErr w:type="spellEnd"/>
      <w:r w:rsidR="00BB6099">
        <w:t>, S et al ‘</w:t>
      </w:r>
      <w:r w:rsidR="00BB6099" w:rsidRPr="00866F77">
        <w:t>Five-year experience of organized colorectal cancer screening in a Swedish population – increased compliance with age, female gender, and subsequent screening round</w:t>
      </w:r>
      <w:r w:rsidR="00BB6099">
        <w:t xml:space="preserve">’, </w:t>
      </w:r>
      <w:r w:rsidR="00BB6099">
        <w:rPr>
          <w:i/>
        </w:rPr>
        <w:t xml:space="preserve">Journal of Medical Screening, </w:t>
      </w:r>
      <w:r w:rsidR="00BB6099">
        <w:t xml:space="preserve">2014; </w:t>
      </w:r>
      <w:proofErr w:type="spellStart"/>
      <w:r w:rsidR="00BB6099">
        <w:rPr>
          <w:vertAlign w:val="superscript"/>
        </w:rPr>
        <w:t>d</w:t>
      </w:r>
      <w:r w:rsidR="00BB6099">
        <w:t>Larsen</w:t>
      </w:r>
      <w:proofErr w:type="spellEnd"/>
      <w:r w:rsidR="00BB6099">
        <w:t xml:space="preserve">, M; </w:t>
      </w:r>
      <w:proofErr w:type="spellStart"/>
      <w:r w:rsidR="00BB6099">
        <w:t>Njor</w:t>
      </w:r>
      <w:proofErr w:type="spellEnd"/>
      <w:r w:rsidR="00BB6099">
        <w:t>, S et al ‘</w:t>
      </w:r>
      <w:r w:rsidR="00BB6099" w:rsidRPr="00561E38">
        <w:t>Effectiveness of Colorectal Cancer Screening in Detecting Earlier-Stage Disease-A Nationwide Cohort Study in Denmark</w:t>
      </w:r>
      <w:r w:rsidR="00BB6099">
        <w:t xml:space="preserve">’, </w:t>
      </w:r>
      <w:r w:rsidR="00BB6099">
        <w:rPr>
          <w:i/>
        </w:rPr>
        <w:t xml:space="preserve">Gastroenterology, </w:t>
      </w:r>
      <w:r w:rsidR="00BB6099">
        <w:t xml:space="preserve">2018, 155(1), 99-106.; </w:t>
      </w:r>
      <w:proofErr w:type="spellStart"/>
      <w:r w:rsidR="00BB6099">
        <w:rPr>
          <w:vertAlign w:val="superscript"/>
        </w:rPr>
        <w:t>e</w:t>
      </w:r>
      <w:r w:rsidR="00BB6099">
        <w:t>Toes-Zoutendijik</w:t>
      </w:r>
      <w:proofErr w:type="spellEnd"/>
      <w:r w:rsidR="00BB6099">
        <w:t>, E; Portillo, I, et al ‘</w:t>
      </w:r>
      <w:r w:rsidR="00BB6099" w:rsidRPr="0060042D">
        <w:t>Participation in faecal immunochemical testing-based colorectal cancer screening programmes in the northwest of Europe</w:t>
      </w:r>
      <w:r w:rsidR="00BB6099">
        <w:t xml:space="preserve">’, </w:t>
      </w:r>
      <w:r w:rsidR="00BB6099">
        <w:rPr>
          <w:i/>
        </w:rPr>
        <w:t>Journal of Medical Screening</w:t>
      </w:r>
      <w:r w:rsidR="00BB6099">
        <w:t xml:space="preserve">, 2019, 27(2), 68-76; </w:t>
      </w:r>
      <w:proofErr w:type="spellStart"/>
      <w:r w:rsidR="00BB6099">
        <w:rPr>
          <w:vertAlign w:val="superscript"/>
        </w:rPr>
        <w:t>f</w:t>
      </w:r>
      <w:r w:rsidR="00BB6099">
        <w:t>Ministry</w:t>
      </w:r>
      <w:proofErr w:type="spellEnd"/>
      <w:r w:rsidR="00BB6099">
        <w:t xml:space="preserve"> of Health NZ, </w:t>
      </w:r>
      <w:r w:rsidR="00BB6099">
        <w:rPr>
          <w:i/>
        </w:rPr>
        <w:t xml:space="preserve">Bowel Screening </w:t>
      </w:r>
      <w:r w:rsidR="00685207">
        <w:rPr>
          <w:i/>
        </w:rPr>
        <w:t>Pilot results</w:t>
      </w:r>
      <w:r w:rsidR="00BB6099">
        <w:rPr>
          <w:i/>
        </w:rPr>
        <w:t xml:space="preserve">, </w:t>
      </w:r>
      <w:r w:rsidR="00BB6099">
        <w:t xml:space="preserve">2018.; </w:t>
      </w:r>
      <w:proofErr w:type="spellStart"/>
      <w:r w:rsidR="00BB6099" w:rsidRPr="19235596">
        <w:rPr>
          <w:vertAlign w:val="superscript"/>
        </w:rPr>
        <w:t>h</w:t>
      </w:r>
      <w:r w:rsidR="00BB6099">
        <w:t>Public</w:t>
      </w:r>
      <w:proofErr w:type="spellEnd"/>
      <w:r w:rsidR="00BB6099">
        <w:t xml:space="preserve"> Health Scotland, </w:t>
      </w:r>
      <w:r w:rsidR="00BB6099">
        <w:rPr>
          <w:i/>
        </w:rPr>
        <w:t>Scottish Bowel Screening Program KPI Report</w:t>
      </w:r>
      <w:r w:rsidR="00BB6099">
        <w:t xml:space="preserve">, August 2019. </w:t>
      </w:r>
      <w:proofErr w:type="spellStart"/>
      <w:r w:rsidR="00BB6099">
        <w:rPr>
          <w:vertAlign w:val="superscript"/>
        </w:rPr>
        <w:t>g</w:t>
      </w:r>
      <w:r w:rsidR="00BB6099">
        <w:t>National</w:t>
      </w:r>
      <w:proofErr w:type="spellEnd"/>
      <w:r w:rsidR="00BB6099">
        <w:t xml:space="preserve"> Screening Service, </w:t>
      </w:r>
      <w:proofErr w:type="spellStart"/>
      <w:r w:rsidR="00BB6099">
        <w:rPr>
          <w:i/>
        </w:rPr>
        <w:t>BowelScreen</w:t>
      </w:r>
      <w:proofErr w:type="spellEnd"/>
      <w:r w:rsidR="00BB6099">
        <w:rPr>
          <w:i/>
        </w:rPr>
        <w:t xml:space="preserve"> Programme Report 2016-17</w:t>
      </w:r>
      <w:r w:rsidR="00BB6099">
        <w:t>, 2017</w:t>
      </w:r>
      <w:r w:rsidR="0072501A">
        <w:t>.</w:t>
      </w:r>
    </w:p>
    <w:p w14:paraId="7E5AB1A7" w14:textId="779B5FCC" w:rsidR="001461F3" w:rsidRDefault="00D853C9" w:rsidP="0020150A">
      <w:r>
        <w:t xml:space="preserve">As shown in </w:t>
      </w:r>
      <w:r>
        <w:fldChar w:fldCharType="begin"/>
      </w:r>
      <w:r>
        <w:instrText xml:space="preserve"> REF _Ref67580274 \r \h </w:instrText>
      </w:r>
      <w:r>
        <w:fldChar w:fldCharType="separate"/>
      </w:r>
      <w:r w:rsidR="00F27525">
        <w:t>Table 4.1</w:t>
      </w:r>
      <w:r>
        <w:fldChar w:fldCharType="end"/>
      </w:r>
      <w:r>
        <w:t>, t</w:t>
      </w:r>
      <w:r w:rsidR="00DB73BD">
        <w:t>he overall participation rate is also relatively low compared to mail-out bowel cancer screening programs overseas</w:t>
      </w:r>
      <w:r>
        <w:t xml:space="preserve">. </w:t>
      </w:r>
      <w:r w:rsidR="00DB73BD">
        <w:t>However, these programs have different characteristics and features, which may explain higher participation rates, as shown in</w:t>
      </w:r>
      <w:r w:rsidR="0020150A">
        <w:t xml:space="preserve"> </w:t>
      </w:r>
      <w:r w:rsidR="0020150A">
        <w:fldChar w:fldCharType="begin"/>
      </w:r>
      <w:r w:rsidR="0020150A">
        <w:instrText xml:space="preserve"> REF _Ref67579940 \r \h </w:instrText>
      </w:r>
      <w:r w:rsidR="0020150A">
        <w:fldChar w:fldCharType="separate"/>
      </w:r>
      <w:r w:rsidR="00F27525">
        <w:t>Chart 4.5</w:t>
      </w:r>
      <w:r w:rsidR="0020150A">
        <w:fldChar w:fldCharType="end"/>
      </w:r>
      <w:r w:rsidR="006C20E2">
        <w:t xml:space="preserve">. This chart is presented in table format with references in </w:t>
      </w:r>
      <w:r w:rsidR="006C20E2">
        <w:fldChar w:fldCharType="begin"/>
      </w:r>
      <w:r w:rsidR="006C20E2">
        <w:instrText xml:space="preserve"> REF _Ref69402856 \r \h </w:instrText>
      </w:r>
      <w:r w:rsidR="006C20E2">
        <w:fldChar w:fldCharType="separate"/>
      </w:r>
      <w:r w:rsidR="00F27525">
        <w:t>Appendix C</w:t>
      </w:r>
      <w:r w:rsidR="006C20E2">
        <w:fldChar w:fldCharType="end"/>
      </w:r>
      <w:r w:rsidR="00DB73BD">
        <w:t>.</w:t>
      </w:r>
    </w:p>
    <w:p w14:paraId="61C35020" w14:textId="10689820" w:rsidR="00554CBA" w:rsidRDefault="00032C06" w:rsidP="00916DFC">
      <w:pPr>
        <w:pStyle w:val="CaptionChart"/>
      </w:pPr>
      <w:bookmarkStart w:id="155" w:name="_Ref67579940"/>
      <w:r>
        <w:t xml:space="preserve">: </w:t>
      </w:r>
      <w:r w:rsidR="000320E4">
        <w:t>Characteristics of oversea</w:t>
      </w:r>
      <w:r w:rsidR="003C44D3">
        <w:t>s</w:t>
      </w:r>
      <w:r w:rsidR="000320E4">
        <w:t xml:space="preserve"> mail-out cancer screening Program</w:t>
      </w:r>
      <w:bookmarkEnd w:id="155"/>
    </w:p>
    <w:p w14:paraId="7D878D3D" w14:textId="009784CD" w:rsidR="00487494" w:rsidRDefault="00287504" w:rsidP="00487494">
      <w:r w:rsidRPr="00287504">
        <w:t xml:space="preserve"> </w:t>
      </w:r>
      <w:r w:rsidR="000D2165" w:rsidRPr="000D2165">
        <w:rPr>
          <w:noProof/>
        </w:rPr>
        <w:drawing>
          <wp:inline distT="0" distB="0" distL="0" distR="0" wp14:anchorId="1538B7D6" wp14:editId="62FB0574">
            <wp:extent cx="5731510" cy="6299200"/>
            <wp:effectExtent l="0" t="0" r="2540" b="6350"/>
            <wp:docPr id="25" name="Picture 25" descr="Characteristics of overseas mail out cancer screening pro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acteristics of overseas mail out cancer screening program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31510" cy="6299200"/>
                    </a:xfrm>
                    <a:prstGeom prst="rect">
                      <a:avLst/>
                    </a:prstGeom>
                    <a:noFill/>
                    <a:ln>
                      <a:noFill/>
                    </a:ln>
                  </pic:spPr>
                </pic:pic>
              </a:graphicData>
            </a:graphic>
          </wp:inline>
        </w:drawing>
      </w:r>
    </w:p>
    <w:p w14:paraId="429F82AA" w14:textId="6D4CB753" w:rsidR="00903CF8" w:rsidRPr="00487494" w:rsidRDefault="00903CF8" w:rsidP="00903CF8">
      <w:pPr>
        <w:pStyle w:val="Sources"/>
      </w:pPr>
      <w:r w:rsidRPr="00DE5647">
        <w:t xml:space="preserve">Source: </w:t>
      </w:r>
      <w:r>
        <w:t xml:space="preserve">Deloitte Access Economics informed by a literature scan. References </w:t>
      </w:r>
      <w:r w:rsidR="0027121E">
        <w:t xml:space="preserve">are </w:t>
      </w:r>
      <w:r>
        <w:t>provided in</w:t>
      </w:r>
      <w:r w:rsidR="00420124">
        <w:t xml:space="preserve"> </w:t>
      </w:r>
      <w:r w:rsidR="00420124">
        <w:fldChar w:fldCharType="begin"/>
      </w:r>
      <w:r w:rsidR="00420124">
        <w:instrText xml:space="preserve"> REF _Ref69404058 \r \h </w:instrText>
      </w:r>
      <w:r w:rsidR="00420124">
        <w:fldChar w:fldCharType="separate"/>
      </w:r>
      <w:r w:rsidR="00F27525">
        <w:t>Table C.1</w:t>
      </w:r>
      <w:r w:rsidR="00420124">
        <w:fldChar w:fldCharType="end"/>
      </w:r>
      <w:r w:rsidR="00420124">
        <w:t>.</w:t>
      </w:r>
    </w:p>
    <w:p w14:paraId="6E070D63" w14:textId="7C281304" w:rsidR="0020150A" w:rsidRPr="006E250A" w:rsidRDefault="0020150A" w:rsidP="0020150A">
      <w:pPr>
        <w:pStyle w:val="Heading4un-numbered"/>
        <w:rPr>
          <w:color w:val="012169" w:themeColor="accent4"/>
        </w:rPr>
      </w:pPr>
      <w:r w:rsidRPr="006E250A">
        <w:rPr>
          <w:color w:val="012169" w:themeColor="accent4"/>
        </w:rPr>
        <w:t xml:space="preserve">Unique </w:t>
      </w:r>
      <w:r>
        <w:rPr>
          <w:color w:val="012169" w:themeColor="accent4"/>
        </w:rPr>
        <w:t xml:space="preserve">access </w:t>
      </w:r>
      <w:r w:rsidRPr="006E250A">
        <w:rPr>
          <w:color w:val="012169" w:themeColor="accent4"/>
        </w:rPr>
        <w:t xml:space="preserve">barriers exist for people </w:t>
      </w:r>
      <w:r w:rsidR="004A31BC">
        <w:rPr>
          <w:color w:val="012169" w:themeColor="accent4"/>
        </w:rPr>
        <w:t xml:space="preserve">in </w:t>
      </w:r>
      <w:r w:rsidRPr="006E250A">
        <w:rPr>
          <w:color w:val="012169" w:themeColor="accent4"/>
        </w:rPr>
        <w:t xml:space="preserve">rural and remote </w:t>
      </w:r>
      <w:r w:rsidR="004A31BC">
        <w:rPr>
          <w:color w:val="012169" w:themeColor="accent4"/>
        </w:rPr>
        <w:t>areas</w:t>
      </w:r>
      <w:r w:rsidRPr="006E250A">
        <w:rPr>
          <w:color w:val="012169" w:themeColor="accent4"/>
        </w:rPr>
        <w:t xml:space="preserve">, </w:t>
      </w:r>
      <w:r w:rsidR="004A31BC">
        <w:rPr>
          <w:color w:val="012169" w:themeColor="accent4"/>
        </w:rPr>
        <w:t>from</w:t>
      </w:r>
      <w:r w:rsidRPr="006E250A">
        <w:rPr>
          <w:color w:val="012169" w:themeColor="accent4"/>
        </w:rPr>
        <w:t xml:space="preserve"> CALD backgrounds and Aboriginal and Torres Strait Islander</w:t>
      </w:r>
      <w:r>
        <w:rPr>
          <w:color w:val="012169" w:themeColor="accent4"/>
        </w:rPr>
        <w:t xml:space="preserve"> people</w:t>
      </w:r>
      <w:r w:rsidRPr="006E250A">
        <w:rPr>
          <w:color w:val="012169" w:themeColor="accent4"/>
        </w:rPr>
        <w:t>.</w:t>
      </w:r>
    </w:p>
    <w:p w14:paraId="1F998714" w14:textId="25DBDBCC" w:rsidR="0020150A" w:rsidRDefault="0020150A" w:rsidP="0020150A">
      <w:r>
        <w:lastRenderedPageBreak/>
        <w:t xml:space="preserve">The Population Based Screening Framework includes criteria for screening programs to be implemented in a way that provides equitable access to the test and follow-up assessment regardless of remoteness, ethnicity, socioeconomic status, and disability status. The Program does provide universal, free access to screening for all people within the target cohort, however there are disparities in rates of Program participation and subsequent follow-up. </w:t>
      </w:r>
    </w:p>
    <w:p w14:paraId="3AD1F576" w14:textId="37F86C40" w:rsidR="00C53979" w:rsidRDefault="00B00895" w:rsidP="0020150A">
      <w:r>
        <w:rPr>
          <w:highlight w:val="yellow"/>
        </w:rPr>
        <w:fldChar w:fldCharType="begin"/>
      </w:r>
      <w:r>
        <w:instrText xml:space="preserve"> REF _Ref67835083 \r \h </w:instrText>
      </w:r>
      <w:r>
        <w:rPr>
          <w:highlight w:val="yellow"/>
        </w:rPr>
      </w:r>
      <w:r>
        <w:rPr>
          <w:highlight w:val="yellow"/>
        </w:rPr>
        <w:fldChar w:fldCharType="separate"/>
      </w:r>
      <w:r w:rsidR="00F27525">
        <w:t>Table 4.2</w:t>
      </w:r>
      <w:r>
        <w:rPr>
          <w:highlight w:val="yellow"/>
        </w:rPr>
        <w:fldChar w:fldCharType="end"/>
      </w:r>
      <w:r>
        <w:t xml:space="preserve"> </w:t>
      </w:r>
      <w:r w:rsidR="0020150A">
        <w:t xml:space="preserve">illustrates the variable participation rate by different population groups. Groups with </w:t>
      </w:r>
      <w:r w:rsidR="008245AE">
        <w:t>comparatively</w:t>
      </w:r>
      <w:r w:rsidR="0020150A">
        <w:t xml:space="preserve"> low participation rates are those from remote areas (37 per cent from remote areas, and 27 per cent from very remote areas) and those that identify as Aboriginal and Torres Strait Islander (23 per cent). Other cohorts with relatively low participation rates are </w:t>
      </w:r>
      <w:r w:rsidR="00C53979">
        <w:t>people with</w:t>
      </w:r>
      <w:r w:rsidR="0020150A">
        <w:t xml:space="preserve"> disabilities (36 per cent) and from low socioeconomic </w:t>
      </w:r>
      <w:r w:rsidR="00955F23">
        <w:t xml:space="preserve">areas </w:t>
      </w:r>
      <w:r w:rsidR="0020150A">
        <w:t>(40</w:t>
      </w:r>
      <w:r w:rsidR="0020150A" w:rsidRPr="000A0BE6">
        <w:t xml:space="preserve"> per cent</w:t>
      </w:r>
      <w:r w:rsidR="0020150A">
        <w:t>).</w:t>
      </w:r>
      <w:r w:rsidR="00C94DD5">
        <w:rPr>
          <w:rStyle w:val="FootnoteReference"/>
        </w:rPr>
        <w:footnoteReference w:id="19"/>
      </w:r>
      <w:r w:rsidR="0020150A">
        <w:t xml:space="preserve"> </w:t>
      </w:r>
    </w:p>
    <w:p w14:paraId="4D5D1A5A" w14:textId="34DA3C1F" w:rsidR="00C90589" w:rsidRDefault="0020150A" w:rsidP="00815EA5">
      <w:r>
        <w:t>A</w:t>
      </w:r>
      <w:r w:rsidR="009B39EB">
        <w:t>n</w:t>
      </w:r>
      <w:r>
        <w:t xml:space="preserve"> exploration of the access barriers</w:t>
      </w:r>
      <w:r w:rsidR="00C53979">
        <w:t xml:space="preserve"> specific to</w:t>
      </w:r>
      <w:r>
        <w:t xml:space="preserve"> each of these groups is described in</w:t>
      </w:r>
      <w:r w:rsidR="00AD4527">
        <w:t xml:space="preserve"> section</w:t>
      </w:r>
      <w:r w:rsidR="00BD1521">
        <w:t xml:space="preserve"> </w:t>
      </w:r>
      <w:r w:rsidR="00AD4527">
        <w:rPr>
          <w:color w:val="FF0000"/>
        </w:rPr>
        <w:fldChar w:fldCharType="begin"/>
      </w:r>
      <w:r w:rsidR="00AD4527">
        <w:instrText xml:space="preserve"> REF _Ref67401037 \r \h </w:instrText>
      </w:r>
      <w:r w:rsidR="00AD4527">
        <w:rPr>
          <w:color w:val="FF0000"/>
        </w:rPr>
      </w:r>
      <w:r w:rsidR="00AD4527">
        <w:rPr>
          <w:color w:val="FF0000"/>
        </w:rPr>
        <w:fldChar w:fldCharType="separate"/>
      </w:r>
      <w:r w:rsidR="00F27525">
        <w:t>4.1.4.3</w:t>
      </w:r>
      <w:r w:rsidR="00AD4527">
        <w:rPr>
          <w:color w:val="FF0000"/>
        </w:rPr>
        <w:fldChar w:fldCharType="end"/>
      </w:r>
      <w:r>
        <w:t>.</w:t>
      </w:r>
    </w:p>
    <w:p w14:paraId="53BBEAE5" w14:textId="1866F8BD" w:rsidR="00BD1521" w:rsidRDefault="00723F7C" w:rsidP="00723F7C">
      <w:pPr>
        <w:pStyle w:val="CaptionTable"/>
      </w:pPr>
      <w:bookmarkStart w:id="156" w:name="_Ref67835083"/>
      <w:r>
        <w:t xml:space="preserve">: </w:t>
      </w:r>
      <w:r w:rsidR="00BD1521">
        <w:t>Participation rates</w:t>
      </w:r>
      <w:r>
        <w:t xml:space="preserve"> by population sub-group</w:t>
      </w:r>
      <w:bookmarkEnd w:id="156"/>
      <w:r w:rsidR="00967232">
        <w:t>, 2018</w:t>
      </w:r>
    </w:p>
    <w:tbl>
      <w:tblPr>
        <w:tblStyle w:val="Deloittetable"/>
        <w:tblW w:w="5000" w:type="pct"/>
        <w:tblLayout w:type="fixed"/>
        <w:tblLook w:val="04A0" w:firstRow="1" w:lastRow="0" w:firstColumn="1" w:lastColumn="0" w:noHBand="0" w:noVBand="1"/>
      </w:tblPr>
      <w:tblGrid>
        <w:gridCol w:w="6372"/>
        <w:gridCol w:w="2644"/>
      </w:tblGrid>
      <w:tr w:rsidR="00BD1521" w:rsidRPr="00DE5647" w14:paraId="54094230" w14:textId="77777777" w:rsidTr="00BE365A">
        <w:trPr>
          <w:cnfStyle w:val="100000000000" w:firstRow="1" w:lastRow="0" w:firstColumn="0" w:lastColumn="0" w:oddVBand="0" w:evenVBand="0" w:oddHBand="0" w:evenHBand="0" w:firstRowFirstColumn="0" w:firstRowLastColumn="0" w:lastRowFirstColumn="0" w:lastRowLastColumn="0"/>
          <w:tblHeader/>
        </w:trPr>
        <w:tc>
          <w:tcPr>
            <w:tcW w:w="6379" w:type="dxa"/>
          </w:tcPr>
          <w:p w14:paraId="6B2F2E60" w14:textId="77777777" w:rsidR="00BD1521" w:rsidRPr="00AD10DC" w:rsidRDefault="00BD1521" w:rsidP="00AD10DC">
            <w:r>
              <w:t>Type</w:t>
            </w:r>
          </w:p>
        </w:tc>
        <w:tc>
          <w:tcPr>
            <w:tcW w:w="2647" w:type="dxa"/>
          </w:tcPr>
          <w:p w14:paraId="0C131B41" w14:textId="170EF9BC" w:rsidR="00BD1521" w:rsidRDefault="00BD1521" w:rsidP="00AD10DC">
            <w:r w:rsidRPr="00AD10DC">
              <w:t>Participation</w:t>
            </w:r>
          </w:p>
        </w:tc>
      </w:tr>
      <w:tr w:rsidR="00BD1521" w:rsidRPr="00DE5647" w14:paraId="79456EDE" w14:textId="77777777" w:rsidTr="0067520B">
        <w:tc>
          <w:tcPr>
            <w:tcW w:w="9026" w:type="dxa"/>
            <w:gridSpan w:val="2"/>
            <w:shd w:val="clear" w:color="auto" w:fill="F2F2F2" w:themeFill="background1" w:themeFillShade="F2"/>
          </w:tcPr>
          <w:p w14:paraId="023D0069" w14:textId="77777777" w:rsidR="00BD1521" w:rsidRDefault="00BD1521" w:rsidP="0067520B">
            <w:pPr>
              <w:pStyle w:val="TabletextLeft"/>
              <w:spacing w:line="240" w:lineRule="atLeast"/>
            </w:pPr>
            <w:r>
              <w:t>Overall NBCSP participation rate</w:t>
            </w:r>
          </w:p>
        </w:tc>
      </w:tr>
      <w:tr w:rsidR="00BD1521" w:rsidRPr="00DE5647" w14:paraId="4A43D7EC" w14:textId="77777777" w:rsidTr="00BE365A">
        <w:tc>
          <w:tcPr>
            <w:tcW w:w="6379" w:type="dxa"/>
          </w:tcPr>
          <w:p w14:paraId="77BB39BA" w14:textId="77777777" w:rsidR="00BD1521" w:rsidRDefault="00BD1521" w:rsidP="0067520B">
            <w:pPr>
              <w:pStyle w:val="TabletextLeft"/>
              <w:spacing w:line="240" w:lineRule="atLeast"/>
            </w:pPr>
            <w:r>
              <w:t>NBCSP</w:t>
            </w:r>
          </w:p>
        </w:tc>
        <w:tc>
          <w:tcPr>
            <w:tcW w:w="2647" w:type="dxa"/>
          </w:tcPr>
          <w:p w14:paraId="64A287E2" w14:textId="77777777" w:rsidR="00BD1521" w:rsidRDefault="00BD1521" w:rsidP="00163992">
            <w:pPr>
              <w:pStyle w:val="TabletextLeft"/>
              <w:spacing w:line="240" w:lineRule="atLeast"/>
              <w:jc w:val="right"/>
            </w:pPr>
            <w:r w:rsidRPr="00410466">
              <w:rPr>
                <w:lang w:val="en-US"/>
              </w:rPr>
              <w:t>43.8%</w:t>
            </w:r>
            <w:r>
              <w:rPr>
                <w:vertAlign w:val="superscript"/>
                <w:lang w:val="en-US"/>
              </w:rPr>
              <w:t>a</w:t>
            </w:r>
            <w:r w:rsidRPr="00410466">
              <w:rPr>
                <w:lang w:val="en-US"/>
              </w:rPr>
              <w:t xml:space="preserve"> </w:t>
            </w:r>
          </w:p>
        </w:tc>
      </w:tr>
      <w:tr w:rsidR="00BD1521" w:rsidRPr="00DE5647" w14:paraId="6FC75A7B" w14:textId="77777777" w:rsidTr="0067520B">
        <w:tc>
          <w:tcPr>
            <w:tcW w:w="9026" w:type="dxa"/>
            <w:gridSpan w:val="2"/>
            <w:shd w:val="clear" w:color="auto" w:fill="F2F2F2" w:themeFill="background1" w:themeFillShade="F2"/>
          </w:tcPr>
          <w:p w14:paraId="27BF4503" w14:textId="77777777" w:rsidR="00BD1521" w:rsidRDefault="00BD1521" w:rsidP="0067520B">
            <w:pPr>
              <w:pStyle w:val="TabletextLeft"/>
              <w:spacing w:line="240" w:lineRule="atLeast"/>
            </w:pPr>
            <w:r>
              <w:t>Sub-populations within NBCSP</w:t>
            </w:r>
          </w:p>
        </w:tc>
      </w:tr>
      <w:tr w:rsidR="00BD1521" w:rsidRPr="00DE5647" w14:paraId="41E797EC" w14:textId="77777777" w:rsidTr="00BE365A">
        <w:tc>
          <w:tcPr>
            <w:tcW w:w="6379" w:type="dxa"/>
            <w:shd w:val="clear" w:color="auto" w:fill="auto"/>
            <w:vAlign w:val="center"/>
          </w:tcPr>
          <w:p w14:paraId="4DE70B15" w14:textId="77777777" w:rsidR="00BD1521" w:rsidRPr="00410466" w:rsidRDefault="00BD1521" w:rsidP="0067520B">
            <w:pPr>
              <w:pStyle w:val="TabletextLeft"/>
              <w:spacing w:line="240" w:lineRule="atLeast"/>
              <w:rPr>
                <w:rFonts w:cs="Arial"/>
                <w:color w:val="000000" w:themeColor="text1"/>
                <w:kern w:val="24"/>
                <w:szCs w:val="17"/>
                <w:lang w:val="en-US"/>
              </w:rPr>
            </w:pPr>
            <w:r>
              <w:rPr>
                <w:rFonts w:cs="Arial"/>
                <w:color w:val="000000" w:themeColor="text1"/>
                <w:kern w:val="24"/>
                <w:szCs w:val="17"/>
                <w:lang w:val="en-US"/>
              </w:rPr>
              <w:t>Female</w:t>
            </w:r>
          </w:p>
        </w:tc>
        <w:tc>
          <w:tcPr>
            <w:tcW w:w="2647" w:type="dxa"/>
            <w:shd w:val="clear" w:color="auto" w:fill="E7F5CF" w:themeFill="accent1" w:themeFillTint="33"/>
            <w:vAlign w:val="center"/>
          </w:tcPr>
          <w:p w14:paraId="33A0FBC6" w14:textId="77777777" w:rsidR="00BD1521" w:rsidRPr="00D72BC3" w:rsidRDefault="00BD1521" w:rsidP="00163992">
            <w:pPr>
              <w:pStyle w:val="TabletextLeft"/>
              <w:spacing w:line="240" w:lineRule="atLeast"/>
              <w:jc w:val="right"/>
              <w:rPr>
                <w:rFonts w:cs="Arial"/>
                <w:kern w:val="24"/>
                <w:lang w:val="en-US"/>
              </w:rPr>
            </w:pPr>
            <w:r w:rsidRPr="00D72BC3">
              <w:rPr>
                <w:rFonts w:cs="Arial"/>
                <w:kern w:val="24"/>
                <w:lang w:val="en-US"/>
              </w:rPr>
              <w:t>45.9%</w:t>
            </w:r>
            <w:r>
              <w:rPr>
                <w:vertAlign w:val="superscript"/>
                <w:lang w:val="en-US"/>
              </w:rPr>
              <w:t>a</w:t>
            </w:r>
          </w:p>
        </w:tc>
      </w:tr>
      <w:tr w:rsidR="00BD1521" w:rsidRPr="00DE5647" w14:paraId="69880D61" w14:textId="77777777" w:rsidTr="00BE365A">
        <w:tc>
          <w:tcPr>
            <w:tcW w:w="6379" w:type="dxa"/>
            <w:shd w:val="clear" w:color="auto" w:fill="auto"/>
            <w:vAlign w:val="center"/>
          </w:tcPr>
          <w:p w14:paraId="6CBC0D07" w14:textId="77777777" w:rsidR="00BD1521" w:rsidRPr="00410466" w:rsidRDefault="00BD1521" w:rsidP="0067520B">
            <w:pPr>
              <w:pStyle w:val="TabletextLeft"/>
              <w:spacing w:line="240" w:lineRule="atLeast"/>
              <w:rPr>
                <w:rFonts w:cs="Arial"/>
                <w:color w:val="000000" w:themeColor="text1"/>
                <w:kern w:val="24"/>
                <w:szCs w:val="17"/>
                <w:lang w:val="en-US"/>
              </w:rPr>
            </w:pPr>
            <w:r>
              <w:rPr>
                <w:rFonts w:cs="Arial"/>
                <w:color w:val="000000" w:themeColor="text1"/>
                <w:kern w:val="24"/>
                <w:szCs w:val="17"/>
                <w:lang w:val="en-US"/>
              </w:rPr>
              <w:t>Male</w:t>
            </w:r>
          </w:p>
        </w:tc>
        <w:tc>
          <w:tcPr>
            <w:tcW w:w="2647" w:type="dxa"/>
            <w:shd w:val="clear" w:color="auto" w:fill="FCCFC8"/>
            <w:vAlign w:val="center"/>
          </w:tcPr>
          <w:p w14:paraId="054CACA6" w14:textId="77777777" w:rsidR="00BD1521" w:rsidRPr="00D72BC3" w:rsidRDefault="00BD1521" w:rsidP="00163992">
            <w:pPr>
              <w:pStyle w:val="TabletextLeft"/>
              <w:spacing w:line="240" w:lineRule="atLeast"/>
              <w:jc w:val="right"/>
              <w:rPr>
                <w:rFonts w:cs="Arial"/>
                <w:kern w:val="24"/>
                <w:lang w:val="en-US"/>
              </w:rPr>
            </w:pPr>
            <w:r w:rsidRPr="00D72BC3">
              <w:rPr>
                <w:rFonts w:cs="Arial"/>
                <w:kern w:val="24"/>
                <w:lang w:val="en-US"/>
              </w:rPr>
              <w:t>41.6%</w:t>
            </w:r>
            <w:r>
              <w:rPr>
                <w:vertAlign w:val="superscript"/>
                <w:lang w:val="en-US"/>
              </w:rPr>
              <w:t>a</w:t>
            </w:r>
            <w:r w:rsidRPr="00D72BC3">
              <w:rPr>
                <w:rFonts w:cs="Arial"/>
                <w:kern w:val="24"/>
                <w:lang w:val="en-US"/>
              </w:rPr>
              <w:t xml:space="preserve"> </w:t>
            </w:r>
          </w:p>
        </w:tc>
      </w:tr>
      <w:tr w:rsidR="00BD1521" w:rsidRPr="00DE5647" w14:paraId="2A77C405" w14:textId="77777777" w:rsidTr="00BE365A">
        <w:tc>
          <w:tcPr>
            <w:tcW w:w="6379" w:type="dxa"/>
            <w:shd w:val="clear" w:color="auto" w:fill="auto"/>
            <w:vAlign w:val="center"/>
          </w:tcPr>
          <w:p w14:paraId="23764178" w14:textId="77777777" w:rsidR="00BD1521" w:rsidRPr="00410466" w:rsidRDefault="00BD1521" w:rsidP="0067520B">
            <w:pPr>
              <w:pStyle w:val="TabletextLeft"/>
              <w:spacing w:line="240" w:lineRule="atLeast"/>
              <w:rPr>
                <w:szCs w:val="17"/>
              </w:rPr>
            </w:pPr>
            <w:r w:rsidRPr="00410466">
              <w:rPr>
                <w:rFonts w:cs="Arial"/>
                <w:color w:val="000000" w:themeColor="text1"/>
                <w:kern w:val="24"/>
                <w:szCs w:val="17"/>
                <w:lang w:val="en-US"/>
              </w:rPr>
              <w:t>Disability</w:t>
            </w:r>
          </w:p>
        </w:tc>
        <w:tc>
          <w:tcPr>
            <w:tcW w:w="2647" w:type="dxa"/>
            <w:shd w:val="clear" w:color="auto" w:fill="FCCFC8"/>
            <w:vAlign w:val="center"/>
          </w:tcPr>
          <w:p w14:paraId="0ABA5C68" w14:textId="77777777" w:rsidR="00BD1521" w:rsidRPr="00410466" w:rsidRDefault="00BD1521" w:rsidP="00163992">
            <w:pPr>
              <w:pStyle w:val="TabletextLeft"/>
              <w:spacing w:line="240" w:lineRule="atLeast"/>
              <w:jc w:val="right"/>
            </w:pPr>
            <w:r w:rsidRPr="00D72BC3">
              <w:rPr>
                <w:rFonts w:cs="Arial"/>
                <w:kern w:val="24"/>
                <w:lang w:val="en-US"/>
              </w:rPr>
              <w:t>35.7%</w:t>
            </w:r>
            <w:r>
              <w:rPr>
                <w:vertAlign w:val="superscript"/>
                <w:lang w:val="en-US"/>
              </w:rPr>
              <w:t>b</w:t>
            </w:r>
            <w:r w:rsidRPr="00D72BC3">
              <w:rPr>
                <w:rFonts w:cs="Arial"/>
                <w:kern w:val="24"/>
                <w:lang w:val="en-US"/>
              </w:rPr>
              <w:t xml:space="preserve">  </w:t>
            </w:r>
          </w:p>
        </w:tc>
      </w:tr>
      <w:tr w:rsidR="00BD1521" w:rsidRPr="00DE5647" w14:paraId="373F0DD6" w14:textId="77777777" w:rsidTr="00BE365A">
        <w:tc>
          <w:tcPr>
            <w:tcW w:w="6379" w:type="dxa"/>
            <w:shd w:val="clear" w:color="auto" w:fill="auto"/>
            <w:vAlign w:val="center"/>
          </w:tcPr>
          <w:p w14:paraId="4FA7BD2C" w14:textId="77777777" w:rsidR="00BD1521" w:rsidRPr="00410466" w:rsidRDefault="00BD1521" w:rsidP="0067520B">
            <w:pPr>
              <w:pStyle w:val="TabletextLeft"/>
              <w:spacing w:line="240" w:lineRule="atLeast"/>
              <w:rPr>
                <w:szCs w:val="17"/>
              </w:rPr>
            </w:pPr>
            <w:r w:rsidRPr="00410466">
              <w:rPr>
                <w:rFonts w:cs="Arial"/>
                <w:color w:val="000000" w:themeColor="text1"/>
                <w:kern w:val="24"/>
                <w:szCs w:val="17"/>
                <w:lang w:val="en-US"/>
              </w:rPr>
              <w:t>Indigenous</w:t>
            </w:r>
          </w:p>
        </w:tc>
        <w:tc>
          <w:tcPr>
            <w:tcW w:w="2647" w:type="dxa"/>
            <w:shd w:val="clear" w:color="auto" w:fill="FCCFC8"/>
            <w:vAlign w:val="center"/>
          </w:tcPr>
          <w:p w14:paraId="71111427" w14:textId="77777777" w:rsidR="00BD1521" w:rsidRPr="00410466" w:rsidRDefault="00BD1521" w:rsidP="00163992">
            <w:pPr>
              <w:pStyle w:val="TabletextLeft"/>
              <w:spacing w:line="240" w:lineRule="atLeast"/>
              <w:jc w:val="right"/>
            </w:pPr>
            <w:r w:rsidRPr="00D72BC3">
              <w:rPr>
                <w:rFonts w:cs="Arial"/>
                <w:kern w:val="24"/>
                <w:lang w:val="en-US"/>
              </w:rPr>
              <w:t>22.9%</w:t>
            </w:r>
            <w:r>
              <w:rPr>
                <w:vertAlign w:val="superscript"/>
                <w:lang w:val="en-US"/>
              </w:rPr>
              <w:t xml:space="preserve">b </w:t>
            </w:r>
            <w:r w:rsidRPr="00D72BC3">
              <w:rPr>
                <w:rFonts w:cs="Arial"/>
                <w:kern w:val="24"/>
                <w:lang w:val="en-US"/>
              </w:rPr>
              <w:t xml:space="preserve"> </w:t>
            </w:r>
          </w:p>
        </w:tc>
      </w:tr>
      <w:tr w:rsidR="00224DD5" w:rsidRPr="00DE5647" w14:paraId="640AA3B8" w14:textId="77777777" w:rsidTr="00BE365A">
        <w:tc>
          <w:tcPr>
            <w:tcW w:w="6379" w:type="dxa"/>
            <w:shd w:val="clear" w:color="auto" w:fill="auto"/>
            <w:vAlign w:val="center"/>
          </w:tcPr>
          <w:p w14:paraId="14D5D313" w14:textId="05DEFB81" w:rsidR="00224DD5" w:rsidRPr="00410466" w:rsidRDefault="00224DD5" w:rsidP="0067520B">
            <w:pPr>
              <w:pStyle w:val="TabletextLeft"/>
              <w:spacing w:line="240" w:lineRule="atLeast"/>
              <w:rPr>
                <w:rFonts w:cs="Arial"/>
                <w:color w:val="000000" w:themeColor="text1"/>
                <w:kern w:val="24"/>
                <w:szCs w:val="17"/>
                <w:lang w:val="en-US"/>
              </w:rPr>
            </w:pPr>
            <w:r>
              <w:rPr>
                <w:rFonts w:cs="Arial"/>
                <w:color w:val="000000" w:themeColor="text1"/>
                <w:kern w:val="24"/>
                <w:szCs w:val="17"/>
                <w:lang w:val="en-US"/>
              </w:rPr>
              <w:t xml:space="preserve">Language other than </w:t>
            </w:r>
            <w:r w:rsidR="00CD6665">
              <w:rPr>
                <w:rFonts w:cs="Arial"/>
                <w:color w:val="000000" w:themeColor="text1"/>
                <w:kern w:val="24"/>
                <w:szCs w:val="17"/>
                <w:lang w:val="en-US"/>
              </w:rPr>
              <w:t>English spoken at home</w:t>
            </w:r>
            <w:r w:rsidR="00BD4985">
              <w:rPr>
                <w:rFonts w:cs="Arial"/>
                <w:color w:val="000000" w:themeColor="text1"/>
                <w:kern w:val="24"/>
                <w:szCs w:val="17"/>
                <w:lang w:val="en-US"/>
              </w:rPr>
              <w:t xml:space="preserve"> (estimate)</w:t>
            </w:r>
          </w:p>
        </w:tc>
        <w:tc>
          <w:tcPr>
            <w:tcW w:w="2647" w:type="dxa"/>
            <w:shd w:val="clear" w:color="auto" w:fill="FCCFC8"/>
            <w:vAlign w:val="center"/>
          </w:tcPr>
          <w:p w14:paraId="6A0F3254" w14:textId="54F54377" w:rsidR="00224DD5" w:rsidRPr="00D72BC3" w:rsidRDefault="00CD6665" w:rsidP="00163992">
            <w:pPr>
              <w:pStyle w:val="TabletextLeft"/>
              <w:spacing w:line="240" w:lineRule="atLeast"/>
              <w:jc w:val="right"/>
              <w:rPr>
                <w:rFonts w:cs="Arial"/>
                <w:kern w:val="24"/>
                <w:vertAlign w:val="superscript"/>
                <w:lang w:val="en-US"/>
              </w:rPr>
            </w:pPr>
            <w:r w:rsidRPr="00D72BC3">
              <w:rPr>
                <w:rFonts w:cs="Arial"/>
                <w:kern w:val="24"/>
                <w:lang w:val="en-US"/>
              </w:rPr>
              <w:t xml:space="preserve">23.8% </w:t>
            </w:r>
            <w:r w:rsidR="00245C69">
              <w:rPr>
                <w:rFonts w:cs="Arial"/>
                <w:kern w:val="24"/>
                <w:lang w:val="en-US"/>
              </w:rPr>
              <w:t>to</w:t>
            </w:r>
            <w:r w:rsidRPr="00D72BC3">
              <w:rPr>
                <w:rFonts w:cs="Arial"/>
                <w:kern w:val="24"/>
                <w:lang w:val="en-US"/>
              </w:rPr>
              <w:t xml:space="preserve"> 32.8%</w:t>
            </w:r>
            <w:r w:rsidR="00BD4985" w:rsidRPr="00952DA9">
              <w:rPr>
                <w:rFonts w:cs="Arial"/>
                <w:kern w:val="24"/>
                <w:vertAlign w:val="superscript"/>
                <w:lang w:val="en-US"/>
              </w:rPr>
              <w:t>b</w:t>
            </w:r>
          </w:p>
        </w:tc>
      </w:tr>
      <w:tr w:rsidR="00BD1521" w:rsidRPr="00DE5647" w14:paraId="7D51A402" w14:textId="77777777" w:rsidTr="00BE365A">
        <w:tc>
          <w:tcPr>
            <w:tcW w:w="6379" w:type="dxa"/>
            <w:shd w:val="clear" w:color="auto" w:fill="auto"/>
            <w:vAlign w:val="center"/>
          </w:tcPr>
          <w:p w14:paraId="0902935A" w14:textId="77777777" w:rsidR="00BD1521" w:rsidRPr="00410466" w:rsidRDefault="00BD1521" w:rsidP="0067520B">
            <w:pPr>
              <w:pStyle w:val="TabletextLeft"/>
              <w:spacing w:line="240" w:lineRule="atLeast"/>
              <w:rPr>
                <w:szCs w:val="17"/>
              </w:rPr>
            </w:pPr>
            <w:r w:rsidRPr="00410466">
              <w:rPr>
                <w:rFonts w:cs="Arial"/>
                <w:color w:val="000000" w:themeColor="text1"/>
                <w:kern w:val="24"/>
                <w:szCs w:val="17"/>
                <w:lang w:val="en-US"/>
              </w:rPr>
              <w:t>Metro</w:t>
            </w:r>
          </w:p>
        </w:tc>
        <w:tc>
          <w:tcPr>
            <w:tcW w:w="2647" w:type="dxa"/>
            <w:shd w:val="clear" w:color="auto" w:fill="FCCFC8"/>
            <w:vAlign w:val="center"/>
          </w:tcPr>
          <w:p w14:paraId="42DB978C" w14:textId="77777777" w:rsidR="00BD1521" w:rsidRPr="00410466" w:rsidRDefault="00BD1521" w:rsidP="00163992">
            <w:pPr>
              <w:pStyle w:val="TabletextLeft"/>
              <w:spacing w:line="240" w:lineRule="atLeast"/>
              <w:jc w:val="right"/>
            </w:pPr>
            <w:r w:rsidRPr="00D72BC3">
              <w:rPr>
                <w:rFonts w:cs="Arial"/>
                <w:kern w:val="24"/>
                <w:lang w:val="en-US"/>
              </w:rPr>
              <w:t>41.2%</w:t>
            </w:r>
            <w:r>
              <w:rPr>
                <w:vertAlign w:val="superscript"/>
                <w:lang w:val="en-US"/>
              </w:rPr>
              <w:t>b</w:t>
            </w:r>
          </w:p>
        </w:tc>
      </w:tr>
      <w:tr w:rsidR="00BD1521" w:rsidRPr="00DE5647" w14:paraId="4C176235" w14:textId="77777777" w:rsidTr="00BE365A">
        <w:tc>
          <w:tcPr>
            <w:tcW w:w="6379" w:type="dxa"/>
            <w:shd w:val="clear" w:color="auto" w:fill="auto"/>
            <w:vAlign w:val="center"/>
          </w:tcPr>
          <w:p w14:paraId="400DCBE0" w14:textId="77777777" w:rsidR="00BD1521" w:rsidRPr="00410466" w:rsidRDefault="00BD1521" w:rsidP="0067520B">
            <w:pPr>
              <w:pStyle w:val="TabletextLeft"/>
              <w:spacing w:line="240" w:lineRule="atLeast"/>
              <w:rPr>
                <w:szCs w:val="17"/>
              </w:rPr>
            </w:pPr>
            <w:r w:rsidRPr="00410466">
              <w:rPr>
                <w:rFonts w:cs="Arial"/>
                <w:color w:val="000000" w:themeColor="text1"/>
                <w:kern w:val="24"/>
                <w:szCs w:val="17"/>
                <w:lang w:val="en-US"/>
              </w:rPr>
              <w:t>Inner regional</w:t>
            </w:r>
          </w:p>
        </w:tc>
        <w:tc>
          <w:tcPr>
            <w:tcW w:w="2647" w:type="dxa"/>
            <w:shd w:val="clear" w:color="auto" w:fill="E7F5CF" w:themeFill="accent1" w:themeFillTint="33"/>
            <w:vAlign w:val="center"/>
          </w:tcPr>
          <w:p w14:paraId="6C53209F" w14:textId="77777777" w:rsidR="00BD1521" w:rsidRPr="00410466" w:rsidRDefault="00BD1521" w:rsidP="00163992">
            <w:pPr>
              <w:pStyle w:val="TabletextLeft"/>
              <w:spacing w:line="240" w:lineRule="atLeast"/>
              <w:jc w:val="right"/>
            </w:pPr>
            <w:r w:rsidRPr="00D72BC3">
              <w:rPr>
                <w:rFonts w:cs="Arial"/>
                <w:kern w:val="24"/>
                <w:lang w:val="en-US"/>
              </w:rPr>
              <w:t>45.4%</w:t>
            </w:r>
            <w:r>
              <w:rPr>
                <w:vertAlign w:val="superscript"/>
                <w:lang w:val="en-US"/>
              </w:rPr>
              <w:t>b</w:t>
            </w:r>
            <w:r w:rsidRPr="00D72BC3">
              <w:rPr>
                <w:rFonts w:cs="Arial"/>
                <w:kern w:val="24"/>
                <w:lang w:val="en-US"/>
              </w:rPr>
              <w:t xml:space="preserve"> </w:t>
            </w:r>
          </w:p>
        </w:tc>
      </w:tr>
      <w:tr w:rsidR="00BD1521" w:rsidRPr="00DE5647" w14:paraId="1CB70B27" w14:textId="77777777" w:rsidTr="00BE365A">
        <w:tc>
          <w:tcPr>
            <w:tcW w:w="6379" w:type="dxa"/>
            <w:shd w:val="clear" w:color="auto" w:fill="auto"/>
            <w:vAlign w:val="center"/>
          </w:tcPr>
          <w:p w14:paraId="381F5B34" w14:textId="77777777" w:rsidR="00BD1521" w:rsidRPr="00410466" w:rsidRDefault="00BD1521" w:rsidP="0067520B">
            <w:pPr>
              <w:pStyle w:val="TabletextLeft"/>
              <w:spacing w:line="240" w:lineRule="atLeast"/>
              <w:rPr>
                <w:szCs w:val="17"/>
              </w:rPr>
            </w:pPr>
            <w:r w:rsidRPr="00410466">
              <w:rPr>
                <w:rFonts w:cs="Arial"/>
                <w:color w:val="000000" w:themeColor="text1"/>
                <w:kern w:val="24"/>
                <w:szCs w:val="17"/>
                <w:lang w:val="en-US"/>
              </w:rPr>
              <w:t>Outer regional</w:t>
            </w:r>
          </w:p>
        </w:tc>
        <w:tc>
          <w:tcPr>
            <w:tcW w:w="2647" w:type="dxa"/>
            <w:shd w:val="clear" w:color="auto" w:fill="FCCFC8"/>
            <w:vAlign w:val="center"/>
          </w:tcPr>
          <w:p w14:paraId="25FAAC77" w14:textId="77777777" w:rsidR="00BD1521" w:rsidRPr="00410466" w:rsidRDefault="00BD1521" w:rsidP="00163992">
            <w:pPr>
              <w:pStyle w:val="TabletextLeft"/>
              <w:spacing w:line="240" w:lineRule="atLeast"/>
              <w:jc w:val="right"/>
            </w:pPr>
            <w:r w:rsidRPr="00D72BC3">
              <w:rPr>
                <w:rFonts w:cs="Arial"/>
                <w:kern w:val="24"/>
                <w:lang w:val="en-US"/>
              </w:rPr>
              <w:t>42.4%</w:t>
            </w:r>
            <w:r>
              <w:rPr>
                <w:vertAlign w:val="superscript"/>
                <w:lang w:val="en-US"/>
              </w:rPr>
              <w:t>b</w:t>
            </w:r>
            <w:r w:rsidRPr="00D72BC3">
              <w:rPr>
                <w:rFonts w:cs="Arial"/>
                <w:kern w:val="24"/>
                <w:lang w:val="en-US"/>
              </w:rPr>
              <w:t xml:space="preserve"> </w:t>
            </w:r>
          </w:p>
        </w:tc>
      </w:tr>
      <w:tr w:rsidR="00BD1521" w:rsidRPr="00DE5647" w14:paraId="5A3FAC92" w14:textId="77777777" w:rsidTr="00BE365A">
        <w:tc>
          <w:tcPr>
            <w:tcW w:w="6379" w:type="dxa"/>
            <w:shd w:val="clear" w:color="auto" w:fill="auto"/>
            <w:vAlign w:val="center"/>
          </w:tcPr>
          <w:p w14:paraId="35339A4E" w14:textId="77777777" w:rsidR="00BD1521" w:rsidRPr="00410466" w:rsidRDefault="00BD1521" w:rsidP="0067520B">
            <w:pPr>
              <w:pStyle w:val="TabletextLeft"/>
              <w:spacing w:line="240" w:lineRule="atLeast"/>
              <w:rPr>
                <w:szCs w:val="17"/>
              </w:rPr>
            </w:pPr>
            <w:r w:rsidRPr="00410466">
              <w:rPr>
                <w:rFonts w:cs="Arial"/>
                <w:color w:val="000000" w:themeColor="text1"/>
                <w:kern w:val="24"/>
                <w:szCs w:val="17"/>
                <w:lang w:val="en-US"/>
              </w:rPr>
              <w:t>Remote</w:t>
            </w:r>
          </w:p>
        </w:tc>
        <w:tc>
          <w:tcPr>
            <w:tcW w:w="2647" w:type="dxa"/>
            <w:shd w:val="clear" w:color="auto" w:fill="FCCFC8"/>
            <w:vAlign w:val="center"/>
          </w:tcPr>
          <w:p w14:paraId="17B37296" w14:textId="77777777" w:rsidR="00BD1521" w:rsidRPr="00410466" w:rsidRDefault="00BD1521" w:rsidP="00163992">
            <w:pPr>
              <w:pStyle w:val="TabletextLeft"/>
              <w:spacing w:line="240" w:lineRule="atLeast"/>
              <w:jc w:val="right"/>
            </w:pPr>
            <w:r w:rsidRPr="00D72BC3">
              <w:rPr>
                <w:rFonts w:cs="Arial"/>
                <w:kern w:val="24"/>
                <w:lang w:val="en-US"/>
              </w:rPr>
              <w:t>37.3%</w:t>
            </w:r>
            <w:r>
              <w:rPr>
                <w:vertAlign w:val="superscript"/>
                <w:lang w:val="en-US"/>
              </w:rPr>
              <w:t>b</w:t>
            </w:r>
            <w:r w:rsidRPr="00D72BC3">
              <w:rPr>
                <w:rFonts w:cs="Arial"/>
                <w:kern w:val="24"/>
                <w:lang w:val="en-US"/>
              </w:rPr>
              <w:t xml:space="preserve"> </w:t>
            </w:r>
          </w:p>
        </w:tc>
      </w:tr>
      <w:tr w:rsidR="00BD1521" w:rsidRPr="00DE5647" w14:paraId="34871B35" w14:textId="77777777" w:rsidTr="00BE365A">
        <w:tc>
          <w:tcPr>
            <w:tcW w:w="6379" w:type="dxa"/>
            <w:shd w:val="clear" w:color="auto" w:fill="auto"/>
            <w:vAlign w:val="center"/>
          </w:tcPr>
          <w:p w14:paraId="57CC5333" w14:textId="77777777" w:rsidR="00BD1521" w:rsidRPr="00410466" w:rsidRDefault="00BD1521" w:rsidP="0067520B">
            <w:pPr>
              <w:pStyle w:val="TabletextLeft"/>
              <w:spacing w:line="240" w:lineRule="atLeast"/>
              <w:rPr>
                <w:szCs w:val="17"/>
              </w:rPr>
            </w:pPr>
            <w:r w:rsidRPr="00410466">
              <w:rPr>
                <w:rFonts w:cs="Arial"/>
                <w:color w:val="000000" w:themeColor="text1"/>
                <w:kern w:val="24"/>
                <w:szCs w:val="17"/>
                <w:lang w:val="en-US"/>
              </w:rPr>
              <w:t>Very remote</w:t>
            </w:r>
          </w:p>
        </w:tc>
        <w:tc>
          <w:tcPr>
            <w:tcW w:w="2647" w:type="dxa"/>
            <w:shd w:val="clear" w:color="auto" w:fill="FCCFC8"/>
            <w:vAlign w:val="center"/>
          </w:tcPr>
          <w:p w14:paraId="54A0B686" w14:textId="77777777" w:rsidR="00BD1521" w:rsidRPr="00410466" w:rsidRDefault="00BD1521" w:rsidP="00163992">
            <w:pPr>
              <w:pStyle w:val="TabletextLeft"/>
              <w:spacing w:line="240" w:lineRule="atLeast"/>
              <w:jc w:val="right"/>
            </w:pPr>
            <w:r w:rsidRPr="00D72BC3">
              <w:rPr>
                <w:rFonts w:cs="Arial"/>
                <w:kern w:val="24"/>
                <w:lang w:val="en-US"/>
              </w:rPr>
              <w:t>27.1%</w:t>
            </w:r>
            <w:r>
              <w:rPr>
                <w:vertAlign w:val="superscript"/>
                <w:lang w:val="en-US"/>
              </w:rPr>
              <w:t>b</w:t>
            </w:r>
            <w:r w:rsidRPr="00D72BC3">
              <w:rPr>
                <w:rFonts w:cs="Arial"/>
                <w:kern w:val="24"/>
                <w:lang w:val="en-US"/>
              </w:rPr>
              <w:t xml:space="preserve"> </w:t>
            </w:r>
          </w:p>
        </w:tc>
      </w:tr>
      <w:tr w:rsidR="00BD1521" w:rsidRPr="00DE5647" w14:paraId="72A4C9F0" w14:textId="77777777" w:rsidTr="00BE365A">
        <w:tc>
          <w:tcPr>
            <w:tcW w:w="6379" w:type="dxa"/>
            <w:shd w:val="clear" w:color="auto" w:fill="auto"/>
            <w:vAlign w:val="center"/>
          </w:tcPr>
          <w:p w14:paraId="3E2B82A4" w14:textId="2583AF37" w:rsidR="00BD1521" w:rsidRPr="00410466" w:rsidRDefault="00BD1521" w:rsidP="0067520B">
            <w:pPr>
              <w:pStyle w:val="TabletextLeft"/>
              <w:spacing w:line="240" w:lineRule="atLeast"/>
              <w:rPr>
                <w:rFonts w:cs="Arial"/>
                <w:color w:val="000000" w:themeColor="text1"/>
                <w:kern w:val="24"/>
                <w:szCs w:val="17"/>
                <w:lang w:val="en-US"/>
              </w:rPr>
            </w:pPr>
            <w:r>
              <w:rPr>
                <w:rFonts w:cs="Arial"/>
                <w:color w:val="000000" w:themeColor="text1"/>
                <w:kern w:val="24"/>
                <w:szCs w:val="17"/>
                <w:lang w:val="en-US"/>
              </w:rPr>
              <w:t>High socioeconomic area</w:t>
            </w:r>
          </w:p>
        </w:tc>
        <w:tc>
          <w:tcPr>
            <w:tcW w:w="2647" w:type="dxa"/>
            <w:shd w:val="clear" w:color="auto" w:fill="E7F5CF" w:themeFill="accent1" w:themeFillTint="33"/>
            <w:vAlign w:val="center"/>
          </w:tcPr>
          <w:p w14:paraId="263FA4DF" w14:textId="77777777" w:rsidR="00BD1521" w:rsidRPr="00D72BC3" w:rsidRDefault="00BD1521" w:rsidP="00163992">
            <w:pPr>
              <w:pStyle w:val="TabletextLeft"/>
              <w:spacing w:line="240" w:lineRule="atLeast"/>
              <w:jc w:val="right"/>
              <w:rPr>
                <w:rFonts w:cs="Arial"/>
                <w:kern w:val="24"/>
                <w:lang w:val="en-US"/>
              </w:rPr>
            </w:pPr>
            <w:r w:rsidRPr="00D72BC3">
              <w:rPr>
                <w:rFonts w:cs="Arial"/>
                <w:kern w:val="24"/>
                <w:lang w:val="en-US"/>
              </w:rPr>
              <w:t>44.6%</w:t>
            </w:r>
            <w:r>
              <w:rPr>
                <w:vertAlign w:val="superscript"/>
                <w:lang w:val="en-US"/>
              </w:rPr>
              <w:t>b</w:t>
            </w:r>
            <w:r w:rsidRPr="00D72BC3">
              <w:rPr>
                <w:rFonts w:cs="Arial"/>
                <w:kern w:val="24"/>
                <w:lang w:val="en-US"/>
              </w:rPr>
              <w:t xml:space="preserve"> </w:t>
            </w:r>
          </w:p>
        </w:tc>
      </w:tr>
      <w:tr w:rsidR="00BD1521" w:rsidRPr="00DE5647" w14:paraId="402E4F61" w14:textId="77777777" w:rsidTr="00BE365A">
        <w:tc>
          <w:tcPr>
            <w:tcW w:w="6379" w:type="dxa"/>
            <w:shd w:val="clear" w:color="auto" w:fill="auto"/>
            <w:vAlign w:val="center"/>
          </w:tcPr>
          <w:p w14:paraId="36E3EE9B" w14:textId="47E58D99" w:rsidR="00BD1521" w:rsidRDefault="00BD1521" w:rsidP="0067520B">
            <w:pPr>
              <w:pStyle w:val="TabletextLeft"/>
              <w:spacing w:line="240" w:lineRule="atLeast"/>
              <w:rPr>
                <w:rFonts w:cs="Arial"/>
                <w:color w:val="000000" w:themeColor="text1"/>
                <w:kern w:val="24"/>
                <w:szCs w:val="17"/>
                <w:lang w:val="en-US"/>
              </w:rPr>
            </w:pPr>
            <w:r>
              <w:rPr>
                <w:rFonts w:cs="Arial"/>
                <w:color w:val="000000" w:themeColor="text1"/>
                <w:kern w:val="24"/>
                <w:szCs w:val="17"/>
                <w:lang w:val="en-US"/>
              </w:rPr>
              <w:t>Low soci</w:t>
            </w:r>
            <w:r w:rsidR="005D010C">
              <w:rPr>
                <w:rFonts w:cs="Arial"/>
                <w:color w:val="000000" w:themeColor="text1"/>
                <w:kern w:val="24"/>
                <w:szCs w:val="17"/>
                <w:lang w:val="en-US"/>
              </w:rPr>
              <w:t>o</w:t>
            </w:r>
            <w:r>
              <w:rPr>
                <w:rFonts w:cs="Arial"/>
                <w:color w:val="000000" w:themeColor="text1"/>
                <w:kern w:val="24"/>
                <w:szCs w:val="17"/>
                <w:lang w:val="en-US"/>
              </w:rPr>
              <w:t>economic area</w:t>
            </w:r>
          </w:p>
        </w:tc>
        <w:tc>
          <w:tcPr>
            <w:tcW w:w="2647" w:type="dxa"/>
            <w:shd w:val="clear" w:color="auto" w:fill="FCCFC8"/>
            <w:vAlign w:val="center"/>
          </w:tcPr>
          <w:p w14:paraId="614571DF" w14:textId="6DB23002" w:rsidR="00BD1521" w:rsidRPr="00D72BC3" w:rsidRDefault="00BD1521" w:rsidP="00163992">
            <w:pPr>
              <w:pStyle w:val="TabletextLeft"/>
              <w:spacing w:line="240" w:lineRule="atLeast"/>
              <w:jc w:val="right"/>
              <w:rPr>
                <w:rFonts w:cs="Arial"/>
                <w:kern w:val="24"/>
                <w:lang w:val="en-US"/>
              </w:rPr>
            </w:pPr>
            <w:r w:rsidRPr="00D72BC3">
              <w:rPr>
                <w:rFonts w:cs="Arial"/>
                <w:kern w:val="24"/>
                <w:lang w:val="en-US"/>
              </w:rPr>
              <w:t>39.6%</w:t>
            </w:r>
            <w:r>
              <w:rPr>
                <w:vertAlign w:val="superscript"/>
                <w:lang w:val="en-US"/>
              </w:rPr>
              <w:t>b</w:t>
            </w:r>
            <w:r w:rsidRPr="00D72BC3">
              <w:rPr>
                <w:rFonts w:cs="Arial"/>
                <w:kern w:val="24"/>
                <w:lang w:val="en-US"/>
              </w:rPr>
              <w:t xml:space="preserve"> </w:t>
            </w:r>
          </w:p>
        </w:tc>
      </w:tr>
    </w:tbl>
    <w:p w14:paraId="57E1404D" w14:textId="41042156" w:rsidR="00BD1521" w:rsidRDefault="00BD1521" w:rsidP="00815EA5">
      <w:pPr>
        <w:pStyle w:val="Source"/>
        <w:spacing w:line="0" w:lineRule="atLeast"/>
      </w:pPr>
      <w:r>
        <w:t>Note:</w:t>
      </w:r>
      <w:r w:rsidRPr="00CB24AE">
        <w:t xml:space="preserve"> Red </w:t>
      </w:r>
      <w:r w:rsidR="00943960">
        <w:t>shading</w:t>
      </w:r>
      <w:r w:rsidRPr="00CB24AE">
        <w:t xml:space="preserve"> indicates </w:t>
      </w:r>
      <w:r w:rsidR="00111B38">
        <w:t xml:space="preserve">the participation </w:t>
      </w:r>
      <w:r w:rsidRPr="00CB24AE">
        <w:t>rate</w:t>
      </w:r>
      <w:r w:rsidR="00111B38">
        <w:t xml:space="preserve"> for this group</w:t>
      </w:r>
      <w:r w:rsidRPr="00CB24AE">
        <w:t xml:space="preserve"> </w:t>
      </w:r>
      <w:r w:rsidR="00111B38">
        <w:t>is</w:t>
      </w:r>
      <w:r w:rsidRPr="00CB24AE">
        <w:t xml:space="preserve"> lower than the overall NBCSP participation rate</w:t>
      </w:r>
      <w:r w:rsidR="00546415">
        <w:t xml:space="preserve">; green </w:t>
      </w:r>
      <w:r w:rsidR="00943960">
        <w:t>shading</w:t>
      </w:r>
      <w:r w:rsidR="00546415">
        <w:t xml:space="preserve"> indicates</w:t>
      </w:r>
      <w:r w:rsidR="00111B38">
        <w:t xml:space="preserve"> the</w:t>
      </w:r>
      <w:r w:rsidR="00546415">
        <w:t xml:space="preserve"> </w:t>
      </w:r>
      <w:r w:rsidR="00EA6091">
        <w:t xml:space="preserve">participation </w:t>
      </w:r>
      <w:r w:rsidR="00546415">
        <w:t>rate</w:t>
      </w:r>
      <w:r w:rsidR="00111B38">
        <w:t xml:space="preserve"> for this group is</w:t>
      </w:r>
      <w:r w:rsidR="00546415">
        <w:t xml:space="preserve"> higher</w:t>
      </w:r>
      <w:r w:rsidR="00EA6091">
        <w:t xml:space="preserve"> </w:t>
      </w:r>
      <w:r w:rsidR="00111B38">
        <w:t xml:space="preserve">than the </w:t>
      </w:r>
      <w:r w:rsidR="00EA6091" w:rsidRPr="00CB24AE">
        <w:t>overall NBCSP participation rate</w:t>
      </w:r>
      <w:r w:rsidR="00EA6091">
        <w:t>.</w:t>
      </w:r>
    </w:p>
    <w:p w14:paraId="776CBBEF" w14:textId="4850D9DF" w:rsidR="00BD1521" w:rsidRPr="00B05332" w:rsidRDefault="00BD1521" w:rsidP="00815EA5">
      <w:pPr>
        <w:pStyle w:val="Source"/>
        <w:spacing w:line="0" w:lineRule="atLeast"/>
      </w:pPr>
      <w:r w:rsidRPr="00DE5647">
        <w:t xml:space="preserve">Source: </w:t>
      </w:r>
      <w:proofErr w:type="spellStart"/>
      <w:r w:rsidRPr="3C448C84">
        <w:rPr>
          <w:vertAlign w:val="superscript"/>
        </w:rPr>
        <w:t>a</w:t>
      </w:r>
      <w:r>
        <w:t>AIHW</w:t>
      </w:r>
      <w:proofErr w:type="spellEnd"/>
      <w:r>
        <w:t xml:space="preserve">, </w:t>
      </w:r>
      <w:r>
        <w:rPr>
          <w:i/>
        </w:rPr>
        <w:t>Cancer screening programs: quarterly data</w:t>
      </w:r>
      <w:r>
        <w:t xml:space="preserve">, December 2020; </w:t>
      </w:r>
      <w:proofErr w:type="spellStart"/>
      <w:r w:rsidRPr="3C448C84">
        <w:rPr>
          <w:vertAlign w:val="superscript"/>
        </w:rPr>
        <w:t>b</w:t>
      </w:r>
      <w:r>
        <w:t>AIHW</w:t>
      </w:r>
      <w:proofErr w:type="spellEnd"/>
      <w:r>
        <w:t xml:space="preserve">, </w:t>
      </w:r>
      <w:r>
        <w:rPr>
          <w:i/>
        </w:rPr>
        <w:t>NBCSP Monitoring Report</w:t>
      </w:r>
      <w:r>
        <w:t>, July 2020</w:t>
      </w:r>
      <w:r w:rsidR="00F04B4C">
        <w:t>.</w:t>
      </w:r>
      <w:r>
        <w:t xml:space="preserve"> </w:t>
      </w:r>
    </w:p>
    <w:p w14:paraId="5A60EEF4" w14:textId="115F722A" w:rsidR="00BD1521" w:rsidRDefault="00DA254C" w:rsidP="00DA254C">
      <w:pPr>
        <w:pStyle w:val="Heading3"/>
      </w:pPr>
      <w:bookmarkStart w:id="157" w:name="_Ref67662996"/>
      <w:r>
        <w:lastRenderedPageBreak/>
        <w:t xml:space="preserve">Drivers and barriers to </w:t>
      </w:r>
      <w:r w:rsidR="0046240B">
        <w:t>P</w:t>
      </w:r>
      <w:r w:rsidR="00314BC9">
        <w:t>rogram participation</w:t>
      </w:r>
      <w:bookmarkEnd w:id="157"/>
    </w:p>
    <w:p w14:paraId="4887691F" w14:textId="58FF665C" w:rsidR="0046240B" w:rsidRPr="0046240B" w:rsidRDefault="0046240B" w:rsidP="0046240B">
      <w:r>
        <w:t xml:space="preserve">The key enablers and barriers to participation were identified through the literature scan, stakeholder consultation and the consumer survey. A synthesis of the key themes is </w:t>
      </w:r>
      <w:r w:rsidR="001B332A">
        <w:t xml:space="preserve">provided </w:t>
      </w:r>
      <w:r>
        <w:t>below.</w:t>
      </w:r>
    </w:p>
    <w:p w14:paraId="16EFA3CC" w14:textId="3A61B214" w:rsidR="00C63C5D" w:rsidRDefault="001B332A" w:rsidP="001B332A">
      <w:pPr>
        <w:pStyle w:val="Heading4"/>
      </w:pPr>
      <w:r>
        <w:t>Key enablers to Program participation</w:t>
      </w:r>
    </w:p>
    <w:p w14:paraId="422F2CBE" w14:textId="2165E0AD" w:rsidR="0061366C" w:rsidRDefault="0061366C" w:rsidP="00B90F5B">
      <w:pPr>
        <w:pStyle w:val="Heading4un-numbered"/>
        <w:rPr>
          <w:color w:val="012169" w:themeColor="accent4"/>
        </w:rPr>
      </w:pPr>
      <w:r w:rsidRPr="00B90F5B">
        <w:rPr>
          <w:color w:val="012169" w:themeColor="accent4"/>
        </w:rPr>
        <w:t xml:space="preserve">Key enablers to Program participation include the pre-invitation letter, </w:t>
      </w:r>
      <w:r w:rsidR="00B34C2A" w:rsidRPr="00B90F5B">
        <w:rPr>
          <w:color w:val="012169" w:themeColor="accent4"/>
        </w:rPr>
        <w:t>the s</w:t>
      </w:r>
      <w:r w:rsidR="00A47A43" w:rsidRPr="00B90F5B">
        <w:rPr>
          <w:color w:val="012169" w:themeColor="accent4"/>
        </w:rPr>
        <w:t xml:space="preserve">implified kit </w:t>
      </w:r>
      <w:r w:rsidR="00520FFA" w:rsidRPr="00B90F5B">
        <w:rPr>
          <w:color w:val="012169" w:themeColor="accent4"/>
        </w:rPr>
        <w:t>instructions</w:t>
      </w:r>
      <w:r w:rsidR="00A47A43" w:rsidRPr="00B90F5B">
        <w:rPr>
          <w:color w:val="012169" w:themeColor="accent4"/>
        </w:rPr>
        <w:t xml:space="preserve">, </w:t>
      </w:r>
      <w:r w:rsidR="00520FFA" w:rsidRPr="00B90F5B">
        <w:rPr>
          <w:color w:val="012169" w:themeColor="accent4"/>
        </w:rPr>
        <w:t xml:space="preserve">‘peace of mind’ </w:t>
      </w:r>
      <w:r w:rsidR="009F447A" w:rsidRPr="00B90F5B">
        <w:rPr>
          <w:color w:val="012169" w:themeColor="accent4"/>
        </w:rPr>
        <w:t xml:space="preserve">and </w:t>
      </w:r>
      <w:r w:rsidR="00B90F5B" w:rsidRPr="00B90F5B">
        <w:rPr>
          <w:color w:val="012169" w:themeColor="accent4"/>
        </w:rPr>
        <w:t>culturally tailored pathways for people fr</w:t>
      </w:r>
      <w:r w:rsidR="00BB2665">
        <w:rPr>
          <w:color w:val="012169" w:themeColor="accent4"/>
        </w:rPr>
        <w:t>o</w:t>
      </w:r>
      <w:r w:rsidR="00B90F5B" w:rsidRPr="00B90F5B">
        <w:rPr>
          <w:color w:val="012169" w:themeColor="accent4"/>
        </w:rPr>
        <w:t xml:space="preserve">m </w:t>
      </w:r>
      <w:r w:rsidR="00B90F5B" w:rsidRPr="006E250A">
        <w:rPr>
          <w:color w:val="012169" w:themeColor="accent4"/>
        </w:rPr>
        <w:t>Aboriginal and Torres Strait Islander</w:t>
      </w:r>
      <w:r w:rsidR="00B90F5B">
        <w:rPr>
          <w:color w:val="012169" w:themeColor="accent4"/>
        </w:rPr>
        <w:t xml:space="preserve"> backgrounds.</w:t>
      </w:r>
    </w:p>
    <w:p w14:paraId="1A109D10" w14:textId="558B5062" w:rsidR="00D2073E" w:rsidRPr="00B90F5B" w:rsidRDefault="00D2073E" w:rsidP="00B90F5B">
      <w:r>
        <w:t xml:space="preserve">Key enablers to </w:t>
      </w:r>
      <w:r w:rsidR="008B2830">
        <w:t>P</w:t>
      </w:r>
      <w:r>
        <w:t>rogram participation include:</w:t>
      </w:r>
    </w:p>
    <w:p w14:paraId="35FCCAA6" w14:textId="55D62440" w:rsidR="00881737" w:rsidRPr="000902CC" w:rsidRDefault="00881737" w:rsidP="00881737">
      <w:pPr>
        <w:rPr>
          <w:b/>
          <w:bCs/>
        </w:rPr>
      </w:pPr>
      <w:r w:rsidRPr="003B70F9">
        <w:rPr>
          <w:b/>
          <w:bCs/>
        </w:rPr>
        <w:t>Pre</w:t>
      </w:r>
      <w:r w:rsidR="00F72E38">
        <w:rPr>
          <w:b/>
          <w:bCs/>
        </w:rPr>
        <w:t>-</w:t>
      </w:r>
      <w:r w:rsidRPr="003B70F9">
        <w:rPr>
          <w:b/>
          <w:bCs/>
        </w:rPr>
        <w:t>invitation letter</w:t>
      </w:r>
      <w:r>
        <w:rPr>
          <w:b/>
          <w:bCs/>
        </w:rPr>
        <w:t xml:space="preserve">. </w:t>
      </w:r>
      <w:r w:rsidRPr="00537F27">
        <w:t xml:space="preserve">A </w:t>
      </w:r>
      <w:r>
        <w:t>pre-invitation letter</w:t>
      </w:r>
      <w:r w:rsidRPr="00537F27">
        <w:t xml:space="preserve"> is consider</w:t>
      </w:r>
      <w:r>
        <w:t>ed</w:t>
      </w:r>
      <w:r w:rsidRPr="00537F27">
        <w:t xml:space="preserve"> best-practice in the </w:t>
      </w:r>
      <w:r>
        <w:t xml:space="preserve">mail-out </w:t>
      </w:r>
      <w:r w:rsidRPr="00537F27">
        <w:t>cancer screening program literature</w:t>
      </w:r>
      <w:r>
        <w:t xml:space="preserve"> and was cited by a number of stakeholders as important in increasing the readiness of participants (especially first time participants) to undertake screening.</w:t>
      </w:r>
      <w:r>
        <w:rPr>
          <w:rStyle w:val="EndnoteReference"/>
        </w:rPr>
        <w:endnoteReference w:id="73"/>
      </w:r>
      <w:r>
        <w:t xml:space="preserve"> Of </w:t>
      </w:r>
      <w:r>
        <w:rPr>
          <w:lang w:val="en-US"/>
        </w:rPr>
        <w:t>nine</w:t>
      </w:r>
      <w:r w:rsidRPr="00C10AB8">
        <w:rPr>
          <w:lang w:val="en-US"/>
        </w:rPr>
        <w:t xml:space="preserve"> potential strategies identified in a meta-analysis of </w:t>
      </w:r>
      <w:r w:rsidRPr="008C7120">
        <w:t>mail-out colorectal cancer screening programs</w:t>
      </w:r>
      <w:r w:rsidRPr="00C10AB8">
        <w:rPr>
          <w:lang w:val="en-US"/>
        </w:rPr>
        <w:t>, interventions with the strongest positive association with increased uptake were: use of advanced notification (e.g. pre-invitation letter), a GP endorsement letter, and telephone contact</w:t>
      </w:r>
      <w:r w:rsidR="0096075D">
        <w:rPr>
          <w:lang w:val="en-US"/>
        </w:rPr>
        <w:t xml:space="preserve"> (from a</w:t>
      </w:r>
      <w:r w:rsidR="00C13F54">
        <w:rPr>
          <w:lang w:val="en-US"/>
        </w:rPr>
        <w:t>ny person i.e. Program officer or health professional)</w:t>
      </w:r>
      <w:r w:rsidRPr="00C10AB8">
        <w:rPr>
          <w:lang w:val="en-US"/>
        </w:rPr>
        <w:t>.</w:t>
      </w:r>
      <w:r>
        <w:rPr>
          <w:rStyle w:val="EndnoteReference"/>
        </w:rPr>
        <w:endnoteReference w:id="74"/>
      </w:r>
    </w:p>
    <w:p w14:paraId="3DF71912" w14:textId="6288A0B2" w:rsidR="00881737" w:rsidRDefault="00881737" w:rsidP="00881737">
      <w:pPr>
        <w:rPr>
          <w:lang w:val="en-US"/>
        </w:rPr>
      </w:pPr>
      <w:r>
        <w:rPr>
          <w:lang w:val="en-US"/>
        </w:rPr>
        <w:t>While the letter is considered an enabler, GP endorsement (</w:t>
      </w:r>
      <w:proofErr w:type="gramStart"/>
      <w:r>
        <w:rPr>
          <w:lang w:val="en-US"/>
        </w:rPr>
        <w:t>e.g.</w:t>
      </w:r>
      <w:proofErr w:type="gramEnd"/>
      <w:r>
        <w:rPr>
          <w:lang w:val="en-US"/>
        </w:rPr>
        <w:t xml:space="preserve"> on GP letterhead or through a signed separate letter), may further increase</w:t>
      </w:r>
      <w:r w:rsidR="008E1BCB">
        <w:rPr>
          <w:lang w:val="en-US"/>
        </w:rPr>
        <w:t xml:space="preserve"> the</w:t>
      </w:r>
      <w:r>
        <w:rPr>
          <w:lang w:val="en-US"/>
        </w:rPr>
        <w:t xml:space="preserve"> efficacy</w:t>
      </w:r>
      <w:r w:rsidR="008E1BCB">
        <w:rPr>
          <w:lang w:val="en-US"/>
        </w:rPr>
        <w:t xml:space="preserve"> of the letter</w:t>
      </w:r>
      <w:r>
        <w:rPr>
          <w:lang w:val="en-US"/>
        </w:rPr>
        <w:t xml:space="preserve">. </w:t>
      </w:r>
      <w:r w:rsidR="000521D7">
        <w:rPr>
          <w:lang w:val="en-US"/>
        </w:rPr>
        <w:t>For example, a</w:t>
      </w:r>
      <w:r>
        <w:rPr>
          <w:lang w:val="en-US"/>
        </w:rPr>
        <w:t xml:space="preserve"> South Australian study investigated the effect of </w:t>
      </w:r>
      <w:r w:rsidR="00630BDA">
        <w:rPr>
          <w:lang w:val="en-US"/>
        </w:rPr>
        <w:t>GP</w:t>
      </w:r>
      <w:r>
        <w:rPr>
          <w:lang w:val="en-US"/>
        </w:rPr>
        <w:t xml:space="preserve"> endorsement on the invitation for bowel cancer screening. </w:t>
      </w:r>
      <w:r w:rsidR="00630BDA">
        <w:rPr>
          <w:lang w:val="en-US"/>
        </w:rPr>
        <w:t>GP</w:t>
      </w:r>
      <w:r>
        <w:rPr>
          <w:lang w:val="en-US"/>
        </w:rPr>
        <w:t>–endorsed invitations (invites featuring the invitee</w:t>
      </w:r>
      <w:r w:rsidR="00F167C0">
        <w:rPr>
          <w:lang w:val="en-US"/>
        </w:rPr>
        <w:t>’</w:t>
      </w:r>
      <w:r>
        <w:rPr>
          <w:lang w:val="en-US"/>
        </w:rPr>
        <w:t xml:space="preserve">s medical practice letterhead and signed by the invitee’s </w:t>
      </w:r>
      <w:r w:rsidR="00F167C0">
        <w:rPr>
          <w:lang w:val="en-US"/>
        </w:rPr>
        <w:t>GP</w:t>
      </w:r>
      <w:r>
        <w:rPr>
          <w:lang w:val="en-US"/>
        </w:rPr>
        <w:t xml:space="preserve">) resulted in </w:t>
      </w:r>
      <w:r w:rsidR="00306853">
        <w:rPr>
          <w:lang w:val="en-US"/>
        </w:rPr>
        <w:t xml:space="preserve">an increase </w:t>
      </w:r>
      <w:r w:rsidR="006C1B2B">
        <w:rPr>
          <w:lang w:val="en-US"/>
        </w:rPr>
        <w:t>in participation of</w:t>
      </w:r>
      <w:r>
        <w:rPr>
          <w:lang w:val="en-US"/>
        </w:rPr>
        <w:t xml:space="preserve"> approximately 10 percent</w:t>
      </w:r>
      <w:r w:rsidR="006C1B2B">
        <w:rPr>
          <w:lang w:val="en-US"/>
        </w:rPr>
        <w:t>age</w:t>
      </w:r>
      <w:r>
        <w:rPr>
          <w:lang w:val="en-US"/>
        </w:rPr>
        <w:t xml:space="preserve"> points.</w:t>
      </w:r>
      <w:r>
        <w:rPr>
          <w:rStyle w:val="EndnoteReference"/>
        </w:rPr>
        <w:endnoteReference w:id="75"/>
      </w:r>
      <w:r>
        <w:rPr>
          <w:lang w:val="en-US"/>
        </w:rPr>
        <w:t xml:space="preserve"> </w:t>
      </w:r>
    </w:p>
    <w:p w14:paraId="03CD3D56" w14:textId="6C46C677" w:rsidR="005A0E84" w:rsidRDefault="00881737" w:rsidP="00881737">
      <w:r w:rsidRPr="000902CC">
        <w:rPr>
          <w:b/>
          <w:bCs/>
        </w:rPr>
        <w:t xml:space="preserve">Simplified instructions. </w:t>
      </w:r>
      <w:r w:rsidR="006C1B2B">
        <w:t>As noted in</w:t>
      </w:r>
      <w:r w:rsidR="00C21869">
        <w:t xml:space="preserve"> section</w:t>
      </w:r>
      <w:r w:rsidR="006C1B2B">
        <w:t xml:space="preserve"> </w:t>
      </w:r>
      <w:r w:rsidR="00C21869">
        <w:fldChar w:fldCharType="begin"/>
      </w:r>
      <w:r w:rsidR="00C21869">
        <w:instrText xml:space="preserve"> REF _Ref67583914 \r \h </w:instrText>
      </w:r>
      <w:r w:rsidR="00C21869">
        <w:fldChar w:fldCharType="separate"/>
      </w:r>
      <w:r w:rsidR="00F27525">
        <w:t>2.1.1.3</w:t>
      </w:r>
      <w:r w:rsidR="00C21869">
        <w:fldChar w:fldCharType="end"/>
      </w:r>
      <w:r w:rsidR="00C21869">
        <w:t>, t</w:t>
      </w:r>
      <w:r w:rsidRPr="00CA3A30">
        <w:t xml:space="preserve">here was </w:t>
      </w:r>
      <w:r>
        <w:t xml:space="preserve">consensus across stakeholders </w:t>
      </w:r>
      <w:r w:rsidR="0003279D">
        <w:t xml:space="preserve">consulted </w:t>
      </w:r>
      <w:r>
        <w:t xml:space="preserve">that the update to kit instructions </w:t>
      </w:r>
      <w:r w:rsidRPr="000902CC">
        <w:rPr>
          <w:color w:val="000000" w:themeColor="text1"/>
        </w:rPr>
        <w:t xml:space="preserve">in 2018 </w:t>
      </w:r>
      <w:r w:rsidR="0026567F">
        <w:rPr>
          <w:color w:val="000000" w:themeColor="text1"/>
        </w:rPr>
        <w:t>was</w:t>
      </w:r>
      <w:r w:rsidRPr="000902CC">
        <w:rPr>
          <w:color w:val="000000" w:themeColor="text1"/>
        </w:rPr>
        <w:t xml:space="preserve"> a positive step </w:t>
      </w:r>
      <w:r w:rsidR="0026567F">
        <w:rPr>
          <w:color w:val="000000" w:themeColor="text1"/>
        </w:rPr>
        <w:t>toward</w:t>
      </w:r>
      <w:r w:rsidRPr="000902CC">
        <w:rPr>
          <w:color w:val="000000" w:themeColor="text1"/>
        </w:rPr>
        <w:t xml:space="preserve"> increasing participation</w:t>
      </w:r>
      <w:r>
        <w:t xml:space="preserve">. In particular, the use of plain English and illustrations were seen to be a significant improvement, particularly for people with low literacy levels. </w:t>
      </w:r>
      <w:r w:rsidR="005A0E84" w:rsidRPr="005A0E84">
        <w:t xml:space="preserve"> </w:t>
      </w:r>
    </w:p>
    <w:p w14:paraId="68F705F0" w14:textId="069FEBCC" w:rsidR="00865675" w:rsidRDefault="005A0E84" w:rsidP="00881737">
      <w:r>
        <w:t xml:space="preserve">Despite this, there are opportunities to consider how the kit messaging and instructions could be tailored for people from CALD backgrounds and first-time screeners, with a view to overcoming their unique </w:t>
      </w:r>
      <w:r w:rsidRPr="009D01A3">
        <w:rPr>
          <w:szCs w:val="17"/>
        </w:rPr>
        <w:t>attitudinal</w:t>
      </w:r>
      <w:r>
        <w:rPr>
          <w:szCs w:val="17"/>
        </w:rPr>
        <w:t xml:space="preserve"> and</w:t>
      </w:r>
      <w:r w:rsidRPr="009D01A3">
        <w:rPr>
          <w:szCs w:val="17"/>
        </w:rPr>
        <w:t xml:space="preserve"> behavioural</w:t>
      </w:r>
      <w:r>
        <w:rPr>
          <w:szCs w:val="17"/>
        </w:rPr>
        <w:t xml:space="preserve"> barriers. </w:t>
      </w:r>
      <w:r>
        <w:t xml:space="preserve">These are discussed in more detail </w:t>
      </w:r>
      <w:r w:rsidRPr="007E67D6">
        <w:t xml:space="preserve">in </w:t>
      </w:r>
      <w:r w:rsidRPr="00883E3E">
        <w:t xml:space="preserve">section </w:t>
      </w:r>
      <w:r w:rsidRPr="00883E3E">
        <w:fldChar w:fldCharType="begin"/>
      </w:r>
      <w:r w:rsidRPr="00883E3E">
        <w:instrText xml:space="preserve"> REF _Ref67662996 \r \h </w:instrText>
      </w:r>
      <w:r w:rsidRPr="00883E3E">
        <w:fldChar w:fldCharType="separate"/>
      </w:r>
      <w:r w:rsidR="00F27525">
        <w:t>4.1.4</w:t>
      </w:r>
      <w:r w:rsidRPr="00883E3E">
        <w:fldChar w:fldCharType="end"/>
      </w:r>
      <w:r w:rsidRPr="00883E3E">
        <w:t>.</w:t>
      </w:r>
    </w:p>
    <w:p w14:paraId="1C7760D9" w14:textId="00377B1F" w:rsidR="00267EA0" w:rsidRDefault="00B8731B" w:rsidP="00267EA0">
      <w:r>
        <w:rPr>
          <w:b/>
          <w:bCs/>
        </w:rPr>
        <w:t>‘</w:t>
      </w:r>
      <w:r w:rsidR="00267EA0" w:rsidRPr="000902CC">
        <w:rPr>
          <w:b/>
          <w:bCs/>
        </w:rPr>
        <w:t xml:space="preserve">Peace of mind’ for those who understand the benefits of screening. </w:t>
      </w:r>
      <w:r w:rsidR="008C1652">
        <w:t>Results from the c</w:t>
      </w:r>
      <w:r w:rsidR="00F853FE" w:rsidRPr="00F853FE">
        <w:t xml:space="preserve">onsumer survey show that </w:t>
      </w:r>
      <w:r w:rsidR="00F853FE">
        <w:t>a</w:t>
      </w:r>
      <w:r w:rsidR="00267EA0">
        <w:t xml:space="preserve">pproximately </w:t>
      </w:r>
      <w:r w:rsidR="008C1652">
        <w:t>eight</w:t>
      </w:r>
      <w:r w:rsidR="00267EA0">
        <w:t xml:space="preserve"> in </w:t>
      </w:r>
      <w:r w:rsidR="008C1652">
        <w:t>ten</w:t>
      </w:r>
      <w:r w:rsidR="00267EA0">
        <w:t xml:space="preserve"> people </w:t>
      </w:r>
      <w:r w:rsidR="00836790">
        <w:t xml:space="preserve">who </w:t>
      </w:r>
      <w:r w:rsidR="00F853FE">
        <w:t>participated in the Program</w:t>
      </w:r>
      <w:r w:rsidR="00267EA0">
        <w:t xml:space="preserve"> </w:t>
      </w:r>
      <w:r w:rsidR="008C1652">
        <w:t>d</w:t>
      </w:r>
      <w:r w:rsidR="00836790">
        <w:t>id</w:t>
      </w:r>
      <w:r w:rsidR="008C1652">
        <w:t xml:space="preserve"> </w:t>
      </w:r>
      <w:r w:rsidR="00267EA0">
        <w:t xml:space="preserve">so, in part, for </w:t>
      </w:r>
      <w:r w:rsidR="00267EA0" w:rsidRPr="00B8731B">
        <w:rPr>
          <w:i/>
          <w:iCs/>
        </w:rPr>
        <w:t>‘peace of mind’</w:t>
      </w:r>
      <w:r w:rsidR="00267EA0">
        <w:t xml:space="preserve">. </w:t>
      </w:r>
      <w:r w:rsidR="002C7565">
        <w:t>This supports research in the literature, which</w:t>
      </w:r>
      <w:r w:rsidR="00267EA0">
        <w:t xml:space="preserve"> shows that improving the degree to which people are aware of the risks of cancer increases the perceived benefits of engaging in cancer screening.</w:t>
      </w:r>
      <w:r w:rsidR="00F707E4">
        <w:rPr>
          <w:rStyle w:val="EndnoteReference"/>
        </w:rPr>
        <w:endnoteReference w:id="76"/>
      </w:r>
      <w:r w:rsidR="00267EA0">
        <w:t xml:space="preserve"> </w:t>
      </w:r>
    </w:p>
    <w:p w14:paraId="63315A08" w14:textId="7E86E767" w:rsidR="00C47537" w:rsidRDefault="00F31137" w:rsidP="00267EA0">
      <w:r w:rsidRPr="000902CC">
        <w:rPr>
          <w:b/>
          <w:bCs/>
        </w:rPr>
        <w:t xml:space="preserve">Alternative </w:t>
      </w:r>
      <w:r>
        <w:rPr>
          <w:b/>
          <w:bCs/>
        </w:rPr>
        <w:t xml:space="preserve">distribution and completion pathways. </w:t>
      </w:r>
      <w:r w:rsidR="003E5F51" w:rsidRPr="00EB077E">
        <w:t>As noted in</w:t>
      </w:r>
      <w:r w:rsidR="005445C6">
        <w:t xml:space="preserve"> section</w:t>
      </w:r>
      <w:r w:rsidR="003E5F51" w:rsidRPr="005445C6">
        <w:t xml:space="preserve"> </w:t>
      </w:r>
      <w:r w:rsidR="005445C6" w:rsidRPr="005445C6">
        <w:fldChar w:fldCharType="begin"/>
      </w:r>
      <w:r w:rsidR="005445C6" w:rsidRPr="005445C6">
        <w:instrText xml:space="preserve"> REF _Ref67316215 \r \h </w:instrText>
      </w:r>
      <w:r w:rsidR="005445C6">
        <w:instrText xml:space="preserve"> \* MERGEFORMAT </w:instrText>
      </w:r>
      <w:r w:rsidR="005445C6" w:rsidRPr="005445C6">
        <w:fldChar w:fldCharType="separate"/>
      </w:r>
      <w:r w:rsidR="00F27525">
        <w:t>2.1.1.7</w:t>
      </w:r>
      <w:r w:rsidR="005445C6" w:rsidRPr="005445C6">
        <w:fldChar w:fldCharType="end"/>
      </w:r>
      <w:r w:rsidR="00C307C6">
        <w:t xml:space="preserve">, </w:t>
      </w:r>
      <w:r w:rsidR="00E5400C">
        <w:t xml:space="preserve">the </w:t>
      </w:r>
      <w:r w:rsidR="00B21F37">
        <w:t>Alternative Pathway</w:t>
      </w:r>
      <w:r w:rsidR="00E5400C">
        <w:t xml:space="preserve"> pilot was</w:t>
      </w:r>
      <w:r w:rsidR="00B21F37">
        <w:t xml:space="preserve"> </w:t>
      </w:r>
      <w:r w:rsidR="00E5400C">
        <w:t xml:space="preserve">able to improve </w:t>
      </w:r>
      <w:r w:rsidR="009641DE">
        <w:t xml:space="preserve">participation among Aboriginal and Torres </w:t>
      </w:r>
      <w:r w:rsidR="009F2AD2">
        <w:t xml:space="preserve">Strait </w:t>
      </w:r>
      <w:r w:rsidR="009641DE">
        <w:t xml:space="preserve">Islander </w:t>
      </w:r>
      <w:r w:rsidR="00B8731B">
        <w:t>people</w:t>
      </w:r>
      <w:r w:rsidR="00356151">
        <w:t xml:space="preserve"> in line with those at an overall population level</w:t>
      </w:r>
      <w:r w:rsidR="00FB3EDA">
        <w:t xml:space="preserve"> (from 23 per cent to 40 per cent)</w:t>
      </w:r>
      <w:r w:rsidR="00356151">
        <w:t>.</w:t>
      </w:r>
    </w:p>
    <w:p w14:paraId="5BA62BAC" w14:textId="1712EE1C" w:rsidR="00D342CA" w:rsidRDefault="00055DFC" w:rsidP="00055DFC">
      <w:pPr>
        <w:pStyle w:val="Heading4"/>
      </w:pPr>
      <w:bookmarkStart w:id="158" w:name="_Ref67663156"/>
      <w:r>
        <w:t>Key barriers to Program participation (at an overall level)</w:t>
      </w:r>
      <w:bookmarkEnd w:id="158"/>
      <w:r w:rsidR="00356151">
        <w:t xml:space="preserve"> </w:t>
      </w:r>
    </w:p>
    <w:p w14:paraId="1B94C415" w14:textId="51736C75" w:rsidR="00055DFC" w:rsidRPr="00BE365A" w:rsidRDefault="00962AA9" w:rsidP="00BE365A">
      <w:pPr>
        <w:pStyle w:val="Heading4un-numbered"/>
        <w:rPr>
          <w:color w:val="012169" w:themeColor="accent4"/>
        </w:rPr>
      </w:pPr>
      <w:r w:rsidRPr="00BE365A">
        <w:rPr>
          <w:color w:val="012169" w:themeColor="accent4"/>
        </w:rPr>
        <w:t>Most</w:t>
      </w:r>
      <w:r w:rsidR="002A65EE" w:rsidRPr="00BE365A">
        <w:rPr>
          <w:iCs w:val="0"/>
          <w:color w:val="012169" w:themeColor="accent4"/>
        </w:rPr>
        <w:t xml:space="preserve"> people </w:t>
      </w:r>
      <w:r w:rsidR="009A57DE" w:rsidRPr="00BE365A">
        <w:rPr>
          <w:iCs w:val="0"/>
          <w:color w:val="012169" w:themeColor="accent4"/>
        </w:rPr>
        <w:t xml:space="preserve">who did </w:t>
      </w:r>
      <w:r w:rsidR="002A65EE" w:rsidRPr="00BE365A">
        <w:rPr>
          <w:iCs w:val="0"/>
          <w:color w:val="012169" w:themeColor="accent4"/>
        </w:rPr>
        <w:t>not comple</w:t>
      </w:r>
      <w:r w:rsidR="00846717" w:rsidRPr="00BE365A">
        <w:rPr>
          <w:iCs w:val="0"/>
          <w:color w:val="012169" w:themeColor="accent4"/>
        </w:rPr>
        <w:t>te</w:t>
      </w:r>
      <w:r w:rsidR="002A65EE" w:rsidRPr="00BE365A">
        <w:rPr>
          <w:iCs w:val="0"/>
          <w:color w:val="012169" w:themeColor="accent4"/>
        </w:rPr>
        <w:t xml:space="preserve"> their NBCSP kit expressed an intention but lack of follow through, presenting opportunities for practical solutions to facilitate participation</w:t>
      </w:r>
      <w:r w:rsidR="00BB2C2E" w:rsidRPr="00BE365A">
        <w:rPr>
          <w:iCs w:val="0"/>
          <w:color w:val="012169" w:themeColor="accent4"/>
        </w:rPr>
        <w:t>.</w:t>
      </w:r>
    </w:p>
    <w:p w14:paraId="52A6A6D4" w14:textId="766F173F" w:rsidR="0023535E" w:rsidRDefault="0023535E" w:rsidP="0023535E">
      <w:pPr>
        <w:rPr>
          <w:color w:val="000000" w:themeColor="text1"/>
        </w:rPr>
      </w:pPr>
      <w:r w:rsidRPr="00FD2D5C">
        <w:rPr>
          <w:color w:val="000000" w:themeColor="text1"/>
        </w:rPr>
        <w:t>The consumer survey provided useful insights into the drivers of non-participation</w:t>
      </w:r>
      <w:r>
        <w:rPr>
          <w:color w:val="000000" w:themeColor="text1"/>
        </w:rPr>
        <w:t>, showing</w:t>
      </w:r>
      <w:r w:rsidRPr="00FD2D5C">
        <w:rPr>
          <w:color w:val="000000" w:themeColor="text1"/>
        </w:rPr>
        <w:t xml:space="preserve"> that of the 57 per cent of invitees who did not complete the kit, </w:t>
      </w:r>
      <w:r>
        <w:rPr>
          <w:color w:val="000000" w:themeColor="text1"/>
        </w:rPr>
        <w:t xml:space="preserve">38 per cent received a kit and did not complete another form of screening </w:t>
      </w:r>
      <w:r w:rsidR="00497245">
        <w:rPr>
          <w:color w:val="000000" w:themeColor="text1"/>
        </w:rPr>
        <w:t>(</w:t>
      </w:r>
      <w:r w:rsidR="00EE11CE">
        <w:rPr>
          <w:color w:val="000000" w:themeColor="text1"/>
        </w:rPr>
        <w:t xml:space="preserve">see </w:t>
      </w:r>
      <w:r w:rsidR="00021CC1">
        <w:rPr>
          <w:color w:val="000000" w:themeColor="text1"/>
        </w:rPr>
        <w:fldChar w:fldCharType="begin"/>
      </w:r>
      <w:r w:rsidR="00021CC1">
        <w:rPr>
          <w:color w:val="000000" w:themeColor="text1"/>
        </w:rPr>
        <w:instrText xml:space="preserve"> REF _Ref67591575 \r \h </w:instrText>
      </w:r>
      <w:r w:rsidR="00021CC1">
        <w:rPr>
          <w:color w:val="000000" w:themeColor="text1"/>
        </w:rPr>
      </w:r>
      <w:r w:rsidR="00021CC1">
        <w:rPr>
          <w:color w:val="000000" w:themeColor="text1"/>
        </w:rPr>
        <w:fldChar w:fldCharType="separate"/>
      </w:r>
      <w:r w:rsidR="00F27525">
        <w:rPr>
          <w:color w:val="000000" w:themeColor="text1"/>
        </w:rPr>
        <w:t>Chart 4.6</w:t>
      </w:r>
      <w:r w:rsidR="00021CC1">
        <w:rPr>
          <w:color w:val="000000" w:themeColor="text1"/>
        </w:rPr>
        <w:fldChar w:fldCharType="end"/>
      </w:r>
      <w:r w:rsidR="0049451E">
        <w:rPr>
          <w:color w:val="000000" w:themeColor="text1"/>
        </w:rPr>
        <w:t>)</w:t>
      </w:r>
      <w:r>
        <w:rPr>
          <w:color w:val="000000" w:themeColor="text1"/>
        </w:rPr>
        <w:t xml:space="preserve">. Of the remaining non-participants, </w:t>
      </w:r>
      <w:r w:rsidRPr="00FD2D5C">
        <w:rPr>
          <w:color w:val="000000" w:themeColor="text1"/>
        </w:rPr>
        <w:t>9 per cent never received the kit (representing the lost opportunity due to mailing issues</w:t>
      </w:r>
      <w:r>
        <w:rPr>
          <w:color w:val="000000" w:themeColor="text1"/>
        </w:rPr>
        <w:t xml:space="preserve">) and 10 per cent completed another form of screening (with the majority undergoing colonoscopy). </w:t>
      </w:r>
    </w:p>
    <w:p w14:paraId="347D897F" w14:textId="6B5CEDEC" w:rsidR="00BB2C2E" w:rsidRPr="00055DFC" w:rsidRDefault="00D36181" w:rsidP="00F678D8">
      <w:pPr>
        <w:pStyle w:val="CaptionChart"/>
        <w:ind w:left="142"/>
      </w:pPr>
      <w:bookmarkStart w:id="159" w:name="_Ref67591575"/>
      <w:r>
        <w:lastRenderedPageBreak/>
        <w:t xml:space="preserve">: </w:t>
      </w:r>
      <w:r w:rsidR="006C7A5B">
        <w:t xml:space="preserve">Distribution of </w:t>
      </w:r>
      <w:r w:rsidR="007F2028">
        <w:t xml:space="preserve">Program </w:t>
      </w:r>
      <w:r w:rsidR="006C7A5B">
        <w:t>participants and non-participa</w:t>
      </w:r>
      <w:r w:rsidR="0021520C">
        <w:t>nts</w:t>
      </w:r>
      <w:r w:rsidR="006C7A5B">
        <w:t xml:space="preserve"> (by reason for non-participation)</w:t>
      </w:r>
      <w:bookmarkEnd w:id="159"/>
    </w:p>
    <w:p w14:paraId="59B6CA7D" w14:textId="3098852F" w:rsidR="00865675" w:rsidRPr="000902CC" w:rsidRDefault="000A7F29" w:rsidP="00881737">
      <w:pPr>
        <w:rPr>
          <w:b/>
        </w:rPr>
      </w:pPr>
      <w:r w:rsidRPr="000A7F29">
        <w:rPr>
          <w:noProof/>
          <w:lang w:eastAsia="en-AU"/>
        </w:rPr>
        <w:drawing>
          <wp:inline distT="0" distB="0" distL="0" distR="0" wp14:anchorId="19D93726" wp14:editId="39033B6B">
            <wp:extent cx="5731510" cy="2047240"/>
            <wp:effectExtent l="0" t="0" r="0" b="0"/>
            <wp:docPr id="50" name="Picture 50" descr="Pie chart showing the distribution of program participants and non participants, by reason for not participating in the NBC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Pie chart showing the distribution of program participants and non participants, by reason for not participating in the NBCSP"/>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31510" cy="2047240"/>
                    </a:xfrm>
                    <a:prstGeom prst="rect">
                      <a:avLst/>
                    </a:prstGeom>
                    <a:noFill/>
                    <a:ln>
                      <a:noFill/>
                    </a:ln>
                  </pic:spPr>
                </pic:pic>
              </a:graphicData>
            </a:graphic>
          </wp:inline>
        </w:drawing>
      </w:r>
    </w:p>
    <w:p w14:paraId="708982C1" w14:textId="77777777" w:rsidR="003C5284" w:rsidRPr="00D23CE2" w:rsidRDefault="003C5284" w:rsidP="003C5284">
      <w:pPr>
        <w:pStyle w:val="Sources"/>
      </w:pPr>
      <w:r w:rsidRPr="00DE5647">
        <w:t xml:space="preserve">Source: </w:t>
      </w:r>
      <w:r>
        <w:t>Deloitte Access Economics NBCSP consumer survey, 2020.</w:t>
      </w:r>
    </w:p>
    <w:p w14:paraId="04972897" w14:textId="44223CF6" w:rsidR="00881737" w:rsidRPr="00881737" w:rsidRDefault="003E7F2F" w:rsidP="002F6AF9">
      <w:pPr>
        <w:pStyle w:val="CaptionChart"/>
      </w:pPr>
      <w:bookmarkStart w:id="160" w:name="_Ref67591738"/>
      <w:bookmarkStart w:id="161" w:name="_Ref67595091"/>
      <w:r>
        <w:t xml:space="preserve">: Consumer survey: </w:t>
      </w:r>
      <w:r w:rsidR="00076EA0">
        <w:t xml:space="preserve">‘What were the three main reasons you decided not to complete the kit?’, percentage by sub-group. </w:t>
      </w:r>
      <w:r w:rsidR="00076EA0" w:rsidRPr="00AB6680">
        <w:rPr>
          <w:i/>
          <w:iCs/>
        </w:rPr>
        <w:t xml:space="preserve">Asked of those who received a kit and did not complete another form of </w:t>
      </w:r>
      <w:r w:rsidR="00AB6680" w:rsidRPr="00AB6680">
        <w:rPr>
          <w:i/>
          <w:iCs/>
        </w:rPr>
        <w:t>screening only.</w:t>
      </w:r>
      <w:bookmarkEnd w:id="160"/>
      <w:bookmarkEnd w:id="161"/>
    </w:p>
    <w:p w14:paraId="53EF6495" w14:textId="3ECF52C1" w:rsidR="0046453F" w:rsidRDefault="424C3F7E" w:rsidP="0046453F">
      <w:r>
        <w:rPr>
          <w:noProof/>
          <w:lang w:eastAsia="en-AU"/>
        </w:rPr>
        <w:drawing>
          <wp:inline distT="0" distB="0" distL="0" distR="0" wp14:anchorId="7B5B0661" wp14:editId="6AFB23D4">
            <wp:extent cx="5852160" cy="3038580"/>
            <wp:effectExtent l="0" t="0" r="0" b="0"/>
            <wp:docPr id="6" name="Picture 6" descr="Bar chart showing results of a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Bar chart showing results of a survey"/>
                    <pic:cNvPicPr/>
                  </pic:nvPicPr>
                  <pic:blipFill>
                    <a:blip r:embed="rId47">
                      <a:extLst>
                        <a:ext uri="{28A0092B-C50C-407E-A947-70E740481C1C}">
                          <a14:useLocalDpi xmlns:a14="http://schemas.microsoft.com/office/drawing/2010/main" val="0"/>
                        </a:ext>
                      </a:extLst>
                    </a:blip>
                    <a:stretch>
                      <a:fillRect/>
                    </a:stretch>
                  </pic:blipFill>
                  <pic:spPr>
                    <a:xfrm>
                      <a:off x="0" y="0"/>
                      <a:ext cx="5852160" cy="3038580"/>
                    </a:xfrm>
                    <a:prstGeom prst="rect">
                      <a:avLst/>
                    </a:prstGeom>
                  </pic:spPr>
                </pic:pic>
              </a:graphicData>
            </a:graphic>
          </wp:inline>
        </w:drawing>
      </w:r>
    </w:p>
    <w:p w14:paraId="2FD63A54" w14:textId="60C308B1" w:rsidR="00E161C8" w:rsidRDefault="00E161C8" w:rsidP="00E161C8">
      <w:pPr>
        <w:pStyle w:val="Sources"/>
      </w:pPr>
      <w:r w:rsidRPr="00DE5647">
        <w:t xml:space="preserve">Source: </w:t>
      </w:r>
      <w:r>
        <w:t>Deloitte Access Economics NBCSP consumer survey, 2020</w:t>
      </w:r>
      <w:r w:rsidR="00F04B4C">
        <w:t>.</w:t>
      </w:r>
    </w:p>
    <w:p w14:paraId="367E8C39" w14:textId="39F031C8" w:rsidR="00E161C8" w:rsidRDefault="00B82C64" w:rsidP="0046453F">
      <w:pPr>
        <w:rPr>
          <w:color w:val="000000" w:themeColor="text1"/>
        </w:rPr>
      </w:pPr>
      <w:r>
        <w:t xml:space="preserve">Factors which may have contributed to </w:t>
      </w:r>
      <w:r w:rsidR="009D16C6">
        <w:t xml:space="preserve">the </w:t>
      </w:r>
      <w:r w:rsidR="003C7B70">
        <w:rPr>
          <w:color w:val="000000" w:themeColor="text1"/>
        </w:rPr>
        <w:t xml:space="preserve">38 per cent </w:t>
      </w:r>
      <w:r w:rsidR="001E087F">
        <w:rPr>
          <w:color w:val="000000" w:themeColor="text1"/>
        </w:rPr>
        <w:t xml:space="preserve">of people </w:t>
      </w:r>
      <w:r w:rsidR="009D16C6">
        <w:rPr>
          <w:color w:val="000000" w:themeColor="text1"/>
        </w:rPr>
        <w:t xml:space="preserve">that </w:t>
      </w:r>
      <w:r w:rsidR="003C7B70">
        <w:rPr>
          <w:color w:val="000000" w:themeColor="text1"/>
        </w:rPr>
        <w:t>received a kit and did not complete another form of screening</w:t>
      </w:r>
      <w:r w:rsidR="001E087F">
        <w:rPr>
          <w:color w:val="000000" w:themeColor="text1"/>
        </w:rPr>
        <w:t>, include:</w:t>
      </w:r>
    </w:p>
    <w:p w14:paraId="05352A0D" w14:textId="70EF4300" w:rsidR="009D6307" w:rsidRDefault="009D6307" w:rsidP="0046453F">
      <w:pPr>
        <w:rPr>
          <w:color w:val="000000" w:themeColor="text1"/>
        </w:rPr>
      </w:pPr>
      <w:r w:rsidRPr="009D6307">
        <w:rPr>
          <w:b/>
          <w:bCs/>
          <w:color w:val="000000" w:themeColor="text1"/>
        </w:rPr>
        <w:t>Procrastination.</w:t>
      </w:r>
      <w:r>
        <w:rPr>
          <w:color w:val="000000" w:themeColor="text1"/>
        </w:rPr>
        <w:t xml:space="preserve"> For the cohort who received a kit and did not complete another form of screening, survey results showed that the number one reason for non-completion was </w:t>
      </w:r>
      <w:r w:rsidRPr="00E22544">
        <w:rPr>
          <w:i/>
          <w:iCs/>
          <w:color w:val="000000" w:themeColor="text1"/>
        </w:rPr>
        <w:t xml:space="preserve">‘wanted to do it but did not get around to it’ </w:t>
      </w:r>
      <w:r>
        <w:rPr>
          <w:color w:val="000000" w:themeColor="text1"/>
        </w:rPr>
        <w:t>(</w:t>
      </w:r>
      <w:r w:rsidR="00B32675">
        <w:rPr>
          <w:color w:val="000000" w:themeColor="text1"/>
        </w:rPr>
        <w:t xml:space="preserve">61 per cent of non-completers, as shown </w:t>
      </w:r>
      <w:r w:rsidR="009C544B">
        <w:rPr>
          <w:color w:val="000000" w:themeColor="text1"/>
        </w:rPr>
        <w:t xml:space="preserve">in </w:t>
      </w:r>
      <w:r w:rsidR="009C544B">
        <w:fldChar w:fldCharType="begin"/>
      </w:r>
      <w:r w:rsidR="009C544B">
        <w:instrText xml:space="preserve"> REF _Ref67595091 \r \h </w:instrText>
      </w:r>
      <w:r w:rsidR="009C544B">
        <w:fldChar w:fldCharType="separate"/>
      </w:r>
      <w:r w:rsidR="00F27525">
        <w:t>Chart 4.7</w:t>
      </w:r>
      <w:r w:rsidR="009C544B">
        <w:fldChar w:fldCharType="end"/>
      </w:r>
      <w:r w:rsidR="00B32675">
        <w:rPr>
          <w:color w:val="000000" w:themeColor="text1"/>
        </w:rPr>
        <w:t xml:space="preserve">). </w:t>
      </w:r>
      <w:r>
        <w:rPr>
          <w:color w:val="000000" w:themeColor="text1"/>
        </w:rPr>
        <w:t>This present</w:t>
      </w:r>
      <w:r w:rsidR="00BB76D3">
        <w:rPr>
          <w:color w:val="000000" w:themeColor="text1"/>
        </w:rPr>
        <w:t>s</w:t>
      </w:r>
      <w:r>
        <w:rPr>
          <w:color w:val="000000" w:themeColor="text1"/>
        </w:rPr>
        <w:t xml:space="preserve"> a large opportunity for the NBCSP, as it indicates these people may be converted with the right ‘nudging’ or modifications to kit design.</w:t>
      </w:r>
    </w:p>
    <w:p w14:paraId="63FF9854" w14:textId="2703FB8A" w:rsidR="002E7560" w:rsidRDefault="002E7560" w:rsidP="0046453F">
      <w:pPr>
        <w:rPr>
          <w:color w:val="000000" w:themeColor="text1"/>
        </w:rPr>
      </w:pPr>
      <w:r w:rsidRPr="000923FD">
        <w:rPr>
          <w:b/>
          <w:bCs/>
        </w:rPr>
        <w:t xml:space="preserve">Perceived hygiene </w:t>
      </w:r>
      <w:r w:rsidR="00F80AB7">
        <w:rPr>
          <w:b/>
          <w:bCs/>
        </w:rPr>
        <w:t xml:space="preserve">concerns </w:t>
      </w:r>
      <w:r w:rsidRPr="000923FD">
        <w:rPr>
          <w:b/>
          <w:bCs/>
        </w:rPr>
        <w:t xml:space="preserve">and personal embarrassment. </w:t>
      </w:r>
      <w:r w:rsidRPr="007172F5">
        <w:t>The consumer survey found that the</w:t>
      </w:r>
      <w:r>
        <w:rPr>
          <w:color w:val="000000" w:themeColor="text1"/>
        </w:rPr>
        <w:t xml:space="preserve"> </w:t>
      </w:r>
      <w:r w:rsidRPr="00C80658">
        <w:rPr>
          <w:color w:val="000000" w:themeColor="text1"/>
        </w:rPr>
        <w:t xml:space="preserve">number </w:t>
      </w:r>
      <w:r>
        <w:rPr>
          <w:color w:val="000000" w:themeColor="text1"/>
        </w:rPr>
        <w:t>two</w:t>
      </w:r>
      <w:r w:rsidRPr="00C80658">
        <w:rPr>
          <w:color w:val="000000" w:themeColor="text1"/>
        </w:rPr>
        <w:t xml:space="preserve"> reason for non-completion </w:t>
      </w:r>
      <w:r>
        <w:rPr>
          <w:color w:val="000000" w:themeColor="text1"/>
        </w:rPr>
        <w:t>was</w:t>
      </w:r>
      <w:r w:rsidRPr="00C80658">
        <w:rPr>
          <w:color w:val="000000" w:themeColor="text1"/>
        </w:rPr>
        <w:t xml:space="preserve"> </w:t>
      </w:r>
      <w:r>
        <w:rPr>
          <w:color w:val="000000" w:themeColor="text1"/>
        </w:rPr>
        <w:t>perceived hygiene of the kit and/or personal embarrassment (54</w:t>
      </w:r>
      <w:r w:rsidR="00130998">
        <w:rPr>
          <w:color w:val="000000" w:themeColor="text1"/>
        </w:rPr>
        <w:t xml:space="preserve"> per cent </w:t>
      </w:r>
      <w:r>
        <w:rPr>
          <w:color w:val="000000" w:themeColor="text1"/>
        </w:rPr>
        <w:t xml:space="preserve">of non-completers, as </w:t>
      </w:r>
      <w:r>
        <w:t>shown in</w:t>
      </w:r>
      <w:r w:rsidR="009C544B">
        <w:t xml:space="preserve"> </w:t>
      </w:r>
      <w:r w:rsidR="009C544B">
        <w:fldChar w:fldCharType="begin"/>
      </w:r>
      <w:r w:rsidR="009C544B">
        <w:instrText xml:space="preserve"> REF _Ref67595091 \r \h </w:instrText>
      </w:r>
      <w:r w:rsidR="009C544B">
        <w:fldChar w:fldCharType="separate"/>
      </w:r>
      <w:r w:rsidR="00F27525">
        <w:t>Chart 4.7</w:t>
      </w:r>
      <w:r w:rsidR="009C544B">
        <w:fldChar w:fldCharType="end"/>
      </w:r>
      <w:r>
        <w:t>)</w:t>
      </w:r>
      <w:r>
        <w:rPr>
          <w:color w:val="000000" w:themeColor="text1"/>
        </w:rPr>
        <w:t xml:space="preserve">. Stakeholders suggested that modifications to kit accessories could help overcome these attitudinal barriers, such as opaque fridge storage bags or non-latex gloves. </w:t>
      </w:r>
    </w:p>
    <w:p w14:paraId="2906D1D5" w14:textId="502FD72E" w:rsidR="00DE3EAB" w:rsidRDefault="00301E64" w:rsidP="00301E64">
      <w:r w:rsidRPr="004F05B2">
        <w:rPr>
          <w:b/>
          <w:bCs/>
        </w:rPr>
        <w:t xml:space="preserve">Underuse of primary care as a resource. </w:t>
      </w:r>
      <w:r>
        <w:t xml:space="preserve">Currently, GPs </w:t>
      </w:r>
      <w:r w:rsidR="004A0FFA">
        <w:t>are not involved in the</w:t>
      </w:r>
      <w:r>
        <w:t xml:space="preserve"> screening pathway until the participant has completed the kit. There was consensus across stakeholders</w:t>
      </w:r>
      <w:r w:rsidR="00337C93">
        <w:t xml:space="preserve"> consulted</w:t>
      </w:r>
      <w:r>
        <w:t xml:space="preserve"> that GPs, or other practitioners such as practice nurses or pharmacists, could act as a ‘trusted advisor’ and encourage participation in the Program, through providing education about the benefits of screening and encouraging compliance. </w:t>
      </w:r>
    </w:p>
    <w:p w14:paraId="3AFF1AAB" w14:textId="4E2ABDD4" w:rsidR="00301E64" w:rsidRDefault="00BF2C80" w:rsidP="00301E64">
      <w:r>
        <w:lastRenderedPageBreak/>
        <w:t>GPs and practice nurses</w:t>
      </w:r>
      <w:r w:rsidR="00301E64">
        <w:t xml:space="preserve"> could also be used a resource to identify and ‘opt-out’</w:t>
      </w:r>
      <w:r>
        <w:t xml:space="preserve"> (via the HPP)</w:t>
      </w:r>
      <w:r w:rsidR="00301E64">
        <w:t xml:space="preserve"> patients for whom screening may not be appropriate (</w:t>
      </w:r>
      <w:proofErr w:type="gramStart"/>
      <w:r w:rsidR="00301E64">
        <w:t>e.g.</w:t>
      </w:r>
      <w:proofErr w:type="gramEnd"/>
      <w:r w:rsidR="00301E64">
        <w:t xml:space="preserve"> those with overt bleeding or where a colonoscopy is considered too risky)</w:t>
      </w:r>
      <w:r w:rsidR="00C24DDE">
        <w:t xml:space="preserve"> or those </w:t>
      </w:r>
      <w:r w:rsidR="004B5E4C">
        <w:t>who have recently used other forms of screening</w:t>
      </w:r>
      <w:r w:rsidR="00DE3EAB">
        <w:t>. This would inform a more accurate assessment of the true participation rate.</w:t>
      </w:r>
    </w:p>
    <w:p w14:paraId="05E9E036" w14:textId="42B79B3B" w:rsidR="00F94165" w:rsidRDefault="00301E64" w:rsidP="00F94165">
      <w:r>
        <w:t xml:space="preserve">Engagement with primary care to promote participation has proven effective in England, </w:t>
      </w:r>
      <w:proofErr w:type="gramStart"/>
      <w:r>
        <w:t>Sweden</w:t>
      </w:r>
      <w:proofErr w:type="gramEnd"/>
      <w:r>
        <w:t xml:space="preserve"> and Denmark, as described in</w:t>
      </w:r>
      <w:r w:rsidR="00FF2C16">
        <w:t xml:space="preserve"> </w:t>
      </w:r>
      <w:r w:rsidR="00FF2C16">
        <w:fldChar w:fldCharType="begin"/>
      </w:r>
      <w:r w:rsidR="00FF2C16">
        <w:instrText xml:space="preserve"> REF _Ref67579940 \r \h </w:instrText>
      </w:r>
      <w:r w:rsidR="00FF2C16">
        <w:fldChar w:fldCharType="separate"/>
      </w:r>
      <w:r w:rsidR="00F27525">
        <w:t>Chart 4.5</w:t>
      </w:r>
      <w:r w:rsidR="00FF2C16">
        <w:fldChar w:fldCharType="end"/>
      </w:r>
      <w:r w:rsidR="00FF2C16">
        <w:t>.</w:t>
      </w:r>
      <w:r w:rsidR="00D82B53">
        <w:t xml:space="preserve"> </w:t>
      </w:r>
      <w:r w:rsidR="00F94165">
        <w:t>In addition, evidence shows these models can work in an Australian context</w:t>
      </w:r>
      <w:r w:rsidR="004D4094">
        <w:t xml:space="preserve">, as shown in </w:t>
      </w:r>
      <w:r w:rsidR="00F94165">
        <w:t xml:space="preserve">Box </w:t>
      </w:r>
      <w:r w:rsidR="00A61FB0">
        <w:t>3</w:t>
      </w:r>
      <w:r w:rsidR="00F94165">
        <w:t>.</w:t>
      </w:r>
    </w:p>
    <w:p w14:paraId="42E304A9" w14:textId="77777777" w:rsidR="00AD10DC" w:rsidRPr="00AD10DC" w:rsidRDefault="00AD10DC" w:rsidP="00AD10DC">
      <w:pPr>
        <w:pStyle w:val="Boxtype2"/>
      </w:pPr>
      <w:r w:rsidRPr="00AD10DC">
        <w:t>Box 3: Australian insights on use of primary care to promote bowel cancer screening</w:t>
      </w:r>
    </w:p>
    <w:p w14:paraId="1A369AB8" w14:textId="77777777" w:rsidR="00AD10DC" w:rsidRPr="00AD10DC" w:rsidRDefault="00AD10DC" w:rsidP="00AD10DC">
      <w:pPr>
        <w:pStyle w:val="Boxtype2"/>
      </w:pPr>
      <w:r w:rsidRPr="00AD10DC">
        <w:t>New South Wales</w:t>
      </w:r>
    </w:p>
    <w:p w14:paraId="3BDA37B8" w14:textId="77777777" w:rsidR="00AD10DC" w:rsidRPr="00AD10DC" w:rsidRDefault="00AD10DC" w:rsidP="00AD10DC">
      <w:pPr>
        <w:pStyle w:val="Boxtype2"/>
      </w:pPr>
      <w:r w:rsidRPr="00AD10DC">
        <w:t xml:space="preserve">A randomised controlled trial conducted in New South Wales tested the effect of a GP promotion intervention on </w:t>
      </w:r>
      <w:proofErr w:type="spellStart"/>
      <w:r w:rsidRPr="00AD10DC">
        <w:t>iFOBT</w:t>
      </w:r>
      <w:proofErr w:type="spellEnd"/>
      <w:r w:rsidRPr="00AD10DC">
        <w:t xml:space="preserve"> uptake.</w:t>
      </w:r>
      <w:r w:rsidRPr="00AD10DC">
        <w:endnoteReference w:id="77"/>
      </w:r>
      <w:r w:rsidRPr="00AD10DC">
        <w:t xml:space="preserve"> The intervention involved GP endorsement, printed screening advice and point-of-care </w:t>
      </w:r>
      <w:proofErr w:type="spellStart"/>
      <w:r w:rsidRPr="00AD10DC">
        <w:t>iFOBT</w:t>
      </w:r>
      <w:proofErr w:type="spellEnd"/>
      <w:r w:rsidRPr="00AD10DC">
        <w:t xml:space="preserve"> provision by the GP. Those involved in the intervention were ten times more likely to complete an </w:t>
      </w:r>
      <w:proofErr w:type="spellStart"/>
      <w:r w:rsidRPr="00AD10DC">
        <w:t>iFOBT</w:t>
      </w:r>
      <w:proofErr w:type="spellEnd"/>
      <w:r w:rsidRPr="00AD10DC">
        <w:t>, when compared to those not involved in the intervention.</w:t>
      </w:r>
    </w:p>
    <w:p w14:paraId="3D98747F" w14:textId="77777777" w:rsidR="00AD10DC" w:rsidRPr="00AD10DC" w:rsidRDefault="00AD10DC" w:rsidP="00AD10DC">
      <w:pPr>
        <w:pStyle w:val="Boxtype2"/>
      </w:pPr>
      <w:r w:rsidRPr="00AD10DC">
        <w:t>Victoria</w:t>
      </w:r>
    </w:p>
    <w:p w14:paraId="779F03D1" w14:textId="1CBA0022" w:rsidR="001E623B" w:rsidRPr="00AD10DC" w:rsidRDefault="00AD10DC" w:rsidP="00AD10DC">
      <w:pPr>
        <w:pStyle w:val="Boxtype2"/>
      </w:pPr>
      <w:r w:rsidRPr="00AD10DC">
        <w:t>The Latrobe Cancer Screening Collaborative (the Collaborative) pilot project was developed in May 2019 to increase patient cancer screening rates within four Latrobe general practices. The practices worked together to achieve improved cancer screening rates, by participating in activities including webinars, workshops, and in-clinic systematic approaches for reminders. By the end of the project, the average NBCSP participation rates rose from 32.7 per cent (June 2019) to 36.2 per cent (February 2020), an increase of 9.7 per cent for the period.</w:t>
      </w:r>
      <w:r w:rsidRPr="00AD10DC">
        <w:endnoteReference w:id="78"/>
      </w:r>
    </w:p>
    <w:p w14:paraId="5114284C" w14:textId="10B3BAF7" w:rsidR="008D045D" w:rsidRDefault="008D045D" w:rsidP="00AD10DC">
      <w:pPr>
        <w:pStyle w:val="Boxtype2"/>
      </w:pPr>
      <w:r w:rsidRPr="00AD10DC">
        <w:t xml:space="preserve">Single </w:t>
      </w:r>
      <w:r w:rsidR="0067520B" w:rsidRPr="00AD10DC">
        <w:t>mode of kit distribution.</w:t>
      </w:r>
      <w:r w:rsidR="002C0FFA" w:rsidRPr="00AD10DC">
        <w:t xml:space="preserve"> </w:t>
      </w:r>
      <w:r w:rsidR="00DD4E15" w:rsidRPr="00AD10DC">
        <w:t>Insights gleaned from stakeholder</w:t>
      </w:r>
      <w:r w:rsidR="00DD4E15" w:rsidRPr="00DD4E15">
        <w:t xml:space="preserve"> consultations suggest </w:t>
      </w:r>
      <w:r w:rsidR="005D6438" w:rsidRPr="00DD4E15">
        <w:t>that</w:t>
      </w:r>
      <w:r w:rsidR="005D6438">
        <w:t xml:space="preserve"> </w:t>
      </w:r>
      <w:r w:rsidR="005D6438" w:rsidRPr="005D6438">
        <w:t>the</w:t>
      </w:r>
      <w:r w:rsidR="00E63CC4" w:rsidRPr="005D6438">
        <w:t xml:space="preserve"> </w:t>
      </w:r>
      <w:r w:rsidR="00E63CC4">
        <w:t xml:space="preserve">single mode of kit distribution </w:t>
      </w:r>
      <w:r w:rsidR="008F3862">
        <w:t>(</w:t>
      </w:r>
      <w:r w:rsidR="00E63CC4">
        <w:t>via the mail</w:t>
      </w:r>
      <w:r w:rsidR="008F3862">
        <w:t>)</w:t>
      </w:r>
      <w:r w:rsidR="00E63CC4">
        <w:t xml:space="preserve"> </w:t>
      </w:r>
      <w:r w:rsidR="008F3862">
        <w:t>may have contributed to</w:t>
      </w:r>
      <w:r w:rsidR="00A848BB">
        <w:t xml:space="preserve"> </w:t>
      </w:r>
      <w:r w:rsidR="002831DA">
        <w:t xml:space="preserve">the </w:t>
      </w:r>
      <w:r w:rsidR="00A848BB">
        <w:t>use of alternative at-home kits.</w:t>
      </w:r>
      <w:r w:rsidR="008517C8">
        <w:t xml:space="preserve"> </w:t>
      </w:r>
      <w:r w:rsidR="008B06D4">
        <w:t>It was noted that</w:t>
      </w:r>
      <w:r w:rsidR="002E611F">
        <w:t xml:space="preserve"> </w:t>
      </w:r>
      <w:r w:rsidR="004362C8">
        <w:t>G</w:t>
      </w:r>
      <w:r w:rsidR="008B06D4">
        <w:t>Ps</w:t>
      </w:r>
      <w:r w:rsidR="004362C8">
        <w:t xml:space="preserve"> and </w:t>
      </w:r>
      <w:r w:rsidR="008B06D4">
        <w:t>pharmacists</w:t>
      </w:r>
      <w:r w:rsidR="004362C8">
        <w:t xml:space="preserve"> often </w:t>
      </w:r>
      <w:r w:rsidR="008B06D4">
        <w:t>promote</w:t>
      </w:r>
      <w:r w:rsidR="004362C8">
        <w:t xml:space="preserve"> screening as part of routine health checks, yet the timing of </w:t>
      </w:r>
      <w:r w:rsidR="008B06D4">
        <w:t>NBCSP kit receipt may n</w:t>
      </w:r>
      <w:r w:rsidR="00310196">
        <w:t>o</w:t>
      </w:r>
      <w:r w:rsidR="008B06D4">
        <w:t xml:space="preserve">t align with the timing of </w:t>
      </w:r>
      <w:r w:rsidR="00310196">
        <w:t>these</w:t>
      </w:r>
      <w:r w:rsidR="008B06D4">
        <w:t xml:space="preserve"> he</w:t>
      </w:r>
      <w:r w:rsidR="00310196">
        <w:t>a</w:t>
      </w:r>
      <w:r w:rsidR="008B06D4">
        <w:t>lt</w:t>
      </w:r>
      <w:r w:rsidR="00310196">
        <w:t>h</w:t>
      </w:r>
      <w:r w:rsidR="008B06D4">
        <w:t xml:space="preserve"> checks</w:t>
      </w:r>
      <w:r w:rsidR="00C62A1A">
        <w:t>,</w:t>
      </w:r>
      <w:r w:rsidR="00FF1EF7">
        <w:t xml:space="preserve"> </w:t>
      </w:r>
      <w:r w:rsidR="00896E7E">
        <w:t xml:space="preserve">contributing to </w:t>
      </w:r>
      <w:r w:rsidR="00FF1EF7">
        <w:t xml:space="preserve">the </w:t>
      </w:r>
      <w:r w:rsidR="00C62A1A">
        <w:t>use</w:t>
      </w:r>
      <w:r w:rsidR="00FF1EF7">
        <w:t xml:space="preserve"> of more accessible kits through GPs and pharmacies</w:t>
      </w:r>
      <w:r w:rsidR="008B06D4">
        <w:t>.</w:t>
      </w:r>
      <w:r w:rsidR="00AD10DC" w:rsidRPr="00AD10DC">
        <w:rPr>
          <w:lang w:val="en-US"/>
        </w:rPr>
        <w:t xml:space="preserve"> .</w:t>
      </w:r>
      <w:r w:rsidR="00AD10DC" w:rsidRPr="00AD10DC">
        <w:rPr>
          <w:vertAlign w:val="superscript"/>
          <w:lang w:val="en-US"/>
        </w:rPr>
        <w:endnoteReference w:id="79"/>
      </w:r>
    </w:p>
    <w:p w14:paraId="584E33EA" w14:textId="3F4C29CD" w:rsidR="00D233D5" w:rsidRDefault="00D233D5" w:rsidP="00F94165">
      <w:r>
        <w:t>The clinician survey showed that only 21</w:t>
      </w:r>
      <w:r w:rsidR="005D6438">
        <w:t xml:space="preserve"> per cent</w:t>
      </w:r>
      <w:r>
        <w:t xml:space="preserve"> reported ‘always’ initiating conversations about the NBCSP with a new patient aged 50</w:t>
      </w:r>
      <w:r w:rsidR="00130998">
        <w:t xml:space="preserve"> to </w:t>
      </w:r>
      <w:r>
        <w:t>74 (and then every two years, as appropriate)</w:t>
      </w:r>
      <w:r w:rsidR="007E141E">
        <w:t xml:space="preserve">, yet </w:t>
      </w:r>
      <w:r w:rsidR="005D465D">
        <w:t>77</w:t>
      </w:r>
      <w:r w:rsidR="000824EA">
        <w:t> </w:t>
      </w:r>
      <w:r w:rsidR="005D465D">
        <w:t>per</w:t>
      </w:r>
      <w:r w:rsidR="000824EA">
        <w:t> </w:t>
      </w:r>
      <w:r w:rsidR="005D465D">
        <w:t>cent of GPs surveyed had recommended a kit other than the NBCSP at least once in their practice</w:t>
      </w:r>
      <w:r w:rsidR="001C2BF3">
        <w:t xml:space="preserve"> </w:t>
      </w:r>
      <w:r w:rsidR="007D5792">
        <w:t xml:space="preserve">(see </w:t>
      </w:r>
      <w:r w:rsidR="007D5792">
        <w:fldChar w:fldCharType="begin"/>
      </w:r>
      <w:r w:rsidR="007D5792">
        <w:instrText xml:space="preserve"> REF _Ref67594376 \r \h </w:instrText>
      </w:r>
      <w:r w:rsidR="007D5792">
        <w:fldChar w:fldCharType="separate"/>
      </w:r>
      <w:r w:rsidR="00F27525">
        <w:t>Chart 4.8</w:t>
      </w:r>
      <w:r w:rsidR="007D5792">
        <w:fldChar w:fldCharType="end"/>
      </w:r>
      <w:r w:rsidR="007D5792">
        <w:t>)</w:t>
      </w:r>
      <w:r w:rsidR="005D465D">
        <w:t xml:space="preserve">. Reasons </w:t>
      </w:r>
      <w:r w:rsidR="001E2613">
        <w:t>cited</w:t>
      </w:r>
      <w:r w:rsidR="00D5417A">
        <w:t xml:space="preserve"> </w:t>
      </w:r>
      <w:r w:rsidR="00F5012B">
        <w:t xml:space="preserve">referred to </w:t>
      </w:r>
      <w:r w:rsidR="00E95948">
        <w:t>us</w:t>
      </w:r>
      <w:r w:rsidR="005D6438">
        <w:t>e</w:t>
      </w:r>
      <w:r w:rsidR="00E95948">
        <w:t xml:space="preserve"> for younger cohorts, as well as </w:t>
      </w:r>
      <w:r w:rsidR="00D5417A">
        <w:t>convenience and ease of access</w:t>
      </w:r>
      <w:r w:rsidR="00E95948">
        <w:t>.</w:t>
      </w:r>
    </w:p>
    <w:p w14:paraId="2FF00AE9" w14:textId="13C37C85" w:rsidR="00AF3BA8" w:rsidRDefault="00AF3BA8" w:rsidP="00F94165">
      <w:r>
        <w:t xml:space="preserve">Stakeholders noted that the full implementation of biennial screening should contribute to a reduction in the use of alternative kits, as the Program’s screening interval now aligns with the </w:t>
      </w:r>
      <w:r w:rsidR="00772593">
        <w:t>NHMRC-approved</w:t>
      </w:r>
      <w:r w:rsidR="00C12A2F">
        <w:t xml:space="preserve"> </w:t>
      </w:r>
      <w:r w:rsidR="006163E3">
        <w:t xml:space="preserve">clinical practice </w:t>
      </w:r>
      <w:r>
        <w:t>guidelines.</w:t>
      </w:r>
    </w:p>
    <w:p w14:paraId="720167FC" w14:textId="0463A073" w:rsidR="00301E64" w:rsidRPr="0046453F" w:rsidRDefault="00F06EF9" w:rsidP="002F6AF9">
      <w:pPr>
        <w:pStyle w:val="CaptionChart"/>
      </w:pPr>
      <w:bookmarkStart w:id="162" w:name="_Ref67594376"/>
      <w:r>
        <w:lastRenderedPageBreak/>
        <w:t xml:space="preserve">: Clinician survey: ‘Have you ever recommended another at-home </w:t>
      </w:r>
      <w:r w:rsidR="00557550">
        <w:t>bowel</w:t>
      </w:r>
      <w:r w:rsidR="00CC3478">
        <w:t xml:space="preserve"> cancer </w:t>
      </w:r>
      <w:r w:rsidR="00557550">
        <w:t>screening</w:t>
      </w:r>
      <w:r w:rsidR="00CC3478">
        <w:t xml:space="preserve"> </w:t>
      </w:r>
      <w:r w:rsidR="00557550">
        <w:t xml:space="preserve">kits?’, percentage. </w:t>
      </w:r>
      <w:r w:rsidR="00557550" w:rsidRPr="00557550">
        <w:rPr>
          <w:i/>
          <w:iCs/>
        </w:rPr>
        <w:t>Asked of GPs only.</w:t>
      </w:r>
      <w:bookmarkEnd w:id="162"/>
      <w:r w:rsidR="00AA740A" w:rsidRPr="00AA740A">
        <w:rPr>
          <w:noProof/>
          <w:lang w:eastAsia="en-AU"/>
        </w:rPr>
        <w:drawing>
          <wp:inline distT="0" distB="0" distL="0" distR="0" wp14:anchorId="2D04710D" wp14:editId="24D80E96">
            <wp:extent cx="5731510" cy="2054860"/>
            <wp:effectExtent l="0" t="0" r="0" b="0"/>
            <wp:docPr id="1489793613" name="Picture 1489793613" descr="Pie chart depicting answers from GPs to the question, 'have you ever recommended at-home bowel cancer screening kit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793613" name="Picture 1489793613" descr="Pie chart depicting answers from GPs to the question, 'have you ever recommended at-home bowel cancer screening kits.&quo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31510" cy="2054860"/>
                    </a:xfrm>
                    <a:prstGeom prst="rect">
                      <a:avLst/>
                    </a:prstGeom>
                    <a:noFill/>
                    <a:ln>
                      <a:noFill/>
                    </a:ln>
                  </pic:spPr>
                </pic:pic>
              </a:graphicData>
            </a:graphic>
          </wp:inline>
        </w:drawing>
      </w:r>
    </w:p>
    <w:p w14:paraId="3D51CCC0" w14:textId="41E5E445" w:rsidR="003B4797" w:rsidRDefault="003B4797" w:rsidP="003B4797">
      <w:pPr>
        <w:pStyle w:val="Sources"/>
      </w:pPr>
      <w:r w:rsidRPr="00DE5647">
        <w:t xml:space="preserve">Source: </w:t>
      </w:r>
      <w:r>
        <w:t>Deloitte Access Economics NBCSP clinician survey, 2020</w:t>
      </w:r>
      <w:r w:rsidR="00F531A8">
        <w:t>.</w:t>
      </w:r>
    </w:p>
    <w:p w14:paraId="762E34A1" w14:textId="3222EBB8" w:rsidR="00BA059E" w:rsidRDefault="00BA059E" w:rsidP="00BA059E">
      <w:r>
        <w:t xml:space="preserve">Box </w:t>
      </w:r>
      <w:r w:rsidR="00A61FB0">
        <w:t>4</w:t>
      </w:r>
      <w:r>
        <w:t xml:space="preserve"> highlights </w:t>
      </w:r>
      <w:r w:rsidR="007837DC">
        <w:t>research</w:t>
      </w:r>
      <w:r>
        <w:t xml:space="preserve"> showing the </w:t>
      </w:r>
      <w:r w:rsidR="001B6E31">
        <w:t xml:space="preserve">potential benefits to </w:t>
      </w:r>
      <w:r w:rsidR="007837DC">
        <w:t>involving GPs and/or pharmacies in the provision of kits for the general population.</w:t>
      </w:r>
    </w:p>
    <w:p w14:paraId="5395DCA2" w14:textId="77777777" w:rsidR="00AD10DC" w:rsidRPr="00CF2E48" w:rsidRDefault="00AD10DC" w:rsidP="00AD10DC">
      <w:pPr>
        <w:pStyle w:val="Boxtype2"/>
      </w:pPr>
      <w:r w:rsidRPr="00CF2E48">
        <w:t xml:space="preserve">Box </w:t>
      </w:r>
      <w:r>
        <w:t>4</w:t>
      </w:r>
      <w:r w:rsidRPr="00CF2E48">
        <w:t>: Insights from the literature on</w:t>
      </w:r>
      <w:r>
        <w:t xml:space="preserve"> alternative methods for</w:t>
      </w:r>
      <w:r w:rsidRPr="00CF2E48">
        <w:t xml:space="preserve"> kit distribution</w:t>
      </w:r>
    </w:p>
    <w:p w14:paraId="373E14DC" w14:textId="77777777" w:rsidR="00AD10DC" w:rsidRPr="00CF2E48" w:rsidRDefault="00AD10DC" w:rsidP="00AD10DC">
      <w:pPr>
        <w:pStyle w:val="Boxtype2"/>
        <w:rPr>
          <w:lang w:val="en-US"/>
        </w:rPr>
      </w:pPr>
      <w:r w:rsidRPr="00CF2E48">
        <w:t>R</w:t>
      </w:r>
      <w:r>
        <w:t>esearch</w:t>
      </w:r>
      <w:r w:rsidRPr="00CF2E48">
        <w:rPr>
          <w:lang w:val="en-US"/>
        </w:rPr>
        <w:t xml:space="preserve"> commissioned on drivers of participation in France, the U</w:t>
      </w:r>
      <w:r>
        <w:rPr>
          <w:lang w:val="en-US"/>
        </w:rPr>
        <w:t xml:space="preserve">nited </w:t>
      </w:r>
      <w:r w:rsidRPr="00CF2E48">
        <w:rPr>
          <w:lang w:val="en-US"/>
        </w:rPr>
        <w:t>K</w:t>
      </w:r>
      <w:r>
        <w:rPr>
          <w:lang w:val="en-US"/>
        </w:rPr>
        <w:t>ingdom</w:t>
      </w:r>
      <w:r w:rsidRPr="00CF2E48">
        <w:rPr>
          <w:lang w:val="en-US"/>
        </w:rPr>
        <w:t>, Northern Europe</w:t>
      </w:r>
      <w:r>
        <w:rPr>
          <w:lang w:val="en-US"/>
        </w:rPr>
        <w:t xml:space="preserve"> </w:t>
      </w:r>
      <w:r w:rsidRPr="00CF2E48">
        <w:rPr>
          <w:lang w:val="en-US"/>
        </w:rPr>
        <w:t xml:space="preserve">and Australia all found that an active role of the GP or another ‘trusted’ practitioner in kit distribution and </w:t>
      </w:r>
      <w:r w:rsidRPr="001B0CA0">
        <w:t>completion is important for uptake</w:t>
      </w:r>
      <w:r w:rsidRPr="00CF2E48">
        <w:rPr>
          <w:lang w:val="en-US"/>
        </w:rPr>
        <w:t>.</w:t>
      </w:r>
      <w:r w:rsidRPr="00CF2E48">
        <w:rPr>
          <w:rStyle w:val="EndnoteReference"/>
          <w:color w:val="FFFFFF" w:themeColor="background1"/>
        </w:rPr>
        <w:endnoteReference w:id="80"/>
      </w:r>
      <w:r>
        <w:rPr>
          <w:rStyle w:val="EndnoteReference"/>
          <w:color w:val="FFFFFF" w:themeColor="background1"/>
        </w:rPr>
        <w:t xml:space="preserve">, </w:t>
      </w:r>
      <w:r w:rsidRPr="00CF2E48">
        <w:rPr>
          <w:rStyle w:val="EndnoteReference"/>
          <w:color w:val="FFFFFF" w:themeColor="background1"/>
        </w:rPr>
        <w:endnoteReference w:id="81"/>
      </w:r>
      <w:r>
        <w:rPr>
          <w:rStyle w:val="EndnoteReference"/>
          <w:color w:val="FFFFFF" w:themeColor="background1"/>
        </w:rPr>
        <w:t xml:space="preserve">, </w:t>
      </w:r>
      <w:r w:rsidRPr="00CF2E48">
        <w:rPr>
          <w:rStyle w:val="EndnoteReference"/>
          <w:color w:val="FFFFFF" w:themeColor="background1"/>
        </w:rPr>
        <w:endnoteReference w:id="82"/>
      </w:r>
      <w:r>
        <w:rPr>
          <w:rStyle w:val="EndnoteReference"/>
          <w:color w:val="FFFFFF" w:themeColor="background1"/>
        </w:rPr>
        <w:t xml:space="preserve">, </w:t>
      </w:r>
      <w:r w:rsidRPr="00CF2E48">
        <w:rPr>
          <w:rStyle w:val="EndnoteReference"/>
          <w:color w:val="FFFFFF" w:themeColor="background1"/>
        </w:rPr>
        <w:endnoteReference w:id="83"/>
      </w:r>
      <w:r w:rsidRPr="00CF2E48">
        <w:rPr>
          <w:lang w:val="en-US"/>
        </w:rPr>
        <w:t xml:space="preserve"> Other studies in the Australian context</w:t>
      </w:r>
      <w:r>
        <w:rPr>
          <w:lang w:val="en-US"/>
        </w:rPr>
        <w:t xml:space="preserve"> </w:t>
      </w:r>
      <w:r w:rsidRPr="00CF2E48">
        <w:rPr>
          <w:lang w:val="en-US"/>
        </w:rPr>
        <w:t>have highlighted the potential role of community pharmacies in promoting and administering kits.</w:t>
      </w:r>
      <w:r w:rsidRPr="00CF2E48">
        <w:rPr>
          <w:rStyle w:val="EndnoteReference"/>
          <w:color w:val="FFFFFF" w:themeColor="background1"/>
        </w:rPr>
        <w:endnoteReference w:id="84"/>
      </w:r>
      <w:r w:rsidRPr="00CF2E48">
        <w:rPr>
          <w:lang w:val="en-US"/>
        </w:rPr>
        <w:t xml:space="preserve"> The involvement of GPs and pharmacies in the potential distribution of the testing kits offer the following benefits:</w:t>
      </w:r>
    </w:p>
    <w:p w14:paraId="63B305E0" w14:textId="6914A867" w:rsidR="00AD10DC" w:rsidRPr="00CF2E48" w:rsidRDefault="00AD10DC" w:rsidP="00AD10DC">
      <w:pPr>
        <w:pStyle w:val="Boxtype2"/>
      </w:pPr>
      <w:r w:rsidRPr="00CF2E48">
        <w:t xml:space="preserve">ability for kits to be personalised based on the needs of the participants, for example, providing a culturally appropriate kit, or </w:t>
      </w:r>
      <w:r>
        <w:t xml:space="preserve">a </w:t>
      </w:r>
      <w:r w:rsidRPr="00CF2E48">
        <w:t>kit in the participant</w:t>
      </w:r>
      <w:r>
        <w:t>’</w:t>
      </w:r>
      <w:r w:rsidRPr="00CF2E48">
        <w:t>s preferred language</w:t>
      </w:r>
      <w:r>
        <w:t xml:space="preserve"> (see ‘accessibility for CALD groups in section </w:t>
      </w:r>
      <w:r>
        <w:fldChar w:fldCharType="begin"/>
      </w:r>
      <w:r>
        <w:instrText xml:space="preserve"> REF _Ref67401037 \r \h  \* MERGEFORMAT </w:instrText>
      </w:r>
      <w:r>
        <w:fldChar w:fldCharType="separate"/>
      </w:r>
      <w:r>
        <w:t>4.1.4.3</w:t>
      </w:r>
      <w:r>
        <w:fldChar w:fldCharType="end"/>
      </w:r>
      <w:r>
        <w:t>)</w:t>
      </w:r>
    </w:p>
    <w:p w14:paraId="65F546ED" w14:textId="77777777" w:rsidR="00AD10DC" w:rsidRPr="00CF2E48" w:rsidRDefault="00AD10DC" w:rsidP="00AD10DC">
      <w:pPr>
        <w:pStyle w:val="Boxtype2"/>
      </w:pPr>
      <w:r w:rsidRPr="00CF2E48">
        <w:t>the promotion of the NBCSP compared to alternative bowel screening kits: currently alternative kits are promoted due to availab</w:t>
      </w:r>
      <w:r>
        <w:t>ility</w:t>
      </w:r>
      <w:r w:rsidRPr="00CF2E48">
        <w:t xml:space="preserve"> for opportunistic issuing, </w:t>
      </w:r>
      <w:r>
        <w:t>and usually incur an out-of-pocket</w:t>
      </w:r>
      <w:r w:rsidRPr="00CF2E48">
        <w:t xml:space="preserve"> cost to consumers</w:t>
      </w:r>
    </w:p>
    <w:p w14:paraId="0DAEE929" w14:textId="77777777" w:rsidR="00AD10DC" w:rsidRPr="00CF2E48" w:rsidRDefault="00AD10DC" w:rsidP="00AD10DC">
      <w:pPr>
        <w:pStyle w:val="Boxtype2"/>
      </w:pPr>
      <w:r w:rsidRPr="00CF2E48">
        <w:t>support the trusted advisor model, through GPs and/or pharmacists being able to address any questions and concerns regarding the use of the kit and provide additional advice or information about the Program and bowel cancer.</w:t>
      </w:r>
    </w:p>
    <w:p w14:paraId="79F1F99A" w14:textId="0A33956D" w:rsidR="003E1D48" w:rsidRPr="00AD10DC" w:rsidRDefault="00AD10DC" w:rsidP="00AD10DC">
      <w:pPr>
        <w:pStyle w:val="Boxtype2"/>
      </w:pPr>
      <w:r w:rsidRPr="00CF2E48">
        <w:t xml:space="preserve">This is currently done in a similar </w:t>
      </w:r>
      <w:r>
        <w:t>manner</w:t>
      </w:r>
      <w:r w:rsidRPr="00CF2E48">
        <w:t xml:space="preserve"> through the Australian National Diabetes Services Scheme, in which people with diabetes are able to access services, support and subsidised diabetes products through ‘Access Points’. Access Points are predominately community pharmacies and some health centres, clinics, and hospitals.</w:t>
      </w:r>
    </w:p>
    <w:p w14:paraId="06565ACB" w14:textId="737354F8" w:rsidR="004A4EB8" w:rsidRDefault="003E1D48" w:rsidP="003E1D48">
      <w:pPr>
        <w:rPr>
          <w:color w:val="000000" w:themeColor="text1"/>
        </w:rPr>
      </w:pPr>
      <w:r w:rsidRPr="00F33185">
        <w:rPr>
          <w:b/>
          <w:bCs/>
        </w:rPr>
        <w:t>The letter</w:t>
      </w:r>
      <w:r>
        <w:rPr>
          <w:b/>
          <w:bCs/>
        </w:rPr>
        <w:t xml:space="preserve"> content</w:t>
      </w:r>
      <w:r w:rsidRPr="00F33185">
        <w:rPr>
          <w:b/>
          <w:bCs/>
        </w:rPr>
        <w:t xml:space="preserve"> and kit design.</w:t>
      </w:r>
      <w:r>
        <w:rPr>
          <w:b/>
          <w:bCs/>
        </w:rPr>
        <w:t xml:space="preserve"> </w:t>
      </w:r>
      <w:r w:rsidRPr="00C80658">
        <w:rPr>
          <w:color w:val="000000" w:themeColor="text1"/>
        </w:rPr>
        <w:t xml:space="preserve">As shown in </w:t>
      </w:r>
      <w:r w:rsidR="00273E2C">
        <w:rPr>
          <w:color w:val="000000" w:themeColor="text1"/>
        </w:rPr>
        <w:fldChar w:fldCharType="begin"/>
      </w:r>
      <w:r w:rsidR="00273E2C">
        <w:rPr>
          <w:color w:val="000000" w:themeColor="text1"/>
        </w:rPr>
        <w:instrText xml:space="preserve"> REF _Ref67594432 \r \h </w:instrText>
      </w:r>
      <w:r w:rsidR="00273E2C">
        <w:rPr>
          <w:color w:val="000000" w:themeColor="text1"/>
        </w:rPr>
      </w:r>
      <w:r w:rsidR="00273E2C">
        <w:rPr>
          <w:color w:val="000000" w:themeColor="text1"/>
        </w:rPr>
        <w:fldChar w:fldCharType="separate"/>
      </w:r>
      <w:r w:rsidR="00F27525">
        <w:rPr>
          <w:color w:val="000000" w:themeColor="text1"/>
        </w:rPr>
        <w:t>Chart 4.9</w:t>
      </w:r>
      <w:r w:rsidR="00273E2C">
        <w:rPr>
          <w:color w:val="000000" w:themeColor="text1"/>
        </w:rPr>
        <w:fldChar w:fldCharType="end"/>
      </w:r>
      <w:r w:rsidR="0049451E">
        <w:rPr>
          <w:color w:val="000000" w:themeColor="text1"/>
        </w:rPr>
        <w:t xml:space="preserve">, </w:t>
      </w:r>
      <w:r>
        <w:rPr>
          <w:color w:val="000000" w:themeColor="text1"/>
        </w:rPr>
        <w:t>almost half of non-completers decide to not complete the kit after reading the instructions. This suggest</w:t>
      </w:r>
      <w:r w:rsidR="003E4B9B">
        <w:rPr>
          <w:color w:val="000000" w:themeColor="text1"/>
        </w:rPr>
        <w:t>s</w:t>
      </w:r>
      <w:r>
        <w:rPr>
          <w:color w:val="000000" w:themeColor="text1"/>
        </w:rPr>
        <w:t xml:space="preserve"> that the kit and instructions are an important </w:t>
      </w:r>
      <w:proofErr w:type="gramStart"/>
      <w:r>
        <w:rPr>
          <w:color w:val="000000" w:themeColor="text1"/>
        </w:rPr>
        <w:t>hook, but</w:t>
      </w:r>
      <w:proofErr w:type="gramEnd"/>
      <w:r>
        <w:rPr>
          <w:color w:val="000000" w:themeColor="text1"/>
        </w:rPr>
        <w:t xml:space="preserve"> </w:t>
      </w:r>
      <w:r w:rsidR="00D4539A">
        <w:rPr>
          <w:color w:val="000000" w:themeColor="text1"/>
        </w:rPr>
        <w:t xml:space="preserve">can </w:t>
      </w:r>
      <w:r>
        <w:rPr>
          <w:color w:val="000000" w:themeColor="text1"/>
        </w:rPr>
        <w:t>also act as a participation deterrent</w:t>
      </w:r>
      <w:r w:rsidR="002430C5">
        <w:rPr>
          <w:color w:val="000000" w:themeColor="text1"/>
        </w:rPr>
        <w:t>.</w:t>
      </w:r>
    </w:p>
    <w:p w14:paraId="53018A45" w14:textId="339AD4AA" w:rsidR="003E1D48" w:rsidRPr="00C92961" w:rsidRDefault="003E1D48" w:rsidP="003E1D48">
      <w:pPr>
        <w:rPr>
          <w:color w:val="000000" w:themeColor="text1"/>
        </w:rPr>
      </w:pPr>
      <w:r>
        <w:rPr>
          <w:color w:val="000000" w:themeColor="text1"/>
        </w:rPr>
        <w:t>Stakeholders suggested that kit modifications could overcome some of the</w:t>
      </w:r>
      <w:r w:rsidR="001C25C9">
        <w:rPr>
          <w:color w:val="000000" w:themeColor="text1"/>
        </w:rPr>
        <w:t xml:space="preserve"> common</w:t>
      </w:r>
      <w:r>
        <w:rPr>
          <w:color w:val="000000" w:themeColor="text1"/>
        </w:rPr>
        <w:t xml:space="preserve"> behavioural </w:t>
      </w:r>
      <w:r w:rsidR="00F723E4">
        <w:rPr>
          <w:color w:val="000000" w:themeColor="text1"/>
        </w:rPr>
        <w:t xml:space="preserve">and attitudinal </w:t>
      </w:r>
      <w:r>
        <w:rPr>
          <w:color w:val="000000" w:themeColor="text1"/>
        </w:rPr>
        <w:t>barrier</w:t>
      </w:r>
      <w:r w:rsidR="008F5FB2">
        <w:rPr>
          <w:color w:val="000000" w:themeColor="text1"/>
        </w:rPr>
        <w:t>s. To overcome procrastination, the instructions could include</w:t>
      </w:r>
      <w:r>
        <w:rPr>
          <w:color w:val="000000" w:themeColor="text1"/>
        </w:rPr>
        <w:t xml:space="preserve"> practical advice (</w:t>
      </w:r>
      <w:proofErr w:type="gramStart"/>
      <w:r>
        <w:rPr>
          <w:color w:val="000000" w:themeColor="text1"/>
        </w:rPr>
        <w:t>e.g.</w:t>
      </w:r>
      <w:proofErr w:type="gramEnd"/>
      <w:r>
        <w:rPr>
          <w:color w:val="000000" w:themeColor="text1"/>
        </w:rPr>
        <w:t xml:space="preserve"> an action plan for kit completion such as putting the kit in the bathroom within reach). </w:t>
      </w:r>
      <w:r w:rsidR="00B044D7">
        <w:rPr>
          <w:color w:val="000000" w:themeColor="text1"/>
        </w:rPr>
        <w:t>Modifications to</w:t>
      </w:r>
      <w:r w:rsidR="00C77DAC">
        <w:rPr>
          <w:color w:val="000000" w:themeColor="text1"/>
        </w:rPr>
        <w:t xml:space="preserve"> overcome the perceived hygiene concerns </w:t>
      </w:r>
      <w:r w:rsidR="00B044D7">
        <w:rPr>
          <w:color w:val="000000" w:themeColor="text1"/>
        </w:rPr>
        <w:t>are describ</w:t>
      </w:r>
      <w:r w:rsidR="00B044D7" w:rsidRPr="00CA49DB">
        <w:rPr>
          <w:color w:val="000000" w:themeColor="text1"/>
        </w:rPr>
        <w:t>ed above under ‘</w:t>
      </w:r>
      <w:r w:rsidR="00CA49DB">
        <w:t>p</w:t>
      </w:r>
      <w:r w:rsidR="00CA49DB" w:rsidRPr="00CA49DB">
        <w:t>erceived hygiene concerns and personal embarrassment’.</w:t>
      </w:r>
    </w:p>
    <w:p w14:paraId="104A165F" w14:textId="05DDC6FA" w:rsidR="00D91000" w:rsidRDefault="0082293B" w:rsidP="00F678D8">
      <w:pPr>
        <w:pStyle w:val="CaptionChart"/>
        <w:ind w:left="142"/>
      </w:pPr>
      <w:bookmarkStart w:id="163" w:name="_Ref67594432"/>
      <w:r>
        <w:lastRenderedPageBreak/>
        <w:t xml:space="preserve">: </w:t>
      </w:r>
      <w:r w:rsidR="00786BD5">
        <w:t>Consumer</w:t>
      </w:r>
      <w:r>
        <w:t xml:space="preserve"> survey: ‘When did </w:t>
      </w:r>
      <w:r w:rsidR="00786BD5">
        <w:t xml:space="preserve">you decide not to complete the kit?’, percentage. </w:t>
      </w:r>
      <w:r w:rsidR="00786BD5" w:rsidRPr="00273E2C">
        <w:rPr>
          <w:i/>
          <w:iCs/>
        </w:rPr>
        <w:t>Asked only of those who received a kit</w:t>
      </w:r>
      <w:r w:rsidR="000F4903">
        <w:rPr>
          <w:i/>
          <w:iCs/>
        </w:rPr>
        <w:t>, did not complete it and</w:t>
      </w:r>
      <w:r w:rsidR="00786BD5" w:rsidRPr="00273E2C">
        <w:rPr>
          <w:i/>
          <w:iCs/>
        </w:rPr>
        <w:t xml:space="preserve"> did not complete another form of screening.</w:t>
      </w:r>
      <w:bookmarkEnd w:id="163"/>
      <w:r w:rsidR="00786BD5" w:rsidRPr="00786BD5">
        <w:t xml:space="preserve"> </w:t>
      </w:r>
    </w:p>
    <w:p w14:paraId="28271AFF" w14:textId="203C5923" w:rsidR="00032116" w:rsidRPr="00032116" w:rsidRDefault="004865C5" w:rsidP="00032116">
      <w:r w:rsidRPr="004865C5">
        <w:rPr>
          <w:noProof/>
          <w:lang w:eastAsia="en-AU"/>
        </w:rPr>
        <w:drawing>
          <wp:inline distT="0" distB="0" distL="0" distR="0" wp14:anchorId="3DFC3222" wp14:editId="4E8DA82B">
            <wp:extent cx="5731510" cy="2897505"/>
            <wp:effectExtent l="0" t="0" r="2540" b="0"/>
            <wp:docPr id="19" name="Picture 19" descr="Flow chart depicting responses from a consumer survey: When did you decide not to complete the kit?’, percentage. Asked only of those who received a kit, did not complete it and did not complete another form of scre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low chart depicting responses from a consumer survey: When did you decide not to complete the kit?’, percentage. Asked only of those who received a kit, did not complete it and did not complete another form of screeni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31510" cy="2897505"/>
                    </a:xfrm>
                    <a:prstGeom prst="rect">
                      <a:avLst/>
                    </a:prstGeom>
                    <a:noFill/>
                    <a:ln>
                      <a:noFill/>
                    </a:ln>
                  </pic:spPr>
                </pic:pic>
              </a:graphicData>
            </a:graphic>
          </wp:inline>
        </w:drawing>
      </w:r>
    </w:p>
    <w:p w14:paraId="70E36985" w14:textId="7DD74FDF" w:rsidR="00EE30F9" w:rsidRPr="00DC20A5" w:rsidRDefault="00EE30F9" w:rsidP="00DC20A5">
      <w:pPr>
        <w:rPr>
          <w:color w:val="75787B" w:themeColor="accent6"/>
          <w:sz w:val="14"/>
        </w:rPr>
      </w:pPr>
      <w:r w:rsidRPr="00DC20A5">
        <w:rPr>
          <w:color w:val="75787B" w:themeColor="accent6"/>
          <w:sz w:val="14"/>
        </w:rPr>
        <w:t>Source: Deloitte Access Economics NBCSP consumer survey, 2020</w:t>
      </w:r>
      <w:r w:rsidR="00F531A8" w:rsidRPr="00DC20A5">
        <w:rPr>
          <w:color w:val="75787B" w:themeColor="accent6"/>
          <w:sz w:val="14"/>
        </w:rPr>
        <w:t>.</w:t>
      </w:r>
    </w:p>
    <w:p w14:paraId="61A34EA9" w14:textId="4CBB90D7" w:rsidR="00D153FE" w:rsidRPr="00141CC7" w:rsidRDefault="00D153FE" w:rsidP="00D153FE">
      <w:pPr>
        <w:rPr>
          <w:color w:val="000000" w:themeColor="text1"/>
        </w:rPr>
      </w:pPr>
      <w:r w:rsidRPr="00233B58">
        <w:rPr>
          <w:b/>
          <w:bCs/>
          <w:color w:val="000000" w:themeColor="text1"/>
        </w:rPr>
        <w:t>Fragmented and time-limited media and communications.</w:t>
      </w:r>
      <w:r>
        <w:rPr>
          <w:b/>
          <w:bCs/>
          <w:color w:val="000000" w:themeColor="text1"/>
        </w:rPr>
        <w:t xml:space="preserve"> </w:t>
      </w:r>
      <w:r w:rsidRPr="00627F93">
        <w:rPr>
          <w:color w:val="000000" w:themeColor="text1"/>
        </w:rPr>
        <w:t>Evidence in the literature shows that public health media and communications campaigns are effective in facilitating behaviour change at their peak, b</w:t>
      </w:r>
      <w:r>
        <w:rPr>
          <w:color w:val="000000" w:themeColor="text1"/>
        </w:rPr>
        <w:t>ut their benefits gradually diminish over time.</w:t>
      </w:r>
      <w:r w:rsidR="008243D5" w:rsidRPr="005325B7">
        <w:rPr>
          <w:rStyle w:val="EndnoteReference"/>
        </w:rPr>
        <w:endnoteReference w:id="85"/>
      </w:r>
      <w:r w:rsidR="008243D5" w:rsidRPr="005325B7">
        <w:rPr>
          <w:vertAlign w:val="superscript"/>
        </w:rPr>
        <w:t>,</w:t>
      </w:r>
      <w:r w:rsidR="005325B7" w:rsidRPr="005325B7">
        <w:rPr>
          <w:rStyle w:val="EndnoteReference"/>
        </w:rPr>
        <w:endnoteReference w:id="86"/>
      </w:r>
      <w:r w:rsidRPr="005325B7">
        <w:rPr>
          <w:color w:val="000000" w:themeColor="text1"/>
          <w:vertAlign w:val="superscript"/>
        </w:rPr>
        <w:t xml:space="preserve"> </w:t>
      </w:r>
    </w:p>
    <w:p w14:paraId="200A9545" w14:textId="6EE7A4CB" w:rsidR="00BF70FC" w:rsidRDefault="00A1230C" w:rsidP="00BF70FC">
      <w:pPr>
        <w:rPr>
          <w:color w:val="000000" w:themeColor="text1"/>
        </w:rPr>
      </w:pPr>
      <w:r>
        <w:rPr>
          <w:color w:val="000000" w:themeColor="text1"/>
        </w:rPr>
        <w:t>T</w:t>
      </w:r>
      <w:r w:rsidR="00BF70FC">
        <w:rPr>
          <w:color w:val="000000" w:themeColor="text1"/>
        </w:rPr>
        <w:t>he</w:t>
      </w:r>
      <w:r w:rsidR="000B4B6F">
        <w:rPr>
          <w:color w:val="000000" w:themeColor="text1"/>
        </w:rPr>
        <w:t xml:space="preserve"> Program</w:t>
      </w:r>
      <w:r w:rsidR="00BF70FC">
        <w:rPr>
          <w:color w:val="000000" w:themeColor="text1"/>
        </w:rPr>
        <w:t xml:space="preserve"> has </w:t>
      </w:r>
      <w:r w:rsidR="00534FBE">
        <w:rPr>
          <w:color w:val="000000" w:themeColor="text1"/>
        </w:rPr>
        <w:t>historically</w:t>
      </w:r>
      <w:r>
        <w:rPr>
          <w:color w:val="000000" w:themeColor="text1"/>
        </w:rPr>
        <w:t xml:space="preserve"> provided funding to states and territories to undertake their own time-limited marketing campaigns, rather than </w:t>
      </w:r>
      <w:r w:rsidR="00BF70FC">
        <w:rPr>
          <w:color w:val="000000" w:themeColor="text1"/>
        </w:rPr>
        <w:t>invest</w:t>
      </w:r>
      <w:r>
        <w:rPr>
          <w:color w:val="000000" w:themeColor="text1"/>
        </w:rPr>
        <w:t>ing</w:t>
      </w:r>
      <w:r w:rsidR="00BF70FC">
        <w:rPr>
          <w:color w:val="000000" w:themeColor="text1"/>
        </w:rPr>
        <w:t xml:space="preserve"> in long-term media and communications campaigns</w:t>
      </w:r>
      <w:r>
        <w:rPr>
          <w:color w:val="000000" w:themeColor="text1"/>
        </w:rPr>
        <w:t xml:space="preserve"> at a national level</w:t>
      </w:r>
      <w:r w:rsidR="00024905">
        <w:rPr>
          <w:color w:val="000000" w:themeColor="text1"/>
        </w:rPr>
        <w:t>.</w:t>
      </w:r>
      <w:r w:rsidR="00BF70FC">
        <w:rPr>
          <w:color w:val="000000" w:themeColor="text1"/>
        </w:rPr>
        <w:t xml:space="preserve"> </w:t>
      </w:r>
      <w:r w:rsidR="005D6C9E">
        <w:rPr>
          <w:color w:val="000000" w:themeColor="text1"/>
        </w:rPr>
        <w:t>S</w:t>
      </w:r>
      <w:r w:rsidR="00BF70FC">
        <w:rPr>
          <w:color w:val="000000" w:themeColor="text1"/>
        </w:rPr>
        <w:t>takeholders</w:t>
      </w:r>
      <w:r w:rsidR="005D6C9E">
        <w:rPr>
          <w:color w:val="000000" w:themeColor="text1"/>
        </w:rPr>
        <w:t xml:space="preserve"> acknowledged</w:t>
      </w:r>
      <w:r w:rsidR="00BF70FC">
        <w:rPr>
          <w:color w:val="000000" w:themeColor="text1"/>
        </w:rPr>
        <w:t xml:space="preserve"> </w:t>
      </w:r>
      <w:r w:rsidR="005D6C9E">
        <w:rPr>
          <w:color w:val="000000" w:themeColor="text1"/>
        </w:rPr>
        <w:t xml:space="preserve">that a </w:t>
      </w:r>
      <w:r w:rsidR="002D5E82">
        <w:rPr>
          <w:color w:val="000000" w:themeColor="text1"/>
        </w:rPr>
        <w:t>reason</w:t>
      </w:r>
      <w:r w:rsidR="005D6C9E">
        <w:rPr>
          <w:color w:val="000000" w:themeColor="text1"/>
        </w:rPr>
        <w:t xml:space="preserve"> for this was the staged</w:t>
      </w:r>
      <w:r w:rsidR="00BF70FC">
        <w:rPr>
          <w:color w:val="000000" w:themeColor="text1"/>
        </w:rPr>
        <w:t xml:space="preserve"> implementation of the </w:t>
      </w:r>
      <w:r w:rsidR="00CF29DD">
        <w:rPr>
          <w:color w:val="000000" w:themeColor="text1"/>
        </w:rPr>
        <w:t>P</w:t>
      </w:r>
      <w:r w:rsidR="00BF70FC">
        <w:rPr>
          <w:color w:val="000000" w:themeColor="text1"/>
        </w:rPr>
        <w:t>rogram</w:t>
      </w:r>
      <w:r w:rsidR="005D6C9E">
        <w:rPr>
          <w:color w:val="000000" w:themeColor="text1"/>
        </w:rPr>
        <w:t xml:space="preserve">, which was a </w:t>
      </w:r>
      <w:r w:rsidR="00BF70FC">
        <w:rPr>
          <w:color w:val="000000" w:themeColor="text1"/>
        </w:rPr>
        <w:t xml:space="preserve">barrier to </w:t>
      </w:r>
      <w:r w:rsidR="005D6C9E">
        <w:rPr>
          <w:color w:val="000000" w:themeColor="text1"/>
        </w:rPr>
        <w:t xml:space="preserve">long-term </w:t>
      </w:r>
      <w:r w:rsidR="00BF70FC">
        <w:rPr>
          <w:color w:val="000000" w:themeColor="text1"/>
        </w:rPr>
        <w:t xml:space="preserve">consistent and clear public messaging. </w:t>
      </w:r>
    </w:p>
    <w:p w14:paraId="2161CB0D" w14:textId="6F7730E3" w:rsidR="00974696" w:rsidRDefault="00E07ADC" w:rsidP="00974696">
      <w:pPr>
        <w:rPr>
          <w:color w:val="000000" w:themeColor="text1"/>
        </w:rPr>
      </w:pPr>
      <w:r>
        <w:rPr>
          <w:color w:val="000000" w:themeColor="text1"/>
        </w:rPr>
        <w:t>Following implementation of biennial screening</w:t>
      </w:r>
      <w:r w:rsidR="00534FBE">
        <w:rPr>
          <w:color w:val="000000" w:themeColor="text1"/>
        </w:rPr>
        <w:t>, the Department provided funding to the Cancer Council to conduct a national</w:t>
      </w:r>
      <w:r w:rsidR="0097511D">
        <w:rPr>
          <w:color w:val="000000" w:themeColor="text1"/>
        </w:rPr>
        <w:t xml:space="preserve"> media</w:t>
      </w:r>
      <w:r w:rsidR="00534FBE">
        <w:rPr>
          <w:color w:val="000000" w:themeColor="text1"/>
        </w:rPr>
        <w:t xml:space="preserve"> </w:t>
      </w:r>
      <w:r w:rsidR="003B6258">
        <w:rPr>
          <w:color w:val="000000" w:themeColor="text1"/>
        </w:rPr>
        <w:t>campaign</w:t>
      </w:r>
      <w:r>
        <w:rPr>
          <w:color w:val="000000" w:themeColor="text1"/>
        </w:rPr>
        <w:t xml:space="preserve">. The campaign was </w:t>
      </w:r>
      <w:r w:rsidR="0097511D">
        <w:rPr>
          <w:color w:val="000000" w:themeColor="text1"/>
        </w:rPr>
        <w:t>successful,</w:t>
      </w:r>
      <w:r w:rsidR="00974696">
        <w:rPr>
          <w:color w:val="000000" w:themeColor="text1"/>
        </w:rPr>
        <w:t xml:space="preserve"> </w:t>
      </w:r>
      <w:r w:rsidR="0097511D">
        <w:rPr>
          <w:color w:val="000000" w:themeColor="text1"/>
        </w:rPr>
        <w:t>achieving a</w:t>
      </w:r>
      <w:r w:rsidR="00974696" w:rsidRPr="0063640C">
        <w:rPr>
          <w:color w:val="000000" w:themeColor="text1"/>
        </w:rPr>
        <w:t xml:space="preserve"> participation rate of 57</w:t>
      </w:r>
      <w:r w:rsidR="00974696">
        <w:rPr>
          <w:color w:val="000000" w:themeColor="text1"/>
        </w:rPr>
        <w:t xml:space="preserve"> per cent</w:t>
      </w:r>
      <w:r w:rsidR="00974696" w:rsidRPr="0063640C">
        <w:rPr>
          <w:color w:val="000000" w:themeColor="text1"/>
        </w:rPr>
        <w:t xml:space="preserve">, a </w:t>
      </w:r>
      <w:proofErr w:type="gramStart"/>
      <w:r w:rsidR="00974696">
        <w:rPr>
          <w:color w:val="000000" w:themeColor="text1"/>
        </w:rPr>
        <w:t>13 percentage</w:t>
      </w:r>
      <w:proofErr w:type="gramEnd"/>
      <w:r w:rsidR="00974696">
        <w:rPr>
          <w:color w:val="000000" w:themeColor="text1"/>
        </w:rPr>
        <w:t xml:space="preserve"> point improvement</w:t>
      </w:r>
      <w:r w:rsidR="00974696" w:rsidRPr="0063640C">
        <w:rPr>
          <w:color w:val="000000" w:themeColor="text1"/>
        </w:rPr>
        <w:t xml:space="preserve"> on </w:t>
      </w:r>
      <w:r w:rsidR="00974696">
        <w:rPr>
          <w:color w:val="000000" w:themeColor="text1"/>
        </w:rPr>
        <w:t>the baseline</w:t>
      </w:r>
      <w:r w:rsidR="00974696" w:rsidRPr="0063640C">
        <w:rPr>
          <w:color w:val="000000" w:themeColor="text1"/>
        </w:rPr>
        <w:t xml:space="preserve"> participation levels of 4</w:t>
      </w:r>
      <w:r w:rsidR="00974696">
        <w:rPr>
          <w:color w:val="000000" w:themeColor="text1"/>
        </w:rPr>
        <w:t>4 per cent at the time</w:t>
      </w:r>
      <w:r w:rsidR="00974696" w:rsidRPr="0063640C">
        <w:rPr>
          <w:color w:val="000000" w:themeColor="text1"/>
        </w:rPr>
        <w:t>.</w:t>
      </w:r>
      <w:r w:rsidR="00974696">
        <w:rPr>
          <w:rStyle w:val="EndnoteReference"/>
          <w:color w:val="000000" w:themeColor="text1"/>
        </w:rPr>
        <w:endnoteReference w:id="87"/>
      </w:r>
      <w:r w:rsidR="00974696" w:rsidRPr="0063640C">
        <w:rPr>
          <w:color w:val="000000" w:themeColor="text1"/>
        </w:rPr>
        <w:t xml:space="preserve"> </w:t>
      </w:r>
      <w:r w:rsidR="00CC7460">
        <w:rPr>
          <w:color w:val="000000" w:themeColor="text1"/>
        </w:rPr>
        <w:t>However, t</w:t>
      </w:r>
      <w:r w:rsidR="00974696">
        <w:rPr>
          <w:color w:val="000000" w:themeColor="text1"/>
        </w:rPr>
        <w:t xml:space="preserve">he campaign was time-limited and therefore the benefits were only realised in a </w:t>
      </w:r>
      <w:r w:rsidR="009A24C6">
        <w:rPr>
          <w:color w:val="000000" w:themeColor="text1"/>
        </w:rPr>
        <w:t>cross section</w:t>
      </w:r>
      <w:r w:rsidR="00974696">
        <w:rPr>
          <w:color w:val="000000" w:themeColor="text1"/>
        </w:rPr>
        <w:t xml:space="preserve"> of the population at the time of the campaign.</w:t>
      </w:r>
    </w:p>
    <w:p w14:paraId="2A3B729A" w14:textId="77777777" w:rsidR="003F1516" w:rsidRDefault="003F1516" w:rsidP="003F1516">
      <w:pPr>
        <w:pStyle w:val="Heading4"/>
      </w:pPr>
      <w:bookmarkStart w:id="164" w:name="_Ref67401037"/>
      <w:r w:rsidRPr="00C21977">
        <w:t xml:space="preserve">Key barriers to Program participation (at </w:t>
      </w:r>
      <w:r>
        <w:t>a sub-group</w:t>
      </w:r>
      <w:r w:rsidRPr="00C21977">
        <w:t xml:space="preserve"> level)</w:t>
      </w:r>
      <w:bookmarkEnd w:id="164"/>
    </w:p>
    <w:p w14:paraId="2FA75CF5" w14:textId="31E4E761" w:rsidR="007E597E" w:rsidRPr="007E597E" w:rsidRDefault="00DA7E36" w:rsidP="007E597E">
      <w:pPr>
        <w:pStyle w:val="Heading4un-numbered"/>
        <w:rPr>
          <w:color w:val="012169" w:themeColor="accent4"/>
        </w:rPr>
      </w:pPr>
      <w:r>
        <w:rPr>
          <w:color w:val="012169" w:themeColor="accent4"/>
        </w:rPr>
        <w:t>In addition to common barriers across the board, evidence indicates some more pronounced challenges in particular population cohorts that further limit participation and contribute to inequities of access.</w:t>
      </w:r>
    </w:p>
    <w:p w14:paraId="256C1708" w14:textId="4F4B3E21" w:rsidR="007E597E" w:rsidRDefault="007E597E" w:rsidP="007E597E">
      <w:r w:rsidRPr="007E597E">
        <w:t>Key barriers identified at a sub-group</w:t>
      </w:r>
      <w:r w:rsidR="000F3968">
        <w:t xml:space="preserve"> (</w:t>
      </w:r>
      <w:proofErr w:type="gramStart"/>
      <w:r w:rsidR="000F3968">
        <w:t>i.e.</w:t>
      </w:r>
      <w:proofErr w:type="gramEnd"/>
      <w:r w:rsidR="000F3968">
        <w:t xml:space="preserve"> sociodemographic)</w:t>
      </w:r>
      <w:r w:rsidRPr="007E597E">
        <w:t xml:space="preserve"> level included:</w:t>
      </w:r>
    </w:p>
    <w:p w14:paraId="4A7EDCC4" w14:textId="1B3E90C3" w:rsidR="00A549A2" w:rsidRDefault="00C37111" w:rsidP="00C37111">
      <w:pPr>
        <w:rPr>
          <w:color w:val="000000" w:themeColor="text1"/>
        </w:rPr>
      </w:pPr>
      <w:r w:rsidRPr="00463A41">
        <w:rPr>
          <w:b/>
          <w:bCs/>
        </w:rPr>
        <w:t>Health literacy.</w:t>
      </w:r>
      <w:r>
        <w:t xml:space="preserve"> </w:t>
      </w:r>
      <w:r w:rsidR="00C75A5B">
        <w:rPr>
          <w:color w:val="000000" w:themeColor="text1"/>
        </w:rPr>
        <w:t xml:space="preserve">The consumer </w:t>
      </w:r>
      <w:r w:rsidR="00C75A5B" w:rsidRPr="00627E6F">
        <w:rPr>
          <w:color w:val="000000" w:themeColor="text1"/>
        </w:rPr>
        <w:t xml:space="preserve">survey showed that </w:t>
      </w:r>
      <w:r w:rsidRPr="00627E6F">
        <w:rPr>
          <w:color w:val="000000" w:themeColor="text1"/>
        </w:rPr>
        <w:t xml:space="preserve">people located in </w:t>
      </w:r>
      <w:r w:rsidRPr="00627E6F">
        <w:rPr>
          <w:color w:val="000000" w:themeColor="text1"/>
          <w:u w:val="single"/>
        </w:rPr>
        <w:t>rural and remote</w:t>
      </w:r>
      <w:r w:rsidRPr="00627E6F">
        <w:rPr>
          <w:color w:val="000000" w:themeColor="text1"/>
        </w:rPr>
        <w:t xml:space="preserve"> regions and from </w:t>
      </w:r>
      <w:r w:rsidRPr="004A3353">
        <w:rPr>
          <w:color w:val="000000" w:themeColor="text1"/>
          <w:u w:val="single"/>
        </w:rPr>
        <w:t xml:space="preserve">low socio-economic </w:t>
      </w:r>
      <w:r w:rsidR="00A32AA1">
        <w:rPr>
          <w:color w:val="000000" w:themeColor="text1"/>
          <w:u w:val="single"/>
        </w:rPr>
        <w:t>status</w:t>
      </w:r>
      <w:r w:rsidRPr="00627E6F">
        <w:rPr>
          <w:color w:val="000000" w:themeColor="text1"/>
        </w:rPr>
        <w:t xml:space="preserve"> </w:t>
      </w:r>
      <w:r w:rsidR="00C75A5B">
        <w:rPr>
          <w:color w:val="000000" w:themeColor="text1"/>
        </w:rPr>
        <w:t>were</w:t>
      </w:r>
      <w:r w:rsidR="000D5EC9">
        <w:rPr>
          <w:color w:val="000000" w:themeColor="text1"/>
        </w:rPr>
        <w:t xml:space="preserve"> more</w:t>
      </w:r>
      <w:r>
        <w:rPr>
          <w:color w:val="000000" w:themeColor="text1"/>
        </w:rPr>
        <w:t xml:space="preserve"> likely to cite </w:t>
      </w:r>
      <w:r w:rsidRPr="000D5EC9">
        <w:rPr>
          <w:i/>
          <w:iCs/>
          <w:color w:val="000000" w:themeColor="text1"/>
        </w:rPr>
        <w:t xml:space="preserve">‘did not see the need’ </w:t>
      </w:r>
      <w:r>
        <w:rPr>
          <w:color w:val="000000" w:themeColor="text1"/>
        </w:rPr>
        <w:t>as a reason for non-completion</w:t>
      </w:r>
      <w:r w:rsidR="00C75A5B">
        <w:rPr>
          <w:color w:val="000000" w:themeColor="text1"/>
        </w:rPr>
        <w:t>, as compared with other low-participating groups</w:t>
      </w:r>
      <w:r>
        <w:rPr>
          <w:color w:val="000000" w:themeColor="text1"/>
        </w:rPr>
        <w:t xml:space="preserve">. </w:t>
      </w:r>
    </w:p>
    <w:p w14:paraId="09CDDD5F" w14:textId="5B676E01" w:rsidR="007E597E" w:rsidRPr="007E597E" w:rsidRDefault="00C37111" w:rsidP="007E597E">
      <w:r>
        <w:rPr>
          <w:color w:val="000000" w:themeColor="text1"/>
        </w:rPr>
        <w:t xml:space="preserve">The survey also showed that people in these groups </w:t>
      </w:r>
      <w:r w:rsidR="00C01129">
        <w:rPr>
          <w:color w:val="000000" w:themeColor="text1"/>
        </w:rPr>
        <w:t>were</w:t>
      </w:r>
      <w:r>
        <w:rPr>
          <w:color w:val="000000" w:themeColor="text1"/>
        </w:rPr>
        <w:t xml:space="preserve"> more likely to decide not to complete the kit before reading the instructions, suggesting that mechanisms to overcome this barrier should occur outside of modifications to the kit</w:t>
      </w:r>
      <w:r w:rsidR="00C01129">
        <w:rPr>
          <w:color w:val="000000" w:themeColor="text1"/>
        </w:rPr>
        <w:t xml:space="preserve"> itself</w:t>
      </w:r>
      <w:r>
        <w:rPr>
          <w:color w:val="000000" w:themeColor="text1"/>
        </w:rPr>
        <w:t xml:space="preserve"> (</w:t>
      </w:r>
      <w:proofErr w:type="gramStart"/>
      <w:r>
        <w:rPr>
          <w:color w:val="000000" w:themeColor="text1"/>
        </w:rPr>
        <w:t>e.g.</w:t>
      </w:r>
      <w:proofErr w:type="gramEnd"/>
      <w:r>
        <w:rPr>
          <w:color w:val="000000" w:themeColor="text1"/>
        </w:rPr>
        <w:t xml:space="preserve"> via education from a healthcare professional</w:t>
      </w:r>
      <w:r w:rsidR="00C01129">
        <w:rPr>
          <w:color w:val="000000" w:themeColor="text1"/>
        </w:rPr>
        <w:t>,</w:t>
      </w:r>
      <w:r>
        <w:rPr>
          <w:color w:val="000000" w:themeColor="text1"/>
        </w:rPr>
        <w:t xml:space="preserve"> through media campaigns</w:t>
      </w:r>
      <w:r w:rsidR="00C01129">
        <w:rPr>
          <w:color w:val="000000" w:themeColor="text1"/>
        </w:rPr>
        <w:t xml:space="preserve"> or through messaging modifications to the pre-invitation letter</w:t>
      </w:r>
      <w:r w:rsidR="00AE3024">
        <w:rPr>
          <w:color w:val="000000" w:themeColor="text1"/>
        </w:rPr>
        <w:t>, the packaging of the kit or the kit</w:t>
      </w:r>
      <w:r>
        <w:rPr>
          <w:color w:val="000000" w:themeColor="text1"/>
        </w:rPr>
        <w:t>).</w:t>
      </w:r>
    </w:p>
    <w:p w14:paraId="564750EB" w14:textId="662F7F25" w:rsidR="00A02181" w:rsidRDefault="00FF459E" w:rsidP="00FF459E">
      <w:pPr>
        <w:rPr>
          <w:color w:val="000000" w:themeColor="text1"/>
        </w:rPr>
      </w:pPr>
      <w:r>
        <w:rPr>
          <w:b/>
          <w:bCs/>
        </w:rPr>
        <w:t xml:space="preserve">Single mode of kit </w:t>
      </w:r>
      <w:proofErr w:type="gramStart"/>
      <w:r>
        <w:rPr>
          <w:b/>
          <w:bCs/>
        </w:rPr>
        <w:t>return</w:t>
      </w:r>
      <w:proofErr w:type="gramEnd"/>
      <w:r w:rsidRPr="00463A41">
        <w:rPr>
          <w:b/>
          <w:bCs/>
        </w:rPr>
        <w:t>.</w:t>
      </w:r>
      <w:r>
        <w:rPr>
          <w:b/>
          <w:bCs/>
        </w:rPr>
        <w:t xml:space="preserve"> </w:t>
      </w:r>
      <w:r w:rsidR="00834457">
        <w:rPr>
          <w:color w:val="000000" w:themeColor="text1"/>
        </w:rPr>
        <w:t>The consumer</w:t>
      </w:r>
      <w:r w:rsidR="00B3099C">
        <w:rPr>
          <w:color w:val="000000" w:themeColor="text1"/>
        </w:rPr>
        <w:t xml:space="preserve"> survey</w:t>
      </w:r>
      <w:r w:rsidR="00834457">
        <w:rPr>
          <w:color w:val="000000" w:themeColor="text1"/>
        </w:rPr>
        <w:t xml:space="preserve"> showed that </w:t>
      </w:r>
      <w:r w:rsidR="00175D46">
        <w:rPr>
          <w:color w:val="000000" w:themeColor="text1"/>
        </w:rPr>
        <w:t xml:space="preserve">the </w:t>
      </w:r>
      <w:r w:rsidR="00B3099C">
        <w:rPr>
          <w:color w:val="000000" w:themeColor="text1"/>
        </w:rPr>
        <w:t xml:space="preserve">number </w:t>
      </w:r>
      <w:r w:rsidR="00175D46">
        <w:rPr>
          <w:color w:val="000000" w:themeColor="text1"/>
        </w:rPr>
        <w:t>one change to the Program that would encourage people fr</w:t>
      </w:r>
      <w:r w:rsidR="006F1C1E">
        <w:rPr>
          <w:color w:val="000000" w:themeColor="text1"/>
        </w:rPr>
        <w:t>o</w:t>
      </w:r>
      <w:r w:rsidR="00175D46">
        <w:rPr>
          <w:color w:val="000000" w:themeColor="text1"/>
        </w:rPr>
        <w:t xml:space="preserve">m </w:t>
      </w:r>
      <w:r w:rsidR="00175D46" w:rsidRPr="00627E6F">
        <w:rPr>
          <w:color w:val="000000" w:themeColor="text1"/>
          <w:u w:val="single"/>
        </w:rPr>
        <w:t>rural and remote</w:t>
      </w:r>
      <w:r w:rsidR="00175D46" w:rsidRPr="001B0459">
        <w:rPr>
          <w:color w:val="000000" w:themeColor="text1"/>
        </w:rPr>
        <w:t xml:space="preserve"> </w:t>
      </w:r>
      <w:r w:rsidR="00175D46" w:rsidRPr="00627E6F">
        <w:rPr>
          <w:color w:val="000000" w:themeColor="text1"/>
        </w:rPr>
        <w:t>region</w:t>
      </w:r>
      <w:r w:rsidR="001B0459">
        <w:rPr>
          <w:color w:val="000000" w:themeColor="text1"/>
        </w:rPr>
        <w:t>s</w:t>
      </w:r>
      <w:r w:rsidR="00175D46" w:rsidRPr="00627E6F">
        <w:rPr>
          <w:color w:val="000000" w:themeColor="text1"/>
        </w:rPr>
        <w:t xml:space="preserve"> </w:t>
      </w:r>
      <w:r w:rsidR="00175D46">
        <w:rPr>
          <w:color w:val="000000" w:themeColor="text1"/>
        </w:rPr>
        <w:t xml:space="preserve">to complete a kit next time was, </w:t>
      </w:r>
      <w:r w:rsidR="00B3099C" w:rsidRPr="00992B1C">
        <w:rPr>
          <w:i/>
          <w:iCs/>
          <w:color w:val="000000" w:themeColor="text1"/>
        </w:rPr>
        <w:t>‘</w:t>
      </w:r>
      <w:r w:rsidR="00175D46" w:rsidRPr="00992B1C">
        <w:rPr>
          <w:i/>
          <w:iCs/>
          <w:color w:val="000000" w:themeColor="text1"/>
        </w:rPr>
        <w:t>I could return the test to a GP, pharmacy or pathology collection centre’</w:t>
      </w:r>
      <w:r w:rsidR="00175D46">
        <w:rPr>
          <w:color w:val="000000" w:themeColor="text1"/>
        </w:rPr>
        <w:t xml:space="preserve"> (</w:t>
      </w:r>
      <w:r w:rsidR="00101916">
        <w:rPr>
          <w:color w:val="000000" w:themeColor="text1"/>
        </w:rPr>
        <w:t xml:space="preserve">28 per cent, as </w:t>
      </w:r>
      <w:r w:rsidR="00175D46">
        <w:rPr>
          <w:color w:val="000000" w:themeColor="text1"/>
        </w:rPr>
        <w:t xml:space="preserve">shown in </w:t>
      </w:r>
      <w:r w:rsidR="00101916">
        <w:rPr>
          <w:color w:val="000000" w:themeColor="text1"/>
        </w:rPr>
        <w:fldChar w:fldCharType="begin"/>
      </w:r>
      <w:r w:rsidR="00101916">
        <w:rPr>
          <w:color w:val="000000" w:themeColor="text1"/>
        </w:rPr>
        <w:instrText xml:space="preserve"> REF _Ref67595766 \r \h </w:instrText>
      </w:r>
      <w:r w:rsidR="00101916">
        <w:rPr>
          <w:color w:val="000000" w:themeColor="text1"/>
        </w:rPr>
      </w:r>
      <w:r w:rsidR="00101916">
        <w:rPr>
          <w:color w:val="000000" w:themeColor="text1"/>
        </w:rPr>
        <w:fldChar w:fldCharType="separate"/>
      </w:r>
      <w:r w:rsidR="00F27525">
        <w:rPr>
          <w:color w:val="000000" w:themeColor="text1"/>
        </w:rPr>
        <w:t>Chart 4.10</w:t>
      </w:r>
      <w:r w:rsidR="00101916">
        <w:rPr>
          <w:color w:val="000000" w:themeColor="text1"/>
        </w:rPr>
        <w:fldChar w:fldCharType="end"/>
      </w:r>
      <w:r w:rsidR="00101916">
        <w:rPr>
          <w:color w:val="000000" w:themeColor="text1"/>
        </w:rPr>
        <w:t>).</w:t>
      </w:r>
      <w:r w:rsidR="002E2D62">
        <w:rPr>
          <w:color w:val="000000" w:themeColor="text1"/>
        </w:rPr>
        <w:t xml:space="preserve"> </w:t>
      </w:r>
    </w:p>
    <w:p w14:paraId="4CD6C1BE" w14:textId="524B9015" w:rsidR="00591C8B" w:rsidRDefault="002E2D62" w:rsidP="00FF459E">
      <w:pPr>
        <w:rPr>
          <w:color w:val="000000" w:themeColor="text1"/>
        </w:rPr>
      </w:pPr>
      <w:r>
        <w:rPr>
          <w:color w:val="000000" w:themeColor="text1"/>
        </w:rPr>
        <w:lastRenderedPageBreak/>
        <w:t xml:space="preserve">Insights gleaned </w:t>
      </w:r>
      <w:r w:rsidR="00A549A2">
        <w:rPr>
          <w:color w:val="000000" w:themeColor="text1"/>
        </w:rPr>
        <w:t>from</w:t>
      </w:r>
      <w:r>
        <w:rPr>
          <w:color w:val="000000" w:themeColor="text1"/>
        </w:rPr>
        <w:t xml:space="preserve"> consultations provide important context to th</w:t>
      </w:r>
      <w:r w:rsidR="007B2EE5">
        <w:rPr>
          <w:color w:val="000000" w:themeColor="text1"/>
        </w:rPr>
        <w:t>is</w:t>
      </w:r>
      <w:r>
        <w:rPr>
          <w:color w:val="000000" w:themeColor="text1"/>
        </w:rPr>
        <w:t xml:space="preserve"> finding</w:t>
      </w:r>
      <w:r w:rsidR="00531BE1">
        <w:rPr>
          <w:color w:val="000000" w:themeColor="text1"/>
        </w:rPr>
        <w:t>. S</w:t>
      </w:r>
      <w:r>
        <w:rPr>
          <w:color w:val="000000" w:themeColor="text1"/>
        </w:rPr>
        <w:t>takeholders</w:t>
      </w:r>
      <w:r w:rsidR="00FF459E" w:rsidRPr="00E42301">
        <w:rPr>
          <w:color w:val="000000" w:themeColor="text1"/>
        </w:rPr>
        <w:t xml:space="preserve"> cit</w:t>
      </w:r>
      <w:r w:rsidR="00531BE1">
        <w:rPr>
          <w:color w:val="000000" w:themeColor="text1"/>
        </w:rPr>
        <w:t>ed</w:t>
      </w:r>
      <w:r w:rsidR="00FF459E" w:rsidRPr="00E42301">
        <w:rPr>
          <w:color w:val="000000" w:themeColor="text1"/>
        </w:rPr>
        <w:t xml:space="preserve"> the cha</w:t>
      </w:r>
      <w:r w:rsidR="00FF459E">
        <w:rPr>
          <w:color w:val="000000" w:themeColor="text1"/>
        </w:rPr>
        <w:t>llenges</w:t>
      </w:r>
      <w:r w:rsidR="00FF459E" w:rsidRPr="00E42301">
        <w:rPr>
          <w:color w:val="000000" w:themeColor="text1"/>
        </w:rPr>
        <w:t xml:space="preserve"> associated with </w:t>
      </w:r>
      <w:r w:rsidR="00FF459E">
        <w:rPr>
          <w:color w:val="000000" w:themeColor="text1"/>
        </w:rPr>
        <w:t xml:space="preserve">strict </w:t>
      </w:r>
      <w:r w:rsidR="00FF459E" w:rsidRPr="00E42301">
        <w:rPr>
          <w:color w:val="000000" w:themeColor="text1"/>
        </w:rPr>
        <w:t>return postage</w:t>
      </w:r>
      <w:r w:rsidR="00F76F1B">
        <w:rPr>
          <w:color w:val="000000" w:themeColor="text1"/>
        </w:rPr>
        <w:t xml:space="preserve"> requirements</w:t>
      </w:r>
      <w:r w:rsidR="00FF459E" w:rsidRPr="00E42301">
        <w:rPr>
          <w:color w:val="000000" w:themeColor="text1"/>
        </w:rPr>
        <w:t xml:space="preserve"> for those l</w:t>
      </w:r>
      <w:r w:rsidR="00FF459E">
        <w:rPr>
          <w:color w:val="000000" w:themeColor="text1"/>
        </w:rPr>
        <w:t>ocated</w:t>
      </w:r>
      <w:r w:rsidR="00FF459E" w:rsidRPr="00E42301">
        <w:rPr>
          <w:color w:val="000000" w:themeColor="text1"/>
        </w:rPr>
        <w:t xml:space="preserve"> in </w:t>
      </w:r>
      <w:r w:rsidR="00FF459E" w:rsidRPr="00591C8B">
        <w:rPr>
          <w:bCs/>
          <w:color w:val="000000" w:themeColor="text1"/>
        </w:rPr>
        <w:t>rural and remote regions</w:t>
      </w:r>
      <w:r w:rsidR="00FF459E" w:rsidRPr="00591C8B">
        <w:rPr>
          <w:color w:val="000000" w:themeColor="text1"/>
        </w:rPr>
        <w:t xml:space="preserve"> </w:t>
      </w:r>
      <w:r w:rsidR="00FF459E">
        <w:rPr>
          <w:color w:val="000000" w:themeColor="text1"/>
        </w:rPr>
        <w:t>(</w:t>
      </w:r>
      <w:proofErr w:type="gramStart"/>
      <w:r w:rsidR="00FF459E">
        <w:rPr>
          <w:color w:val="000000" w:themeColor="text1"/>
        </w:rPr>
        <w:t>i.e.</w:t>
      </w:r>
      <w:proofErr w:type="gramEnd"/>
      <w:r w:rsidR="00FF459E" w:rsidRPr="00B92009">
        <w:rPr>
          <w:color w:val="000000" w:themeColor="text1"/>
          <w:lang w:val="en-US"/>
        </w:rPr>
        <w:t xml:space="preserve"> the need to use post offices during business hours or mailboxes in the afternoon before 6pm</w:t>
      </w:r>
      <w:r w:rsidR="00FF459E">
        <w:rPr>
          <w:color w:val="000000" w:themeColor="text1"/>
          <w:lang w:val="en-US"/>
        </w:rPr>
        <w:t>)</w:t>
      </w:r>
      <w:r w:rsidR="00A02181">
        <w:rPr>
          <w:color w:val="000000" w:themeColor="text1"/>
          <w:lang w:val="en-US"/>
        </w:rPr>
        <w:t xml:space="preserve">, and the impact </w:t>
      </w:r>
      <w:r w:rsidR="00CF6908">
        <w:rPr>
          <w:color w:val="000000" w:themeColor="text1"/>
          <w:lang w:val="en-US"/>
        </w:rPr>
        <w:t>of</w:t>
      </w:r>
      <w:r w:rsidR="00A02181">
        <w:rPr>
          <w:color w:val="000000" w:themeColor="text1"/>
          <w:lang w:val="en-US"/>
        </w:rPr>
        <w:t xml:space="preserve"> delays to postage on kit expiry.</w:t>
      </w:r>
    </w:p>
    <w:p w14:paraId="07C577F7" w14:textId="017519B2" w:rsidR="00DA7E36" w:rsidRPr="00DA7E36" w:rsidRDefault="0027521C" w:rsidP="002F6AF9">
      <w:pPr>
        <w:pStyle w:val="CaptionChart"/>
      </w:pPr>
      <w:bookmarkStart w:id="165" w:name="_Ref67595766"/>
      <w:r>
        <w:t>: Consumer survey: ‘Which of the following would motivate you to complete the kit next time?’, percentage by sub-</w:t>
      </w:r>
      <w:r w:rsidR="00BA1B99">
        <w:t>group</w:t>
      </w:r>
      <w:r>
        <w:t xml:space="preserve">. </w:t>
      </w:r>
      <w:r w:rsidR="00BA1B99" w:rsidRPr="00BA1B99">
        <w:rPr>
          <w:i/>
          <w:iCs/>
        </w:rPr>
        <w:t>Asked of those who received a kit but did not complete another form of screening.</w:t>
      </w:r>
      <w:bookmarkEnd w:id="165"/>
    </w:p>
    <w:p w14:paraId="32968592" w14:textId="38A4698C" w:rsidR="00EE5069" w:rsidRPr="0063640C" w:rsidRDefault="3D7D1D6E" w:rsidP="00974696">
      <w:pPr>
        <w:rPr>
          <w:color w:val="000000" w:themeColor="text1"/>
        </w:rPr>
      </w:pPr>
      <w:r>
        <w:rPr>
          <w:noProof/>
          <w:lang w:eastAsia="en-AU"/>
        </w:rPr>
        <w:drawing>
          <wp:inline distT="0" distB="0" distL="0" distR="0" wp14:anchorId="506CFEC2" wp14:editId="27A8CAFC">
            <wp:extent cx="5876542" cy="3420302"/>
            <wp:effectExtent l="0" t="0" r="0" b="8890"/>
            <wp:docPr id="20" name="Picture 20" descr="Chart showing results from a consumer survey: Which of the following would motivate you to complete the kit next time?’, percentage by sub-group. Asked of those who received a kit but did not complete another form of scre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showing results from a consumer survey: Which of the following would motivate you to complete the kit next time?’, percentage by sub-group. Asked of those who received a kit but did not complete another form of screeni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876542" cy="3420302"/>
                    </a:xfrm>
                    <a:prstGeom prst="rect">
                      <a:avLst/>
                    </a:prstGeom>
                  </pic:spPr>
                </pic:pic>
              </a:graphicData>
            </a:graphic>
          </wp:inline>
        </w:drawing>
      </w:r>
    </w:p>
    <w:p w14:paraId="4FDE8A67" w14:textId="049D8C13" w:rsidR="00B3099C" w:rsidRPr="002007CD" w:rsidRDefault="00B3099C" w:rsidP="00B3099C">
      <w:pPr>
        <w:pStyle w:val="Sources"/>
      </w:pPr>
      <w:r w:rsidRPr="002007CD">
        <w:t xml:space="preserve">Source: </w:t>
      </w:r>
      <w:r>
        <w:t xml:space="preserve">Deloitte Access Economics </w:t>
      </w:r>
      <w:r w:rsidRPr="002007CD">
        <w:t>NBCSP consumer survey, 2020</w:t>
      </w:r>
      <w:r w:rsidR="00F531A8">
        <w:t>.</w:t>
      </w:r>
    </w:p>
    <w:p w14:paraId="4AA82B0D" w14:textId="5A51931F" w:rsidR="00AE0791" w:rsidRPr="00DC6D9D" w:rsidRDefault="00AE0791" w:rsidP="00AE0791">
      <w:r>
        <w:t xml:space="preserve">Findings from a 2015 New Zealand trial </w:t>
      </w:r>
      <w:r w:rsidR="00030C0C">
        <w:t xml:space="preserve">of </w:t>
      </w:r>
      <w:r w:rsidR="008524CA">
        <w:t xml:space="preserve">bowel cancer screening </w:t>
      </w:r>
      <w:r w:rsidR="00030C0C">
        <w:t>kit</w:t>
      </w:r>
      <w:r>
        <w:t xml:space="preserve"> ‘drop-off’ collection points</w:t>
      </w:r>
      <w:r w:rsidR="00030C0C">
        <w:t xml:space="preserve"> support this </w:t>
      </w:r>
      <w:r w:rsidR="00A17C01">
        <w:t>observation</w:t>
      </w:r>
      <w:r>
        <w:t xml:space="preserve">, </w:t>
      </w:r>
      <w:r w:rsidR="00A17C01">
        <w:t xml:space="preserve">finding </w:t>
      </w:r>
      <w:r>
        <w:t xml:space="preserve">that 26 per cent of </w:t>
      </w:r>
      <w:r w:rsidR="00436F27">
        <w:t>participants</w:t>
      </w:r>
      <w:r>
        <w:t xml:space="preserve"> used </w:t>
      </w:r>
      <w:r w:rsidR="00030C0C">
        <w:t>the</w:t>
      </w:r>
      <w:r>
        <w:t xml:space="preserve"> drop-off location. The effect of the drop off option on participation varied by age, gender</w:t>
      </w:r>
      <w:r w:rsidR="000D5EC9">
        <w:t xml:space="preserve"> </w:t>
      </w:r>
      <w:r>
        <w:t xml:space="preserve">and ethnicity. There was </w:t>
      </w:r>
      <w:r w:rsidR="004266B2">
        <w:t xml:space="preserve">a statistically </w:t>
      </w:r>
      <w:r>
        <w:t>significant increase in participation among groups with low baseline participation, such as M</w:t>
      </w:r>
      <w:r w:rsidR="00517916">
        <w:t>ā</w:t>
      </w:r>
      <w:r>
        <w:t>ori and Pacific Islander people (</w:t>
      </w:r>
      <w:r w:rsidR="00115484">
        <w:t xml:space="preserve">plus </w:t>
      </w:r>
      <w:r>
        <w:t>3 per cent), men (</w:t>
      </w:r>
      <w:r w:rsidR="004266B2">
        <w:t xml:space="preserve">plus </w:t>
      </w:r>
      <w:r>
        <w:t>2 per cent) and participants under 60 (</w:t>
      </w:r>
      <w:r w:rsidR="004266B2">
        <w:t xml:space="preserve">plus </w:t>
      </w:r>
      <w:r>
        <w:t>2 per cent).</w:t>
      </w:r>
      <w:r>
        <w:rPr>
          <w:rStyle w:val="EndnoteReference"/>
        </w:rPr>
        <w:endnoteReference w:id="88"/>
      </w:r>
      <w:r>
        <w:t xml:space="preserve"> </w:t>
      </w:r>
    </w:p>
    <w:p w14:paraId="7FD02839" w14:textId="39A99A21" w:rsidR="00CC2E62" w:rsidRDefault="0099211D" w:rsidP="00CC2E62">
      <w:pPr>
        <w:rPr>
          <w:color w:val="000000" w:themeColor="text1"/>
        </w:rPr>
      </w:pPr>
      <w:r>
        <w:rPr>
          <w:b/>
          <w:bCs/>
        </w:rPr>
        <w:t>Accessibility for CALD groups</w:t>
      </w:r>
      <w:r w:rsidRPr="00463A41">
        <w:rPr>
          <w:b/>
          <w:bCs/>
        </w:rPr>
        <w:t>.</w:t>
      </w:r>
      <w:r w:rsidRPr="00F93253">
        <w:t xml:space="preserve"> </w:t>
      </w:r>
      <w:r w:rsidR="003569FF" w:rsidRPr="003569FF">
        <w:rPr>
          <w:color w:val="000000" w:themeColor="text1"/>
        </w:rPr>
        <w:t xml:space="preserve">The consumer survey showed that </w:t>
      </w:r>
      <w:r w:rsidR="006F1C1E">
        <w:rPr>
          <w:color w:val="000000" w:themeColor="text1"/>
        </w:rPr>
        <w:t xml:space="preserve">the number one change to the Program that would encourage </w:t>
      </w:r>
      <w:r w:rsidR="00D84AAE">
        <w:rPr>
          <w:color w:val="000000" w:themeColor="text1"/>
        </w:rPr>
        <w:t>non-completers</w:t>
      </w:r>
      <w:r w:rsidR="006F1C1E">
        <w:rPr>
          <w:color w:val="000000" w:themeColor="text1"/>
        </w:rPr>
        <w:t xml:space="preserve"> from </w:t>
      </w:r>
      <w:r w:rsidR="006F1C1E" w:rsidRPr="00627E6F">
        <w:rPr>
          <w:color w:val="000000" w:themeColor="text1"/>
          <w:u w:val="single"/>
        </w:rPr>
        <w:t>CALD backgrounds</w:t>
      </w:r>
      <w:r w:rsidR="006F1C1E" w:rsidRPr="00627E6F">
        <w:rPr>
          <w:b/>
          <w:bCs/>
          <w:color w:val="000000" w:themeColor="text1"/>
        </w:rPr>
        <w:t xml:space="preserve"> </w:t>
      </w:r>
      <w:r w:rsidR="006F1C1E" w:rsidRPr="006F1C1E">
        <w:t>to complete</w:t>
      </w:r>
      <w:r w:rsidR="006F1C1E">
        <w:rPr>
          <w:color w:val="000000" w:themeColor="text1"/>
        </w:rPr>
        <w:t xml:space="preserve"> a kit next time was</w:t>
      </w:r>
      <w:r w:rsidR="006C75B7">
        <w:rPr>
          <w:color w:val="000000" w:themeColor="text1"/>
        </w:rPr>
        <w:t xml:space="preserve"> </w:t>
      </w:r>
      <w:r w:rsidR="00281ABC">
        <w:rPr>
          <w:color w:val="000000" w:themeColor="text1"/>
        </w:rPr>
        <w:t>‘</w:t>
      </w:r>
      <w:r w:rsidR="006C75B7" w:rsidRPr="003569FF">
        <w:rPr>
          <w:i/>
          <w:iCs/>
        </w:rPr>
        <w:t>the information provided showed someone I trust talking about screening’</w:t>
      </w:r>
      <w:r w:rsidR="006C75B7">
        <w:t xml:space="preserve">, followed by </w:t>
      </w:r>
      <w:r w:rsidR="006C75B7" w:rsidRPr="00992B1C">
        <w:rPr>
          <w:i/>
          <w:iCs/>
        </w:rPr>
        <w:t>’I could see a demonstration through a cartoon or video’</w:t>
      </w:r>
      <w:r w:rsidR="006C75B7">
        <w:t xml:space="preserve"> (as shown in </w:t>
      </w:r>
      <w:r w:rsidR="006C75B7">
        <w:rPr>
          <w:color w:val="000000" w:themeColor="text1"/>
        </w:rPr>
        <w:fldChar w:fldCharType="begin"/>
      </w:r>
      <w:r w:rsidR="006C75B7">
        <w:rPr>
          <w:color w:val="000000" w:themeColor="text1"/>
        </w:rPr>
        <w:instrText xml:space="preserve"> REF _Ref67595766 \r \h </w:instrText>
      </w:r>
      <w:r w:rsidR="006C75B7">
        <w:rPr>
          <w:color w:val="000000" w:themeColor="text1"/>
        </w:rPr>
      </w:r>
      <w:r w:rsidR="006C75B7">
        <w:rPr>
          <w:color w:val="000000" w:themeColor="text1"/>
        </w:rPr>
        <w:fldChar w:fldCharType="separate"/>
      </w:r>
      <w:r w:rsidR="00F27525">
        <w:rPr>
          <w:color w:val="000000" w:themeColor="text1"/>
        </w:rPr>
        <w:t>Chart 4.10</w:t>
      </w:r>
      <w:r w:rsidR="006C75B7">
        <w:rPr>
          <w:color w:val="000000" w:themeColor="text1"/>
        </w:rPr>
        <w:fldChar w:fldCharType="end"/>
      </w:r>
      <w:r w:rsidR="006C75B7">
        <w:rPr>
          <w:color w:val="000000" w:themeColor="text1"/>
        </w:rPr>
        <w:t>).</w:t>
      </w:r>
    </w:p>
    <w:p w14:paraId="6BD3A21A" w14:textId="7C481979" w:rsidR="0099211D" w:rsidRPr="002C5580" w:rsidRDefault="0099211D" w:rsidP="0099211D">
      <w:r w:rsidRPr="004C01B9">
        <w:rPr>
          <w:color w:val="000000" w:themeColor="text1"/>
        </w:rPr>
        <w:t xml:space="preserve">Stakeholders consulted highlighted </w:t>
      </w:r>
      <w:r w:rsidR="00FA2132">
        <w:rPr>
          <w:color w:val="000000" w:themeColor="text1"/>
        </w:rPr>
        <w:t xml:space="preserve">that Program </w:t>
      </w:r>
      <w:r>
        <w:t xml:space="preserve">participation </w:t>
      </w:r>
      <w:r w:rsidR="00CB6DEC">
        <w:t>by people</w:t>
      </w:r>
      <w:r w:rsidR="00FA2132">
        <w:t xml:space="preserve"> from</w:t>
      </w:r>
      <w:r>
        <w:t xml:space="preserve"> </w:t>
      </w:r>
      <w:r w:rsidRPr="009E2EB6">
        <w:t>CALD communities</w:t>
      </w:r>
      <w:r w:rsidRPr="00D1158F">
        <w:rPr>
          <w:color w:val="012169" w:themeColor="accent4"/>
        </w:rPr>
        <w:t xml:space="preserve"> </w:t>
      </w:r>
      <w:r>
        <w:t>is impeded by communication difficulties</w:t>
      </w:r>
      <w:r w:rsidR="002C29FC">
        <w:t xml:space="preserve"> and the ability to understand the materials received</w:t>
      </w:r>
      <w:r w:rsidR="002C5580">
        <w:t>. It was noted that t</w:t>
      </w:r>
      <w:r>
        <w:t xml:space="preserve">he existing instruction video that is available on the </w:t>
      </w:r>
      <w:r w:rsidR="00DE2D77">
        <w:t>Program’s</w:t>
      </w:r>
      <w:r>
        <w:t xml:space="preserve"> website provides an animated demonstration, however the narration is in English and available translations are not immediately obvious on the landing page. </w:t>
      </w:r>
      <w:r w:rsidR="00A139E5">
        <w:t xml:space="preserve">It was suggested that </w:t>
      </w:r>
      <w:r w:rsidR="008A1511">
        <w:t xml:space="preserve">instructions should be pictorial to address this issue. </w:t>
      </w:r>
      <w:r>
        <w:t xml:space="preserve">More broadly, it </w:t>
      </w:r>
      <w:r w:rsidR="002C5580">
        <w:t>was</w:t>
      </w:r>
      <w:r>
        <w:t xml:space="preserve"> noted that the organisation of translated resources </w:t>
      </w:r>
      <w:r w:rsidR="00DE2D77">
        <w:t>on the website</w:t>
      </w:r>
      <w:r>
        <w:t xml:space="preserve"> is difficult to navigate.</w:t>
      </w:r>
    </w:p>
    <w:p w14:paraId="64FCF2ED" w14:textId="77777777" w:rsidR="00F477C8" w:rsidRDefault="0099211D" w:rsidP="0099211D">
      <w:r>
        <w:rPr>
          <w:b/>
          <w:bCs/>
        </w:rPr>
        <w:t xml:space="preserve">Accessibility for people with disabilities. </w:t>
      </w:r>
      <w:r>
        <w:t xml:space="preserve">Stakeholders consulted highlighted participation </w:t>
      </w:r>
      <w:r w:rsidRPr="00627E6F">
        <w:rPr>
          <w:color w:val="000000" w:themeColor="text1"/>
        </w:rPr>
        <w:t xml:space="preserve">barriers for </w:t>
      </w:r>
      <w:r w:rsidRPr="00627E6F">
        <w:rPr>
          <w:color w:val="000000" w:themeColor="text1"/>
          <w:u w:val="single"/>
        </w:rPr>
        <w:t>people with disabilities</w:t>
      </w:r>
      <w:r w:rsidRPr="00627E6F">
        <w:rPr>
          <w:color w:val="000000" w:themeColor="text1"/>
        </w:rPr>
        <w:t xml:space="preserve"> including </w:t>
      </w:r>
      <w:r>
        <w:t xml:space="preserve">vision impairment and disabilities affecting mobility and dexterity. Eligible participants with </w:t>
      </w:r>
      <w:r w:rsidR="00BE3ABA">
        <w:t xml:space="preserve">disability related to their </w:t>
      </w:r>
      <w:r>
        <w:t>vision</w:t>
      </w:r>
      <w:r w:rsidR="00BE3ABA">
        <w:t xml:space="preserve">, dexterity or mobility may </w:t>
      </w:r>
      <w:r w:rsidR="009D48A8">
        <w:t xml:space="preserve">face </w:t>
      </w:r>
      <w:r w:rsidR="00F477C8">
        <w:t>challenges:</w:t>
      </w:r>
    </w:p>
    <w:p w14:paraId="42E57C10" w14:textId="20746D71" w:rsidR="00F477C8" w:rsidRDefault="00486DC3" w:rsidP="00445440">
      <w:pPr>
        <w:pStyle w:val="ListBullet"/>
      </w:pPr>
      <w:r>
        <w:t>writing their details on sample tubes</w:t>
      </w:r>
    </w:p>
    <w:p w14:paraId="76430CA9" w14:textId="25576F1A" w:rsidR="0048220B" w:rsidRDefault="0048220B" w:rsidP="00445440">
      <w:pPr>
        <w:pStyle w:val="ListBullet"/>
      </w:pPr>
      <w:r>
        <w:t>completing the participant form</w:t>
      </w:r>
    </w:p>
    <w:p w14:paraId="1A4BC146" w14:textId="53500A4C" w:rsidR="0048220B" w:rsidRDefault="002A7CE5" w:rsidP="00445440">
      <w:pPr>
        <w:pStyle w:val="ListBullet"/>
      </w:pPr>
      <w:r>
        <w:lastRenderedPageBreak/>
        <w:t>opening collection tubes</w:t>
      </w:r>
    </w:p>
    <w:p w14:paraId="0350CF29" w14:textId="4FC5BB9F" w:rsidR="002A7CE5" w:rsidRDefault="002A7CE5" w:rsidP="00445440">
      <w:pPr>
        <w:pStyle w:val="ListBullet"/>
      </w:pPr>
      <w:r>
        <w:t>collecting samples</w:t>
      </w:r>
    </w:p>
    <w:p w14:paraId="64A1AAA6" w14:textId="0C4E2571" w:rsidR="00CB039C" w:rsidRDefault="002A7CE5" w:rsidP="00AD10DC">
      <w:pPr>
        <w:pStyle w:val="ListBullet"/>
      </w:pPr>
      <w:r>
        <w:t>returning the sample swab to the collection tube.</w:t>
      </w:r>
    </w:p>
    <w:p w14:paraId="30FE9F5B" w14:textId="3766F71E" w:rsidR="0099211D" w:rsidRPr="00125DE1" w:rsidRDefault="00F477C8" w:rsidP="0099211D">
      <w:r>
        <w:t>People with vision impairment may have the added challenge of n</w:t>
      </w:r>
      <w:r w:rsidR="009E43EF">
        <w:t>ot being able to read the instructions.</w:t>
      </w:r>
    </w:p>
    <w:p w14:paraId="438A9B83" w14:textId="13222CCD" w:rsidR="00FF08ED" w:rsidRDefault="000D0F0F" w:rsidP="000D0F0F">
      <w:pPr>
        <w:pStyle w:val="Heading2"/>
      </w:pPr>
      <w:bookmarkStart w:id="166" w:name="_Ref67847596"/>
      <w:bookmarkStart w:id="167" w:name="_Toc107837516"/>
      <w:r>
        <w:t xml:space="preserve">What </w:t>
      </w:r>
      <w:r w:rsidR="0074785D">
        <w:t>a</w:t>
      </w:r>
      <w:r>
        <w:t>re the key identified opportunities to improve Program participation?</w:t>
      </w:r>
      <w:bookmarkEnd w:id="166"/>
      <w:bookmarkEnd w:id="167"/>
    </w:p>
    <w:p w14:paraId="118D1CA5" w14:textId="061CA19F" w:rsidR="000D0F0F" w:rsidRDefault="00C55AC7" w:rsidP="000D0F0F">
      <w:r>
        <w:t>K</w:t>
      </w:r>
      <w:r w:rsidR="00FD0EF8" w:rsidRPr="00FD0EF8">
        <w:t>ey opportunities for Program enhancement have been identified drawing on evaluation findings relating to awareness and adoption.</w:t>
      </w:r>
    </w:p>
    <w:p w14:paraId="0E026757" w14:textId="1E17225B" w:rsidR="00272DC8" w:rsidRPr="00AD10DC" w:rsidRDefault="00272DC8" w:rsidP="00AD10DC">
      <w:pPr>
        <w:pStyle w:val="ListNumber3"/>
        <w:numPr>
          <w:ilvl w:val="0"/>
          <w:numId w:val="94"/>
        </w:numPr>
        <w:rPr>
          <w:bCs/>
          <w:lang w:val="en-US"/>
        </w:rPr>
      </w:pPr>
      <w:r w:rsidRPr="00AD10DC">
        <w:rPr>
          <w:lang w:val="en-US"/>
        </w:rPr>
        <w:t>Use the primary care sector as a resource to promote participation through education and opportunistic provision of kits</w:t>
      </w:r>
      <w:r w:rsidRPr="00AD10DC">
        <w:rPr>
          <w:bCs/>
          <w:lang w:val="en-US"/>
        </w:rPr>
        <w:t xml:space="preserve">. </w:t>
      </w:r>
    </w:p>
    <w:p w14:paraId="74DDA63D" w14:textId="773CA436" w:rsidR="009E7233" w:rsidRDefault="00922046" w:rsidP="00CC12D3">
      <w:r>
        <w:rPr>
          <w:color w:val="000000" w:themeColor="text1"/>
        </w:rPr>
        <w:t>P</w:t>
      </w:r>
      <w:r w:rsidR="003E5EB8" w:rsidRPr="003E5EB8">
        <w:rPr>
          <w:color w:val="000000" w:themeColor="text1"/>
        </w:rPr>
        <w:t>rimary care professionals</w:t>
      </w:r>
      <w:r>
        <w:rPr>
          <w:color w:val="000000" w:themeColor="text1"/>
        </w:rPr>
        <w:t xml:space="preserve"> such as </w:t>
      </w:r>
      <w:r w:rsidRPr="003E5EB8">
        <w:rPr>
          <w:color w:val="000000" w:themeColor="text1"/>
        </w:rPr>
        <w:t>GPs, practice nurses and pharmacists</w:t>
      </w:r>
      <w:r w:rsidR="003E5EB8" w:rsidRPr="003E5EB8">
        <w:rPr>
          <w:color w:val="000000" w:themeColor="text1"/>
        </w:rPr>
        <w:t xml:space="preserve">, are </w:t>
      </w:r>
      <w:r>
        <w:rPr>
          <w:color w:val="000000" w:themeColor="text1"/>
        </w:rPr>
        <w:t>important</w:t>
      </w:r>
      <w:r w:rsidR="003E5EB8" w:rsidRPr="003E5EB8">
        <w:rPr>
          <w:color w:val="000000" w:themeColor="text1"/>
        </w:rPr>
        <w:t xml:space="preserve"> in prom</w:t>
      </w:r>
      <w:r w:rsidR="00BE5615">
        <w:rPr>
          <w:color w:val="000000" w:themeColor="text1"/>
        </w:rPr>
        <w:t>o</w:t>
      </w:r>
      <w:r w:rsidR="003E5EB8" w:rsidRPr="003E5EB8">
        <w:rPr>
          <w:color w:val="000000" w:themeColor="text1"/>
        </w:rPr>
        <w:t>ting patient participation in the Program and</w:t>
      </w:r>
      <w:r w:rsidR="00662F41">
        <w:rPr>
          <w:color w:val="000000" w:themeColor="text1"/>
        </w:rPr>
        <w:t xml:space="preserve"> </w:t>
      </w:r>
      <w:r w:rsidR="003E5EB8" w:rsidRPr="003E5EB8">
        <w:rPr>
          <w:color w:val="000000" w:themeColor="text1"/>
        </w:rPr>
        <w:t>counsel</w:t>
      </w:r>
      <w:r w:rsidR="00662F41">
        <w:rPr>
          <w:color w:val="000000" w:themeColor="text1"/>
        </w:rPr>
        <w:t>ling</w:t>
      </w:r>
      <w:r w:rsidR="003E5EB8" w:rsidRPr="003E5EB8">
        <w:rPr>
          <w:color w:val="000000" w:themeColor="text1"/>
        </w:rPr>
        <w:t xml:space="preserve"> and advis</w:t>
      </w:r>
      <w:r>
        <w:rPr>
          <w:color w:val="000000" w:themeColor="text1"/>
        </w:rPr>
        <w:t>ing</w:t>
      </w:r>
      <w:r w:rsidR="003E5EB8" w:rsidRPr="003E5EB8">
        <w:rPr>
          <w:color w:val="000000" w:themeColor="text1"/>
        </w:rPr>
        <w:t xml:space="preserve"> patients throughout the screening, diagnosis, and treatment process. </w:t>
      </w:r>
      <w:r w:rsidR="00C64B74">
        <w:rPr>
          <w:color w:val="000000" w:themeColor="text1"/>
        </w:rPr>
        <w:fldChar w:fldCharType="begin"/>
      </w:r>
      <w:r w:rsidR="00C64B74">
        <w:rPr>
          <w:color w:val="000000" w:themeColor="text1"/>
        </w:rPr>
        <w:instrText xml:space="preserve"> REF _Ref67595766 \r \h </w:instrText>
      </w:r>
      <w:r w:rsidR="00C64B74">
        <w:rPr>
          <w:color w:val="000000" w:themeColor="text1"/>
        </w:rPr>
      </w:r>
      <w:r w:rsidR="00C64B74">
        <w:rPr>
          <w:color w:val="000000" w:themeColor="text1"/>
        </w:rPr>
        <w:fldChar w:fldCharType="separate"/>
      </w:r>
      <w:r w:rsidR="00F27525">
        <w:rPr>
          <w:color w:val="000000" w:themeColor="text1"/>
        </w:rPr>
        <w:t>Chart 4.10</w:t>
      </w:r>
      <w:r w:rsidR="00C64B74">
        <w:rPr>
          <w:color w:val="000000" w:themeColor="text1"/>
        </w:rPr>
        <w:fldChar w:fldCharType="end"/>
      </w:r>
      <w:r w:rsidR="00C64B74">
        <w:rPr>
          <w:color w:val="000000" w:themeColor="text1"/>
        </w:rPr>
        <w:t xml:space="preserve"> </w:t>
      </w:r>
      <w:r w:rsidR="003E5EB8" w:rsidRPr="003E5EB8">
        <w:rPr>
          <w:color w:val="000000" w:themeColor="text1"/>
        </w:rPr>
        <w:t xml:space="preserve">shows that counselling from a trusted health professional is the </w:t>
      </w:r>
      <w:r w:rsidR="00DD794C">
        <w:rPr>
          <w:color w:val="000000" w:themeColor="text1"/>
        </w:rPr>
        <w:t xml:space="preserve">key Program change that would encourage </w:t>
      </w:r>
      <w:r w:rsidR="003E5EB8" w:rsidRPr="003E5EB8">
        <w:rPr>
          <w:color w:val="000000" w:themeColor="text1"/>
        </w:rPr>
        <w:t>non</w:t>
      </w:r>
      <w:r w:rsidR="003E5EB8">
        <w:t>-</w:t>
      </w:r>
      <w:r w:rsidR="00E04685">
        <w:t>completers from</w:t>
      </w:r>
      <w:r w:rsidR="003E5EB8">
        <w:t xml:space="preserve"> younger cohorts and CALD backgrounds</w:t>
      </w:r>
      <w:r w:rsidR="004C2B0E">
        <w:t xml:space="preserve"> to complete the kit next time</w:t>
      </w:r>
      <w:r w:rsidR="003E5EB8">
        <w:t xml:space="preserve">. </w:t>
      </w:r>
    </w:p>
    <w:p w14:paraId="71266445" w14:textId="372AED06" w:rsidR="003E5EB8" w:rsidRDefault="003E5EB8" w:rsidP="00CC12D3">
      <w:r>
        <w:t xml:space="preserve">Further, education on the personalised risk of bowel cancer and the benefits of screening would overcome the attitudinal barrier relating to the perceived ‘need’ for screening, as well as beliefs </w:t>
      </w:r>
      <w:r w:rsidR="00E13852">
        <w:t>relating to the</w:t>
      </w:r>
      <w:r>
        <w:t xml:space="preserve"> costs associated with a positive </w:t>
      </w:r>
      <w:proofErr w:type="spellStart"/>
      <w:r>
        <w:t>iFOBT</w:t>
      </w:r>
      <w:proofErr w:type="spellEnd"/>
      <w:r w:rsidR="00E13852">
        <w:t>.</w:t>
      </w:r>
    </w:p>
    <w:p w14:paraId="10C245BA" w14:textId="517D99CB" w:rsidR="006B2A23" w:rsidRDefault="00DB3099" w:rsidP="00CC12D3">
      <w:pPr>
        <w:rPr>
          <w:color w:val="000000" w:themeColor="text1"/>
        </w:rPr>
      </w:pPr>
      <w:r>
        <w:t xml:space="preserve">As noted in section </w:t>
      </w:r>
      <w:r>
        <w:fldChar w:fldCharType="begin"/>
      </w:r>
      <w:r>
        <w:instrText xml:space="preserve"> REF _Ref67583914 \r \h </w:instrText>
      </w:r>
      <w:r>
        <w:fldChar w:fldCharType="separate"/>
      </w:r>
      <w:r w:rsidR="00F27525">
        <w:t>2.1.1.3</w:t>
      </w:r>
      <w:r>
        <w:fldChar w:fldCharType="end"/>
      </w:r>
      <w:r w:rsidR="00E67238">
        <w:t xml:space="preserve">, </w:t>
      </w:r>
      <w:r w:rsidR="00E67238" w:rsidRPr="00E67238">
        <w:rPr>
          <w:color w:val="000000" w:themeColor="text1"/>
        </w:rPr>
        <w:t xml:space="preserve">the </w:t>
      </w:r>
      <w:r w:rsidR="00BF19D5" w:rsidRPr="00E67238">
        <w:rPr>
          <w:color w:val="000000" w:themeColor="text1"/>
        </w:rPr>
        <w:t>HPP</w:t>
      </w:r>
      <w:r w:rsidR="00BF19D5">
        <w:t xml:space="preserve"> and its integration with primary care management software </w:t>
      </w:r>
      <w:r w:rsidR="006B2A23">
        <w:t>provides</w:t>
      </w:r>
      <w:r w:rsidR="00BF19D5">
        <w:t xml:space="preserve"> important</w:t>
      </w:r>
      <w:r w:rsidR="00A12F04">
        <w:t xml:space="preserve"> enabling</w:t>
      </w:r>
      <w:r w:rsidR="00BF19D5">
        <w:t xml:space="preserve"> infrastructure to facilitate the role</w:t>
      </w:r>
      <w:r w:rsidR="00E67238">
        <w:t xml:space="preserve"> </w:t>
      </w:r>
      <w:r w:rsidR="007A0C8F">
        <w:t xml:space="preserve">of </w:t>
      </w:r>
      <w:r w:rsidR="00BF19D5">
        <w:t xml:space="preserve">primary care in promoting participation. </w:t>
      </w:r>
      <w:r w:rsidR="00BF19D5">
        <w:rPr>
          <w:color w:val="000000" w:themeColor="text1"/>
        </w:rPr>
        <w:t>The HPP could be used</w:t>
      </w:r>
      <w:r w:rsidR="006B2A23">
        <w:rPr>
          <w:color w:val="000000" w:themeColor="text1"/>
        </w:rPr>
        <w:t>:</w:t>
      </w:r>
    </w:p>
    <w:p w14:paraId="58C03E4E" w14:textId="5AD1B8FB" w:rsidR="00BF19D5" w:rsidRPr="00E67238" w:rsidRDefault="00A174E7" w:rsidP="00CC12D3">
      <w:pPr>
        <w:pStyle w:val="ListBullet"/>
        <w:spacing w:after="170"/>
        <w:rPr>
          <w:b/>
          <w:bCs/>
          <w:lang w:val="en-US"/>
        </w:rPr>
      </w:pPr>
      <w:r w:rsidRPr="004043D8">
        <w:rPr>
          <w:b/>
          <w:bCs/>
          <w:color w:val="000000" w:themeColor="text1"/>
        </w:rPr>
        <w:t>W</w:t>
      </w:r>
      <w:r w:rsidR="006B2A23" w:rsidRPr="004043D8">
        <w:rPr>
          <w:b/>
          <w:bCs/>
          <w:color w:val="000000" w:themeColor="text1"/>
        </w:rPr>
        <w:t xml:space="preserve">ithin existing </w:t>
      </w:r>
      <w:r w:rsidR="0098793C">
        <w:rPr>
          <w:b/>
          <w:bCs/>
          <w:color w:val="000000" w:themeColor="text1"/>
        </w:rPr>
        <w:t>Program parameters</w:t>
      </w:r>
      <w:r w:rsidR="004043D8" w:rsidRPr="004043D8">
        <w:rPr>
          <w:b/>
          <w:bCs/>
          <w:color w:val="000000" w:themeColor="text1"/>
        </w:rPr>
        <w:t>.</w:t>
      </w:r>
      <w:r w:rsidR="004043D8">
        <w:rPr>
          <w:color w:val="000000" w:themeColor="text1"/>
        </w:rPr>
        <w:t xml:space="preserve"> </w:t>
      </w:r>
      <w:r>
        <w:rPr>
          <w:color w:val="000000" w:themeColor="text1"/>
        </w:rPr>
        <w:t>For example,</w:t>
      </w:r>
      <w:r w:rsidR="006B2A23">
        <w:rPr>
          <w:color w:val="000000" w:themeColor="text1"/>
        </w:rPr>
        <w:t xml:space="preserve"> by initiating conversations </w:t>
      </w:r>
      <w:r w:rsidR="004718BD" w:rsidRPr="00E07750">
        <w:t>about bowel cancer screening</w:t>
      </w:r>
      <w:r w:rsidR="004718BD">
        <w:t xml:space="preserve">, </w:t>
      </w:r>
      <w:r w:rsidR="00834043">
        <w:t>confirming eligibility to participate and appropriate postage details, and</w:t>
      </w:r>
      <w:r w:rsidR="004718BD">
        <w:t xml:space="preserve"> follow</w:t>
      </w:r>
      <w:r w:rsidR="00834043">
        <w:t>ing</w:t>
      </w:r>
      <w:r w:rsidR="004718BD">
        <w:t xml:space="preserve">-up patients </w:t>
      </w:r>
      <w:r w:rsidR="00040566">
        <w:t>who have been sent a kit but not completed it</w:t>
      </w:r>
      <w:r w:rsidR="00591DD8">
        <w:t>.</w:t>
      </w:r>
      <w:r w:rsidR="000373A3">
        <w:t xml:space="preserve"> In addition t</w:t>
      </w:r>
      <w:r w:rsidR="007971EC">
        <w:t>o</w:t>
      </w:r>
      <w:r w:rsidR="000373A3">
        <w:t xml:space="preserve"> improving participation rates</w:t>
      </w:r>
      <w:r w:rsidR="00C710B6">
        <w:t>,</w:t>
      </w:r>
      <w:r w:rsidR="000373A3">
        <w:t xml:space="preserve"> each of these factors would also </w:t>
      </w:r>
      <w:r w:rsidR="007971EC">
        <w:t>inform</w:t>
      </w:r>
      <w:r w:rsidR="000373A3">
        <w:t xml:space="preserve"> a more accurate assessment of the true participation rate</w:t>
      </w:r>
      <w:r w:rsidR="007971EC">
        <w:t xml:space="preserve"> for reporting purposes.</w:t>
      </w:r>
    </w:p>
    <w:p w14:paraId="21A9F46C" w14:textId="30A42C8F" w:rsidR="00351DEE" w:rsidRPr="008856B2" w:rsidRDefault="00452E54" w:rsidP="00CC12D3">
      <w:pPr>
        <w:pStyle w:val="ListBullet"/>
        <w:spacing w:after="170"/>
        <w:rPr>
          <w:szCs w:val="18"/>
        </w:rPr>
      </w:pPr>
      <w:r>
        <w:rPr>
          <w:b/>
          <w:bCs/>
        </w:rPr>
        <w:t>Beyond current Program parameters</w:t>
      </w:r>
      <w:r w:rsidR="00A174E7" w:rsidRPr="004043D8">
        <w:rPr>
          <w:b/>
          <w:bCs/>
        </w:rPr>
        <w:t xml:space="preserve">. </w:t>
      </w:r>
      <w:r w:rsidR="00AE4B3F" w:rsidRPr="008856B2">
        <w:t>For example,</w:t>
      </w:r>
      <w:r w:rsidR="00AE4B3F">
        <w:rPr>
          <w:b/>
          <w:bCs/>
        </w:rPr>
        <w:t xml:space="preserve"> </w:t>
      </w:r>
      <w:r w:rsidR="00325037">
        <w:t xml:space="preserve">invitees </w:t>
      </w:r>
      <w:r w:rsidR="00AE4B3F">
        <w:t xml:space="preserve">could collect a kit from a registered community pharmacy or a GP, and their participation could be recorded </w:t>
      </w:r>
      <w:r w:rsidR="00351DEE" w:rsidRPr="00351DEE">
        <w:rPr>
          <w:szCs w:val="18"/>
        </w:rPr>
        <w:t>by</w:t>
      </w:r>
      <w:r w:rsidR="00591DD8">
        <w:rPr>
          <w:szCs w:val="18"/>
        </w:rPr>
        <w:t xml:space="preserve"> a practitioner</w:t>
      </w:r>
      <w:r w:rsidR="00351DEE" w:rsidRPr="00351DEE">
        <w:rPr>
          <w:szCs w:val="18"/>
        </w:rPr>
        <w:t xml:space="preserve"> </w:t>
      </w:r>
      <w:r w:rsidR="00604563">
        <w:rPr>
          <w:szCs w:val="18"/>
        </w:rPr>
        <w:t>who notifies the</w:t>
      </w:r>
      <w:r w:rsidR="00351DEE" w:rsidRPr="00351DEE">
        <w:rPr>
          <w:szCs w:val="18"/>
        </w:rPr>
        <w:t xml:space="preserve"> </w:t>
      </w:r>
      <w:r w:rsidR="00351DEE">
        <w:rPr>
          <w:szCs w:val="18"/>
        </w:rPr>
        <w:t>N</w:t>
      </w:r>
      <w:r w:rsidR="00351DEE" w:rsidRPr="00351DEE">
        <w:rPr>
          <w:szCs w:val="18"/>
        </w:rPr>
        <w:t>CSR through the HPP. Al</w:t>
      </w:r>
      <w:r w:rsidR="00351DEE">
        <w:rPr>
          <w:szCs w:val="18"/>
        </w:rPr>
        <w:t xml:space="preserve">ternatively, </w:t>
      </w:r>
      <w:r w:rsidR="009E06DE" w:rsidRPr="00E07750">
        <w:t xml:space="preserve">the pre-invitation letter could </w:t>
      </w:r>
      <w:r w:rsidR="00DB1390">
        <w:t>include a</w:t>
      </w:r>
      <w:r w:rsidR="009E06DE" w:rsidRPr="00E07750">
        <w:t xml:space="preserve"> voucher to collect the kit from a pharmacy </w:t>
      </w:r>
      <w:r w:rsidR="009E06DE">
        <w:t>or a practice</w:t>
      </w:r>
      <w:r w:rsidR="008856B2">
        <w:t>.</w:t>
      </w:r>
    </w:p>
    <w:p w14:paraId="2C0A1310" w14:textId="4553F9DB" w:rsidR="00125F86" w:rsidRPr="00815EA5" w:rsidRDefault="00A7184B" w:rsidP="00815EA5">
      <w:pPr>
        <w:rPr>
          <w:b/>
          <w:lang w:val="en-US"/>
        </w:rPr>
      </w:pPr>
      <w:r>
        <w:t>T</w:t>
      </w:r>
      <w:r w:rsidR="00BF19D5">
        <w:t xml:space="preserve">he utility of the HPP in promoting participation in its current form should be evaluated, and additional features </w:t>
      </w:r>
      <w:r w:rsidR="00C41EDE">
        <w:t>could be considered</w:t>
      </w:r>
      <w:r w:rsidR="009E5ABC">
        <w:t>.</w:t>
      </w:r>
    </w:p>
    <w:p w14:paraId="507D7C82" w14:textId="78E60992" w:rsidR="00BE2E77" w:rsidRDefault="00BE2E77" w:rsidP="00AD10DC">
      <w:pPr>
        <w:pStyle w:val="ListNumber3"/>
        <w:rPr>
          <w:bCs/>
          <w:lang w:val="en-US"/>
        </w:rPr>
      </w:pPr>
      <w:r>
        <w:rPr>
          <w:lang w:val="en-US"/>
        </w:rPr>
        <w:t>Consider piloting</w:t>
      </w:r>
      <w:r w:rsidRPr="006A7535">
        <w:rPr>
          <w:lang w:val="en-US"/>
        </w:rPr>
        <w:t xml:space="preserve"> </w:t>
      </w:r>
      <w:r w:rsidRPr="006A7535">
        <w:rPr>
          <w:bCs/>
          <w:lang w:val="en-US"/>
        </w:rPr>
        <w:t>sample</w:t>
      </w:r>
      <w:r w:rsidRPr="006A7535">
        <w:rPr>
          <w:lang w:val="en-US"/>
        </w:rPr>
        <w:t xml:space="preserve"> drop-off points</w:t>
      </w:r>
      <w:r w:rsidRPr="006A7535">
        <w:rPr>
          <w:bCs/>
          <w:lang w:val="en-US"/>
        </w:rPr>
        <w:t xml:space="preserve">. </w:t>
      </w:r>
    </w:p>
    <w:p w14:paraId="527FCE8A" w14:textId="43E1F032" w:rsidR="002520DE" w:rsidRDefault="00353E41" w:rsidP="00CC12D3">
      <w:r>
        <w:rPr>
          <w:color w:val="000000" w:themeColor="text1"/>
        </w:rPr>
        <w:fldChar w:fldCharType="begin"/>
      </w:r>
      <w:r>
        <w:rPr>
          <w:color w:val="000000" w:themeColor="text1"/>
        </w:rPr>
        <w:instrText xml:space="preserve"> REF _Ref67595766 \r \h </w:instrText>
      </w:r>
      <w:r>
        <w:rPr>
          <w:color w:val="000000" w:themeColor="text1"/>
        </w:rPr>
      </w:r>
      <w:r>
        <w:rPr>
          <w:color w:val="000000" w:themeColor="text1"/>
        </w:rPr>
        <w:fldChar w:fldCharType="separate"/>
      </w:r>
      <w:r w:rsidR="00F27525">
        <w:rPr>
          <w:color w:val="000000" w:themeColor="text1"/>
        </w:rPr>
        <w:t>Chart 4.10</w:t>
      </w:r>
      <w:r>
        <w:rPr>
          <w:color w:val="000000" w:themeColor="text1"/>
        </w:rPr>
        <w:fldChar w:fldCharType="end"/>
      </w:r>
      <w:r>
        <w:rPr>
          <w:color w:val="000000" w:themeColor="text1"/>
        </w:rPr>
        <w:t xml:space="preserve"> shows that the </w:t>
      </w:r>
      <w:r w:rsidR="000C5F26" w:rsidRPr="00813361">
        <w:t xml:space="preserve">ability to drop off </w:t>
      </w:r>
      <w:proofErr w:type="spellStart"/>
      <w:r w:rsidR="000C5F26" w:rsidRPr="00813361">
        <w:t>iF</w:t>
      </w:r>
      <w:r w:rsidR="000C5F26">
        <w:t>O</w:t>
      </w:r>
      <w:r w:rsidR="000C5F26" w:rsidRPr="00813361">
        <w:t>BT</w:t>
      </w:r>
      <w:proofErr w:type="spellEnd"/>
      <w:r w:rsidR="000C5F26" w:rsidRPr="00813361">
        <w:t xml:space="preserve"> samples at a collection point was </w:t>
      </w:r>
      <w:r w:rsidR="000C5F26">
        <w:t xml:space="preserve">the </w:t>
      </w:r>
      <w:r w:rsidR="00696C33">
        <w:t xml:space="preserve">number one Program change </w:t>
      </w:r>
      <w:r w:rsidR="00696C33">
        <w:rPr>
          <w:color w:val="000000" w:themeColor="text1"/>
        </w:rPr>
        <w:t xml:space="preserve">that would encourage </w:t>
      </w:r>
      <w:r w:rsidR="00696C33" w:rsidRPr="003E5EB8">
        <w:rPr>
          <w:color w:val="000000" w:themeColor="text1"/>
        </w:rPr>
        <w:t>non</w:t>
      </w:r>
      <w:r w:rsidR="00696C33">
        <w:t>-completers</w:t>
      </w:r>
      <w:r w:rsidR="00465EF7">
        <w:t xml:space="preserve"> to complete the kit next time</w:t>
      </w:r>
      <w:r w:rsidR="00D705A1">
        <w:t>. This was</w:t>
      </w:r>
      <w:r w:rsidR="00291CF0">
        <w:t xml:space="preserve"> a </w:t>
      </w:r>
      <w:r w:rsidR="00DB41B4">
        <w:t xml:space="preserve">proposed </w:t>
      </w:r>
      <w:r w:rsidR="00291CF0">
        <w:t xml:space="preserve">change that was most profound for </w:t>
      </w:r>
      <w:r w:rsidR="00DB41B4">
        <w:t>non-completers</w:t>
      </w:r>
      <w:r w:rsidR="00291CF0">
        <w:t xml:space="preserve"> residing in rural and remote locations</w:t>
      </w:r>
      <w:r w:rsidR="00D705A1">
        <w:t xml:space="preserve"> </w:t>
      </w:r>
      <w:r w:rsidR="000C5F26">
        <w:t>due to the</w:t>
      </w:r>
      <w:r w:rsidR="000E730F">
        <w:t>ir unique challenges in complying with the</w:t>
      </w:r>
      <w:r w:rsidR="000C5F26">
        <w:t xml:space="preserve"> strict return postage</w:t>
      </w:r>
      <w:r w:rsidR="000E730F">
        <w:t xml:space="preserve"> requirements</w:t>
      </w:r>
      <w:r w:rsidR="00465EF7">
        <w:t>.</w:t>
      </w:r>
      <w:r w:rsidR="00FA2228">
        <w:t xml:space="preserve"> </w:t>
      </w:r>
    </w:p>
    <w:p w14:paraId="716C0B24" w14:textId="0DEA604E" w:rsidR="000C5F26" w:rsidRDefault="00801400" w:rsidP="00CC12D3">
      <w:r>
        <w:t>To ensure a</w:t>
      </w:r>
      <w:r w:rsidR="00FA2228">
        <w:t xml:space="preserve"> change of this nature </w:t>
      </w:r>
      <w:r>
        <w:t>is</w:t>
      </w:r>
      <w:r w:rsidR="00FA2228">
        <w:t xml:space="preserve"> feasible, consideration should be given to </w:t>
      </w:r>
      <w:r w:rsidR="006E24F8">
        <w:t>sufficient dedicate</w:t>
      </w:r>
      <w:r w:rsidR="00A11D16">
        <w:t>d</w:t>
      </w:r>
      <w:r w:rsidR="006E24F8">
        <w:t xml:space="preserve"> refrigeration </w:t>
      </w:r>
      <w:r w:rsidR="002520DE">
        <w:t xml:space="preserve">at the collection </w:t>
      </w:r>
      <w:r w:rsidR="00285305">
        <w:t>point</w:t>
      </w:r>
      <w:r w:rsidR="002520DE">
        <w:t xml:space="preserve">, </w:t>
      </w:r>
      <w:r w:rsidR="006E24F8">
        <w:t>and the</w:t>
      </w:r>
      <w:r w:rsidR="002520DE">
        <w:t xml:space="preserve"> logistics of ensuring that</w:t>
      </w:r>
      <w:r w:rsidR="006E24F8">
        <w:t xml:space="preserve"> </w:t>
      </w:r>
      <w:r w:rsidR="002520DE">
        <w:t xml:space="preserve">all </w:t>
      </w:r>
      <w:r w:rsidR="00A11D16">
        <w:t xml:space="preserve">samples </w:t>
      </w:r>
      <w:r w:rsidR="002520DE">
        <w:t>arrive at the</w:t>
      </w:r>
      <w:r w:rsidR="00A11D16">
        <w:t xml:space="preserve"> laboratory</w:t>
      </w:r>
      <w:r w:rsidR="00CA3B06">
        <w:t xml:space="preserve"> from the collection </w:t>
      </w:r>
      <w:r w:rsidR="00285305">
        <w:t>point</w:t>
      </w:r>
      <w:r w:rsidR="00A11D16">
        <w:t xml:space="preserve"> </w:t>
      </w:r>
      <w:r w:rsidR="002520DE">
        <w:t>prior to expiry.</w:t>
      </w:r>
    </w:p>
    <w:p w14:paraId="3F4EFAA2" w14:textId="77777777" w:rsidR="00CA049E" w:rsidRPr="00CA049E" w:rsidRDefault="00F42B20" w:rsidP="00AD10DC">
      <w:pPr>
        <w:pStyle w:val="ListNumber3"/>
        <w:rPr>
          <w:lang w:val="en-US"/>
        </w:rPr>
      </w:pPr>
      <w:r w:rsidRPr="006A7535">
        <w:rPr>
          <w:lang w:val="en-US"/>
        </w:rPr>
        <w:t xml:space="preserve">Scale up the </w:t>
      </w:r>
      <w:r>
        <w:rPr>
          <w:lang w:val="en-US"/>
        </w:rPr>
        <w:t>A</w:t>
      </w:r>
      <w:r w:rsidRPr="006A7535">
        <w:rPr>
          <w:lang w:val="en-US"/>
        </w:rPr>
        <w:t xml:space="preserve">lternative </w:t>
      </w:r>
      <w:r>
        <w:rPr>
          <w:lang w:val="en-US"/>
        </w:rPr>
        <w:t>P</w:t>
      </w:r>
      <w:r w:rsidRPr="006A7535">
        <w:rPr>
          <w:lang w:val="en-US"/>
        </w:rPr>
        <w:t>athway pilot, as appropriate in other population groups</w:t>
      </w:r>
      <w:r>
        <w:rPr>
          <w:lang w:val="en-US"/>
        </w:rPr>
        <w:t>.</w:t>
      </w:r>
    </w:p>
    <w:p w14:paraId="52F4B56C" w14:textId="1D00415F" w:rsidR="00CA049E" w:rsidRDefault="00CA049E" w:rsidP="00CC12D3">
      <w:pPr>
        <w:rPr>
          <w:color w:val="000000" w:themeColor="text1"/>
        </w:rPr>
      </w:pPr>
      <w:r w:rsidRPr="00CA049E">
        <w:rPr>
          <w:color w:val="000000" w:themeColor="text1"/>
        </w:rPr>
        <w:t xml:space="preserve">The </w:t>
      </w:r>
      <w:r>
        <w:rPr>
          <w:color w:val="000000" w:themeColor="text1"/>
        </w:rPr>
        <w:t>A</w:t>
      </w:r>
      <w:r w:rsidRPr="00CA049E">
        <w:rPr>
          <w:color w:val="000000" w:themeColor="text1"/>
        </w:rPr>
        <w:t xml:space="preserve">lternative </w:t>
      </w:r>
      <w:r>
        <w:rPr>
          <w:color w:val="000000" w:themeColor="text1"/>
        </w:rPr>
        <w:t>P</w:t>
      </w:r>
      <w:r w:rsidRPr="00CA049E">
        <w:rPr>
          <w:color w:val="000000" w:themeColor="text1"/>
        </w:rPr>
        <w:t xml:space="preserve">athway pilot demonstrated success in increasing participation in Aboriginal and Torres Strait Islander communities. Feasibility of scaling the pilot to other Aboriginal and Torres Strait Islander communities should be explored. In addition, </w:t>
      </w:r>
      <w:r w:rsidRPr="00CA049E">
        <w:rPr>
          <w:color w:val="000000" w:themeColor="text1"/>
        </w:rPr>
        <w:lastRenderedPageBreak/>
        <w:t>consideration should be given to how the pilot could be tailored and adapted to meet the unique needs and access barriers for people from CALD backgrounds</w:t>
      </w:r>
      <w:r w:rsidR="00ED3030">
        <w:rPr>
          <w:color w:val="000000" w:themeColor="text1"/>
        </w:rPr>
        <w:t>.</w:t>
      </w:r>
    </w:p>
    <w:p w14:paraId="6A0402E4" w14:textId="279318F6" w:rsidR="00F56D60" w:rsidRPr="009C1FEF" w:rsidRDefault="00F56D60" w:rsidP="00AD10DC">
      <w:pPr>
        <w:pStyle w:val="ListNumber3"/>
      </w:pPr>
      <w:r w:rsidRPr="00F56D60">
        <w:rPr>
          <w:lang w:val="en-US"/>
        </w:rPr>
        <w:t xml:space="preserve">Explore </w:t>
      </w:r>
      <w:proofErr w:type="spellStart"/>
      <w:r w:rsidR="00CA5FE6">
        <w:rPr>
          <w:lang w:val="en-US"/>
        </w:rPr>
        <w:t>utilisation</w:t>
      </w:r>
      <w:proofErr w:type="spellEnd"/>
      <w:r w:rsidR="00CA5FE6">
        <w:rPr>
          <w:lang w:val="en-US"/>
        </w:rPr>
        <w:t xml:space="preserve"> </w:t>
      </w:r>
      <w:r w:rsidR="00C7383F">
        <w:rPr>
          <w:lang w:val="en-US"/>
        </w:rPr>
        <w:t xml:space="preserve">of the NCSR </w:t>
      </w:r>
      <w:r w:rsidRPr="00F56D60">
        <w:rPr>
          <w:lang w:val="en-US"/>
        </w:rPr>
        <w:t xml:space="preserve">to improve participation. </w:t>
      </w:r>
    </w:p>
    <w:p w14:paraId="36EFDFF0" w14:textId="384BF6BB" w:rsidR="00F56D60" w:rsidRDefault="00F56D60" w:rsidP="00CC12D3">
      <w:r>
        <w:rPr>
          <w:lang w:val="en-US"/>
        </w:rPr>
        <w:t xml:space="preserve">There are several ways the </w:t>
      </w:r>
      <w:r w:rsidR="000A2F23">
        <w:rPr>
          <w:lang w:val="en-US"/>
        </w:rPr>
        <w:t>NCSR</w:t>
      </w:r>
      <w:r w:rsidR="00F80463">
        <w:rPr>
          <w:lang w:val="en-US"/>
        </w:rPr>
        <w:t xml:space="preserve"> </w:t>
      </w:r>
      <w:r>
        <w:rPr>
          <w:lang w:val="en-US"/>
        </w:rPr>
        <w:t xml:space="preserve">could be </w:t>
      </w:r>
      <w:proofErr w:type="spellStart"/>
      <w:r>
        <w:rPr>
          <w:lang w:val="en-US"/>
        </w:rPr>
        <w:t>utilised</w:t>
      </w:r>
      <w:proofErr w:type="spellEnd"/>
      <w:r>
        <w:rPr>
          <w:lang w:val="en-US"/>
        </w:rPr>
        <w:t xml:space="preserve"> </w:t>
      </w:r>
      <w:r w:rsidR="00945E15">
        <w:rPr>
          <w:lang w:val="en-US"/>
        </w:rPr>
        <w:t>to</w:t>
      </w:r>
      <w:r>
        <w:rPr>
          <w:lang w:val="en-US"/>
        </w:rPr>
        <w:t xml:space="preserve"> </w:t>
      </w:r>
      <w:r w:rsidR="005021D2">
        <w:rPr>
          <w:lang w:val="en-US"/>
        </w:rPr>
        <w:t>improv</w:t>
      </w:r>
      <w:r w:rsidR="00945E15">
        <w:rPr>
          <w:lang w:val="en-US"/>
        </w:rPr>
        <w:t>e</w:t>
      </w:r>
      <w:r>
        <w:rPr>
          <w:lang w:val="en-US"/>
        </w:rPr>
        <w:t xml:space="preserve"> communication methods and engagement with the target cohort</w:t>
      </w:r>
      <w:r w:rsidR="00057CE0">
        <w:rPr>
          <w:lang w:val="en-US"/>
        </w:rPr>
        <w:t>, and thereby, overcome common barriers to participation</w:t>
      </w:r>
      <w:r>
        <w:rPr>
          <w:lang w:val="en-US"/>
        </w:rPr>
        <w:t>. Examples include</w:t>
      </w:r>
      <w:r>
        <w:t>:</w:t>
      </w:r>
    </w:p>
    <w:p w14:paraId="68151451" w14:textId="234F866E" w:rsidR="003C06F0" w:rsidRPr="00452E54" w:rsidRDefault="003C06F0" w:rsidP="00CC12D3">
      <w:pPr>
        <w:pStyle w:val="ListBullet"/>
        <w:spacing w:after="170"/>
      </w:pPr>
      <w:r w:rsidRPr="00452E54">
        <w:rPr>
          <w:b/>
          <w:bCs/>
        </w:rPr>
        <w:t>Electronic reminders</w:t>
      </w:r>
      <w:r w:rsidR="00D678DE" w:rsidRPr="00452E54">
        <w:rPr>
          <w:b/>
          <w:bCs/>
        </w:rPr>
        <w:t>.</w:t>
      </w:r>
      <w:r w:rsidR="00D678DE" w:rsidRPr="00452E54">
        <w:t xml:space="preserve"> </w:t>
      </w:r>
      <w:r w:rsidR="00057CE0" w:rsidRPr="00452E54">
        <w:fldChar w:fldCharType="begin"/>
      </w:r>
      <w:r w:rsidR="00057CE0" w:rsidRPr="00452E54">
        <w:instrText xml:space="preserve"> REF _Ref67595766 \r \h </w:instrText>
      </w:r>
      <w:r w:rsidR="00452E54">
        <w:instrText xml:space="preserve"> \* MERGEFORMAT </w:instrText>
      </w:r>
      <w:r w:rsidR="00057CE0" w:rsidRPr="00452E54">
        <w:fldChar w:fldCharType="separate"/>
      </w:r>
      <w:r w:rsidR="00F27525">
        <w:t>Chart 4.10</w:t>
      </w:r>
      <w:r w:rsidR="00057CE0" w:rsidRPr="00452E54">
        <w:fldChar w:fldCharType="end"/>
      </w:r>
      <w:r w:rsidR="00057CE0" w:rsidRPr="00452E54">
        <w:t xml:space="preserve"> show</w:t>
      </w:r>
      <w:r w:rsidR="00D678DE" w:rsidRPr="00452E54">
        <w:t>s</w:t>
      </w:r>
      <w:r w:rsidR="00057CE0" w:rsidRPr="00452E54">
        <w:t xml:space="preserve"> that </w:t>
      </w:r>
      <w:r w:rsidR="003B0A0E" w:rsidRPr="00452E54">
        <w:t>digital reminders</w:t>
      </w:r>
      <w:r w:rsidR="002921D2">
        <w:t xml:space="preserve"> are</w:t>
      </w:r>
      <w:r w:rsidR="003B0A0E" w:rsidRPr="00452E54">
        <w:t xml:space="preserve"> one of the key Program changes that would encourage non</w:t>
      </w:r>
      <w:r w:rsidR="003B0A0E">
        <w:t>-completers from younger cohorts</w:t>
      </w:r>
      <w:r w:rsidR="00D678DE">
        <w:t xml:space="preserve"> to complete the kit next time</w:t>
      </w:r>
      <w:r w:rsidR="003B0A0E">
        <w:t>.</w:t>
      </w:r>
      <w:r w:rsidR="00D56AF7">
        <w:t xml:space="preserve"> </w:t>
      </w:r>
    </w:p>
    <w:p w14:paraId="0BB95D4B" w14:textId="534822A7" w:rsidR="003C06F0" w:rsidRDefault="003C06F0" w:rsidP="00CC12D3">
      <w:pPr>
        <w:pStyle w:val="ListBullet"/>
        <w:spacing w:after="170"/>
      </w:pPr>
      <w:r w:rsidRPr="00452E54">
        <w:rPr>
          <w:b/>
          <w:bCs/>
        </w:rPr>
        <w:t>Streamlined processes for completion of the personal details form</w:t>
      </w:r>
      <w:r w:rsidR="00216F68">
        <w:rPr>
          <w:b/>
          <w:bCs/>
        </w:rPr>
        <w:t xml:space="preserve"> or access to in-language communications</w:t>
      </w:r>
      <w:r w:rsidR="00D678DE" w:rsidRPr="00452E54">
        <w:rPr>
          <w:b/>
          <w:bCs/>
        </w:rPr>
        <w:t>.</w:t>
      </w:r>
      <w:r w:rsidR="00D678DE" w:rsidRPr="00452E54">
        <w:t xml:space="preserve"> For example, </w:t>
      </w:r>
      <w:r w:rsidR="00216F68">
        <w:t xml:space="preserve">personal details forms could be </w:t>
      </w:r>
      <w:r w:rsidRPr="00452E54">
        <w:t xml:space="preserve">pre-populated based on information previously collected, </w:t>
      </w:r>
      <w:r w:rsidR="00882DAD">
        <w:t xml:space="preserve">a </w:t>
      </w:r>
      <w:r w:rsidRPr="00452E54">
        <w:t>QR code</w:t>
      </w:r>
      <w:r w:rsidR="00D5719B">
        <w:t xml:space="preserve"> could be used</w:t>
      </w:r>
      <w:r w:rsidRPr="00452E54">
        <w:t xml:space="preserve"> to </w:t>
      </w:r>
      <w:r w:rsidR="00053CDB">
        <w:t>take invitees to an electronic mode of</w:t>
      </w:r>
      <w:r w:rsidR="000F6164">
        <w:t xml:space="preserve"> form</w:t>
      </w:r>
      <w:r w:rsidR="00053CDB">
        <w:t xml:space="preserve"> </w:t>
      </w:r>
      <w:r w:rsidRPr="00452E54">
        <w:t>complet</w:t>
      </w:r>
      <w:r w:rsidR="00053CDB">
        <w:t>ion</w:t>
      </w:r>
      <w:r w:rsidRPr="00452E54">
        <w:t xml:space="preserve">, </w:t>
      </w:r>
      <w:r w:rsidR="00053CDB">
        <w:t xml:space="preserve">a </w:t>
      </w:r>
      <w:r w:rsidRPr="00452E54">
        <w:t>QR code</w:t>
      </w:r>
      <w:r w:rsidR="00D5719B">
        <w:t xml:space="preserve"> could be used</w:t>
      </w:r>
      <w:r w:rsidRPr="00452E54">
        <w:t xml:space="preserve"> to take invitees direct to in-language communications and express preferences for modes of communication etc.</w:t>
      </w:r>
      <w:r w:rsidR="00374DA1">
        <w:t xml:space="preserve"> </w:t>
      </w:r>
    </w:p>
    <w:p w14:paraId="51721E71" w14:textId="1E4B2C08" w:rsidR="00EB77AA" w:rsidRDefault="003C06F0" w:rsidP="00CC12D3">
      <w:pPr>
        <w:pStyle w:val="ListBullet"/>
        <w:spacing w:after="170"/>
      </w:pPr>
      <w:r w:rsidRPr="00452E54">
        <w:rPr>
          <w:b/>
          <w:bCs/>
        </w:rPr>
        <w:t xml:space="preserve">Personalised invitations that seek to overcome specific sub-group attitudinal </w:t>
      </w:r>
      <w:r w:rsidR="004C5822" w:rsidRPr="00452E54">
        <w:rPr>
          <w:b/>
          <w:bCs/>
        </w:rPr>
        <w:t xml:space="preserve">or </w:t>
      </w:r>
      <w:r w:rsidR="00F531A8" w:rsidRPr="00452E54">
        <w:rPr>
          <w:b/>
          <w:bCs/>
        </w:rPr>
        <w:t>behavioural</w:t>
      </w:r>
      <w:r w:rsidR="004C5822" w:rsidRPr="00452E54">
        <w:rPr>
          <w:b/>
          <w:bCs/>
        </w:rPr>
        <w:t xml:space="preserve"> </w:t>
      </w:r>
      <w:r w:rsidRPr="00452E54">
        <w:rPr>
          <w:b/>
          <w:bCs/>
        </w:rPr>
        <w:t>barriers.</w:t>
      </w:r>
      <w:r w:rsidRPr="00452E54">
        <w:t xml:space="preserve"> For example, information on the benefits of screening could be targeted at first-time screeners</w:t>
      </w:r>
      <w:r w:rsidR="0096147A" w:rsidRPr="00452E54">
        <w:t xml:space="preserve"> (both those receiving a kit for the first time and those who have received kits previously but never participated)</w:t>
      </w:r>
      <w:r w:rsidR="001B29C3">
        <w:t xml:space="preserve">. </w:t>
      </w:r>
    </w:p>
    <w:p w14:paraId="19064299" w14:textId="3731B3C5" w:rsidR="00DC7104" w:rsidRDefault="00547634" w:rsidP="00EB77AA">
      <w:pPr>
        <w:pStyle w:val="ListBullet"/>
        <w:numPr>
          <w:ilvl w:val="0"/>
          <w:numId w:val="0"/>
        </w:numPr>
        <w:spacing w:after="170"/>
        <w:ind w:left="340"/>
      </w:pPr>
      <w:r>
        <w:t>Modifications to the information provided could have a profound impact</w:t>
      </w:r>
      <w:r w:rsidR="00DF5152">
        <w:t xml:space="preserve"> </w:t>
      </w:r>
      <w:r w:rsidR="005A131C">
        <w:t xml:space="preserve">on improving participation </w:t>
      </w:r>
      <w:r w:rsidR="00DF5152">
        <w:t>given th</w:t>
      </w:r>
      <w:r w:rsidR="00802866">
        <w:t xml:space="preserve">at almost one in two </w:t>
      </w:r>
      <w:r w:rsidR="00DF5152">
        <w:t>non-completers decide not to complete the kit after reading the instructions (</w:t>
      </w:r>
      <w:r w:rsidR="00DF5152">
        <w:fldChar w:fldCharType="begin"/>
      </w:r>
      <w:r w:rsidR="00DF5152">
        <w:instrText xml:space="preserve"> REF _Ref67594432 \r \h </w:instrText>
      </w:r>
      <w:r w:rsidR="00DF5152">
        <w:fldChar w:fldCharType="separate"/>
      </w:r>
      <w:r w:rsidR="00F27525">
        <w:t>Chart 4.9</w:t>
      </w:r>
      <w:r w:rsidR="00DF5152">
        <w:fldChar w:fldCharType="end"/>
      </w:r>
      <w:r w:rsidR="00DF5152">
        <w:t xml:space="preserve">). </w:t>
      </w:r>
    </w:p>
    <w:p w14:paraId="10F6FBBC" w14:textId="5D579528" w:rsidR="00DC7104" w:rsidRPr="00015E20" w:rsidRDefault="00DC7104" w:rsidP="00AD10DC">
      <w:pPr>
        <w:pStyle w:val="ListNumber3"/>
        <w:rPr>
          <w:bCs/>
        </w:rPr>
      </w:pPr>
      <w:r w:rsidRPr="00015E20">
        <w:rPr>
          <w:lang w:val="en-US"/>
        </w:rPr>
        <w:t xml:space="preserve">Modify kit </w:t>
      </w:r>
      <w:r w:rsidR="008366FB">
        <w:rPr>
          <w:lang w:val="en-US"/>
        </w:rPr>
        <w:t>contents and accessories</w:t>
      </w:r>
      <w:r w:rsidRPr="00015E20">
        <w:rPr>
          <w:lang w:val="en-US"/>
        </w:rPr>
        <w:t xml:space="preserve"> to mitigate common reasons for non-completion.</w:t>
      </w:r>
      <w:r>
        <w:t xml:space="preserve"> </w:t>
      </w:r>
    </w:p>
    <w:p w14:paraId="6E241404" w14:textId="54A85968" w:rsidR="00DC7104" w:rsidRPr="00713217" w:rsidRDefault="00B34108" w:rsidP="00CC12D3">
      <w:pPr>
        <w:rPr>
          <w:bCs/>
        </w:rPr>
      </w:pPr>
      <w:r>
        <w:rPr>
          <w:bCs/>
        </w:rPr>
        <w:fldChar w:fldCharType="begin"/>
      </w:r>
      <w:r>
        <w:rPr>
          <w:bCs/>
        </w:rPr>
        <w:instrText xml:space="preserve"> REF _Ref67591738 \r \h </w:instrText>
      </w:r>
      <w:r>
        <w:rPr>
          <w:bCs/>
        </w:rPr>
      </w:r>
      <w:r>
        <w:rPr>
          <w:bCs/>
        </w:rPr>
        <w:fldChar w:fldCharType="separate"/>
      </w:r>
      <w:r w:rsidR="00F27525">
        <w:rPr>
          <w:bCs/>
        </w:rPr>
        <w:t>Chart 4.7</w:t>
      </w:r>
      <w:r>
        <w:rPr>
          <w:bCs/>
        </w:rPr>
        <w:fldChar w:fldCharType="end"/>
      </w:r>
      <w:r>
        <w:rPr>
          <w:bCs/>
        </w:rPr>
        <w:t xml:space="preserve"> shows that </w:t>
      </w:r>
      <w:r w:rsidR="00DC7104" w:rsidRPr="00015E20">
        <w:rPr>
          <w:bCs/>
        </w:rPr>
        <w:t>the number one reason for non-</w:t>
      </w:r>
      <w:r w:rsidR="007661E0">
        <w:rPr>
          <w:bCs/>
        </w:rPr>
        <w:t xml:space="preserve">completion </w:t>
      </w:r>
      <w:r w:rsidR="00DC7104" w:rsidRPr="00015E20">
        <w:rPr>
          <w:bCs/>
        </w:rPr>
        <w:t xml:space="preserve">was </w:t>
      </w:r>
      <w:r w:rsidR="00DC7104" w:rsidRPr="00B34108">
        <w:rPr>
          <w:bCs/>
          <w:i/>
          <w:iCs/>
        </w:rPr>
        <w:t xml:space="preserve">‘wanted to do </w:t>
      </w:r>
      <w:r w:rsidR="000920C1" w:rsidRPr="00B34108">
        <w:rPr>
          <w:bCs/>
          <w:i/>
          <w:iCs/>
        </w:rPr>
        <w:t>it but</w:t>
      </w:r>
      <w:r w:rsidR="00DC7104" w:rsidRPr="00B34108">
        <w:rPr>
          <w:bCs/>
          <w:i/>
          <w:iCs/>
        </w:rPr>
        <w:t xml:space="preserve"> did not get around to it’ </w:t>
      </w:r>
      <w:r w:rsidR="00DC7104" w:rsidRPr="00015E20">
        <w:rPr>
          <w:bCs/>
        </w:rPr>
        <w:t>followed b</w:t>
      </w:r>
      <w:r w:rsidR="00A96CFA">
        <w:rPr>
          <w:bCs/>
        </w:rPr>
        <w:t>y</w:t>
      </w:r>
      <w:r>
        <w:rPr>
          <w:bCs/>
        </w:rPr>
        <w:t xml:space="preserve"> </w:t>
      </w:r>
      <w:r w:rsidR="00A96CFA" w:rsidRPr="00015E20">
        <w:rPr>
          <w:bCs/>
        </w:rPr>
        <w:t>p</w:t>
      </w:r>
      <w:r w:rsidR="00A96CFA">
        <w:rPr>
          <w:bCs/>
        </w:rPr>
        <w:t>erceived hygiene concerns</w:t>
      </w:r>
      <w:r w:rsidR="00DC7104" w:rsidRPr="00015E20">
        <w:rPr>
          <w:bCs/>
        </w:rPr>
        <w:t xml:space="preserve">. This suggests that modifications to kit design that seek to overcome these </w:t>
      </w:r>
      <w:r w:rsidR="00DC7104">
        <w:rPr>
          <w:lang w:val="en-US"/>
        </w:rPr>
        <w:t xml:space="preserve">attitudinal </w:t>
      </w:r>
      <w:r w:rsidR="00DC7104" w:rsidRPr="006204F4">
        <w:rPr>
          <w:lang w:val="en-US"/>
        </w:rPr>
        <w:t>barriers may promote participation. Suggestions cited by stakeholders included:</w:t>
      </w:r>
    </w:p>
    <w:p w14:paraId="7920CA8C" w14:textId="37BC4807" w:rsidR="00DC7104" w:rsidRPr="006204F4" w:rsidRDefault="007A3611" w:rsidP="00CC12D3">
      <w:pPr>
        <w:pStyle w:val="ListBullet"/>
        <w:spacing w:after="170"/>
      </w:pPr>
      <w:r>
        <w:t>a</w:t>
      </w:r>
      <w:r w:rsidR="00DC7104" w:rsidRPr="006204F4">
        <w:t xml:space="preserve">n action plan in the instructions </w:t>
      </w:r>
      <w:r w:rsidR="00B34108">
        <w:t>(</w:t>
      </w:r>
      <w:proofErr w:type="gramStart"/>
      <w:r w:rsidR="00DC7104" w:rsidRPr="006204F4">
        <w:t>e.g.</w:t>
      </w:r>
      <w:proofErr w:type="gramEnd"/>
      <w:r w:rsidR="00DC7104" w:rsidRPr="006204F4">
        <w:t xml:space="preserve"> advice to put the kit in the bathroom in a reachable position, and </w:t>
      </w:r>
      <w:r w:rsidR="00644A0A">
        <w:t xml:space="preserve">to </w:t>
      </w:r>
      <w:r w:rsidR="00DC7104" w:rsidRPr="006204F4">
        <w:t>plan to complete the kit on days when you are at home</w:t>
      </w:r>
      <w:r w:rsidR="00B34108">
        <w:t>)</w:t>
      </w:r>
      <w:r w:rsidR="00A73F58">
        <w:t>.</w:t>
      </w:r>
    </w:p>
    <w:p w14:paraId="440BBA4D" w14:textId="45E670DB" w:rsidR="00DC7104" w:rsidRDefault="007A3611" w:rsidP="00CC12D3">
      <w:pPr>
        <w:pStyle w:val="ListBullet"/>
        <w:spacing w:after="170"/>
        <w:rPr>
          <w:bCs/>
        </w:rPr>
      </w:pPr>
      <w:r>
        <w:rPr>
          <w:bCs/>
        </w:rPr>
        <w:t>pr</w:t>
      </w:r>
      <w:r w:rsidR="00DC7104">
        <w:rPr>
          <w:bCs/>
        </w:rPr>
        <w:t>ovision of accessories such as a</w:t>
      </w:r>
      <w:r w:rsidR="001632CA">
        <w:rPr>
          <w:bCs/>
        </w:rPr>
        <w:t xml:space="preserve"> completely</w:t>
      </w:r>
      <w:r>
        <w:rPr>
          <w:bCs/>
        </w:rPr>
        <w:t xml:space="preserve"> </w:t>
      </w:r>
      <w:r w:rsidR="00DC7104">
        <w:rPr>
          <w:bCs/>
        </w:rPr>
        <w:t xml:space="preserve">opaque bag for fridge storage or </w:t>
      </w:r>
      <w:r w:rsidR="00B0517B">
        <w:rPr>
          <w:bCs/>
        </w:rPr>
        <w:t xml:space="preserve">non-latex </w:t>
      </w:r>
      <w:r w:rsidR="00DC7104">
        <w:rPr>
          <w:bCs/>
        </w:rPr>
        <w:t>gloves.</w:t>
      </w:r>
    </w:p>
    <w:p w14:paraId="283AAA44" w14:textId="44C6E445" w:rsidR="00687FEB" w:rsidRPr="00687FEB" w:rsidRDefault="00687FEB" w:rsidP="00AD10DC">
      <w:pPr>
        <w:pStyle w:val="ListNumber3"/>
        <w:rPr>
          <w:lang w:val="en-US"/>
        </w:rPr>
      </w:pPr>
      <w:r>
        <w:rPr>
          <w:lang w:val="en-US"/>
        </w:rPr>
        <w:t>I</w:t>
      </w:r>
      <w:r w:rsidRPr="00687FEB">
        <w:rPr>
          <w:lang w:val="en-US"/>
        </w:rPr>
        <w:t xml:space="preserve">mplement sustained and coordinated media and communications campaigns. </w:t>
      </w:r>
    </w:p>
    <w:p w14:paraId="6DA2A8BA" w14:textId="54FB6343" w:rsidR="00687FEB" w:rsidRDefault="000A3180" w:rsidP="00CC12D3">
      <w:pPr>
        <w:rPr>
          <w:bCs/>
        </w:rPr>
      </w:pPr>
      <w:r>
        <w:rPr>
          <w:bCs/>
        </w:rPr>
        <w:t xml:space="preserve">As noted in section </w:t>
      </w:r>
      <w:r>
        <w:rPr>
          <w:bCs/>
        </w:rPr>
        <w:fldChar w:fldCharType="begin"/>
      </w:r>
      <w:r>
        <w:rPr>
          <w:bCs/>
        </w:rPr>
        <w:instrText xml:space="preserve"> REF _Ref67663156 \r \h </w:instrText>
      </w:r>
      <w:r>
        <w:rPr>
          <w:bCs/>
        </w:rPr>
      </w:r>
      <w:r>
        <w:rPr>
          <w:bCs/>
        </w:rPr>
        <w:fldChar w:fldCharType="separate"/>
      </w:r>
      <w:r w:rsidR="00F27525">
        <w:rPr>
          <w:bCs/>
        </w:rPr>
        <w:t>4.1.4.2</w:t>
      </w:r>
      <w:r>
        <w:rPr>
          <w:bCs/>
        </w:rPr>
        <w:fldChar w:fldCharType="end"/>
      </w:r>
      <w:r>
        <w:rPr>
          <w:bCs/>
        </w:rPr>
        <w:t>, l</w:t>
      </w:r>
      <w:r w:rsidR="00687FEB" w:rsidRPr="000F5565">
        <w:rPr>
          <w:bCs/>
        </w:rPr>
        <w:t>ong-term communication</w:t>
      </w:r>
      <w:r>
        <w:rPr>
          <w:bCs/>
        </w:rPr>
        <w:t>s</w:t>
      </w:r>
      <w:r w:rsidR="00687FEB" w:rsidRPr="000F5565">
        <w:rPr>
          <w:bCs/>
        </w:rPr>
        <w:t xml:space="preserve"> strategies are needed to achieve sustained </w:t>
      </w:r>
      <w:r w:rsidR="00F63682">
        <w:rPr>
          <w:bCs/>
        </w:rPr>
        <w:t xml:space="preserve">levels of </w:t>
      </w:r>
      <w:r w:rsidR="00687FEB" w:rsidRPr="000F5565">
        <w:rPr>
          <w:bCs/>
        </w:rPr>
        <w:t xml:space="preserve">awareness </w:t>
      </w:r>
      <w:r w:rsidR="00317C3B">
        <w:rPr>
          <w:bCs/>
        </w:rPr>
        <w:t>that contribute to</w:t>
      </w:r>
      <w:r w:rsidR="00687FEB" w:rsidRPr="000F5565">
        <w:rPr>
          <w:bCs/>
        </w:rPr>
        <w:t xml:space="preserve"> </w:t>
      </w:r>
      <w:r w:rsidR="00317C3B">
        <w:rPr>
          <w:bCs/>
        </w:rPr>
        <w:t xml:space="preserve">sustained improvements in </w:t>
      </w:r>
      <w:r w:rsidR="00687FEB" w:rsidRPr="000F5565">
        <w:rPr>
          <w:bCs/>
        </w:rPr>
        <w:t xml:space="preserve">participation rates. </w:t>
      </w:r>
      <w:r w:rsidR="00687FEB">
        <w:rPr>
          <w:bCs/>
        </w:rPr>
        <w:t>National media and communications campaigns, such as the Cancer Council</w:t>
      </w:r>
      <w:r w:rsidR="00F47D4F">
        <w:rPr>
          <w:bCs/>
        </w:rPr>
        <w:t>’s</w:t>
      </w:r>
      <w:r w:rsidR="00687FEB">
        <w:rPr>
          <w:bCs/>
        </w:rPr>
        <w:t xml:space="preserve"> 201</w:t>
      </w:r>
      <w:r w:rsidR="009F377B">
        <w:rPr>
          <w:bCs/>
        </w:rPr>
        <w:t>9</w:t>
      </w:r>
      <w:r w:rsidR="00687FEB">
        <w:rPr>
          <w:bCs/>
        </w:rPr>
        <w:t xml:space="preserve"> strategy, have prov</w:t>
      </w:r>
      <w:r w:rsidR="00F47D4F">
        <w:rPr>
          <w:bCs/>
        </w:rPr>
        <w:t>e</w:t>
      </w:r>
      <w:r w:rsidR="00110CC8">
        <w:rPr>
          <w:bCs/>
        </w:rPr>
        <w:t>n</w:t>
      </w:r>
      <w:r w:rsidR="00687FEB">
        <w:rPr>
          <w:bCs/>
        </w:rPr>
        <w:t xml:space="preserve"> highly effective</w:t>
      </w:r>
      <w:r w:rsidR="00911D7F">
        <w:rPr>
          <w:bCs/>
        </w:rPr>
        <w:t xml:space="preserve">, with </w:t>
      </w:r>
      <w:r w:rsidR="00631591">
        <w:rPr>
          <w:bCs/>
        </w:rPr>
        <w:t>up to</w:t>
      </w:r>
      <w:r w:rsidR="00911D7F">
        <w:rPr>
          <w:bCs/>
        </w:rPr>
        <w:t xml:space="preserve"> 10</w:t>
      </w:r>
      <w:r w:rsidR="004B7B76">
        <w:rPr>
          <w:bCs/>
        </w:rPr>
        <w:t>1</w:t>
      </w:r>
      <w:r w:rsidR="00911D7F">
        <w:rPr>
          <w:bCs/>
        </w:rPr>
        <w:t>,</w:t>
      </w:r>
      <w:r w:rsidR="004B7B76">
        <w:rPr>
          <w:bCs/>
        </w:rPr>
        <w:t>8</w:t>
      </w:r>
      <w:r w:rsidR="00911D7F">
        <w:rPr>
          <w:bCs/>
        </w:rPr>
        <w:t xml:space="preserve">00 extra kits returned </w:t>
      </w:r>
      <w:r w:rsidR="00ED55FD">
        <w:rPr>
          <w:bCs/>
        </w:rPr>
        <w:t xml:space="preserve">and </w:t>
      </w:r>
      <w:r w:rsidR="00631591">
        <w:rPr>
          <w:bCs/>
        </w:rPr>
        <w:t>600 lived saved over the next 30 years</w:t>
      </w:r>
      <w:r w:rsidR="00687FEB">
        <w:rPr>
          <w:bCs/>
        </w:rPr>
        <w:t>.</w:t>
      </w:r>
      <w:r w:rsidR="004B7B76">
        <w:rPr>
          <w:rStyle w:val="EndnoteReference"/>
          <w:bCs/>
        </w:rPr>
        <w:endnoteReference w:id="89"/>
      </w:r>
      <w:r w:rsidR="00687FEB">
        <w:rPr>
          <w:bCs/>
        </w:rPr>
        <w:t xml:space="preserve"> Long</w:t>
      </w:r>
      <w:r w:rsidR="00DC0CE2">
        <w:rPr>
          <w:bCs/>
        </w:rPr>
        <w:t>er</w:t>
      </w:r>
      <w:r w:rsidR="00687FEB">
        <w:rPr>
          <w:bCs/>
        </w:rPr>
        <w:t xml:space="preserve">-term </w:t>
      </w:r>
      <w:r w:rsidR="00DC0CE2">
        <w:rPr>
          <w:bCs/>
        </w:rPr>
        <w:t>implementation</w:t>
      </w:r>
      <w:r w:rsidR="00687FEB">
        <w:rPr>
          <w:bCs/>
        </w:rPr>
        <w:t xml:space="preserve"> of these campaigns </w:t>
      </w:r>
      <w:r w:rsidR="00297D79">
        <w:rPr>
          <w:bCs/>
        </w:rPr>
        <w:t xml:space="preserve">targeted at both consumers and </w:t>
      </w:r>
      <w:r w:rsidR="00DF157B">
        <w:rPr>
          <w:bCs/>
        </w:rPr>
        <w:t xml:space="preserve">primary healthcare </w:t>
      </w:r>
      <w:r w:rsidR="00297D79">
        <w:rPr>
          <w:bCs/>
        </w:rPr>
        <w:t xml:space="preserve">practitioners (as reinforcement) </w:t>
      </w:r>
      <w:r w:rsidR="00687FEB">
        <w:rPr>
          <w:bCs/>
        </w:rPr>
        <w:t xml:space="preserve">should be considered to overcome the limitations of time-limited campaigns. </w:t>
      </w:r>
    </w:p>
    <w:p w14:paraId="703935DE" w14:textId="263F695B" w:rsidR="008569B6" w:rsidRPr="007E2D76" w:rsidRDefault="00E7137F" w:rsidP="00CC12D3">
      <w:r>
        <w:t xml:space="preserve">These campaigns should be considered </w:t>
      </w:r>
      <w:r w:rsidR="00330FFF">
        <w:t xml:space="preserve">at a national level, and </w:t>
      </w:r>
      <w:r w:rsidR="008569B6">
        <w:t>as part of an integrated communications framework (in partnership with cancer charities and community groups</w:t>
      </w:r>
      <w:r>
        <w:t xml:space="preserve">) </w:t>
      </w:r>
      <w:r w:rsidR="008569B6">
        <w:t xml:space="preserve">to promote a </w:t>
      </w:r>
      <w:r w:rsidR="00330FFF">
        <w:t>coordinated</w:t>
      </w:r>
      <w:r w:rsidR="008569B6">
        <w:t xml:space="preserve"> </w:t>
      </w:r>
      <w:r>
        <w:t>message</w:t>
      </w:r>
      <w:r w:rsidR="00190EE8">
        <w:t xml:space="preserve"> that minimises</w:t>
      </w:r>
      <w:r w:rsidR="007E2D76">
        <w:t xml:space="preserve"> </w:t>
      </w:r>
      <w:r w:rsidR="007306AE">
        <w:t>f</w:t>
      </w:r>
      <w:r w:rsidR="00190EE8">
        <w:t>ragmentation</w:t>
      </w:r>
      <w:r w:rsidR="00253FC1">
        <w:t xml:space="preserve"> </w:t>
      </w:r>
      <w:r w:rsidR="007E2D76">
        <w:t xml:space="preserve">and </w:t>
      </w:r>
      <w:r w:rsidR="00190EE8">
        <w:t>duplication</w:t>
      </w:r>
      <w:r w:rsidR="008C23C6">
        <w:t xml:space="preserve"> of effort</w:t>
      </w:r>
      <w:r w:rsidR="00190EE8">
        <w:t>.</w:t>
      </w:r>
    </w:p>
    <w:p w14:paraId="5AF3E513" w14:textId="53D4B118" w:rsidR="000A30FC" w:rsidRDefault="000A30FC" w:rsidP="000A30FC">
      <w:pPr>
        <w:pStyle w:val="Heading1"/>
      </w:pPr>
      <w:bookmarkStart w:id="168" w:name="_Ref67571882"/>
      <w:bookmarkStart w:id="169" w:name="_Toc107837517"/>
      <w:r>
        <w:lastRenderedPageBreak/>
        <w:t>Effectiveness</w:t>
      </w:r>
      <w:bookmarkEnd w:id="168"/>
      <w:bookmarkEnd w:id="169"/>
    </w:p>
    <w:p w14:paraId="1AF96656" w14:textId="081D98F5" w:rsidR="000A30FC" w:rsidRPr="000A30FC" w:rsidRDefault="000A30FC" w:rsidP="000A30FC">
      <w:pPr>
        <w:spacing w:after="360" w:line="360" w:lineRule="atLeast"/>
        <w:contextualSpacing/>
        <w:rPr>
          <w:sz w:val="28"/>
        </w:rPr>
      </w:pPr>
      <w:r w:rsidRPr="000A30FC">
        <w:rPr>
          <w:sz w:val="28"/>
        </w:rPr>
        <w:t xml:space="preserve">This chapter addresses the efficacy of the Program in maximising the benefits and minimising the harms </w:t>
      </w:r>
      <w:r w:rsidR="009B6F45">
        <w:rPr>
          <w:sz w:val="28"/>
        </w:rPr>
        <w:t>to</w:t>
      </w:r>
      <w:r w:rsidR="009B6F45" w:rsidRPr="000A30FC">
        <w:rPr>
          <w:sz w:val="28"/>
        </w:rPr>
        <w:t xml:space="preserve"> </w:t>
      </w:r>
      <w:r w:rsidRPr="000A30FC">
        <w:rPr>
          <w:sz w:val="28"/>
        </w:rPr>
        <w:t>participants.</w:t>
      </w:r>
    </w:p>
    <w:p w14:paraId="3FBA4D14" w14:textId="0F4690F3" w:rsidR="000A30FC" w:rsidRPr="000A30FC" w:rsidRDefault="000A30FC" w:rsidP="004B34BD">
      <w:pPr>
        <w:pStyle w:val="Heading2"/>
        <w:rPr>
          <w:b w:val="0"/>
          <w:bCs/>
        </w:rPr>
      </w:pPr>
      <w:bookmarkStart w:id="170" w:name="_Toc66951782"/>
      <w:bookmarkStart w:id="171" w:name="_Toc107837518"/>
      <w:r w:rsidRPr="000A30FC">
        <w:t>To what extent is the Program maximising the benefits and minimising harms to individuals participating in the Program?</w:t>
      </w:r>
      <w:bookmarkEnd w:id="170"/>
      <w:bookmarkEnd w:id="171"/>
    </w:p>
    <w:p w14:paraId="368F60E0" w14:textId="689F3B7E" w:rsidR="000A30FC" w:rsidRPr="00982459" w:rsidRDefault="000A30FC" w:rsidP="00952DA9">
      <w:pPr>
        <w:pStyle w:val="Heading4un-numbered"/>
        <w:rPr>
          <w:b w:val="0"/>
          <w:bCs w:val="0"/>
          <w:color w:val="012169" w:themeColor="accent4"/>
        </w:rPr>
      </w:pPr>
      <w:r w:rsidRPr="00952DA9">
        <w:rPr>
          <w:color w:val="012169" w:themeColor="accent4"/>
        </w:rPr>
        <w:t xml:space="preserve">AIHW </w:t>
      </w:r>
      <w:r w:rsidRPr="00982459">
        <w:rPr>
          <w:color w:val="012169" w:themeColor="accent4"/>
        </w:rPr>
        <w:t>analysis of longitudinal cancer data demonstrates that the Program achieves earlier detection and better survival from bowel cancer.</w:t>
      </w:r>
    </w:p>
    <w:p w14:paraId="35843DA7" w14:textId="07947B4D" w:rsidR="000A30FC" w:rsidRPr="000A30FC" w:rsidRDefault="000A30FC" w:rsidP="000A30FC">
      <w:r w:rsidRPr="000A30FC">
        <w:t>As noted in</w:t>
      </w:r>
      <w:r>
        <w:t xml:space="preserve"> section </w:t>
      </w:r>
      <w:r>
        <w:fldChar w:fldCharType="begin"/>
      </w:r>
      <w:r>
        <w:instrText xml:space="preserve"> REF _Ref67562575 \r \h </w:instrText>
      </w:r>
      <w:r>
        <w:fldChar w:fldCharType="separate"/>
      </w:r>
      <w:r w:rsidR="00F27525">
        <w:t>3.1.2</w:t>
      </w:r>
      <w:r>
        <w:fldChar w:fldCharType="end"/>
      </w:r>
      <w:r w:rsidRPr="000A30FC">
        <w:t>, to assess the Program’s impact on achieving its overarching goal of facilitating earlier detection and better survival from bowel cancer, an assessment of cancer incidence, staging and mortality should be assessed for participa</w:t>
      </w:r>
      <w:r w:rsidR="00774F33">
        <w:t>nt</w:t>
      </w:r>
      <w:r w:rsidRPr="000A30FC">
        <w:t xml:space="preserve">s </w:t>
      </w:r>
      <w:r w:rsidR="00A66481">
        <w:t>versus</w:t>
      </w:r>
      <w:r w:rsidRPr="000A30FC">
        <w:t xml:space="preserve"> non-participants. </w:t>
      </w:r>
    </w:p>
    <w:p w14:paraId="14ECE4E2" w14:textId="77777777" w:rsidR="0079144A" w:rsidRDefault="000A30FC" w:rsidP="000A30FC">
      <w:r w:rsidRPr="000A30FC">
        <w:t xml:space="preserve">Any analysis of this nature requires data linkage between the ACD and the NCSR, which was out of scope for the review. </w:t>
      </w:r>
      <w:r w:rsidR="004E6817">
        <w:t>Other factors that limited the feasibility of this analysis included:</w:t>
      </w:r>
    </w:p>
    <w:p w14:paraId="260D1D87" w14:textId="51316BE9" w:rsidR="0079144A" w:rsidRDefault="0064561C" w:rsidP="00886E63">
      <w:pPr>
        <w:pStyle w:val="ListParagraph"/>
        <w:numPr>
          <w:ilvl w:val="0"/>
          <w:numId w:val="26"/>
        </w:numPr>
        <w:ind w:left="357" w:hanging="357"/>
        <w:contextualSpacing w:val="0"/>
      </w:pPr>
      <w:r w:rsidRPr="0064561C">
        <w:rPr>
          <w:b/>
          <w:bCs/>
          <w:color w:val="000000" w:themeColor="text1"/>
        </w:rPr>
        <w:t>T</w:t>
      </w:r>
      <w:r w:rsidR="00C1501C" w:rsidRPr="0064561C">
        <w:rPr>
          <w:b/>
          <w:bCs/>
          <w:color w:val="000000" w:themeColor="text1"/>
        </w:rPr>
        <w:t>he re</w:t>
      </w:r>
      <w:r w:rsidR="00AB37D1" w:rsidRPr="0064561C">
        <w:rPr>
          <w:b/>
          <w:bCs/>
          <w:color w:val="000000" w:themeColor="text1"/>
        </w:rPr>
        <w:t>c</w:t>
      </w:r>
      <w:r w:rsidR="00C1501C" w:rsidRPr="0064561C">
        <w:rPr>
          <w:b/>
          <w:bCs/>
          <w:color w:val="000000" w:themeColor="text1"/>
        </w:rPr>
        <w:t xml:space="preserve">ency of the data </w:t>
      </w:r>
      <w:r w:rsidR="0072774F" w:rsidRPr="0064561C">
        <w:rPr>
          <w:b/>
          <w:bCs/>
          <w:color w:val="000000" w:themeColor="text1"/>
        </w:rPr>
        <w:t>i</w:t>
      </w:r>
      <w:r w:rsidR="00C1501C" w:rsidRPr="0064561C">
        <w:rPr>
          <w:b/>
          <w:bCs/>
          <w:color w:val="000000" w:themeColor="text1"/>
        </w:rPr>
        <w:t>n the ACD</w:t>
      </w:r>
      <w:r w:rsidRPr="0064561C">
        <w:rPr>
          <w:b/>
          <w:bCs/>
          <w:color w:val="000000" w:themeColor="text1"/>
        </w:rPr>
        <w:t>.</w:t>
      </w:r>
      <w:r w:rsidR="000D37F1" w:rsidRPr="0064561C">
        <w:rPr>
          <w:color w:val="000000" w:themeColor="text1"/>
        </w:rPr>
        <w:t xml:space="preserve"> </w:t>
      </w:r>
      <w:r w:rsidR="004D7149">
        <w:t>C</w:t>
      </w:r>
      <w:r w:rsidR="00C1501C" w:rsidRPr="000A30FC">
        <w:t>ancer incidence</w:t>
      </w:r>
      <w:r w:rsidR="00F72AC1">
        <w:t xml:space="preserve"> statistics </w:t>
      </w:r>
      <w:r w:rsidR="00AA1155">
        <w:t>are</w:t>
      </w:r>
      <w:r w:rsidR="004D7149">
        <w:t xml:space="preserve"> only available in the ACD up to the year of</w:t>
      </w:r>
      <w:r w:rsidR="00F72AC1">
        <w:t xml:space="preserve"> 2016</w:t>
      </w:r>
      <w:r w:rsidR="00CB611F">
        <w:t>. M</w:t>
      </w:r>
      <w:r w:rsidR="00C1501C" w:rsidRPr="000A30FC">
        <w:t xml:space="preserve">ortality </w:t>
      </w:r>
      <w:r w:rsidR="000D37F1">
        <w:t xml:space="preserve">statistics </w:t>
      </w:r>
      <w:r w:rsidR="00815D33">
        <w:t xml:space="preserve">are </w:t>
      </w:r>
      <w:r w:rsidR="00CB611F">
        <w:t xml:space="preserve">only available in the ACD up to the </w:t>
      </w:r>
      <w:r w:rsidR="007056D2">
        <w:t>year</w:t>
      </w:r>
      <w:r w:rsidR="00D77EA8">
        <w:t xml:space="preserve"> 2018</w:t>
      </w:r>
      <w:r>
        <w:t>.</w:t>
      </w:r>
    </w:p>
    <w:p w14:paraId="2D3E0610" w14:textId="24D467C0" w:rsidR="000A30FC" w:rsidRPr="000A30FC" w:rsidRDefault="0064561C" w:rsidP="00886E63">
      <w:pPr>
        <w:pStyle w:val="ListParagraph"/>
        <w:numPr>
          <w:ilvl w:val="0"/>
          <w:numId w:val="26"/>
        </w:numPr>
        <w:ind w:left="357" w:hanging="357"/>
        <w:contextualSpacing w:val="0"/>
      </w:pPr>
      <w:r w:rsidRPr="0064561C">
        <w:rPr>
          <w:b/>
          <w:bCs/>
          <w:color w:val="000000" w:themeColor="text1"/>
        </w:rPr>
        <w:t>T</w:t>
      </w:r>
      <w:r w:rsidR="00AB37D1" w:rsidRPr="0064561C">
        <w:rPr>
          <w:b/>
          <w:bCs/>
          <w:color w:val="000000" w:themeColor="text1"/>
        </w:rPr>
        <w:t>he availability of</w:t>
      </w:r>
      <w:r w:rsidR="000A30FC" w:rsidRPr="0064561C">
        <w:rPr>
          <w:b/>
          <w:bCs/>
          <w:color w:val="000000" w:themeColor="text1"/>
        </w:rPr>
        <w:t xml:space="preserve"> staging data</w:t>
      </w:r>
      <w:r w:rsidRPr="0064561C">
        <w:rPr>
          <w:b/>
          <w:bCs/>
          <w:color w:val="000000" w:themeColor="text1"/>
        </w:rPr>
        <w:t>.</w:t>
      </w:r>
      <w:r w:rsidRPr="0064561C">
        <w:rPr>
          <w:color w:val="000000" w:themeColor="text1"/>
        </w:rPr>
        <w:t xml:space="preserve"> </w:t>
      </w:r>
      <w:r w:rsidR="005A32CA">
        <w:t>Cancer s</w:t>
      </w:r>
      <w:r>
        <w:t>taging data</w:t>
      </w:r>
      <w:r w:rsidR="00A95042">
        <w:t xml:space="preserve"> is</w:t>
      </w:r>
      <w:r>
        <w:t xml:space="preserve"> </w:t>
      </w:r>
      <w:r w:rsidR="00AB37D1">
        <w:t xml:space="preserve">only </w:t>
      </w:r>
      <w:r w:rsidR="000A30FC" w:rsidRPr="000A30FC">
        <w:t>available in the ACD for the year 2011.</w:t>
      </w:r>
    </w:p>
    <w:p w14:paraId="3F7B57D9" w14:textId="7C5C9732" w:rsidR="000A30FC" w:rsidRPr="000A30FC" w:rsidRDefault="000A30FC" w:rsidP="000A30FC">
      <w:r w:rsidRPr="000A30FC">
        <w:t xml:space="preserve">Given these limitations, to assess the impact of the Program on earlier detection and better survival, reference is made to the AIHW’s 2018 report </w:t>
      </w:r>
      <w:r w:rsidRPr="004536FB">
        <w:rPr>
          <w:i/>
          <w:iCs/>
        </w:rPr>
        <w:t>Analysis of bowel cancer outcomes for the National Bowel Cancer Screening Program</w:t>
      </w:r>
      <w:r w:rsidRPr="000A30FC">
        <w:t xml:space="preserve">. This report linked data from Program invitees between 2006 and 2010 to people diagnosed with bowel cancer from 2006 to 2015. The report </w:t>
      </w:r>
      <w:r w:rsidR="00B062A4">
        <w:t>observed</w:t>
      </w:r>
      <w:r w:rsidRPr="000A30FC">
        <w:t>:</w:t>
      </w:r>
    </w:p>
    <w:p w14:paraId="79E5F6F8" w14:textId="01081D3F" w:rsidR="000A30FC" w:rsidRPr="000A30FC" w:rsidRDefault="00FC3F9C" w:rsidP="00AD10DC">
      <w:pPr>
        <w:pStyle w:val="ListBullet"/>
      </w:pPr>
      <w:r w:rsidRPr="00FC3F9C">
        <w:rPr>
          <w:b/>
          <w:bCs/>
        </w:rPr>
        <w:t>Stage at detection.</w:t>
      </w:r>
      <w:r>
        <w:t xml:space="preserve"> A</w:t>
      </w:r>
      <w:r w:rsidR="000A30FC" w:rsidRPr="000A30FC">
        <w:t>mong invitees, those with screen-detected bowel cancers were more likely to be diagnosed at an earlier summary stage (1.71 times as likely), compared with bowel cancers later diagnosed in the invitees who did not participate</w:t>
      </w:r>
      <w:r w:rsidR="00E54F7C">
        <w:t>.</w:t>
      </w:r>
    </w:p>
    <w:p w14:paraId="064091D1" w14:textId="491FC481" w:rsidR="000A30FC" w:rsidRDefault="00FC3F9C" w:rsidP="00AD10DC">
      <w:pPr>
        <w:pStyle w:val="ListBullet"/>
      </w:pPr>
      <w:r w:rsidRPr="00FC3F9C">
        <w:rPr>
          <w:b/>
          <w:bCs/>
        </w:rPr>
        <w:t>Survival.</w:t>
      </w:r>
      <w:r>
        <w:t xml:space="preserve"> </w:t>
      </w:r>
      <w:r w:rsidR="00B66A43">
        <w:t>A</w:t>
      </w:r>
      <w:r w:rsidR="00B66A43" w:rsidRPr="000A30FC">
        <w:t xml:space="preserve">mong </w:t>
      </w:r>
      <w:r w:rsidR="00B66A43">
        <w:t>Program invitees diagnosed with bowel cancer</w:t>
      </w:r>
      <w:r w:rsidR="00B66A43" w:rsidRPr="000A30FC">
        <w:t>, the risk of death from bowel cancer was over two times greater in non-participants compared to participants</w:t>
      </w:r>
      <w:r w:rsidR="00B66A43">
        <w:t xml:space="preserve"> whose cancer was screen-detected</w:t>
      </w:r>
      <w:r w:rsidR="00B062A4">
        <w:t>.</w:t>
      </w:r>
      <w:r w:rsidR="00BF0C19">
        <w:rPr>
          <w:rStyle w:val="EndnoteReference"/>
        </w:rPr>
        <w:endnoteReference w:id="90"/>
      </w:r>
    </w:p>
    <w:p w14:paraId="7626AD01" w14:textId="611EE350" w:rsidR="000A30FC" w:rsidRPr="000A30FC" w:rsidRDefault="00BE3043" w:rsidP="000A30FC">
      <w:bookmarkStart w:id="172" w:name="_Toc66951783"/>
      <w:r>
        <w:t xml:space="preserve">These findings </w:t>
      </w:r>
      <w:r w:rsidR="000C06B0">
        <w:t>confirm</w:t>
      </w:r>
      <w:r w:rsidR="008F0242">
        <w:t xml:space="preserve"> that Phase One and Two of the Program effectively </w:t>
      </w:r>
      <w:r w:rsidR="000A30FC" w:rsidRPr="000A30FC">
        <w:t>contribute</w:t>
      </w:r>
      <w:r w:rsidR="008F0242">
        <w:t>d</w:t>
      </w:r>
      <w:r w:rsidR="000A30FC" w:rsidRPr="000A30FC">
        <w:t xml:space="preserve"> to reducing morbidity and mortality from bowel cancer in Australia</w:t>
      </w:r>
      <w:r w:rsidR="008A7C56">
        <w:t>.</w:t>
      </w:r>
      <w:r w:rsidR="00B644E4">
        <w:t xml:space="preserve"> These estimates also</w:t>
      </w:r>
      <w:r>
        <w:t xml:space="preserve"> closely align with our modelled estimates (provided in</w:t>
      </w:r>
      <w:r w:rsidR="00C36E3D">
        <w:t xml:space="preserve"> section</w:t>
      </w:r>
      <w:r>
        <w:t xml:space="preserve"> </w:t>
      </w:r>
      <w:r w:rsidR="00C36E3D">
        <w:fldChar w:fldCharType="begin"/>
      </w:r>
      <w:r w:rsidR="00C36E3D">
        <w:instrText xml:space="preserve"> REF _Ref67851691 \r \h </w:instrText>
      </w:r>
      <w:r w:rsidR="00C36E3D">
        <w:fldChar w:fldCharType="separate"/>
      </w:r>
      <w:r w:rsidR="00F27525">
        <w:t>6.1.3</w:t>
      </w:r>
      <w:r w:rsidR="00C36E3D">
        <w:fldChar w:fldCharType="end"/>
      </w:r>
      <w:r>
        <w:t>)</w:t>
      </w:r>
      <w:r w:rsidR="00B644E4">
        <w:t xml:space="preserve"> of the impact of the Program on cancer incidence and mortality</w:t>
      </w:r>
      <w:r w:rsidR="00E119B5">
        <w:t xml:space="preserve"> u</w:t>
      </w:r>
      <w:r w:rsidR="00F7089D">
        <w:t xml:space="preserve">sed </w:t>
      </w:r>
      <w:r w:rsidR="001F6CE0">
        <w:t>in the cost-effectiveness analysis</w:t>
      </w:r>
      <w:r w:rsidR="00285470">
        <w:t xml:space="preserve"> (Chapter 4)</w:t>
      </w:r>
      <w:r w:rsidR="000A30FC" w:rsidRPr="000A30FC">
        <w:t xml:space="preserve">. Data from more recent years, following the transition to biennial screening and increased </w:t>
      </w:r>
      <w:r w:rsidR="0059485C">
        <w:t xml:space="preserve">rates of </w:t>
      </w:r>
      <w:r w:rsidR="000A30FC" w:rsidRPr="000A30FC">
        <w:t xml:space="preserve">participation, is likely to demonstrate an even greater benefit for Australians. </w:t>
      </w:r>
    </w:p>
    <w:p w14:paraId="44C7F467" w14:textId="7121DA73" w:rsidR="000A30FC" w:rsidRPr="00982459" w:rsidRDefault="000A30FC" w:rsidP="00952DA9">
      <w:pPr>
        <w:pStyle w:val="Heading4un-numbered"/>
        <w:rPr>
          <w:b w:val="0"/>
          <w:bCs w:val="0"/>
          <w:color w:val="012169" w:themeColor="accent4"/>
        </w:rPr>
      </w:pPr>
      <w:r w:rsidRPr="00952DA9">
        <w:rPr>
          <w:color w:val="012169" w:themeColor="accent4"/>
        </w:rPr>
        <w:t>Australia uses a test with a high diagnostic value to minimise harms associated with screening</w:t>
      </w:r>
      <w:r w:rsidR="00A5391A">
        <w:rPr>
          <w:color w:val="012169" w:themeColor="accent4"/>
        </w:rPr>
        <w:t>, however e</w:t>
      </w:r>
      <w:r w:rsidRPr="00982459">
        <w:rPr>
          <w:color w:val="012169" w:themeColor="accent4"/>
        </w:rPr>
        <w:t>fforts to address data gaps on adverse events and the test PPV would inform a</w:t>
      </w:r>
      <w:r w:rsidR="00A5391A">
        <w:rPr>
          <w:color w:val="012169" w:themeColor="accent4"/>
        </w:rPr>
        <w:t xml:space="preserve"> more robust</w:t>
      </w:r>
      <w:r w:rsidRPr="00982459">
        <w:rPr>
          <w:color w:val="012169" w:themeColor="accent4"/>
        </w:rPr>
        <w:t xml:space="preserve"> assessment of Program</w:t>
      </w:r>
      <w:r w:rsidR="00BA319E" w:rsidRPr="00982459">
        <w:rPr>
          <w:color w:val="012169" w:themeColor="accent4"/>
        </w:rPr>
        <w:t xml:space="preserve"> harms</w:t>
      </w:r>
      <w:r w:rsidRPr="00982459">
        <w:rPr>
          <w:color w:val="012169" w:themeColor="accent4"/>
        </w:rPr>
        <w:t>.</w:t>
      </w:r>
    </w:p>
    <w:p w14:paraId="7744CBCF" w14:textId="1188094C" w:rsidR="000E4963" w:rsidRDefault="000A30FC" w:rsidP="00736CCF">
      <w:r w:rsidRPr="000A30FC">
        <w:t xml:space="preserve">A harm associated with any bowel cancer screening </w:t>
      </w:r>
      <w:r w:rsidR="00281A27">
        <w:t>p</w:t>
      </w:r>
      <w:r w:rsidR="00281A27" w:rsidRPr="000A30FC">
        <w:t xml:space="preserve">rogram </w:t>
      </w:r>
      <w:r w:rsidRPr="000A30FC">
        <w:t>is the chance of an adverse event following a screening colonoscopy (</w:t>
      </w:r>
      <w:r w:rsidR="0005636D">
        <w:t>including</w:t>
      </w:r>
      <w:r w:rsidR="0005636D" w:rsidRPr="000A30FC">
        <w:t xml:space="preserve"> </w:t>
      </w:r>
      <w:r w:rsidRPr="000A30FC">
        <w:t xml:space="preserve">perforation </w:t>
      </w:r>
      <w:r w:rsidR="0005636D">
        <w:t>and</w:t>
      </w:r>
      <w:r w:rsidR="0005636D" w:rsidRPr="000A30FC">
        <w:t xml:space="preserve"> </w:t>
      </w:r>
      <w:r w:rsidRPr="000A30FC">
        <w:t xml:space="preserve">death). </w:t>
      </w:r>
      <w:r w:rsidR="00C96CB8">
        <w:t>For Program participants</w:t>
      </w:r>
      <w:r w:rsidR="00E9360C">
        <w:t xml:space="preserve"> who proceed to a diagnostic assessment</w:t>
      </w:r>
      <w:r w:rsidR="00C96CB8">
        <w:t>, u</w:t>
      </w:r>
      <w:r w:rsidR="009A0AE3">
        <w:t xml:space="preserve">nplanned hospital admissions within 30 days of </w:t>
      </w:r>
      <w:r w:rsidR="009916D0">
        <w:t xml:space="preserve">diagnostic assessment </w:t>
      </w:r>
      <w:proofErr w:type="gramStart"/>
      <w:r w:rsidR="009916D0">
        <w:t>is</w:t>
      </w:r>
      <w:proofErr w:type="gramEnd"/>
      <w:r w:rsidR="009916D0">
        <w:t xml:space="preserve"> reported in the</w:t>
      </w:r>
      <w:r w:rsidRPr="000A30FC">
        <w:t xml:space="preserve"> AIHW Monitoring Reports </w:t>
      </w:r>
      <w:r w:rsidR="006545C1">
        <w:t xml:space="preserve">(shown in </w:t>
      </w:r>
      <w:r>
        <w:fldChar w:fldCharType="begin"/>
      </w:r>
      <w:r>
        <w:instrText xml:space="preserve"> REF _Ref67562631 \r \h </w:instrText>
      </w:r>
      <w:r>
        <w:fldChar w:fldCharType="separate"/>
      </w:r>
      <w:r w:rsidR="00F27525">
        <w:t>Table 5.1</w:t>
      </w:r>
      <w:r>
        <w:fldChar w:fldCharType="end"/>
      </w:r>
      <w:r w:rsidR="006545C1">
        <w:t>)</w:t>
      </w:r>
      <w:r w:rsidR="00E9360C">
        <w:t xml:space="preserve">. However, given that reporting of </w:t>
      </w:r>
      <w:r w:rsidR="00937261">
        <w:t>adverse events is voluntary,</w:t>
      </w:r>
      <w:r w:rsidRPr="000A30FC">
        <w:t xml:space="preserve"> </w:t>
      </w:r>
      <w:r w:rsidR="006545C1">
        <w:t xml:space="preserve">the </w:t>
      </w:r>
      <w:r w:rsidR="006545C1">
        <w:lastRenderedPageBreak/>
        <w:t xml:space="preserve">AIHW </w:t>
      </w:r>
      <w:r w:rsidR="00346FD2">
        <w:t>states a concern about the level of data completeness</w:t>
      </w:r>
      <w:r w:rsidR="008D7A5F">
        <w:t>,</w:t>
      </w:r>
      <w:r w:rsidR="007C15C1">
        <w:t xml:space="preserve"> </w:t>
      </w:r>
      <w:r w:rsidR="003A0659">
        <w:t>noting</w:t>
      </w:r>
      <w:r w:rsidR="005042FC">
        <w:t xml:space="preserve"> </w:t>
      </w:r>
      <w:r w:rsidR="00653ADB">
        <w:t xml:space="preserve">an unknown </w:t>
      </w:r>
      <w:r w:rsidR="00923EC0">
        <w:t>level of un</w:t>
      </w:r>
      <w:r w:rsidR="00937261">
        <w:t>der-reporting</w:t>
      </w:r>
      <w:r w:rsidR="007C15C1">
        <w:t>.</w:t>
      </w:r>
      <w:r w:rsidR="00265D5C">
        <w:t xml:space="preserve"> </w:t>
      </w:r>
    </w:p>
    <w:p w14:paraId="20997F9F" w14:textId="04BACECE" w:rsidR="003B2B1A" w:rsidRDefault="000D6077" w:rsidP="00736CCF">
      <w:r>
        <w:t xml:space="preserve">When compared with the </w:t>
      </w:r>
      <w:r w:rsidR="00F746B8">
        <w:t xml:space="preserve">overall rates of adverse events post colonoscopy reported in </w:t>
      </w:r>
      <w:r w:rsidR="00F746B8">
        <w:rPr>
          <w:i/>
          <w:iCs/>
        </w:rPr>
        <w:t>Colonoscopy Clinical Care Standard (2020),</w:t>
      </w:r>
      <w:r w:rsidR="00F746B8" w:rsidRPr="00725383">
        <w:t xml:space="preserve"> the Program’s rates appear lower, however </w:t>
      </w:r>
      <w:r w:rsidR="006176A6">
        <w:t xml:space="preserve">this comparison should be interpreted with caution given </w:t>
      </w:r>
      <w:r w:rsidR="004815AC">
        <w:t xml:space="preserve">that </w:t>
      </w:r>
      <w:r w:rsidR="00BD20BD">
        <w:t xml:space="preserve">even a </w:t>
      </w:r>
      <w:r w:rsidR="004815AC">
        <w:t>small level of</w:t>
      </w:r>
      <w:r w:rsidR="009645ED">
        <w:t xml:space="preserve"> Program</w:t>
      </w:r>
      <w:r w:rsidR="004815AC">
        <w:t xml:space="preserve"> under-reporting could have a </w:t>
      </w:r>
      <w:r w:rsidR="00106DE8">
        <w:t>significant</w:t>
      </w:r>
      <w:r w:rsidR="004815AC">
        <w:t xml:space="preserve"> impact on </w:t>
      </w:r>
      <w:r w:rsidR="00D13D37">
        <w:t>comparability</w:t>
      </w:r>
      <w:r w:rsidR="004815AC">
        <w:t>.</w:t>
      </w:r>
    </w:p>
    <w:p w14:paraId="4AC91E83" w14:textId="6FA30A2E" w:rsidR="00736CCF" w:rsidRPr="000A30FC" w:rsidRDefault="00736CCF" w:rsidP="00736CCF">
      <w:r w:rsidRPr="000A30FC">
        <w:t>As noted in</w:t>
      </w:r>
      <w:r>
        <w:t xml:space="preserve"> section </w:t>
      </w:r>
      <w:r>
        <w:fldChar w:fldCharType="begin"/>
      </w:r>
      <w:r>
        <w:instrText xml:space="preserve"> REF _Ref67562575 \r \h  \* MERGEFORMAT </w:instrText>
      </w:r>
      <w:r>
        <w:fldChar w:fldCharType="separate"/>
      </w:r>
      <w:r w:rsidR="00F27525">
        <w:t>3.1.2</w:t>
      </w:r>
      <w:r>
        <w:fldChar w:fldCharType="end"/>
      </w:r>
      <w:r w:rsidRPr="000A30FC">
        <w:t xml:space="preserve">, data linkage with inpatient datasets would support a more accurate assessment of the rate of adverse events and should be </w:t>
      </w:r>
      <w:r>
        <w:t>prioritised</w:t>
      </w:r>
      <w:r w:rsidRPr="000A30FC">
        <w:t xml:space="preserve"> as part of addressing KPI data gaps.</w:t>
      </w:r>
    </w:p>
    <w:p w14:paraId="51C360C1" w14:textId="7C874647" w:rsidR="000A30FC" w:rsidRPr="000A30FC" w:rsidRDefault="000A30FC" w:rsidP="000A30FC">
      <w:pPr>
        <w:pStyle w:val="CaptionTable"/>
      </w:pPr>
      <w:bookmarkStart w:id="173" w:name="_Ref67562631"/>
      <w:r>
        <w:t xml:space="preserve">: </w:t>
      </w:r>
      <w:r w:rsidRPr="000A30FC">
        <w:t xml:space="preserve">Rates of </w:t>
      </w:r>
      <w:r w:rsidR="00B826E4">
        <w:t>selected</w:t>
      </w:r>
      <w:r w:rsidR="00914814">
        <w:t xml:space="preserve"> diagnostic assessment</w:t>
      </w:r>
      <w:r w:rsidRPr="000A30FC">
        <w:t xml:space="preserve"> </w:t>
      </w:r>
      <w:r w:rsidR="00FF4A3B">
        <w:t xml:space="preserve">complications </w:t>
      </w:r>
      <w:r w:rsidR="00A95042">
        <w:t xml:space="preserve">(per 10,000 </w:t>
      </w:r>
      <w:r w:rsidR="0072540A">
        <w:t>screening colonoscop</w:t>
      </w:r>
      <w:r w:rsidR="00831A19">
        <w:t>ies</w:t>
      </w:r>
      <w:r w:rsidR="00A95042">
        <w:t xml:space="preserve">) </w:t>
      </w:r>
      <w:bookmarkEnd w:id="173"/>
    </w:p>
    <w:tbl>
      <w:tblPr>
        <w:tblStyle w:val="Deloittetable5"/>
        <w:tblW w:w="0" w:type="auto"/>
        <w:tblLook w:val="04A0" w:firstRow="1" w:lastRow="0" w:firstColumn="1" w:lastColumn="0" w:noHBand="0" w:noVBand="1"/>
      </w:tblPr>
      <w:tblGrid>
        <w:gridCol w:w="7938"/>
        <w:gridCol w:w="1088"/>
      </w:tblGrid>
      <w:tr w:rsidR="00D928EE" w:rsidRPr="000A30FC" w14:paraId="597CC7EC" w14:textId="77777777" w:rsidTr="00725383">
        <w:trPr>
          <w:cnfStyle w:val="100000000000" w:firstRow="1" w:lastRow="0" w:firstColumn="0" w:lastColumn="0" w:oddVBand="0" w:evenVBand="0" w:oddHBand="0" w:evenHBand="0" w:firstRowFirstColumn="0" w:firstRowLastColumn="0" w:lastRowFirstColumn="0" w:lastRowLastColumn="0"/>
        </w:trPr>
        <w:tc>
          <w:tcPr>
            <w:tcW w:w="7938" w:type="dxa"/>
          </w:tcPr>
          <w:p w14:paraId="4F63A700" w14:textId="77777777" w:rsidR="00D928EE" w:rsidRPr="000A30FC" w:rsidRDefault="00D928EE" w:rsidP="00C14811">
            <w:pPr>
              <w:spacing w:after="0"/>
              <w:rPr>
                <w:b/>
                <w:bCs/>
                <w:color w:val="62B5E5" w:themeColor="accent3"/>
              </w:rPr>
            </w:pPr>
            <w:r w:rsidRPr="000A30FC">
              <w:rPr>
                <w:b/>
                <w:bCs/>
                <w:color w:val="62B5E5" w:themeColor="accent3"/>
              </w:rPr>
              <w:t>Group</w:t>
            </w:r>
          </w:p>
        </w:tc>
        <w:tc>
          <w:tcPr>
            <w:tcW w:w="1088" w:type="dxa"/>
          </w:tcPr>
          <w:p w14:paraId="3D0A9181" w14:textId="77777777" w:rsidR="00D928EE" w:rsidRPr="000A30FC" w:rsidRDefault="00D928EE" w:rsidP="00F33FB8">
            <w:pPr>
              <w:spacing w:after="0"/>
              <w:jc w:val="right"/>
              <w:rPr>
                <w:b/>
                <w:bCs/>
                <w:color w:val="62B5E5" w:themeColor="accent3"/>
              </w:rPr>
            </w:pPr>
            <w:r w:rsidRPr="000A30FC">
              <w:rPr>
                <w:b/>
                <w:bCs/>
                <w:color w:val="62B5E5" w:themeColor="accent3"/>
              </w:rPr>
              <w:t>Rate</w:t>
            </w:r>
          </w:p>
        </w:tc>
      </w:tr>
      <w:tr w:rsidR="000A30FC" w:rsidRPr="000A30FC" w14:paraId="3FEB7096" w14:textId="77777777" w:rsidTr="00725383">
        <w:tc>
          <w:tcPr>
            <w:tcW w:w="7938" w:type="dxa"/>
          </w:tcPr>
          <w:p w14:paraId="2B6D8F32" w14:textId="6CA006E7" w:rsidR="000A30FC" w:rsidRDefault="000A30FC" w:rsidP="00C14811">
            <w:pPr>
              <w:spacing w:after="0"/>
            </w:pPr>
            <w:r w:rsidRPr="000A30FC">
              <w:t>General population</w:t>
            </w:r>
          </w:p>
          <w:p w14:paraId="6659F0B0" w14:textId="033E09F0" w:rsidR="00461B11" w:rsidRDefault="002A1903" w:rsidP="00A861BA">
            <w:pPr>
              <w:pStyle w:val="ListParagraph"/>
              <w:numPr>
                <w:ilvl w:val="0"/>
                <w:numId w:val="34"/>
              </w:numPr>
              <w:spacing w:after="0"/>
            </w:pPr>
            <w:r>
              <w:t>perforations</w:t>
            </w:r>
          </w:p>
          <w:p w14:paraId="45307582" w14:textId="77777777" w:rsidR="002A1903" w:rsidRDefault="002A1903" w:rsidP="00A861BA">
            <w:pPr>
              <w:pStyle w:val="ListParagraph"/>
              <w:numPr>
                <w:ilvl w:val="0"/>
                <w:numId w:val="34"/>
              </w:numPr>
              <w:spacing w:after="0"/>
            </w:pPr>
            <w:r>
              <w:t>major bleeding events</w:t>
            </w:r>
          </w:p>
          <w:p w14:paraId="230E7C35" w14:textId="7DB0D722" w:rsidR="000A30FC" w:rsidRPr="000A30FC" w:rsidRDefault="00FB351C" w:rsidP="00A861BA">
            <w:pPr>
              <w:pStyle w:val="ListParagraph"/>
              <w:numPr>
                <w:ilvl w:val="0"/>
                <w:numId w:val="34"/>
              </w:numPr>
              <w:spacing w:after="0"/>
            </w:pPr>
            <w:r>
              <w:t xml:space="preserve">colonoscopy-specific </w:t>
            </w:r>
            <w:r w:rsidR="002A1903">
              <w:t>mortality</w:t>
            </w:r>
          </w:p>
        </w:tc>
        <w:tc>
          <w:tcPr>
            <w:tcW w:w="1088" w:type="dxa"/>
          </w:tcPr>
          <w:p w14:paraId="45A13E15" w14:textId="77777777" w:rsidR="009D396F" w:rsidRDefault="009D396F" w:rsidP="00C14811">
            <w:pPr>
              <w:spacing w:after="0"/>
              <w:jc w:val="right"/>
            </w:pPr>
          </w:p>
          <w:p w14:paraId="38CA8C1A" w14:textId="5235C886" w:rsidR="007D578B" w:rsidRDefault="007D578B" w:rsidP="00C14811">
            <w:pPr>
              <w:spacing w:after="0"/>
              <w:jc w:val="right"/>
              <w:rPr>
                <w:vertAlign w:val="superscript"/>
              </w:rPr>
            </w:pPr>
            <w:r>
              <w:t>4</w:t>
            </w:r>
            <w:r w:rsidR="00A95042">
              <w:t>.0</w:t>
            </w:r>
            <w:r w:rsidR="00D31508">
              <w:rPr>
                <w:vertAlign w:val="superscript"/>
              </w:rPr>
              <w:t>a</w:t>
            </w:r>
          </w:p>
          <w:p w14:paraId="494D5113" w14:textId="494389D0" w:rsidR="009D396F" w:rsidRPr="00725383" w:rsidRDefault="006E449D" w:rsidP="00C14811">
            <w:pPr>
              <w:spacing w:after="0"/>
              <w:jc w:val="right"/>
              <w:rPr>
                <w:vertAlign w:val="superscript"/>
              </w:rPr>
            </w:pPr>
            <w:r>
              <w:t>8.0</w:t>
            </w:r>
            <w:r w:rsidR="00D7211F">
              <w:rPr>
                <w:vertAlign w:val="superscript"/>
              </w:rPr>
              <w:t>a</w:t>
            </w:r>
          </w:p>
          <w:p w14:paraId="7DBFBE10" w14:textId="3F0ABD37" w:rsidR="000A30FC" w:rsidRPr="000A30FC" w:rsidRDefault="00E94C7E" w:rsidP="00C14811">
            <w:pPr>
              <w:spacing w:after="0"/>
              <w:jc w:val="right"/>
            </w:pPr>
            <w:r>
              <w:t>0.7</w:t>
            </w:r>
            <w:r w:rsidR="00D7211F">
              <w:rPr>
                <w:vertAlign w:val="superscript"/>
              </w:rPr>
              <w:t>a</w:t>
            </w:r>
            <w:r w:rsidR="000A30FC" w:rsidRPr="000A30FC">
              <w:t xml:space="preserve"> </w:t>
            </w:r>
          </w:p>
        </w:tc>
      </w:tr>
      <w:tr w:rsidR="000A30FC" w:rsidRPr="000A30FC" w14:paraId="02A4940D" w14:textId="77777777" w:rsidTr="00725383">
        <w:tc>
          <w:tcPr>
            <w:tcW w:w="7938" w:type="dxa"/>
          </w:tcPr>
          <w:p w14:paraId="464AFF3C" w14:textId="4876A599" w:rsidR="000A30FC" w:rsidRPr="000A30FC" w:rsidRDefault="000A30FC" w:rsidP="00C14811">
            <w:pPr>
              <w:spacing w:after="0"/>
            </w:pPr>
            <w:r w:rsidRPr="000A30FC">
              <w:t>NBCSP (2020)</w:t>
            </w:r>
            <w:r w:rsidR="00FF4A3B">
              <w:t xml:space="preserve"> </w:t>
            </w:r>
          </w:p>
        </w:tc>
        <w:tc>
          <w:tcPr>
            <w:tcW w:w="1088" w:type="dxa"/>
          </w:tcPr>
          <w:p w14:paraId="462E8B58" w14:textId="7A907949" w:rsidR="000A30FC" w:rsidRPr="000A30FC" w:rsidRDefault="000A30FC" w:rsidP="00C14811">
            <w:pPr>
              <w:spacing w:after="0"/>
              <w:jc w:val="right"/>
            </w:pPr>
            <w:r w:rsidRPr="000A30FC">
              <w:t>1.2</w:t>
            </w:r>
            <w:r w:rsidR="00D31508">
              <w:rPr>
                <w:vertAlign w:val="superscript"/>
              </w:rPr>
              <w:t>b</w:t>
            </w:r>
            <w:r w:rsidRPr="000A30FC">
              <w:t xml:space="preserve"> </w:t>
            </w:r>
          </w:p>
        </w:tc>
      </w:tr>
      <w:tr w:rsidR="000A30FC" w:rsidRPr="000A30FC" w14:paraId="5399B50F" w14:textId="77777777" w:rsidTr="00725383">
        <w:tc>
          <w:tcPr>
            <w:tcW w:w="7938" w:type="dxa"/>
          </w:tcPr>
          <w:p w14:paraId="7ED06B78" w14:textId="357961DD" w:rsidR="000A30FC" w:rsidRPr="000A30FC" w:rsidRDefault="000A30FC" w:rsidP="00C14811">
            <w:pPr>
              <w:spacing w:after="0"/>
            </w:pPr>
            <w:r w:rsidRPr="000A30FC">
              <w:t>NBCSP (2019)</w:t>
            </w:r>
            <w:r w:rsidR="00FF4A3B">
              <w:t xml:space="preserve"> </w:t>
            </w:r>
          </w:p>
        </w:tc>
        <w:tc>
          <w:tcPr>
            <w:tcW w:w="1088" w:type="dxa"/>
          </w:tcPr>
          <w:p w14:paraId="1CB7D601" w14:textId="3C99C0F9" w:rsidR="000A30FC" w:rsidRPr="000A30FC" w:rsidRDefault="000A30FC" w:rsidP="00C14811">
            <w:pPr>
              <w:spacing w:after="0"/>
              <w:jc w:val="right"/>
            </w:pPr>
            <w:r w:rsidRPr="000A30FC">
              <w:t>3</w:t>
            </w:r>
            <w:r w:rsidR="00A95042">
              <w:t>.0</w:t>
            </w:r>
            <w:r w:rsidR="00457989">
              <w:rPr>
                <w:vertAlign w:val="superscript"/>
              </w:rPr>
              <w:t>c</w:t>
            </w:r>
            <w:r w:rsidRPr="000A30FC">
              <w:t xml:space="preserve"> </w:t>
            </w:r>
          </w:p>
        </w:tc>
      </w:tr>
      <w:tr w:rsidR="000A30FC" w:rsidRPr="000A30FC" w14:paraId="374459E1" w14:textId="77777777" w:rsidTr="00725383">
        <w:tc>
          <w:tcPr>
            <w:tcW w:w="7938" w:type="dxa"/>
          </w:tcPr>
          <w:p w14:paraId="4AC3F257" w14:textId="44EAEA3B" w:rsidR="000A30FC" w:rsidRPr="000A30FC" w:rsidRDefault="000A30FC" w:rsidP="00C14811">
            <w:pPr>
              <w:spacing w:after="0"/>
            </w:pPr>
            <w:r w:rsidRPr="000A30FC">
              <w:t>NBCSP (2018)</w:t>
            </w:r>
            <w:r w:rsidR="00FF4A3B">
              <w:t xml:space="preserve"> </w:t>
            </w:r>
          </w:p>
        </w:tc>
        <w:tc>
          <w:tcPr>
            <w:tcW w:w="1088" w:type="dxa"/>
          </w:tcPr>
          <w:p w14:paraId="5A34D10A" w14:textId="718CF0E3" w:rsidR="000A30FC" w:rsidRPr="000A30FC" w:rsidRDefault="000A30FC" w:rsidP="00C14811">
            <w:pPr>
              <w:spacing w:after="0"/>
              <w:jc w:val="right"/>
            </w:pPr>
            <w:r w:rsidRPr="000A30FC">
              <w:t>6</w:t>
            </w:r>
            <w:r w:rsidR="00A95042">
              <w:t>.0</w:t>
            </w:r>
            <w:r w:rsidR="00457989">
              <w:rPr>
                <w:vertAlign w:val="superscript"/>
              </w:rPr>
              <w:t>d</w:t>
            </w:r>
            <w:r w:rsidRPr="000A30FC">
              <w:t xml:space="preserve"> </w:t>
            </w:r>
          </w:p>
        </w:tc>
      </w:tr>
      <w:tr w:rsidR="000A30FC" w:rsidRPr="000A30FC" w14:paraId="5981487B" w14:textId="77777777" w:rsidTr="00725383">
        <w:tc>
          <w:tcPr>
            <w:tcW w:w="7938" w:type="dxa"/>
          </w:tcPr>
          <w:p w14:paraId="5438E022" w14:textId="763BB77D" w:rsidR="000A30FC" w:rsidRPr="000A30FC" w:rsidRDefault="000A30FC" w:rsidP="00C14811">
            <w:pPr>
              <w:spacing w:after="0"/>
            </w:pPr>
            <w:r w:rsidRPr="000A30FC">
              <w:t>NBCSP (201</w:t>
            </w:r>
            <w:r w:rsidR="00244FE3">
              <w:t>7</w:t>
            </w:r>
            <w:r w:rsidRPr="000A30FC">
              <w:t>)</w:t>
            </w:r>
            <w:r w:rsidR="00FF4A3B">
              <w:t xml:space="preserve"> </w:t>
            </w:r>
          </w:p>
        </w:tc>
        <w:tc>
          <w:tcPr>
            <w:tcW w:w="1088" w:type="dxa"/>
          </w:tcPr>
          <w:p w14:paraId="24FB5890" w14:textId="47022BE7" w:rsidR="000A30FC" w:rsidRPr="000A30FC" w:rsidRDefault="000A30FC" w:rsidP="00C14811">
            <w:pPr>
              <w:spacing w:after="0"/>
              <w:jc w:val="right"/>
            </w:pPr>
            <w:r w:rsidRPr="000A30FC">
              <w:t>9</w:t>
            </w:r>
            <w:r w:rsidR="00A95042">
              <w:t>.0</w:t>
            </w:r>
            <w:r w:rsidR="00457989">
              <w:rPr>
                <w:vertAlign w:val="superscript"/>
              </w:rPr>
              <w:t>e</w:t>
            </w:r>
            <w:r w:rsidRPr="000A30FC">
              <w:t xml:space="preserve"> </w:t>
            </w:r>
          </w:p>
        </w:tc>
      </w:tr>
    </w:tbl>
    <w:p w14:paraId="31BA5EF8" w14:textId="745A9937" w:rsidR="00600824" w:rsidRDefault="00600824" w:rsidP="00815EA5">
      <w:pPr>
        <w:pStyle w:val="Source"/>
        <w:spacing w:line="0" w:lineRule="atLeast"/>
      </w:pPr>
      <w:r>
        <w:t xml:space="preserve">Source: </w:t>
      </w:r>
      <w:proofErr w:type="spellStart"/>
      <w:r w:rsidRPr="00C37F76">
        <w:rPr>
          <w:vertAlign w:val="superscript"/>
        </w:rPr>
        <w:t>a</w:t>
      </w:r>
      <w:r w:rsidR="00D01100">
        <w:t>ACSQHC</w:t>
      </w:r>
      <w:proofErr w:type="spellEnd"/>
      <w:r w:rsidR="00D01100">
        <w:t xml:space="preserve">, </w:t>
      </w:r>
      <w:r w:rsidR="00D01100">
        <w:rPr>
          <w:i/>
          <w:iCs w:val="0"/>
        </w:rPr>
        <w:t>Colonoscopy Clinical Care Standard</w:t>
      </w:r>
      <w:r w:rsidR="00D01100">
        <w:t xml:space="preserve">, </w:t>
      </w:r>
      <w:proofErr w:type="gramStart"/>
      <w:r w:rsidR="00D01100">
        <w:t>20</w:t>
      </w:r>
      <w:r w:rsidR="00116E2A">
        <w:t>20</w:t>
      </w:r>
      <w:r w:rsidR="00EA2D18">
        <w:rPr>
          <w:vertAlign w:val="superscript"/>
        </w:rPr>
        <w:t xml:space="preserve">  </w:t>
      </w:r>
      <w:proofErr w:type="spellStart"/>
      <w:r w:rsidR="00EA2D18">
        <w:rPr>
          <w:vertAlign w:val="superscript"/>
        </w:rPr>
        <w:t>b</w:t>
      </w:r>
      <w:r w:rsidRPr="00C37F76">
        <w:t>AIHW</w:t>
      </w:r>
      <w:proofErr w:type="spellEnd"/>
      <w:proofErr w:type="gramEnd"/>
      <w:r w:rsidRPr="00C37F76">
        <w:t xml:space="preserve">, </w:t>
      </w:r>
      <w:r w:rsidRPr="00C37F76">
        <w:rPr>
          <w:i/>
        </w:rPr>
        <w:t>NBCSP Monitoring Report</w:t>
      </w:r>
      <w:r w:rsidRPr="00C37F76">
        <w:t>, July 2020</w:t>
      </w:r>
      <w:r w:rsidR="00244FE3">
        <w:t xml:space="preserve">; </w:t>
      </w:r>
      <w:proofErr w:type="spellStart"/>
      <w:r w:rsidR="00EA2D18">
        <w:rPr>
          <w:vertAlign w:val="superscript"/>
        </w:rPr>
        <w:t>c</w:t>
      </w:r>
      <w:r w:rsidR="00244FE3" w:rsidRPr="00C37F76">
        <w:t>AIHW</w:t>
      </w:r>
      <w:proofErr w:type="spellEnd"/>
      <w:r w:rsidR="00244FE3" w:rsidRPr="00C37F76">
        <w:t xml:space="preserve">, </w:t>
      </w:r>
      <w:r w:rsidR="00244FE3" w:rsidRPr="00C37F76">
        <w:rPr>
          <w:i/>
        </w:rPr>
        <w:t>NBCSP Monitoring Report</w:t>
      </w:r>
      <w:r w:rsidR="00244FE3" w:rsidRPr="00C37F76">
        <w:t xml:space="preserve">, July </w:t>
      </w:r>
      <w:r w:rsidR="001737AF" w:rsidRPr="00C37F76">
        <w:t>20</w:t>
      </w:r>
      <w:r w:rsidR="001737AF">
        <w:t>19</w:t>
      </w:r>
      <w:r w:rsidR="00244FE3">
        <w:t xml:space="preserve">; </w:t>
      </w:r>
      <w:proofErr w:type="spellStart"/>
      <w:r w:rsidR="00EA2D18">
        <w:rPr>
          <w:vertAlign w:val="superscript"/>
        </w:rPr>
        <w:t>d</w:t>
      </w:r>
      <w:r w:rsidR="00244FE3" w:rsidRPr="00C37F76">
        <w:t>AIHW</w:t>
      </w:r>
      <w:proofErr w:type="spellEnd"/>
      <w:r w:rsidR="00244FE3" w:rsidRPr="00C37F76">
        <w:t xml:space="preserve">, </w:t>
      </w:r>
      <w:r w:rsidR="00244FE3" w:rsidRPr="00C37F76">
        <w:rPr>
          <w:i/>
        </w:rPr>
        <w:t>NBCSP Monitoring Report</w:t>
      </w:r>
      <w:r w:rsidR="00244FE3" w:rsidRPr="00C37F76">
        <w:t>, July 20</w:t>
      </w:r>
      <w:r w:rsidR="00244FE3">
        <w:t xml:space="preserve">18; </w:t>
      </w:r>
      <w:proofErr w:type="spellStart"/>
      <w:r w:rsidR="00EA2D18">
        <w:rPr>
          <w:vertAlign w:val="superscript"/>
        </w:rPr>
        <w:t>e</w:t>
      </w:r>
      <w:r w:rsidR="004E2171" w:rsidRPr="00C37F76">
        <w:t>AIHW</w:t>
      </w:r>
      <w:proofErr w:type="spellEnd"/>
      <w:r w:rsidR="004E2171" w:rsidRPr="00C37F76">
        <w:t xml:space="preserve">, </w:t>
      </w:r>
      <w:r w:rsidR="004E2171" w:rsidRPr="00C37F76">
        <w:rPr>
          <w:i/>
        </w:rPr>
        <w:t>NBCSP Monitoring Report</w:t>
      </w:r>
      <w:r w:rsidR="004E2171" w:rsidRPr="00C37F76">
        <w:t>, July 20</w:t>
      </w:r>
      <w:r w:rsidR="004E2171">
        <w:t>17.</w:t>
      </w:r>
    </w:p>
    <w:p w14:paraId="38BA7C05" w14:textId="3855CB50" w:rsidR="008317D8" w:rsidRDefault="00AC09C7" w:rsidP="00CB4123">
      <w:r>
        <w:t>O</w:t>
      </w:r>
      <w:r w:rsidR="0070520A">
        <w:t>ther</w:t>
      </w:r>
      <w:r w:rsidR="0070520A" w:rsidRPr="000A30FC">
        <w:t xml:space="preserve"> </w:t>
      </w:r>
      <w:r w:rsidR="000A30FC" w:rsidRPr="000A30FC">
        <w:t>common harm</w:t>
      </w:r>
      <w:r w:rsidR="0070520A">
        <w:t>s</w:t>
      </w:r>
      <w:r w:rsidR="000A30FC" w:rsidRPr="000A30FC">
        <w:t xml:space="preserve"> associated </w:t>
      </w:r>
      <w:r w:rsidR="00A213DD">
        <w:t xml:space="preserve">with </w:t>
      </w:r>
      <w:r w:rsidR="000A30FC" w:rsidRPr="000A30FC">
        <w:t xml:space="preserve">any cancer screening </w:t>
      </w:r>
      <w:r w:rsidR="0070520A">
        <w:t>p</w:t>
      </w:r>
      <w:r w:rsidR="000A30FC" w:rsidRPr="000A30FC">
        <w:t xml:space="preserve">rogram </w:t>
      </w:r>
      <w:r w:rsidR="00782908">
        <w:t>are</w:t>
      </w:r>
      <w:r w:rsidR="00782908" w:rsidRPr="000A30FC">
        <w:t xml:space="preserve"> </w:t>
      </w:r>
      <w:r w:rsidR="000A30FC" w:rsidRPr="000A30FC">
        <w:t xml:space="preserve">the </w:t>
      </w:r>
      <w:r w:rsidR="00ED0F21">
        <w:t>risk of false positive</w:t>
      </w:r>
      <w:r w:rsidR="0070520A">
        <w:t xml:space="preserve"> </w:t>
      </w:r>
      <w:r w:rsidR="008D03B9">
        <w:t>or false negative screening results. In the</w:t>
      </w:r>
      <w:r w:rsidR="000A30FC" w:rsidRPr="000A30FC">
        <w:t xml:space="preserve"> </w:t>
      </w:r>
      <w:r w:rsidR="008D03B9">
        <w:t>co</w:t>
      </w:r>
      <w:r w:rsidR="000A30FC" w:rsidRPr="000A30FC">
        <w:t xml:space="preserve">ntext of bowel cancer screening, </w:t>
      </w:r>
      <w:r w:rsidR="00153214">
        <w:t xml:space="preserve">false positive results contribute </w:t>
      </w:r>
      <w:r w:rsidR="000A30FC" w:rsidRPr="000A30FC">
        <w:t xml:space="preserve">to unnecessary colonoscopies, which are associated with </w:t>
      </w:r>
      <w:r w:rsidR="00186903">
        <w:t xml:space="preserve">risks of </w:t>
      </w:r>
      <w:r w:rsidR="000A30FC" w:rsidRPr="000A30FC">
        <w:t xml:space="preserve">adverse events and patient distress and anxiety. </w:t>
      </w:r>
      <w:r w:rsidR="00153214">
        <w:t>Conversely, false negative results may</w:t>
      </w:r>
      <w:r w:rsidR="00166876">
        <w:t xml:space="preserve"> delay</w:t>
      </w:r>
      <w:r w:rsidR="00623F9F">
        <w:t xml:space="preserve"> </w:t>
      </w:r>
      <w:r w:rsidR="005B7E9A">
        <w:t>a diagnosis of cancer</w:t>
      </w:r>
      <w:r w:rsidR="00623F9F">
        <w:t>.</w:t>
      </w:r>
    </w:p>
    <w:p w14:paraId="02A53F6B" w14:textId="21D7BBA4" w:rsidR="000A30FC" w:rsidRPr="000A30FC" w:rsidRDefault="000A30FC" w:rsidP="000A30FC">
      <w:r w:rsidRPr="000A30FC">
        <w:t>As discussed in</w:t>
      </w:r>
      <w:r>
        <w:t xml:space="preserve"> section </w:t>
      </w:r>
      <w:r>
        <w:fldChar w:fldCharType="begin"/>
      </w:r>
      <w:r>
        <w:instrText xml:space="preserve"> REF _Ref67316215 \r \h </w:instrText>
      </w:r>
      <w:r w:rsidR="00CB4123">
        <w:instrText xml:space="preserve"> \* MERGEFORMAT </w:instrText>
      </w:r>
      <w:r>
        <w:fldChar w:fldCharType="separate"/>
      </w:r>
      <w:r w:rsidR="00F27525">
        <w:t>2.1.1.7</w:t>
      </w:r>
      <w:r>
        <w:fldChar w:fldCharType="end"/>
      </w:r>
      <w:r w:rsidRPr="000A30FC">
        <w:t xml:space="preserve">, </w:t>
      </w:r>
      <w:r w:rsidR="00DD4CC7">
        <w:t>the Program</w:t>
      </w:r>
      <w:r w:rsidRPr="000A30FC">
        <w:t xml:space="preserve"> minimises harm in this respect, as it uses a test with a</w:t>
      </w:r>
      <w:r>
        <w:t xml:space="preserve"> </w:t>
      </w:r>
      <w:r w:rsidRPr="000A30FC">
        <w:t xml:space="preserve">high diagnostic value, relative to overseas bowel cancer screening </w:t>
      </w:r>
      <w:r w:rsidR="00435D30">
        <w:t>p</w:t>
      </w:r>
      <w:r w:rsidRPr="000A30FC">
        <w:t xml:space="preserve">rograms. </w:t>
      </w:r>
      <w:r w:rsidR="00F3509E">
        <w:t>However, a</w:t>
      </w:r>
      <w:r w:rsidRPr="000A30FC">
        <w:t>s noted in</w:t>
      </w:r>
      <w:r w:rsidR="003C1D18">
        <w:t xml:space="preserve"> section </w:t>
      </w:r>
      <w:r w:rsidR="003C1D18">
        <w:fldChar w:fldCharType="begin"/>
      </w:r>
      <w:r w:rsidR="003C1D18">
        <w:instrText xml:space="preserve"> REF _Ref67562575 \r \h </w:instrText>
      </w:r>
      <w:r w:rsidR="003C1D18">
        <w:fldChar w:fldCharType="separate"/>
      </w:r>
      <w:r w:rsidR="00F27525">
        <w:t>3.1.2</w:t>
      </w:r>
      <w:r w:rsidR="003C1D18">
        <w:fldChar w:fldCharType="end"/>
      </w:r>
      <w:r w:rsidRPr="000A30FC">
        <w:t>, the Program does not routinely report the PPV of the test</w:t>
      </w:r>
      <w:r w:rsidR="00BB5838">
        <w:t xml:space="preserve"> in</w:t>
      </w:r>
      <w:r w:rsidRPr="000A30FC">
        <w:t xml:space="preserve"> detecting cancer or adenoma</w:t>
      </w:r>
      <w:r w:rsidR="00644CC1">
        <w:t xml:space="preserve"> due to</w:t>
      </w:r>
      <w:r w:rsidRPr="000A30FC">
        <w:t xml:space="preserve"> data gaps. Efforts to </w:t>
      </w:r>
      <w:r w:rsidR="00D5344A">
        <w:t>improve</w:t>
      </w:r>
      <w:r w:rsidRPr="000A30FC">
        <w:t xml:space="preserve"> the feasibility of this indicator would support a more accurate assessment of the </w:t>
      </w:r>
      <w:r w:rsidR="00A53937">
        <w:t>Program’s harm caused by</w:t>
      </w:r>
      <w:r w:rsidRPr="000A30FC">
        <w:t xml:space="preserve"> </w:t>
      </w:r>
      <w:proofErr w:type="spellStart"/>
      <w:r w:rsidRPr="000A30FC">
        <w:t>iFOBT</w:t>
      </w:r>
      <w:proofErr w:type="spellEnd"/>
      <w:r w:rsidRPr="000A30FC">
        <w:t xml:space="preserve"> false positives</w:t>
      </w:r>
      <w:r w:rsidR="00401C61">
        <w:t xml:space="preserve"> </w:t>
      </w:r>
      <w:r w:rsidR="00401C61" w:rsidRPr="000A30FC">
        <w:t xml:space="preserve">and should be </w:t>
      </w:r>
      <w:r w:rsidR="00401C61">
        <w:t>prioritised</w:t>
      </w:r>
      <w:r w:rsidR="00401C61" w:rsidRPr="000A30FC">
        <w:t xml:space="preserve"> as part of addressing KPI data gaps</w:t>
      </w:r>
      <w:r w:rsidRPr="000A30FC">
        <w:t>.</w:t>
      </w:r>
    </w:p>
    <w:p w14:paraId="187EAC2A" w14:textId="6803F430" w:rsidR="000A30FC" w:rsidRDefault="000A30FC" w:rsidP="00F678D8">
      <w:pPr>
        <w:pStyle w:val="Heading2"/>
      </w:pPr>
      <w:bookmarkStart w:id="174" w:name="_Toc107837519"/>
      <w:r w:rsidRPr="000A30FC">
        <w:t>Are there opportunities to change or enhance the role of states and territories to better support the achievement of NBCSP outcom</w:t>
      </w:r>
      <w:r w:rsidRPr="000A30FC">
        <w:rPr>
          <w:b w:val="0"/>
        </w:rPr>
        <w:t>es?</w:t>
      </w:r>
      <w:bookmarkEnd w:id="172"/>
      <w:bookmarkEnd w:id="174"/>
    </w:p>
    <w:p w14:paraId="05CBD47C" w14:textId="6308ED11" w:rsidR="00652073" w:rsidRDefault="00186E5D" w:rsidP="006C2B5C">
      <w:pPr>
        <w:pStyle w:val="NoSpacing"/>
        <w:spacing w:after="170"/>
      </w:pPr>
      <w:r w:rsidRPr="00186E5D">
        <w:t xml:space="preserve">Several opportunities to enhance </w:t>
      </w:r>
      <w:r w:rsidR="005E5F86">
        <w:t xml:space="preserve">the role of the state and territories to better support the achievement of Program outcomes </w:t>
      </w:r>
      <w:proofErr w:type="gramStart"/>
      <w:r w:rsidR="00361889">
        <w:t>were</w:t>
      </w:r>
      <w:proofErr w:type="gramEnd"/>
      <w:r w:rsidR="00361889">
        <w:t xml:space="preserve"> identified through the </w:t>
      </w:r>
      <w:r w:rsidR="00FB791A">
        <w:t>review and are discussed through</w:t>
      </w:r>
      <w:r w:rsidR="005071B9">
        <w:t>out</w:t>
      </w:r>
      <w:r w:rsidR="00FB791A">
        <w:t xml:space="preserve"> this report. </w:t>
      </w:r>
      <w:r w:rsidR="006802FA">
        <w:t>These</w:t>
      </w:r>
      <w:r w:rsidR="005071B9">
        <w:t xml:space="preserve"> opportunities</w:t>
      </w:r>
      <w:r w:rsidR="006802FA">
        <w:t xml:space="preserve"> are </w:t>
      </w:r>
      <w:r w:rsidR="00A33C47">
        <w:t>predominantly</w:t>
      </w:r>
      <w:r w:rsidR="006802FA">
        <w:t xml:space="preserve"> related to </w:t>
      </w:r>
      <w:r w:rsidR="00A33C47">
        <w:t>colonoscopy</w:t>
      </w:r>
      <w:r w:rsidR="006802FA">
        <w:t xml:space="preserve"> access, </w:t>
      </w:r>
      <w:r w:rsidR="00515FB7">
        <w:t>as summarised below</w:t>
      </w:r>
      <w:r w:rsidR="005071B9">
        <w:t>:</w:t>
      </w:r>
    </w:p>
    <w:p w14:paraId="4AA67AFF" w14:textId="77CA39DA" w:rsidR="005071B9" w:rsidRDefault="005A59B5" w:rsidP="00AD10DC">
      <w:pPr>
        <w:pStyle w:val="ListBullet"/>
      </w:pPr>
      <w:r w:rsidRPr="005A59B5">
        <w:rPr>
          <w:b/>
          <w:bCs/>
        </w:rPr>
        <w:t>Innovative colonoscopy access models.</w:t>
      </w:r>
      <w:r>
        <w:t xml:space="preserve"> </w:t>
      </w:r>
      <w:r w:rsidR="00B62EEB">
        <w:t>Trial pilot projects that r</w:t>
      </w:r>
      <w:r w:rsidR="00664D7D">
        <w:t>eshape the PFUF role</w:t>
      </w:r>
      <w:r w:rsidR="00D45477">
        <w:t xml:space="preserve"> to align</w:t>
      </w:r>
      <w:r w:rsidR="00307DF6">
        <w:t xml:space="preserve"> with</w:t>
      </w:r>
      <w:r w:rsidR="009E0459">
        <w:t xml:space="preserve"> innovative </w:t>
      </w:r>
      <w:r w:rsidR="00A94616">
        <w:t xml:space="preserve">nurse-led </w:t>
      </w:r>
      <w:r w:rsidR="006C779C">
        <w:t>colonoscopy</w:t>
      </w:r>
      <w:r w:rsidR="009E0459">
        <w:t xml:space="preserve"> access models </w:t>
      </w:r>
      <w:r w:rsidR="00A94616">
        <w:t xml:space="preserve">that prioritise and schedule </w:t>
      </w:r>
      <w:r w:rsidR="00B5372F">
        <w:t>appointments</w:t>
      </w:r>
      <w:r w:rsidR="00827D28">
        <w:t xml:space="preserve"> for participants. </w:t>
      </w:r>
      <w:r w:rsidR="000714AF">
        <w:t xml:space="preserve">As discussed in section </w:t>
      </w:r>
      <w:r w:rsidR="000714AF">
        <w:fldChar w:fldCharType="begin"/>
      </w:r>
      <w:r w:rsidR="000714AF">
        <w:instrText xml:space="preserve"> REF _Ref68541994 \r \h </w:instrText>
      </w:r>
      <w:r w:rsidR="000714AF">
        <w:fldChar w:fldCharType="separate"/>
      </w:r>
      <w:r w:rsidR="00F27525">
        <w:t>2.2</w:t>
      </w:r>
      <w:r w:rsidR="000714AF">
        <w:fldChar w:fldCharType="end"/>
      </w:r>
      <w:r w:rsidR="000714AF">
        <w:t>, t</w:t>
      </w:r>
      <w:r w:rsidR="002C5D21">
        <w:t xml:space="preserve">his would require </w:t>
      </w:r>
      <w:r w:rsidR="001D5D5A">
        <w:t>buy-in</w:t>
      </w:r>
      <w:r w:rsidR="00B10B64">
        <w:t xml:space="preserve"> and input</w:t>
      </w:r>
      <w:r w:rsidR="001D5D5A">
        <w:t xml:space="preserve"> </w:t>
      </w:r>
      <w:r w:rsidR="007443ED">
        <w:t xml:space="preserve">from primary care stakeholders (as referrers to the model) and </w:t>
      </w:r>
      <w:r w:rsidR="00D82EE5">
        <w:t xml:space="preserve">stakeholders from </w:t>
      </w:r>
      <w:r w:rsidR="00B10B64">
        <w:t>hospital colonoscopy</w:t>
      </w:r>
      <w:r w:rsidR="00A6313D">
        <w:t xml:space="preserve"> department</w:t>
      </w:r>
      <w:r w:rsidR="006A5C19">
        <w:t>s</w:t>
      </w:r>
      <w:r w:rsidR="00A6313D">
        <w:t xml:space="preserve"> </w:t>
      </w:r>
      <w:r w:rsidR="00BD3598">
        <w:t>(</w:t>
      </w:r>
      <w:r w:rsidR="006A5C19">
        <w:t xml:space="preserve">as </w:t>
      </w:r>
      <w:r w:rsidR="00BD3598">
        <w:t>facilitators of access to coloscopy waitlists and appointments).</w:t>
      </w:r>
    </w:p>
    <w:p w14:paraId="5176A77F" w14:textId="237AF499" w:rsidR="00B95D04" w:rsidRPr="00186E5D" w:rsidRDefault="00270705" w:rsidP="00AD10DC">
      <w:pPr>
        <w:pStyle w:val="ListBullet"/>
      </w:pPr>
      <w:r w:rsidRPr="00270705">
        <w:rPr>
          <w:b/>
          <w:bCs/>
        </w:rPr>
        <w:t>Representation on PDAG by jurisdictional colorectal departments.</w:t>
      </w:r>
      <w:r>
        <w:t xml:space="preserve"> </w:t>
      </w:r>
      <w:r w:rsidR="00F80463">
        <w:t xml:space="preserve">Reconfigure </w:t>
      </w:r>
      <w:r w:rsidR="00F97380">
        <w:t xml:space="preserve">representation on PDAG </w:t>
      </w:r>
      <w:r w:rsidR="00662DE6">
        <w:t>to in</w:t>
      </w:r>
      <w:r w:rsidR="009C72B8">
        <w:t>volve</w:t>
      </w:r>
      <w:r w:rsidR="00662DE6">
        <w:t xml:space="preserve"> key jurisdictional contacts </w:t>
      </w:r>
      <w:r w:rsidR="00E86CBA">
        <w:t xml:space="preserve">representing </w:t>
      </w:r>
      <w:r w:rsidR="00E86CBA">
        <w:lastRenderedPageBreak/>
        <w:t xml:space="preserve">colonoscopy departments. </w:t>
      </w:r>
      <w:r w:rsidR="009E6DA4">
        <w:t xml:space="preserve">This would </w:t>
      </w:r>
      <w:r w:rsidR="00773945">
        <w:t xml:space="preserve">facilitate </w:t>
      </w:r>
      <w:r w:rsidR="002A4AA2">
        <w:t>buy-in to any proposed models</w:t>
      </w:r>
      <w:r w:rsidR="00543358">
        <w:t xml:space="preserve"> involving integration</w:t>
      </w:r>
      <w:r w:rsidR="00E1645B">
        <w:t xml:space="preserve"> with LHDs/HHSs</w:t>
      </w:r>
      <w:r w:rsidR="002A4AA2">
        <w:t xml:space="preserve"> t</w:t>
      </w:r>
      <w:r w:rsidR="00EC7E76">
        <w:t>hat</w:t>
      </w:r>
      <w:r w:rsidR="002A4AA2">
        <w:t xml:space="preserve"> </w:t>
      </w:r>
      <w:r w:rsidR="00EC7E76">
        <w:t xml:space="preserve">seek to improve colonoscopy access, as described in </w:t>
      </w:r>
      <w:r w:rsidR="0072710F">
        <w:t xml:space="preserve">section </w:t>
      </w:r>
      <w:r w:rsidR="0072710F">
        <w:fldChar w:fldCharType="begin"/>
      </w:r>
      <w:r w:rsidR="0072710F">
        <w:instrText xml:space="preserve"> REF _Ref68596118 \r \h </w:instrText>
      </w:r>
      <w:r w:rsidR="0072710F">
        <w:fldChar w:fldCharType="separate"/>
      </w:r>
      <w:r w:rsidR="00F27525">
        <w:t>3.4</w:t>
      </w:r>
      <w:r w:rsidR="0072710F">
        <w:fldChar w:fldCharType="end"/>
      </w:r>
      <w:r w:rsidR="0072710F">
        <w:t>.</w:t>
      </w:r>
    </w:p>
    <w:p w14:paraId="2D520DE4" w14:textId="1099A4DC" w:rsidR="000A30FC" w:rsidRDefault="000A30FC" w:rsidP="00F678D8">
      <w:pPr>
        <w:pStyle w:val="Heading2"/>
      </w:pPr>
      <w:bookmarkStart w:id="175" w:name="_Toc66951785"/>
      <w:bookmarkStart w:id="176" w:name="_Ref68613049"/>
      <w:bookmarkStart w:id="177" w:name="_Toc107837520"/>
      <w:r w:rsidRPr="000A30FC">
        <w:t>What are the key identified opportunities to improve the effectiveness of the Program?</w:t>
      </w:r>
      <w:bookmarkEnd w:id="175"/>
      <w:bookmarkEnd w:id="176"/>
      <w:bookmarkEnd w:id="177"/>
    </w:p>
    <w:p w14:paraId="1690031A" w14:textId="77777777" w:rsidR="00AD10DC" w:rsidRDefault="00AD10DC" w:rsidP="00AD10DC">
      <w:pPr>
        <w:pStyle w:val="Boxtype2"/>
      </w:pPr>
      <w:r w:rsidRPr="007B1BE9">
        <w:t xml:space="preserve">A note on the </w:t>
      </w:r>
      <w:r>
        <w:t>opportunities associated with</w:t>
      </w:r>
      <w:r w:rsidRPr="007B1BE9">
        <w:t xml:space="preserve"> this chapter</w:t>
      </w:r>
      <w:r>
        <w:t>:</w:t>
      </w:r>
    </w:p>
    <w:p w14:paraId="219ABB4A" w14:textId="701E860C" w:rsidR="000A30FC" w:rsidRPr="00AD10DC" w:rsidRDefault="00AD10DC" w:rsidP="00AD10DC">
      <w:pPr>
        <w:pStyle w:val="Boxtype2"/>
      </w:pPr>
      <w:r w:rsidRPr="00670F1B">
        <w:rPr>
          <w:color w:val="000000" w:themeColor="text1"/>
        </w:rPr>
        <w:t xml:space="preserve">Each of the opportunities identified in section </w:t>
      </w:r>
      <w:r w:rsidRPr="00670F1B">
        <w:rPr>
          <w:color w:val="000000" w:themeColor="text1"/>
        </w:rPr>
        <w:fldChar w:fldCharType="begin"/>
      </w:r>
      <w:r w:rsidRPr="00670F1B">
        <w:rPr>
          <w:color w:val="000000" w:themeColor="text1"/>
        </w:rPr>
        <w:instrText xml:space="preserve"> REF _Ref68613000 \r \h </w:instrText>
      </w:r>
      <w:r>
        <w:rPr>
          <w:color w:val="000000" w:themeColor="text1"/>
        </w:rPr>
        <w:instrText xml:space="preserve"> \* MERGEFORMAT </w:instrText>
      </w:r>
      <w:r w:rsidRPr="00670F1B">
        <w:rPr>
          <w:color w:val="000000" w:themeColor="text1"/>
        </w:rPr>
      </w:r>
      <w:r w:rsidRPr="00670F1B">
        <w:rPr>
          <w:color w:val="000000" w:themeColor="text1"/>
        </w:rPr>
        <w:fldChar w:fldCharType="separate"/>
      </w:r>
      <w:r>
        <w:rPr>
          <w:color w:val="000000" w:themeColor="text1"/>
        </w:rPr>
        <w:t>2.2</w:t>
      </w:r>
      <w:r w:rsidRPr="00670F1B">
        <w:rPr>
          <w:color w:val="000000" w:themeColor="text1"/>
        </w:rPr>
        <w:fldChar w:fldCharType="end"/>
      </w:r>
      <w:r w:rsidRPr="00670F1B">
        <w:rPr>
          <w:color w:val="000000" w:themeColor="text1"/>
        </w:rPr>
        <w:t xml:space="preserve">, section </w:t>
      </w:r>
      <w:r w:rsidRPr="00670F1B">
        <w:rPr>
          <w:color w:val="000000" w:themeColor="text1"/>
        </w:rPr>
        <w:fldChar w:fldCharType="begin"/>
      </w:r>
      <w:r w:rsidRPr="00670F1B">
        <w:rPr>
          <w:color w:val="000000" w:themeColor="text1"/>
        </w:rPr>
        <w:instrText xml:space="preserve"> REF _Ref68613029 \r \h </w:instrText>
      </w:r>
      <w:r>
        <w:rPr>
          <w:color w:val="000000" w:themeColor="text1"/>
        </w:rPr>
        <w:instrText xml:space="preserve"> \* MERGEFORMAT </w:instrText>
      </w:r>
      <w:r w:rsidRPr="00670F1B">
        <w:rPr>
          <w:color w:val="000000" w:themeColor="text1"/>
        </w:rPr>
      </w:r>
      <w:r w:rsidRPr="00670F1B">
        <w:rPr>
          <w:color w:val="000000" w:themeColor="text1"/>
        </w:rPr>
        <w:fldChar w:fldCharType="separate"/>
      </w:r>
      <w:r>
        <w:rPr>
          <w:color w:val="000000" w:themeColor="text1"/>
        </w:rPr>
        <w:t>3.4</w:t>
      </w:r>
      <w:r w:rsidRPr="00670F1B">
        <w:rPr>
          <w:color w:val="000000" w:themeColor="text1"/>
        </w:rPr>
        <w:fldChar w:fldCharType="end"/>
      </w:r>
      <w:r w:rsidRPr="00670F1B">
        <w:rPr>
          <w:color w:val="000000" w:themeColor="text1"/>
        </w:rPr>
        <w:t xml:space="preserve"> and section </w:t>
      </w:r>
      <w:r w:rsidRPr="00670F1B">
        <w:rPr>
          <w:color w:val="000000" w:themeColor="text1"/>
        </w:rPr>
        <w:fldChar w:fldCharType="begin"/>
      </w:r>
      <w:r w:rsidRPr="00670F1B">
        <w:rPr>
          <w:color w:val="000000" w:themeColor="text1"/>
        </w:rPr>
        <w:instrText xml:space="preserve"> REF _Ref67847596 \r \h </w:instrText>
      </w:r>
      <w:r>
        <w:rPr>
          <w:color w:val="000000" w:themeColor="text1"/>
        </w:rPr>
        <w:instrText xml:space="preserve"> \* MERGEFORMAT </w:instrText>
      </w:r>
      <w:r w:rsidRPr="00670F1B">
        <w:rPr>
          <w:color w:val="000000" w:themeColor="text1"/>
        </w:rPr>
      </w:r>
      <w:r w:rsidRPr="00670F1B">
        <w:rPr>
          <w:color w:val="000000" w:themeColor="text1"/>
        </w:rPr>
        <w:fldChar w:fldCharType="separate"/>
      </w:r>
      <w:r>
        <w:rPr>
          <w:color w:val="000000" w:themeColor="text1"/>
        </w:rPr>
        <w:t>4.2</w:t>
      </w:r>
      <w:r w:rsidRPr="00670F1B">
        <w:rPr>
          <w:color w:val="000000" w:themeColor="text1"/>
        </w:rPr>
        <w:fldChar w:fldCharType="end"/>
      </w:r>
      <w:r w:rsidRPr="00670F1B">
        <w:rPr>
          <w:color w:val="000000" w:themeColor="text1"/>
        </w:rPr>
        <w:t xml:space="preserve"> serve to increase the efficacy of the Program on improving earlier detection of bowel cancer and better survival. As highlighted in </w:t>
      </w:r>
      <w:r>
        <w:rPr>
          <w:color w:val="000000" w:themeColor="text1"/>
        </w:rPr>
        <w:fldChar w:fldCharType="begin"/>
      </w:r>
      <w:r>
        <w:rPr>
          <w:color w:val="000000" w:themeColor="text1"/>
        </w:rPr>
        <w:instrText xml:space="preserve"> REF _Ref74313876 \n \h  \* MERGEFORMAT </w:instrText>
      </w:r>
      <w:r>
        <w:rPr>
          <w:color w:val="000000" w:themeColor="text1"/>
        </w:rPr>
      </w:r>
      <w:r>
        <w:rPr>
          <w:color w:val="000000" w:themeColor="text1"/>
        </w:rPr>
        <w:fldChar w:fldCharType="separate"/>
      </w:r>
      <w:r>
        <w:rPr>
          <w:color w:val="000000" w:themeColor="text1"/>
        </w:rPr>
        <w:t>Table 3.2</w:t>
      </w:r>
      <w:r>
        <w:rPr>
          <w:color w:val="000000" w:themeColor="text1"/>
        </w:rPr>
        <w:fldChar w:fldCharType="end"/>
      </w:r>
      <w:r w:rsidRPr="00670F1B">
        <w:rPr>
          <w:color w:val="000000" w:themeColor="text1"/>
        </w:rPr>
        <w:t>, more routine data linkage with cancer outcomes datasets such as the ACD</w:t>
      </w:r>
      <w:r>
        <w:rPr>
          <w:color w:val="000000" w:themeColor="text1"/>
        </w:rPr>
        <w:t xml:space="preserve"> and jurisdictional </w:t>
      </w:r>
      <w:r w:rsidRPr="00670F1B">
        <w:rPr>
          <w:color w:val="000000" w:themeColor="text1"/>
        </w:rPr>
        <w:t>cancer registries would improve the ability to demonstrate the impact of the Program on these outcomes.</w:t>
      </w:r>
    </w:p>
    <w:p w14:paraId="20C4F363" w14:textId="02E97ABF" w:rsidR="000A30FC" w:rsidRPr="000A30FC" w:rsidRDefault="000A30FC" w:rsidP="000A30FC">
      <w:pPr>
        <w:pStyle w:val="Heading1"/>
      </w:pPr>
      <w:bookmarkStart w:id="178" w:name="_Ref67833835"/>
      <w:bookmarkStart w:id="179" w:name="_Toc107837521"/>
      <w:r>
        <w:lastRenderedPageBreak/>
        <w:t>Efficiency</w:t>
      </w:r>
      <w:bookmarkEnd w:id="178"/>
      <w:bookmarkEnd w:id="179"/>
    </w:p>
    <w:p w14:paraId="106F850D" w14:textId="77777777" w:rsidR="00582A85" w:rsidRPr="003D1E23" w:rsidRDefault="00582A85" w:rsidP="00582A85">
      <w:pPr>
        <w:pStyle w:val="Sectionintro"/>
      </w:pPr>
      <w:r w:rsidRPr="003D1E23">
        <w:t xml:space="preserve">This chapter </w:t>
      </w:r>
      <w:r>
        <w:t>addresses the</w:t>
      </w:r>
      <w:r w:rsidRPr="003D1E23">
        <w:t xml:space="preserve"> cost-effectiveness of the Program</w:t>
      </w:r>
      <w:r>
        <w:t xml:space="preserve"> relative to no screening, across different age brackets and participation rates.</w:t>
      </w:r>
    </w:p>
    <w:p w14:paraId="040618E1" w14:textId="107981F8" w:rsidR="005C0328" w:rsidRDefault="005C0328" w:rsidP="005C0328">
      <w:pPr>
        <w:pStyle w:val="Heading2"/>
      </w:pPr>
      <w:bookmarkStart w:id="180" w:name="_Toc107837522"/>
      <w:r>
        <w:t>To what extent is the Program cost-effective?</w:t>
      </w:r>
      <w:bookmarkEnd w:id="180"/>
    </w:p>
    <w:p w14:paraId="647B78E2" w14:textId="65083818" w:rsidR="00522EA9" w:rsidRDefault="00522EA9" w:rsidP="00522EA9">
      <w:r>
        <w:t xml:space="preserve">A cost-effectiveness analysis (CEA) is performed to assess the value for money of a particular policy or program. A CEA calculates the incremental net costs and benefits of an intervention relative to a comparator, by providing evidence to answer the question – </w:t>
      </w:r>
      <w:r w:rsidRPr="003C7B26">
        <w:rPr>
          <w:i/>
          <w:iCs/>
        </w:rPr>
        <w:t xml:space="preserve">do the extra </w:t>
      </w:r>
      <w:r w:rsidR="00AF4DC2">
        <w:rPr>
          <w:i/>
          <w:iCs/>
        </w:rPr>
        <w:t>benefits</w:t>
      </w:r>
      <w:r w:rsidRPr="003C7B26">
        <w:rPr>
          <w:i/>
          <w:iCs/>
        </w:rPr>
        <w:t xml:space="preserve"> outweigh the extra </w:t>
      </w:r>
      <w:r w:rsidR="00693F0B">
        <w:rPr>
          <w:i/>
          <w:iCs/>
        </w:rPr>
        <w:t>costs</w:t>
      </w:r>
      <w:r w:rsidRPr="003C7B26">
        <w:rPr>
          <w:i/>
          <w:iCs/>
        </w:rPr>
        <w:t>?</w:t>
      </w:r>
    </w:p>
    <w:p w14:paraId="237D99AA" w14:textId="5B8CF6FE" w:rsidR="00296E98" w:rsidRPr="00421AF0" w:rsidRDefault="005D4E72" w:rsidP="00421AF0">
      <w:pPr>
        <w:rPr>
          <w:i/>
          <w:iCs/>
        </w:rPr>
      </w:pPr>
      <w:r>
        <w:t>A CEA was performed to assess the value of the current configuration of the Program (biennial screening for those aged 50 to 74) relative to no screening</w:t>
      </w:r>
      <w:r w:rsidR="0054586C">
        <w:t xml:space="preserve"> at 2020 age-specific participation rates (equating to a weighted average participation rate of 44%)</w:t>
      </w:r>
      <w:r>
        <w:t xml:space="preserve">. In addition, scenarios were performed on different eligible age ranges and participation rates to assess how changes to Program scope </w:t>
      </w:r>
      <w:r w:rsidRPr="00841C50">
        <w:t>and uptake may impact cost-effectiveness.</w:t>
      </w:r>
      <w:r w:rsidRPr="00421AF0">
        <w:rPr>
          <w:i/>
          <w:iCs/>
        </w:rPr>
        <w:t xml:space="preserve"> </w:t>
      </w:r>
    </w:p>
    <w:p w14:paraId="70F6492A" w14:textId="0702067B" w:rsidR="00B2645D" w:rsidRDefault="005D4E72" w:rsidP="00421AF0">
      <w:r w:rsidRPr="00421AF0">
        <w:t>This analysis was conducted from</w:t>
      </w:r>
      <w:r w:rsidR="00296E98" w:rsidRPr="00421AF0">
        <w:t xml:space="preserve"> multiple perspectives. Many evaluations of healthcare interventions are conducted from a healthcare system perspective, as payers are charged with the responsibility of achieving maximum output within their limited budget. However, there is </w:t>
      </w:r>
      <w:r w:rsidR="00421AF0" w:rsidRPr="00421AF0">
        <w:t xml:space="preserve">merit in </w:t>
      </w:r>
      <w:r w:rsidR="00FD6380">
        <w:t xml:space="preserve">also </w:t>
      </w:r>
      <w:r w:rsidR="00421AF0" w:rsidRPr="00421AF0">
        <w:t xml:space="preserve">considering a broader set of </w:t>
      </w:r>
      <w:proofErr w:type="spellStart"/>
      <w:r w:rsidR="00421AF0" w:rsidRPr="00421AF0">
        <w:t>monetisable</w:t>
      </w:r>
      <w:proofErr w:type="spellEnd"/>
      <w:r w:rsidR="00421AF0" w:rsidRPr="00421AF0">
        <w:t xml:space="preserve"> societal benefits associated with a cancer screening program. These include the impact of earlier detection and better survival on improved productivity for patients and informal carers, as well as a</w:t>
      </w:r>
      <w:r w:rsidR="00421AF0">
        <w:t xml:space="preserve"> reduction in patient out-of-pocket costs.</w:t>
      </w:r>
      <w:r w:rsidR="0019409C">
        <w:t xml:space="preserve"> Therefore, the modelling adopted:</w:t>
      </w:r>
    </w:p>
    <w:p w14:paraId="48BC5FB8" w14:textId="385116DB" w:rsidR="00B2645D" w:rsidRDefault="00784F90" w:rsidP="00AD10DC">
      <w:pPr>
        <w:pStyle w:val="ListBullet"/>
      </w:pPr>
      <w:r w:rsidRPr="00784F90">
        <w:rPr>
          <w:b/>
          <w:bCs/>
        </w:rPr>
        <w:t>A</w:t>
      </w:r>
      <w:r w:rsidR="005D4E72" w:rsidRPr="00784F90">
        <w:rPr>
          <w:b/>
          <w:bCs/>
        </w:rPr>
        <w:t xml:space="preserve"> </w:t>
      </w:r>
      <w:r w:rsidR="00F80AFF" w:rsidRPr="00784F90">
        <w:rPr>
          <w:b/>
          <w:bCs/>
        </w:rPr>
        <w:t>societal</w:t>
      </w:r>
      <w:r w:rsidR="005D4E72" w:rsidRPr="00784F90">
        <w:rPr>
          <w:b/>
          <w:bCs/>
        </w:rPr>
        <w:t xml:space="preserve"> perspective</w:t>
      </w:r>
      <w:r w:rsidR="00FD6380" w:rsidRPr="00FD6380">
        <w:t>, in the primary analysis</w:t>
      </w:r>
      <w:r w:rsidRPr="00FD6380">
        <w:t>.</w:t>
      </w:r>
      <w:r>
        <w:t xml:space="preserve"> T</w:t>
      </w:r>
      <w:r w:rsidR="00890BB1">
        <w:t xml:space="preserve">his includes </w:t>
      </w:r>
      <w:r w:rsidR="00890BB1" w:rsidRPr="00D60BB0">
        <w:t>the cost of health-related resource use</w:t>
      </w:r>
      <w:r w:rsidR="00A954AD">
        <w:t xml:space="preserve">, out-of-pocket patient costs, and </w:t>
      </w:r>
      <w:r w:rsidR="00890BB1">
        <w:t>productivity costs</w:t>
      </w:r>
      <w:r w:rsidR="00B2645D">
        <w:t xml:space="preserve"> for patients and informal carers</w:t>
      </w:r>
      <w:r>
        <w:t>.</w:t>
      </w:r>
    </w:p>
    <w:p w14:paraId="72EF0E03" w14:textId="551C5169" w:rsidR="007331AD" w:rsidRDefault="00784F90" w:rsidP="00AD10DC">
      <w:pPr>
        <w:pStyle w:val="ListBullet"/>
        <w:contextualSpacing/>
      </w:pPr>
      <w:r w:rsidRPr="00784F90">
        <w:rPr>
          <w:b/>
          <w:bCs/>
        </w:rPr>
        <w:t>A</w:t>
      </w:r>
      <w:r w:rsidR="005D4E72" w:rsidRPr="00784F90">
        <w:rPr>
          <w:b/>
          <w:bCs/>
        </w:rPr>
        <w:t xml:space="preserve"> </w:t>
      </w:r>
      <w:r w:rsidR="00F80AFF" w:rsidRPr="00784F90">
        <w:rPr>
          <w:b/>
          <w:bCs/>
        </w:rPr>
        <w:t>health</w:t>
      </w:r>
      <w:r w:rsidR="001F7C1E" w:rsidRPr="00784F90">
        <w:rPr>
          <w:b/>
          <w:bCs/>
        </w:rPr>
        <w:t>care</w:t>
      </w:r>
      <w:r w:rsidR="00F80AFF" w:rsidRPr="00784F90">
        <w:rPr>
          <w:b/>
          <w:bCs/>
        </w:rPr>
        <w:t xml:space="preserve"> system </w:t>
      </w:r>
      <w:r w:rsidR="005D4E72" w:rsidRPr="00784F90">
        <w:rPr>
          <w:b/>
          <w:bCs/>
        </w:rPr>
        <w:t>perspective</w:t>
      </w:r>
      <w:r w:rsidR="008A4628" w:rsidRPr="008A4628">
        <w:t>, in the scenario analysis</w:t>
      </w:r>
      <w:r w:rsidRPr="008A4628">
        <w:t xml:space="preserve">. </w:t>
      </w:r>
      <w:r>
        <w:t>T</w:t>
      </w:r>
      <w:r w:rsidR="00F80AFF">
        <w:t>his</w:t>
      </w:r>
      <w:r w:rsidR="007038F8">
        <w:t xml:space="preserve"> only</w:t>
      </w:r>
      <w:r w:rsidR="00F80AFF">
        <w:t xml:space="preserve"> includes </w:t>
      </w:r>
      <w:r w:rsidR="00F80AFF" w:rsidRPr="00D60BB0">
        <w:t>the cost of health-related resource use</w:t>
      </w:r>
      <w:r w:rsidR="005D4E72">
        <w:t xml:space="preserve">. </w:t>
      </w:r>
    </w:p>
    <w:p w14:paraId="4A04EF46" w14:textId="225B90DA" w:rsidR="005D4E72" w:rsidRPr="004C326D" w:rsidRDefault="005D4E72" w:rsidP="001B6A9F">
      <w:pPr>
        <w:pStyle w:val="Heading3"/>
      </w:pPr>
      <w:r>
        <w:t>Existing research and what this analysis adds</w:t>
      </w:r>
    </w:p>
    <w:p w14:paraId="13219F15" w14:textId="19DA3876" w:rsidR="005D4E72" w:rsidRDefault="005D4E72" w:rsidP="005D4E72">
      <w:r>
        <w:t xml:space="preserve">Previous literature has examined the cost-effectiveness of the Program. Deloitte Access Economics conducted the first CEA on the Program in 2007 and found that biennial screening for people aged 50 to 74 was </w:t>
      </w:r>
      <w:r w:rsidR="00BA3017">
        <w:t>more</w:t>
      </w:r>
      <w:r>
        <w:t xml:space="preserve"> cost-effective</w:t>
      </w:r>
      <w:r w:rsidR="00BA3017">
        <w:t xml:space="preserve"> than </w:t>
      </w:r>
      <w:r w:rsidR="008B5002">
        <w:t>biennial screening for people aged 5</w:t>
      </w:r>
      <w:r w:rsidR="004A6129">
        <w:t>5</w:t>
      </w:r>
      <w:r w:rsidR="008B5002">
        <w:t xml:space="preserve"> to 74</w:t>
      </w:r>
      <w:r w:rsidR="004A6129">
        <w:t xml:space="preserve">, </w:t>
      </w:r>
      <w:r w:rsidR="00BE3DD0">
        <w:t>when evaluated from a</w:t>
      </w:r>
      <w:r w:rsidR="00BA3017">
        <w:t xml:space="preserve"> societal perspective</w:t>
      </w:r>
      <w:r>
        <w:t>.</w:t>
      </w:r>
      <w:r w:rsidR="00ED1431">
        <w:rPr>
          <w:rStyle w:val="EndnoteReference"/>
        </w:rPr>
        <w:endnoteReference w:id="91"/>
      </w:r>
      <w:r>
        <w:t xml:space="preserve"> More recently, a 2018 study by Lew et al</w:t>
      </w:r>
      <w:r w:rsidR="00537237">
        <w:t>.</w:t>
      </w:r>
      <w:r>
        <w:t xml:space="preserve"> evaluated the cost-effectiveness of different target age ranges</w:t>
      </w:r>
      <w:r w:rsidR="002132A8">
        <w:t xml:space="preserve"> from a health</w:t>
      </w:r>
      <w:r w:rsidR="00EB26DE">
        <w:t>care</w:t>
      </w:r>
      <w:r w:rsidR="002132A8">
        <w:t xml:space="preserve"> system perspective</w:t>
      </w:r>
      <w:r>
        <w:t xml:space="preserve">. The research found that commencing screening at age 50 was more cost-effective than commencing screening at age 45, across a range of different participation scenarios. In addition, the study found that starting screening at </w:t>
      </w:r>
      <w:r w:rsidR="00C44CE1">
        <w:t xml:space="preserve">age </w:t>
      </w:r>
      <w:r>
        <w:t>45 would increase colonoscopy demand for Program-related colonoscopies by 3 per cent to 14 per cent.</w:t>
      </w:r>
      <w:r>
        <w:rPr>
          <w:rStyle w:val="EndnoteReference"/>
        </w:rPr>
        <w:endnoteReference w:id="92"/>
      </w:r>
    </w:p>
    <w:p w14:paraId="0BE0B030" w14:textId="17B00149" w:rsidR="005D4E72" w:rsidRDefault="005D4E72" w:rsidP="005D4E72">
      <w:r>
        <w:t>These papers did not consider Program administrative cost</w:t>
      </w:r>
      <w:r w:rsidR="004D41C0">
        <w:t>s</w:t>
      </w:r>
      <w:r w:rsidR="009C7DFC">
        <w:t xml:space="preserve"> or </w:t>
      </w:r>
      <w:r w:rsidR="000C3C8F">
        <w:t xml:space="preserve">evaluate the cost-effectiveness of a screening entry age of 45 </w:t>
      </w:r>
      <w:r w:rsidR="0054586C">
        <w:t xml:space="preserve">or 40 </w:t>
      </w:r>
      <w:r w:rsidR="000C3C8F">
        <w:t>from a societal perspective</w:t>
      </w:r>
      <w:r>
        <w:t>. The modelling conducted in this paper adds to the evidence base by addressing both gaps.</w:t>
      </w:r>
    </w:p>
    <w:p w14:paraId="127186D6" w14:textId="3FE5BDAD" w:rsidR="00C030B7" w:rsidRPr="004C326D" w:rsidRDefault="00C030B7" w:rsidP="001B6A9F">
      <w:pPr>
        <w:pStyle w:val="Heading3"/>
      </w:pPr>
      <w:r>
        <w:t>Methodology and approach</w:t>
      </w:r>
    </w:p>
    <w:p w14:paraId="2334417F" w14:textId="095FD972" w:rsidR="00BB6DD4" w:rsidRDefault="00810509" w:rsidP="00BA7398">
      <w:r w:rsidRPr="00CB4123">
        <w:t xml:space="preserve">The CEA was conducted using a Markov cohort model to reproduce the natural history of bowel cancer overlayed with a </w:t>
      </w:r>
      <w:r w:rsidR="00A1446E">
        <w:t xml:space="preserve">decision-tree </w:t>
      </w:r>
      <w:r w:rsidRPr="00CB4123">
        <w:t>model to account for the effect of screening</w:t>
      </w:r>
      <w:r w:rsidR="00CC6EFA">
        <w:t>.</w:t>
      </w:r>
      <w:r w:rsidR="00BA7398">
        <w:t xml:space="preserve"> </w:t>
      </w:r>
      <w:r w:rsidRPr="00CB4123">
        <w:t>This approach is consistent with the approach used by Lew et al</w:t>
      </w:r>
      <w:r w:rsidR="00F2189D">
        <w:t>.</w:t>
      </w:r>
      <w:r w:rsidRPr="00CB4123">
        <w:t xml:space="preserve"> </w:t>
      </w:r>
      <w:r w:rsidR="008421CD">
        <w:t>(2018)</w:t>
      </w:r>
      <w:r w:rsidRPr="00CB4123">
        <w:t xml:space="preserve"> and </w:t>
      </w:r>
      <w:r w:rsidR="00F2189D">
        <w:t xml:space="preserve">is </w:t>
      </w:r>
      <w:r w:rsidRPr="00CB4123">
        <w:t>representative of a ‘deep model’ as described in Silva-</w:t>
      </w:r>
      <w:proofErr w:type="spellStart"/>
      <w:r w:rsidRPr="00CB4123">
        <w:t>Illanes</w:t>
      </w:r>
      <w:proofErr w:type="spellEnd"/>
      <w:r w:rsidRPr="00CB4123">
        <w:t xml:space="preserve">’ </w:t>
      </w:r>
      <w:r w:rsidR="00DF6B77">
        <w:t>(</w:t>
      </w:r>
      <w:r w:rsidRPr="00CB4123">
        <w:t>2018</w:t>
      </w:r>
      <w:r w:rsidR="00DF6B77">
        <w:t>)</w:t>
      </w:r>
      <w:r w:rsidRPr="00CB4123">
        <w:t xml:space="preserve"> critical analysis of </w:t>
      </w:r>
      <w:r>
        <w:t>M</w:t>
      </w:r>
      <w:r w:rsidRPr="00CB4123">
        <w:t>arkov models used for the economic evaluation of colorectal cancer screening.</w:t>
      </w:r>
      <w:r>
        <w:rPr>
          <w:rStyle w:val="EndnoteReference"/>
        </w:rPr>
        <w:endnoteReference w:id="93"/>
      </w:r>
      <w:r w:rsidRPr="000E0703">
        <w:rPr>
          <w:vertAlign w:val="superscript"/>
        </w:rPr>
        <w:t>,</w:t>
      </w:r>
      <w:r>
        <w:rPr>
          <w:rStyle w:val="EndnoteReference"/>
        </w:rPr>
        <w:endnoteReference w:id="94"/>
      </w:r>
    </w:p>
    <w:p w14:paraId="787210F5" w14:textId="42168C7A" w:rsidR="00D40A57" w:rsidRDefault="004614B7" w:rsidP="00D40A57">
      <w:r>
        <w:lastRenderedPageBreak/>
        <w:t>The Markov-chain includes 35 health states which a person moves</w:t>
      </w:r>
      <w:r w:rsidR="00E80231">
        <w:t xml:space="preserve"> through</w:t>
      </w:r>
      <w:r>
        <w:t xml:space="preserve"> over time</w:t>
      </w:r>
      <w:r w:rsidR="00474D34">
        <w:t xml:space="preserve"> (see </w:t>
      </w:r>
      <w:r w:rsidR="00F44DF7">
        <w:fldChar w:fldCharType="begin"/>
      </w:r>
      <w:r w:rsidR="00F44DF7">
        <w:instrText xml:space="preserve"> REF _Ref69734503 \r \h </w:instrText>
      </w:r>
      <w:r w:rsidR="00F44DF7">
        <w:fldChar w:fldCharType="separate"/>
      </w:r>
      <w:r w:rsidR="00F27525">
        <w:t>Chart 6.1</w:t>
      </w:r>
      <w:r w:rsidR="00F44DF7">
        <w:fldChar w:fldCharType="end"/>
      </w:r>
      <w:r w:rsidR="00F44DF7">
        <w:t>)</w:t>
      </w:r>
      <w:r>
        <w:t xml:space="preserve">. </w:t>
      </w:r>
      <w:r w:rsidR="00866F07">
        <w:t xml:space="preserve">Each health state represents a state in the natural history of adenoma and bowel cancer development. In the base case, the population enters the model at age 50, and </w:t>
      </w:r>
      <w:r w:rsidR="00046174">
        <w:t>transitions</w:t>
      </w:r>
      <w:r w:rsidR="00866F07">
        <w:t xml:space="preserve"> from one state to another each period, defined as a year, until each person dies or reaches 90 years</w:t>
      </w:r>
      <w:r w:rsidR="00FA23C9">
        <w:t xml:space="preserve"> of age</w:t>
      </w:r>
      <w:r w:rsidR="00866F07">
        <w:t>.</w:t>
      </w:r>
      <w:r w:rsidR="00ED71A6">
        <w:rPr>
          <w:rStyle w:val="FootnoteReference"/>
        </w:rPr>
        <w:footnoteReference w:id="20"/>
      </w:r>
      <w:r w:rsidR="00810509">
        <w:t xml:space="preserve"> The probability that a person will move from one state to another is based on transition probabilities drawn from the literature.</w:t>
      </w:r>
    </w:p>
    <w:p w14:paraId="4CBAFA92" w14:textId="310A6005" w:rsidR="00542DFE" w:rsidRDefault="00D40A57" w:rsidP="002F6AF9">
      <w:pPr>
        <w:pStyle w:val="CaptionChart"/>
      </w:pPr>
      <w:bookmarkStart w:id="181" w:name="_Ref69734503"/>
      <w:r>
        <w:t>: Schematic overview of the natural history and screening pathways</w:t>
      </w:r>
      <w:bookmarkEnd w:id="181"/>
    </w:p>
    <w:p w14:paraId="0DF8FE81" w14:textId="2448663E" w:rsidR="00D40A57" w:rsidRDefault="00D40A57" w:rsidP="00D40A57">
      <w:r w:rsidRPr="000C367D">
        <w:rPr>
          <w:noProof/>
          <w:lang w:eastAsia="en-AU"/>
        </w:rPr>
        <w:drawing>
          <wp:inline distT="0" distB="0" distL="0" distR="0" wp14:anchorId="08872807" wp14:editId="18DD5C21">
            <wp:extent cx="5731510" cy="4119245"/>
            <wp:effectExtent l="0" t="0" r="2540" b="0"/>
            <wp:docPr id="59" name="Picture 59" descr="Schematic overview of the natural history and screening pathways by cancer pathway states, and death ca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Schematic overview of the natural history and screening pathways by cancer pathway states, and death causes"/>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31510" cy="4119245"/>
                    </a:xfrm>
                    <a:prstGeom prst="rect">
                      <a:avLst/>
                    </a:prstGeom>
                    <a:noFill/>
                    <a:ln>
                      <a:noFill/>
                    </a:ln>
                  </pic:spPr>
                </pic:pic>
              </a:graphicData>
            </a:graphic>
          </wp:inline>
        </w:drawing>
      </w:r>
    </w:p>
    <w:p w14:paraId="532957AD" w14:textId="77777777" w:rsidR="00D40A57" w:rsidRDefault="00D40A57" w:rsidP="00607337">
      <w:pPr>
        <w:pStyle w:val="Source"/>
      </w:pPr>
      <w:r>
        <w:t xml:space="preserve">Notes: a) </w:t>
      </w:r>
      <w:r w:rsidRPr="009725E9">
        <w:t>This arrow indicates that a proportion of people within the Surveillance stage do not comply with the surveillance guidelines at all, and therefore they return to the ‘Healthy – susceptible population’ state.</w:t>
      </w:r>
      <w:r>
        <w:t xml:space="preserve"> b) </w:t>
      </w:r>
      <w:r w:rsidRPr="009725E9">
        <w:t xml:space="preserve">All states in the ‘cancer pathway’ can transfer to the ‘Death by other means’ state. </w:t>
      </w:r>
    </w:p>
    <w:p w14:paraId="53D5E79F" w14:textId="4D0A2A26" w:rsidR="00D40A57" w:rsidRPr="00D40A57" w:rsidRDefault="00D40A57" w:rsidP="00607337">
      <w:pPr>
        <w:pStyle w:val="Source"/>
      </w:pPr>
      <w:r>
        <w:t>Source: NBCSP Policy Framework, 2017</w:t>
      </w:r>
      <w:r w:rsidR="00607337">
        <w:t>.</w:t>
      </w:r>
    </w:p>
    <w:p w14:paraId="7F9E7DD5" w14:textId="3064FC1C" w:rsidR="006126A0" w:rsidRDefault="006126A0" w:rsidP="00BA7398">
      <w:r>
        <w:t xml:space="preserve">Costs and </w:t>
      </w:r>
      <w:r w:rsidR="00043CBD">
        <w:t>disability-adjusted life years (</w:t>
      </w:r>
      <w:r>
        <w:t>DALYs</w:t>
      </w:r>
      <w:r w:rsidR="00043CBD">
        <w:t>)</w:t>
      </w:r>
      <w:r>
        <w:t xml:space="preserve"> are applied to each state to determine the costs and outcomes associated with a person living in a given state for a year. Costs and DALYs are accrued annually over time as each person in the cohort cycles through the model.</w:t>
      </w:r>
    </w:p>
    <w:p w14:paraId="20E0361D" w14:textId="133BC886" w:rsidR="008B0308" w:rsidRDefault="00C718C6" w:rsidP="00CC3F27">
      <w:r>
        <w:t xml:space="preserve">To account for the benefit of screening on earlier detection, a </w:t>
      </w:r>
      <w:r w:rsidR="002256E0">
        <w:t xml:space="preserve">decision-tree </w:t>
      </w:r>
      <w:r>
        <w:t>model is superimposed on the natural history model every second year (to account for biennial screening) over the target age range</w:t>
      </w:r>
      <w:r w:rsidR="009E6C45">
        <w:t xml:space="preserve"> (see </w:t>
      </w:r>
      <w:r w:rsidR="00D72AF3">
        <w:fldChar w:fldCharType="begin"/>
      </w:r>
      <w:r w:rsidR="00D72AF3">
        <w:instrText xml:space="preserve"> REF _Ref69734907 \r \h </w:instrText>
      </w:r>
      <w:r w:rsidR="00D72AF3">
        <w:fldChar w:fldCharType="separate"/>
      </w:r>
      <w:r w:rsidR="00F27525">
        <w:t>Chart 6.2</w:t>
      </w:r>
      <w:r w:rsidR="00D72AF3">
        <w:fldChar w:fldCharType="end"/>
      </w:r>
      <w:r w:rsidR="00D72AF3">
        <w:t>)</w:t>
      </w:r>
      <w:r>
        <w:t>.</w:t>
      </w:r>
      <w:r w:rsidR="009104B8">
        <w:t xml:space="preserve"> This model represents the screening strategy and is governed by participation rates, </w:t>
      </w:r>
      <w:proofErr w:type="spellStart"/>
      <w:r w:rsidR="009104B8">
        <w:t>iFOBT</w:t>
      </w:r>
      <w:proofErr w:type="spellEnd"/>
      <w:r w:rsidR="009104B8">
        <w:t xml:space="preserve"> sensitivity rates, diagnostic assessment rates, colonoscopy sensitivity rates, and colonoscopy adverse event rates. This model is used to adjust transition probabilities to account for the effect of screening on ‘intercepting’ the natural progression of bowel cancer and reducing the probability that cancer will be detected (</w:t>
      </w:r>
      <w:proofErr w:type="gramStart"/>
      <w:r w:rsidR="009104B8">
        <w:t>i.e.</w:t>
      </w:r>
      <w:proofErr w:type="gramEnd"/>
      <w:r w:rsidR="009104B8">
        <w:t xml:space="preserve"> through detection at the adenoma stage) or detected at an </w:t>
      </w:r>
      <w:r w:rsidR="008B0308">
        <w:t xml:space="preserve">advanced stage. </w:t>
      </w:r>
    </w:p>
    <w:p w14:paraId="5FBDEC0C" w14:textId="6CD58D90" w:rsidR="009E6C45" w:rsidRDefault="009E6C45" w:rsidP="009E6C45">
      <w:pPr>
        <w:pStyle w:val="CaptionChart"/>
      </w:pPr>
      <w:bookmarkStart w:id="182" w:name="_Ref69734907"/>
      <w:r>
        <w:lastRenderedPageBreak/>
        <w:t>: Screening pathway decision tree</w:t>
      </w:r>
      <w:bookmarkEnd w:id="182"/>
    </w:p>
    <w:p w14:paraId="141574A2" w14:textId="77777777" w:rsidR="009E6C45" w:rsidRPr="00847D00" w:rsidRDefault="009E6C45" w:rsidP="009E6C45">
      <w:r w:rsidRPr="00D57F37">
        <w:rPr>
          <w:noProof/>
          <w:lang w:eastAsia="en-AU"/>
        </w:rPr>
        <w:drawing>
          <wp:inline distT="0" distB="0" distL="0" distR="0" wp14:anchorId="1ED50F06" wp14:editId="7D10E237">
            <wp:extent cx="5731510" cy="1716405"/>
            <wp:effectExtent l="0" t="0" r="2540" b="0"/>
            <wp:docPr id="60" name="Picture 60" descr="A decision tree showing the screening path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decision tree showing the screening pathways"/>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31510" cy="1716405"/>
                    </a:xfrm>
                    <a:prstGeom prst="rect">
                      <a:avLst/>
                    </a:prstGeom>
                    <a:noFill/>
                    <a:ln>
                      <a:noFill/>
                    </a:ln>
                  </pic:spPr>
                </pic:pic>
              </a:graphicData>
            </a:graphic>
          </wp:inline>
        </w:drawing>
      </w:r>
    </w:p>
    <w:p w14:paraId="0CEC491F" w14:textId="70259517" w:rsidR="009E6C45" w:rsidRDefault="009E6C45" w:rsidP="009E6C45">
      <w:pPr>
        <w:pStyle w:val="Sources"/>
        <w:spacing w:before="0"/>
      </w:pPr>
      <w:r>
        <w:t>Source: Deloitte Access Economics</w:t>
      </w:r>
    </w:p>
    <w:p w14:paraId="1B91C371" w14:textId="7A3FE87D" w:rsidR="00CC3F27" w:rsidRDefault="008B0308" w:rsidP="00CC3F27">
      <w:r>
        <w:t xml:space="preserve">To estimate the incremental impact of screening vs. no screening, a </w:t>
      </w:r>
      <w:r w:rsidR="00CC3F27">
        <w:t xml:space="preserve">cohort of Australians is simulated through the model both with (screening arm) and without (no screening) the </w:t>
      </w:r>
      <w:r w:rsidR="00A64CBE">
        <w:t>decision-tree</w:t>
      </w:r>
      <w:r w:rsidR="00CC3F27">
        <w:t xml:space="preserve"> model.</w:t>
      </w:r>
      <w:r>
        <w:t xml:space="preserve"> </w:t>
      </w:r>
      <w:r w:rsidR="00CC3F27">
        <w:t>Costs and DALYs are summed and compared between the</w:t>
      </w:r>
      <w:r w:rsidR="00810509">
        <w:t xml:space="preserve">se two </w:t>
      </w:r>
      <w:r w:rsidR="00A64CBE">
        <w:t>simulations</w:t>
      </w:r>
      <w:r w:rsidR="00915EE0">
        <w:t>. R</w:t>
      </w:r>
      <w:r w:rsidR="00CC3F27">
        <w:t>esults are</w:t>
      </w:r>
      <w:r w:rsidR="00915EE0">
        <w:t xml:space="preserve"> then</w:t>
      </w:r>
      <w:r w:rsidR="00CC3F27">
        <w:t xml:space="preserve"> reported in the form of an </w:t>
      </w:r>
      <w:r w:rsidR="002A62EB">
        <w:t>incremental cost</w:t>
      </w:r>
      <w:r w:rsidR="006D4F2D">
        <w:t>-</w:t>
      </w:r>
      <w:r w:rsidR="002A62EB">
        <w:t>effectiveness ratio (</w:t>
      </w:r>
      <w:r w:rsidR="00CC3F27">
        <w:t>ICER</w:t>
      </w:r>
      <w:r w:rsidR="002A62EB">
        <w:t>)</w:t>
      </w:r>
      <w:r w:rsidR="00CC3F27">
        <w:t>.</w:t>
      </w:r>
    </w:p>
    <w:p w14:paraId="0697C001" w14:textId="5D633BC9" w:rsidR="004554EA" w:rsidRDefault="00492E65" w:rsidP="00101480">
      <w:r>
        <w:t xml:space="preserve">Refer to </w:t>
      </w:r>
      <w:r w:rsidR="00D30E30">
        <w:t xml:space="preserve">Appendix B for </w:t>
      </w:r>
      <w:r>
        <w:t>a more in-depth description of the methodology.</w:t>
      </w:r>
    </w:p>
    <w:p w14:paraId="120B174A" w14:textId="3734AC0D" w:rsidR="009E38EB" w:rsidRPr="00BA6BF3" w:rsidRDefault="001B6A9F" w:rsidP="009E38EB">
      <w:pPr>
        <w:pStyle w:val="Heading3"/>
      </w:pPr>
      <w:bookmarkStart w:id="183" w:name="_Ref67851691"/>
      <w:r>
        <w:t>Base case results</w:t>
      </w:r>
      <w:bookmarkEnd w:id="183"/>
    </w:p>
    <w:p w14:paraId="3807BE70" w14:textId="22231D02" w:rsidR="00975948" w:rsidRPr="00975948" w:rsidRDefault="009B582A" w:rsidP="00975948">
      <w:pPr>
        <w:keepNext/>
        <w:keepLines/>
        <w:tabs>
          <w:tab w:val="left" w:pos="340"/>
        </w:tabs>
        <w:spacing w:after="0"/>
        <w:outlineLvl w:val="3"/>
        <w:rPr>
          <w:rFonts w:eastAsiaTheme="majorEastAsia" w:cstheme="majorBidi"/>
          <w:b/>
          <w:bCs/>
          <w:iCs/>
          <w:color w:val="012169" w:themeColor="accent4"/>
        </w:rPr>
      </w:pPr>
      <w:r w:rsidRPr="009B582A">
        <w:rPr>
          <w:rFonts w:eastAsiaTheme="majorEastAsia" w:cstheme="majorBidi"/>
          <w:b/>
          <w:bCs/>
          <w:iCs/>
          <w:color w:val="012169" w:themeColor="accent4"/>
        </w:rPr>
        <w:t>Overall, the CEA results show that the Program is highly cost-eff</w:t>
      </w:r>
      <w:r w:rsidR="00A12BA3">
        <w:rPr>
          <w:rFonts w:eastAsiaTheme="majorEastAsia" w:cstheme="majorBidi"/>
          <w:b/>
          <w:bCs/>
          <w:iCs/>
          <w:color w:val="012169" w:themeColor="accent4"/>
        </w:rPr>
        <w:t>ective</w:t>
      </w:r>
      <w:r w:rsidRPr="009B582A">
        <w:rPr>
          <w:rFonts w:eastAsiaTheme="majorEastAsia" w:cstheme="majorBidi"/>
          <w:b/>
          <w:bCs/>
          <w:iCs/>
          <w:color w:val="012169" w:themeColor="accent4"/>
        </w:rPr>
        <w:t xml:space="preserve"> compared to a no</w:t>
      </w:r>
      <w:r w:rsidR="00CB3239">
        <w:rPr>
          <w:rFonts w:eastAsiaTheme="majorEastAsia" w:cstheme="majorBidi"/>
          <w:b/>
          <w:bCs/>
          <w:iCs/>
          <w:color w:val="012169" w:themeColor="accent4"/>
        </w:rPr>
        <w:t xml:space="preserve"> </w:t>
      </w:r>
      <w:r w:rsidRPr="009B582A">
        <w:rPr>
          <w:rFonts w:eastAsiaTheme="majorEastAsia" w:cstheme="majorBidi"/>
          <w:b/>
          <w:bCs/>
          <w:iCs/>
          <w:color w:val="012169" w:themeColor="accent4"/>
        </w:rPr>
        <w:t>screening scenario.</w:t>
      </w:r>
    </w:p>
    <w:p w14:paraId="08A2F0F3" w14:textId="4A37A9B3" w:rsidR="00CB4123" w:rsidRDefault="00CB4123" w:rsidP="00CB4123">
      <w:r>
        <w:t xml:space="preserve">Under the base case, from a </w:t>
      </w:r>
      <w:r w:rsidR="000A5D87">
        <w:t>societal</w:t>
      </w:r>
      <w:r>
        <w:t xml:space="preserve"> perspective, biennial screening for those aged 50 to 74 resulted in an ICER of $</w:t>
      </w:r>
      <w:r w:rsidR="00142FBB">
        <w:t>1,931</w:t>
      </w:r>
      <w:r w:rsidR="006453E3" w:rsidRPr="006453E3">
        <w:rPr>
          <w:color w:val="FF0000"/>
        </w:rPr>
        <w:t xml:space="preserve"> </w:t>
      </w:r>
      <w:r>
        <w:t>per DALY avoided (</w:t>
      </w:r>
      <w:r w:rsidR="0054586C">
        <w:fldChar w:fldCharType="begin"/>
      </w:r>
      <w:r w:rsidR="0054586C">
        <w:instrText xml:space="preserve"> REF _Ref77780274 \n \h </w:instrText>
      </w:r>
      <w:r w:rsidR="0054586C">
        <w:fldChar w:fldCharType="separate"/>
      </w:r>
      <w:r w:rsidR="00F27525">
        <w:t>Table 6.1</w:t>
      </w:r>
      <w:r w:rsidR="0054586C">
        <w:fldChar w:fldCharType="end"/>
      </w:r>
      <w:r>
        <w:t xml:space="preserve">), when compared to a comparator of no screening. This value is considerably lower than </w:t>
      </w:r>
      <w:r w:rsidR="009260B5">
        <w:t>Australian estimates for</w:t>
      </w:r>
      <w:r w:rsidR="001224B1">
        <w:t xml:space="preserve"> a government-based</w:t>
      </w:r>
      <w:r>
        <w:t xml:space="preserve"> willingness-to-pay threshold</w:t>
      </w:r>
      <w:r w:rsidR="00ED0108">
        <w:t xml:space="preserve"> </w:t>
      </w:r>
      <w:r>
        <w:t>of $50,000 per Quality Adjusted Life Year (QALY) gained, indicating that the Program is highly cost-effective.</w:t>
      </w:r>
      <w:r w:rsidR="00141653">
        <w:rPr>
          <w:rStyle w:val="EndnoteReference"/>
        </w:rPr>
        <w:endnoteReference w:id="95"/>
      </w:r>
      <w:r>
        <w:t xml:space="preserve"> </w:t>
      </w:r>
    </w:p>
    <w:p w14:paraId="11F26F53" w14:textId="524D2FA9" w:rsidR="004A2EFD" w:rsidRDefault="004A2EFD" w:rsidP="004A2EFD">
      <w:r>
        <w:t xml:space="preserve">In terms of clinical benefit, </w:t>
      </w:r>
      <w:r w:rsidR="006059B1">
        <w:t>over the lifetime of the invited cohort</w:t>
      </w:r>
      <w:r w:rsidR="00135804">
        <w:t>,</w:t>
      </w:r>
      <w:r w:rsidR="0020110A">
        <w:t xml:space="preserve"> </w:t>
      </w:r>
      <w:r>
        <w:t xml:space="preserve">the model estimates that biennial screening for those aged 50 to 74 years reduces cancer incidence by approximately </w:t>
      </w:r>
      <w:r w:rsidR="00B14E44">
        <w:t>40</w:t>
      </w:r>
      <w:r>
        <w:t xml:space="preserve"> per cent and cancer-related mortality by approximately 4</w:t>
      </w:r>
      <w:r w:rsidR="00B14E44">
        <w:t xml:space="preserve">7 </w:t>
      </w:r>
      <w:r>
        <w:t>per cent</w:t>
      </w:r>
      <w:r w:rsidR="00EC6037">
        <w:t xml:space="preserve"> (</w:t>
      </w:r>
      <w:r w:rsidR="00B16613">
        <w:fldChar w:fldCharType="begin"/>
      </w:r>
      <w:r w:rsidR="00B16613">
        <w:instrText xml:space="preserve"> REF _Ref70691598 \r \h </w:instrText>
      </w:r>
      <w:r w:rsidR="00B16613">
        <w:fldChar w:fldCharType="separate"/>
      </w:r>
      <w:r w:rsidR="00F27525">
        <w:t>Chart 6.3</w:t>
      </w:r>
      <w:r w:rsidR="00B16613">
        <w:fldChar w:fldCharType="end"/>
      </w:r>
      <w:r w:rsidR="00B16613">
        <w:t xml:space="preserve">). </w:t>
      </w:r>
      <w:r w:rsidR="0020110A">
        <w:t>However, in the short-</w:t>
      </w:r>
      <w:r w:rsidR="003D2AEF">
        <w:t>term</w:t>
      </w:r>
      <w:r w:rsidR="00AE7BF5">
        <w:t>,</w:t>
      </w:r>
      <w:r w:rsidR="0020110A">
        <w:t xml:space="preserve"> the Program is estimated to increase cancer incidence rates while having no material impacts on </w:t>
      </w:r>
      <w:r w:rsidR="00C41F55">
        <w:t>cancer</w:t>
      </w:r>
      <w:r w:rsidR="00726639">
        <w:t>-related</w:t>
      </w:r>
      <w:r w:rsidR="00C41F55">
        <w:t xml:space="preserve"> deaths. This is because</w:t>
      </w:r>
      <w:r w:rsidR="005A32D0">
        <w:t xml:space="preserve">, in the short-term, </w:t>
      </w:r>
      <w:r w:rsidR="00C41F55">
        <w:t xml:space="preserve">the Program increases the rate at which cancer </w:t>
      </w:r>
      <w:r w:rsidR="00C44528">
        <w:t>is</w:t>
      </w:r>
      <w:r w:rsidR="00C41F55">
        <w:t xml:space="preserve"> diagnosed</w:t>
      </w:r>
      <w:r w:rsidR="0087109E">
        <w:t xml:space="preserve">, as compared with </w:t>
      </w:r>
      <w:r w:rsidR="00C41F55">
        <w:t xml:space="preserve">symptomatic detection. Further, </w:t>
      </w:r>
      <w:r w:rsidR="00EF3B84">
        <w:t>a lag time</w:t>
      </w:r>
      <w:r w:rsidR="00D779BF">
        <w:t xml:space="preserve"> of </w:t>
      </w:r>
      <w:r w:rsidR="006652F5">
        <w:t xml:space="preserve">approximately </w:t>
      </w:r>
      <w:r w:rsidR="00D779BF">
        <w:t>5 to 10 years</w:t>
      </w:r>
      <w:r w:rsidR="00EF3B84">
        <w:t xml:space="preserve"> </w:t>
      </w:r>
      <w:r w:rsidR="006C0F33">
        <w:t xml:space="preserve">is required before </w:t>
      </w:r>
      <w:r w:rsidR="002B7971">
        <w:t>the increased rate of detection</w:t>
      </w:r>
      <w:r w:rsidR="00DA4A64">
        <w:t xml:space="preserve"> (at an earlier stage</w:t>
      </w:r>
      <w:r w:rsidR="00CD562E">
        <w:t>)</w:t>
      </w:r>
      <w:r w:rsidR="002B7971">
        <w:t xml:space="preserve"> leads to a reduction in </w:t>
      </w:r>
      <w:r w:rsidR="00B058A7">
        <w:t>mortality, as compared with symptomatic detection</w:t>
      </w:r>
      <w:r w:rsidR="0096532F">
        <w:t xml:space="preserve">. </w:t>
      </w:r>
    </w:p>
    <w:p w14:paraId="1CA5889D" w14:textId="178A9841" w:rsidR="004A2EFD" w:rsidRDefault="004A2EFD" w:rsidP="002F6AF9">
      <w:pPr>
        <w:pStyle w:val="CaptionChart"/>
      </w:pPr>
      <w:bookmarkStart w:id="184" w:name="_Ref70691598"/>
      <w:r>
        <w:lastRenderedPageBreak/>
        <w:t xml:space="preserve">: Percentage reduction in age-standardised </w:t>
      </w:r>
      <w:r w:rsidR="00CC5BD3">
        <w:t xml:space="preserve">cancer </w:t>
      </w:r>
      <w:r>
        <w:t>incidence and mortality rates</w:t>
      </w:r>
      <w:bookmarkEnd w:id="184"/>
    </w:p>
    <w:p w14:paraId="1576B120" w14:textId="19DBB7C1" w:rsidR="004A2EFD" w:rsidRDefault="004A2EFD" w:rsidP="004A2EFD">
      <w:r w:rsidRPr="00CF1C9D">
        <w:rPr>
          <w:noProof/>
          <w:lang w:eastAsia="en-AU"/>
        </w:rPr>
        <w:drawing>
          <wp:inline distT="0" distB="0" distL="0" distR="0" wp14:anchorId="2242A729" wp14:editId="7A8FB8DA">
            <wp:extent cx="5731510" cy="2951788"/>
            <wp:effectExtent l="0" t="0" r="0" b="0"/>
            <wp:docPr id="46" name="Picture 46" descr="Chart showing percentage reduction in age standardised cancer incidence and mortality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Chart showing percentage reduction in age standardised cancer incidence and mortality rates"/>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31510" cy="2951788"/>
                    </a:xfrm>
                    <a:prstGeom prst="rect">
                      <a:avLst/>
                    </a:prstGeom>
                    <a:noFill/>
                    <a:ln>
                      <a:noFill/>
                    </a:ln>
                  </pic:spPr>
                </pic:pic>
              </a:graphicData>
            </a:graphic>
          </wp:inline>
        </w:drawing>
      </w:r>
    </w:p>
    <w:p w14:paraId="0575D40C" w14:textId="252541A9" w:rsidR="004A2EFD" w:rsidRDefault="004A2EFD" w:rsidP="000F06D0">
      <w:pPr>
        <w:pStyle w:val="Source"/>
        <w:spacing w:after="0"/>
      </w:pPr>
      <w:r>
        <w:t>Notes: Analysis assumes current age-specific participation rates reported by AIHW</w:t>
      </w:r>
      <w:r w:rsidR="00F531A8">
        <w:t>.</w:t>
      </w:r>
    </w:p>
    <w:p w14:paraId="14548569" w14:textId="5EC75EC8" w:rsidR="004A2EFD" w:rsidRDefault="004A2EFD" w:rsidP="00607337">
      <w:pPr>
        <w:pStyle w:val="Source"/>
      </w:pPr>
      <w:r w:rsidRPr="008515D3">
        <w:t>Source: Deloitte Access Economics analysis and AIHW Cancer data in Australia (2020)</w:t>
      </w:r>
      <w:r w:rsidR="00F531A8">
        <w:t>.</w:t>
      </w:r>
    </w:p>
    <w:p w14:paraId="098ED7B4" w14:textId="4365414F" w:rsidR="004A2EFD" w:rsidRDefault="00BF4767" w:rsidP="004A2EFD">
      <w:r>
        <w:t>The</w:t>
      </w:r>
      <w:r w:rsidR="004A2EFD">
        <w:t xml:space="preserve"> reduction in cancer-related mortality attributable to screening is </w:t>
      </w:r>
      <w:r>
        <w:t xml:space="preserve">primarily </w:t>
      </w:r>
      <w:r w:rsidR="004A2EFD">
        <w:t>a result of earlier stage at detection</w:t>
      </w:r>
      <w:r w:rsidR="00A2312E">
        <w:t xml:space="preserve">, </w:t>
      </w:r>
      <w:r w:rsidR="006E1F50">
        <w:t xml:space="preserve">where survival rates </w:t>
      </w:r>
      <w:r w:rsidR="005D3ED5">
        <w:t>are better (see</w:t>
      </w:r>
      <w:r w:rsidR="004B65CD">
        <w:t xml:space="preserve"> </w:t>
      </w:r>
      <w:r w:rsidR="004B65CD">
        <w:fldChar w:fldCharType="begin"/>
      </w:r>
      <w:r w:rsidR="004B65CD">
        <w:instrText xml:space="preserve"> REF _Ref69738183 \r \h </w:instrText>
      </w:r>
      <w:r w:rsidR="004B65CD">
        <w:fldChar w:fldCharType="separate"/>
      </w:r>
      <w:r w:rsidR="00F27525">
        <w:t>B.3</w:t>
      </w:r>
      <w:r w:rsidR="004B65CD">
        <w:fldChar w:fldCharType="end"/>
      </w:r>
      <w:r w:rsidR="004B65CD">
        <w:t xml:space="preserve"> for</w:t>
      </w:r>
      <w:r w:rsidR="00D04774">
        <w:t xml:space="preserve"> five-year relative</w:t>
      </w:r>
      <w:r w:rsidR="004B65CD">
        <w:t xml:space="preserve"> </w:t>
      </w:r>
      <w:r w:rsidR="007E5AAD">
        <w:t>survival rates by stage at detection)</w:t>
      </w:r>
      <w:r w:rsidR="004A2EFD">
        <w:t>. As shown in</w:t>
      </w:r>
      <w:r w:rsidR="0049451E">
        <w:t xml:space="preserve"> </w:t>
      </w:r>
      <w:r w:rsidR="0049451E">
        <w:fldChar w:fldCharType="begin"/>
      </w:r>
      <w:r w:rsidR="0049451E">
        <w:instrText xml:space="preserve"> REF _Ref67835274 \r \h </w:instrText>
      </w:r>
      <w:r w:rsidR="0049451E">
        <w:fldChar w:fldCharType="separate"/>
      </w:r>
      <w:r w:rsidR="00F27525">
        <w:t>Chart 6.4</w:t>
      </w:r>
      <w:r w:rsidR="0049451E">
        <w:fldChar w:fldCharType="end"/>
      </w:r>
      <w:r w:rsidR="004A2EFD">
        <w:t xml:space="preserve">, of all cancer diagnoses, the proportion diagnosed at </w:t>
      </w:r>
      <w:r w:rsidR="00314F7B">
        <w:t>S</w:t>
      </w:r>
      <w:r w:rsidR="004A2EFD">
        <w:t xml:space="preserve">tage </w:t>
      </w:r>
      <w:r w:rsidR="00314F7B">
        <w:t xml:space="preserve">1 </w:t>
      </w:r>
      <w:r w:rsidR="004A2EFD">
        <w:t>is approximately 28</w:t>
      </w:r>
      <w:r w:rsidR="00B775B3">
        <w:t xml:space="preserve"> </w:t>
      </w:r>
      <w:r w:rsidR="004A2EFD">
        <w:t>per cent under the screening scenario (biennial screening for those aged 50 to 74) compared to 1</w:t>
      </w:r>
      <w:r w:rsidR="00B775B3">
        <w:t>8</w:t>
      </w:r>
      <w:r w:rsidR="004A2EFD">
        <w:t xml:space="preserve"> per</w:t>
      </w:r>
      <w:r w:rsidR="00ED5C68">
        <w:t xml:space="preserve"> </w:t>
      </w:r>
      <w:r w:rsidR="004A2EFD">
        <w:t>cent under the no</w:t>
      </w:r>
      <w:r w:rsidR="00CB3239">
        <w:t xml:space="preserve"> </w:t>
      </w:r>
      <w:r w:rsidR="004A2EFD">
        <w:t>screening scenario</w:t>
      </w:r>
      <w:r w:rsidR="00626464">
        <w:t>.</w:t>
      </w:r>
    </w:p>
    <w:p w14:paraId="47F5BD9A" w14:textId="77777777" w:rsidR="004A2EFD" w:rsidRDefault="004A2EFD" w:rsidP="002F6AF9">
      <w:pPr>
        <w:pStyle w:val="CaptionChart"/>
      </w:pPr>
      <w:bookmarkStart w:id="185" w:name="_Ref67835274"/>
      <w:r>
        <w:t>: Stage at cancer detection</w:t>
      </w:r>
      <w:bookmarkEnd w:id="185"/>
    </w:p>
    <w:p w14:paraId="3977930A" w14:textId="77777777" w:rsidR="004A2EFD" w:rsidRDefault="004A2EFD" w:rsidP="004A2EFD">
      <w:r w:rsidRPr="008C686A">
        <w:rPr>
          <w:noProof/>
          <w:lang w:eastAsia="en-AU"/>
        </w:rPr>
        <w:drawing>
          <wp:inline distT="0" distB="0" distL="0" distR="0" wp14:anchorId="72D73758" wp14:editId="513E20E3">
            <wp:extent cx="5558155" cy="2743200"/>
            <wp:effectExtent l="0" t="0" r="0" b="0"/>
            <wp:docPr id="1489793607" name="Picture 1489793607" descr="Chart showing stage of cancer at det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793607" name="Picture 1489793607" descr="Chart showing stage of cancer at detection"/>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558155" cy="2743200"/>
                    </a:xfrm>
                    <a:prstGeom prst="rect">
                      <a:avLst/>
                    </a:prstGeom>
                    <a:noFill/>
                    <a:ln>
                      <a:noFill/>
                    </a:ln>
                  </pic:spPr>
                </pic:pic>
              </a:graphicData>
            </a:graphic>
          </wp:inline>
        </w:drawing>
      </w:r>
    </w:p>
    <w:p w14:paraId="2E0BB383" w14:textId="465E2DD6" w:rsidR="004A2EFD" w:rsidRDefault="004A2EFD" w:rsidP="004A2EFD">
      <w:pPr>
        <w:pStyle w:val="Sources"/>
      </w:pPr>
      <w:r>
        <w:t xml:space="preserve">Source: Deloitte Access Economics </w:t>
      </w:r>
      <w:r w:rsidR="0001112C">
        <w:t>analysis</w:t>
      </w:r>
      <w:r w:rsidR="00741277">
        <w:t>.</w:t>
      </w:r>
      <w:r>
        <w:t xml:space="preserve"> </w:t>
      </w:r>
    </w:p>
    <w:p w14:paraId="52B9F750" w14:textId="5BD536FD" w:rsidR="00367945" w:rsidRPr="009E06D0" w:rsidRDefault="00A534F0" w:rsidP="009E06D0">
      <w:pPr>
        <w:keepNext/>
        <w:keepLines/>
        <w:tabs>
          <w:tab w:val="left" w:pos="340"/>
        </w:tabs>
        <w:spacing w:after="0"/>
        <w:outlineLvl w:val="3"/>
        <w:rPr>
          <w:rFonts w:eastAsiaTheme="majorEastAsia" w:cstheme="majorBidi"/>
          <w:b/>
          <w:bCs/>
          <w:iCs/>
          <w:color w:val="012169" w:themeColor="accent4"/>
        </w:rPr>
      </w:pPr>
      <w:r>
        <w:rPr>
          <w:rFonts w:eastAsiaTheme="majorEastAsia" w:cstheme="majorBidi"/>
          <w:b/>
          <w:bCs/>
          <w:iCs/>
          <w:color w:val="012169" w:themeColor="accent4"/>
        </w:rPr>
        <w:lastRenderedPageBreak/>
        <w:t xml:space="preserve">When conducted from a </w:t>
      </w:r>
      <w:r w:rsidR="009E2310">
        <w:rPr>
          <w:rFonts w:eastAsiaTheme="majorEastAsia" w:cstheme="majorBidi"/>
          <w:b/>
          <w:bCs/>
          <w:iCs/>
          <w:color w:val="012169" w:themeColor="accent4"/>
        </w:rPr>
        <w:t>societal</w:t>
      </w:r>
      <w:r>
        <w:rPr>
          <w:rFonts w:eastAsiaTheme="majorEastAsia" w:cstheme="majorBidi"/>
          <w:b/>
          <w:bCs/>
          <w:iCs/>
          <w:color w:val="012169" w:themeColor="accent4"/>
        </w:rPr>
        <w:t xml:space="preserve"> perspective, the</w:t>
      </w:r>
      <w:r w:rsidR="00333C5B">
        <w:rPr>
          <w:rFonts w:eastAsiaTheme="majorEastAsia" w:cstheme="majorBidi"/>
          <w:b/>
          <w:bCs/>
          <w:iCs/>
          <w:color w:val="012169" w:themeColor="accent4"/>
        </w:rPr>
        <w:t xml:space="preserve"> model estimates that l</w:t>
      </w:r>
      <w:r w:rsidR="00CB5688">
        <w:rPr>
          <w:rFonts w:eastAsiaTheme="majorEastAsia" w:cstheme="majorBidi"/>
          <w:b/>
          <w:bCs/>
          <w:iCs/>
          <w:color w:val="012169" w:themeColor="accent4"/>
        </w:rPr>
        <w:t>owering the screening entry age to</w:t>
      </w:r>
      <w:r w:rsidR="00A12BA3">
        <w:rPr>
          <w:rFonts w:eastAsiaTheme="majorEastAsia" w:cstheme="majorBidi"/>
          <w:b/>
          <w:bCs/>
          <w:iCs/>
          <w:color w:val="012169" w:themeColor="accent4"/>
        </w:rPr>
        <w:t xml:space="preserve"> 45 years </w:t>
      </w:r>
      <w:r w:rsidR="00CB5688">
        <w:rPr>
          <w:rFonts w:eastAsiaTheme="majorEastAsia" w:cstheme="majorBidi"/>
          <w:b/>
          <w:bCs/>
          <w:iCs/>
          <w:color w:val="012169" w:themeColor="accent4"/>
        </w:rPr>
        <w:t xml:space="preserve">is </w:t>
      </w:r>
      <w:r w:rsidR="009E2310">
        <w:rPr>
          <w:rFonts w:eastAsiaTheme="majorEastAsia" w:cstheme="majorBidi"/>
          <w:b/>
          <w:bCs/>
          <w:iCs/>
          <w:color w:val="012169" w:themeColor="accent4"/>
        </w:rPr>
        <w:t xml:space="preserve">slightly more </w:t>
      </w:r>
      <w:r w:rsidR="00CB5688">
        <w:rPr>
          <w:rFonts w:eastAsiaTheme="majorEastAsia" w:cstheme="majorBidi"/>
          <w:b/>
          <w:bCs/>
          <w:iCs/>
          <w:color w:val="012169" w:themeColor="accent4"/>
        </w:rPr>
        <w:t>cost-effective than starting screening at age 50.</w:t>
      </w:r>
      <w:r w:rsidR="009E1897">
        <w:rPr>
          <w:rStyle w:val="FootnoteReference"/>
          <w:rFonts w:eastAsiaTheme="majorEastAsia" w:cstheme="majorBidi"/>
          <w:b/>
          <w:bCs/>
          <w:iCs/>
          <w:color w:val="012169" w:themeColor="accent4"/>
        </w:rPr>
        <w:footnoteReference w:id="21"/>
      </w:r>
    </w:p>
    <w:p w14:paraId="504DF2A7" w14:textId="6AEC1E15" w:rsidR="00DF6A92" w:rsidRDefault="00CB4123" w:rsidP="00370873">
      <w:r>
        <w:t xml:space="preserve">When the model was adjusted to assess the cost-effectiveness of lowering the </w:t>
      </w:r>
      <w:r w:rsidR="00402B62">
        <w:t>screening entry age</w:t>
      </w:r>
      <w:r>
        <w:t xml:space="preserve"> to 45</w:t>
      </w:r>
      <w:r w:rsidR="005D73F3">
        <w:t xml:space="preserve"> compared to no screening</w:t>
      </w:r>
      <w:r>
        <w:t xml:space="preserve">, the ICER was </w:t>
      </w:r>
      <w:r w:rsidR="00583EA3">
        <w:t xml:space="preserve">marginally </w:t>
      </w:r>
      <w:r w:rsidR="00365CE5">
        <w:t>lower</w:t>
      </w:r>
      <w:r>
        <w:t xml:space="preserve"> at </w:t>
      </w:r>
      <w:r w:rsidR="000B6B32">
        <w:t>$</w:t>
      </w:r>
      <w:r w:rsidR="003817E7">
        <w:t>1,381</w:t>
      </w:r>
      <w:r w:rsidR="005022C4">
        <w:t xml:space="preserve"> per DALY </w:t>
      </w:r>
      <w:r w:rsidR="00271D8D">
        <w:t>avoided</w:t>
      </w:r>
      <w:r w:rsidR="005022C4">
        <w:t>,</w:t>
      </w:r>
      <w:r w:rsidR="00271D8D">
        <w:t xml:space="preserve"> evaluated from a societal perspective</w:t>
      </w:r>
      <w:r w:rsidR="0093080C">
        <w:t xml:space="preserve">. </w:t>
      </w:r>
      <w:r w:rsidR="0084194D">
        <w:t>This result</w:t>
      </w:r>
      <w:r>
        <w:t xml:space="preserve"> </w:t>
      </w:r>
      <w:r w:rsidR="0084194D">
        <w:t xml:space="preserve">shows </w:t>
      </w:r>
      <w:r>
        <w:t xml:space="preserve">that commencing screening at </w:t>
      </w:r>
      <w:r w:rsidR="00646B4F">
        <w:t>age 45</w:t>
      </w:r>
      <w:r>
        <w:t xml:space="preserve"> </w:t>
      </w:r>
      <w:r w:rsidR="008F66C6">
        <w:t xml:space="preserve">has a </w:t>
      </w:r>
      <w:r w:rsidR="00583EA3">
        <w:t>slightly</w:t>
      </w:r>
      <w:r w:rsidR="00D630CB">
        <w:t xml:space="preserve"> lower</w:t>
      </w:r>
      <w:r w:rsidR="008F66C6">
        <w:t xml:space="preserve"> cost per DALY avoided, signalling </w:t>
      </w:r>
      <w:r w:rsidR="003F1D9A">
        <w:t>a</w:t>
      </w:r>
      <w:r w:rsidR="00D020A8">
        <w:t xml:space="preserve"> </w:t>
      </w:r>
      <w:r w:rsidR="00EC238C">
        <w:t>moderate</w:t>
      </w:r>
      <w:r w:rsidR="003F1D9A">
        <w:t xml:space="preserve"> </w:t>
      </w:r>
      <w:r w:rsidR="00377CDD">
        <w:t xml:space="preserve">increase </w:t>
      </w:r>
      <w:r w:rsidR="003F1D9A">
        <w:t xml:space="preserve">in cost-effectiveness. </w:t>
      </w:r>
      <w:r w:rsidR="001B2818">
        <w:t>The main contributing factor to this result is the value of lost lifetime earnings due to premature mortality</w:t>
      </w:r>
      <w:r w:rsidR="000874A1">
        <w:t>.</w:t>
      </w:r>
      <w:r w:rsidR="001B2818">
        <w:t xml:space="preserve"> When commencing screening at age 45, the cost of lost productivity is reduced by 14 per cent when compared with no screening. This figure is only 8 per cent under a scenario where screening commences at 50.</w:t>
      </w:r>
      <w:r w:rsidR="0054586C">
        <w:t xml:space="preserve"> </w:t>
      </w:r>
    </w:p>
    <w:p w14:paraId="2C1DBC92" w14:textId="299999E8" w:rsidR="00370873" w:rsidRDefault="00115038" w:rsidP="00370873">
      <w:r>
        <w:t>B</w:t>
      </w:r>
      <w:r w:rsidR="00CB4123">
        <w:t xml:space="preserve">y lowering the screening </w:t>
      </w:r>
      <w:r w:rsidR="0054586C">
        <w:t xml:space="preserve">entry </w:t>
      </w:r>
      <w:r w:rsidR="00CB4123">
        <w:t xml:space="preserve">age to 45, it would </w:t>
      </w:r>
      <w:r w:rsidR="00DC3E4A">
        <w:t xml:space="preserve">save </w:t>
      </w:r>
      <w:r w:rsidR="00B249F2">
        <w:t>society</w:t>
      </w:r>
      <w:r w:rsidR="00CB4123">
        <w:t xml:space="preserve"> an additional $</w:t>
      </w:r>
      <w:r w:rsidR="005E5F02">
        <w:t>1,529</w:t>
      </w:r>
      <w:r w:rsidR="00F932AD" w:rsidRPr="00F932AD">
        <w:rPr>
          <w:color w:val="FF0000"/>
        </w:rPr>
        <w:t xml:space="preserve"> </w:t>
      </w:r>
      <w:r w:rsidR="00CB4123">
        <w:t xml:space="preserve">per </w:t>
      </w:r>
      <w:r w:rsidR="004918A8">
        <w:t>DALY</w:t>
      </w:r>
      <w:r w:rsidR="00CB4123">
        <w:t xml:space="preserve"> avoided</w:t>
      </w:r>
      <w:r w:rsidR="008C498D">
        <w:t xml:space="preserve"> compared with the current Program configuration </w:t>
      </w:r>
      <w:r w:rsidR="00BB7AF1">
        <w:t>(commencing screening at age 50)</w:t>
      </w:r>
      <w:r w:rsidR="00CB4123">
        <w:t>.</w:t>
      </w:r>
      <w:bookmarkStart w:id="186" w:name="_Ref67563348"/>
      <w:r w:rsidR="00A65B0E">
        <w:t xml:space="preserve"> However, because this </w:t>
      </w:r>
      <w:r w:rsidR="003E788B">
        <w:t>analysis</w:t>
      </w:r>
      <w:r w:rsidR="00A65B0E">
        <w:t xml:space="preserve"> was </w:t>
      </w:r>
      <w:r w:rsidR="003E788B">
        <w:t>conducted</w:t>
      </w:r>
      <w:r w:rsidR="00A65B0E">
        <w:t xml:space="preserve"> from a societal </w:t>
      </w:r>
      <w:r w:rsidR="002D4D72">
        <w:t>perspectiv</w:t>
      </w:r>
      <w:r w:rsidR="003E788B">
        <w:t>e</w:t>
      </w:r>
      <w:r w:rsidR="00A65B0E">
        <w:t xml:space="preserve">, </w:t>
      </w:r>
      <w:r w:rsidR="003E788B">
        <w:t xml:space="preserve">not all cost-savings accrue directly to the </w:t>
      </w:r>
      <w:r w:rsidR="009E6453">
        <w:t>healthcare system</w:t>
      </w:r>
      <w:r w:rsidR="003E788B">
        <w:t>.</w:t>
      </w:r>
    </w:p>
    <w:p w14:paraId="7CC41F8A" w14:textId="2BD31ADB" w:rsidR="0054586C" w:rsidRDefault="008B26AD" w:rsidP="00370873">
      <w:r>
        <w:t>Across the three age scenarios assessed (50 to 74, 45 to 74 and 40 to 74), commencing screening at age 40, was the least cost-effective scenario</w:t>
      </w:r>
      <w:r w:rsidR="00392174">
        <w:t>, when evaluated f</w:t>
      </w:r>
      <w:r w:rsidR="00582F73">
        <w:t>ro</w:t>
      </w:r>
      <w:r w:rsidR="00392174">
        <w:t>m a societal perspective.</w:t>
      </w:r>
    </w:p>
    <w:p w14:paraId="4B5595E6" w14:textId="6B143AB9" w:rsidR="00CB4123" w:rsidRDefault="00370873" w:rsidP="00370873">
      <w:pPr>
        <w:pStyle w:val="CaptionTable"/>
      </w:pPr>
      <w:bookmarkStart w:id="187" w:name="_Ref77780274"/>
      <w:r>
        <w:t xml:space="preserve">: </w:t>
      </w:r>
      <w:r w:rsidR="00CB4123">
        <w:t xml:space="preserve">Summary of base-case CEA results; </w:t>
      </w:r>
      <w:r w:rsidR="00652A31">
        <w:t>societal</w:t>
      </w:r>
      <w:r w:rsidR="00CB4123">
        <w:t xml:space="preserve"> perspective</w:t>
      </w:r>
      <w:bookmarkEnd w:id="186"/>
      <w:bookmarkEnd w:id="187"/>
    </w:p>
    <w:tbl>
      <w:tblPr>
        <w:tblStyle w:val="Deloittetable"/>
        <w:tblW w:w="0" w:type="auto"/>
        <w:tblLook w:val="04A0" w:firstRow="1" w:lastRow="0" w:firstColumn="1" w:lastColumn="0" w:noHBand="0" w:noVBand="1"/>
      </w:tblPr>
      <w:tblGrid>
        <w:gridCol w:w="1680"/>
        <w:gridCol w:w="1467"/>
        <w:gridCol w:w="1468"/>
        <w:gridCol w:w="1467"/>
        <w:gridCol w:w="1468"/>
        <w:gridCol w:w="1466"/>
      </w:tblGrid>
      <w:tr w:rsidR="00407E69" w:rsidRPr="00AD10DC" w14:paraId="0DB1EA7F" w14:textId="77777777" w:rsidTr="00AD10DC">
        <w:trPr>
          <w:cnfStyle w:val="100000000000" w:firstRow="1" w:lastRow="0" w:firstColumn="0" w:lastColumn="0" w:oddVBand="0" w:evenVBand="0" w:oddHBand="0" w:evenHBand="0" w:firstRowFirstColumn="0" w:firstRowLastColumn="0" w:lastRowFirstColumn="0" w:lastRowLastColumn="0"/>
          <w:tblHeader/>
        </w:trPr>
        <w:tc>
          <w:tcPr>
            <w:tcW w:w="1683" w:type="dxa"/>
          </w:tcPr>
          <w:p w14:paraId="0B1B0DAA" w14:textId="77777777" w:rsidR="00407E69" w:rsidRPr="00AD10DC" w:rsidRDefault="00407E69" w:rsidP="00AD10DC">
            <w:r w:rsidRPr="00AD10DC">
              <w:t>Scenario</w:t>
            </w:r>
          </w:p>
        </w:tc>
        <w:tc>
          <w:tcPr>
            <w:tcW w:w="1468" w:type="dxa"/>
          </w:tcPr>
          <w:p w14:paraId="27E7E7E2" w14:textId="40D8C47E" w:rsidR="00407E69" w:rsidRPr="00AD10DC" w:rsidRDefault="00407E69" w:rsidP="00AD10DC">
            <w:r w:rsidRPr="00AD10DC">
              <w:t xml:space="preserve">Reduction in </w:t>
            </w:r>
            <w:r w:rsidR="004F3D3F" w:rsidRPr="00AD10DC">
              <w:t xml:space="preserve">cancer </w:t>
            </w:r>
            <w:proofErr w:type="spellStart"/>
            <w:r w:rsidRPr="00AD10DC">
              <w:t>incidencea</w:t>
            </w:r>
            <w:proofErr w:type="spellEnd"/>
          </w:p>
        </w:tc>
        <w:tc>
          <w:tcPr>
            <w:tcW w:w="1469" w:type="dxa"/>
          </w:tcPr>
          <w:p w14:paraId="06B79AA1" w14:textId="77777777" w:rsidR="00407E69" w:rsidRPr="00AD10DC" w:rsidRDefault="00407E69" w:rsidP="00AD10DC">
            <w:r w:rsidRPr="00AD10DC">
              <w:t xml:space="preserve">Reduction in </w:t>
            </w:r>
            <w:proofErr w:type="spellStart"/>
            <w:r w:rsidRPr="00AD10DC">
              <w:t>deathsa</w:t>
            </w:r>
            <w:proofErr w:type="spellEnd"/>
          </w:p>
        </w:tc>
        <w:tc>
          <w:tcPr>
            <w:tcW w:w="1468" w:type="dxa"/>
          </w:tcPr>
          <w:p w14:paraId="4CB3B794" w14:textId="77777777" w:rsidR="00407E69" w:rsidRPr="00AD10DC" w:rsidRDefault="00407E69" w:rsidP="00AD10DC">
            <w:r w:rsidRPr="00AD10DC">
              <w:t>Discounted costs per person</w:t>
            </w:r>
          </w:p>
        </w:tc>
        <w:tc>
          <w:tcPr>
            <w:tcW w:w="1469" w:type="dxa"/>
          </w:tcPr>
          <w:p w14:paraId="25967F3C" w14:textId="77777777" w:rsidR="00407E69" w:rsidRPr="00AD10DC" w:rsidRDefault="00407E69" w:rsidP="00AD10DC">
            <w:r w:rsidRPr="00AD10DC">
              <w:t>Discounted DALY per person</w:t>
            </w:r>
          </w:p>
        </w:tc>
        <w:tc>
          <w:tcPr>
            <w:tcW w:w="1469" w:type="dxa"/>
          </w:tcPr>
          <w:p w14:paraId="199BEBCE" w14:textId="77777777" w:rsidR="00407E69" w:rsidRPr="00AD10DC" w:rsidRDefault="00407E69" w:rsidP="00AD10DC">
            <w:proofErr w:type="spellStart"/>
            <w:r w:rsidRPr="00AD10DC">
              <w:t>ICERa</w:t>
            </w:r>
            <w:proofErr w:type="spellEnd"/>
          </w:p>
        </w:tc>
      </w:tr>
      <w:tr w:rsidR="00407E69" w14:paraId="39AFDFB4" w14:textId="77777777" w:rsidTr="00431770">
        <w:tc>
          <w:tcPr>
            <w:tcW w:w="1683" w:type="dxa"/>
          </w:tcPr>
          <w:p w14:paraId="7D7DC780" w14:textId="3AC5562F" w:rsidR="00407E69" w:rsidRDefault="00407E69" w:rsidP="0067520B">
            <w:pPr>
              <w:spacing w:after="0"/>
            </w:pPr>
            <w:r>
              <w:t>No</w:t>
            </w:r>
            <w:r w:rsidR="00BC64C4">
              <w:t xml:space="preserve"> </w:t>
            </w:r>
            <w:r>
              <w:t>screening</w:t>
            </w:r>
          </w:p>
        </w:tc>
        <w:tc>
          <w:tcPr>
            <w:tcW w:w="1468" w:type="dxa"/>
          </w:tcPr>
          <w:p w14:paraId="5D5B70A2" w14:textId="7BA865FF" w:rsidR="00407E69" w:rsidRDefault="004B40F3" w:rsidP="0067520B">
            <w:pPr>
              <w:spacing w:after="0"/>
              <w:jc w:val="right"/>
            </w:pPr>
            <w:r>
              <w:t>-</w:t>
            </w:r>
          </w:p>
        </w:tc>
        <w:tc>
          <w:tcPr>
            <w:tcW w:w="1469" w:type="dxa"/>
          </w:tcPr>
          <w:p w14:paraId="17FCEFDD" w14:textId="065DE179" w:rsidR="00407E69" w:rsidRDefault="004B40F3" w:rsidP="0067520B">
            <w:pPr>
              <w:spacing w:after="0"/>
              <w:jc w:val="right"/>
            </w:pPr>
            <w:r>
              <w:t>-</w:t>
            </w:r>
          </w:p>
        </w:tc>
        <w:tc>
          <w:tcPr>
            <w:tcW w:w="1468" w:type="dxa"/>
          </w:tcPr>
          <w:p w14:paraId="5D8AB22C" w14:textId="47326630" w:rsidR="00407E69" w:rsidRDefault="003D6794" w:rsidP="0067520B">
            <w:pPr>
              <w:spacing w:after="0"/>
              <w:jc w:val="right"/>
            </w:pPr>
            <w:r>
              <w:t>$3,042</w:t>
            </w:r>
          </w:p>
        </w:tc>
        <w:tc>
          <w:tcPr>
            <w:tcW w:w="1469" w:type="dxa"/>
          </w:tcPr>
          <w:p w14:paraId="2CE2275D" w14:textId="2A2D7CA1" w:rsidR="00407E69" w:rsidRDefault="00407E69" w:rsidP="0067520B">
            <w:pPr>
              <w:spacing w:after="0"/>
              <w:jc w:val="right"/>
            </w:pPr>
            <w:r>
              <w:t>1.</w:t>
            </w:r>
            <w:r w:rsidR="003D6794">
              <w:t>60</w:t>
            </w:r>
          </w:p>
        </w:tc>
        <w:tc>
          <w:tcPr>
            <w:tcW w:w="1469" w:type="dxa"/>
          </w:tcPr>
          <w:p w14:paraId="7B0CEB68" w14:textId="16EA4602" w:rsidR="00407E69" w:rsidRDefault="00407E69" w:rsidP="0067520B">
            <w:pPr>
              <w:spacing w:after="0"/>
              <w:jc w:val="right"/>
            </w:pPr>
            <w:r>
              <w:t>-</w:t>
            </w:r>
          </w:p>
        </w:tc>
      </w:tr>
      <w:tr w:rsidR="00407E69" w14:paraId="71ACD3F0" w14:textId="77777777" w:rsidTr="005267B2">
        <w:tc>
          <w:tcPr>
            <w:tcW w:w="1683" w:type="dxa"/>
          </w:tcPr>
          <w:p w14:paraId="2B25DE06" w14:textId="38ABDE3A" w:rsidR="00407E69" w:rsidRDefault="00407E69" w:rsidP="0067520B">
            <w:pPr>
              <w:spacing w:after="0"/>
            </w:pPr>
            <w:r>
              <w:t xml:space="preserve">Biennial screening for 50 to </w:t>
            </w:r>
            <w:r w:rsidR="00FE6281">
              <w:t xml:space="preserve">74 </w:t>
            </w:r>
            <w:r>
              <w:t>years</w:t>
            </w:r>
          </w:p>
        </w:tc>
        <w:tc>
          <w:tcPr>
            <w:tcW w:w="1468" w:type="dxa"/>
          </w:tcPr>
          <w:p w14:paraId="66C359A7" w14:textId="77777777" w:rsidR="00407E69" w:rsidRDefault="00407E69" w:rsidP="0067520B">
            <w:pPr>
              <w:spacing w:after="0"/>
              <w:jc w:val="right"/>
            </w:pPr>
            <w:r>
              <w:t>-39.6%</w:t>
            </w:r>
          </w:p>
        </w:tc>
        <w:tc>
          <w:tcPr>
            <w:tcW w:w="1469" w:type="dxa"/>
            <w:tcBorders>
              <w:bottom w:val="single" w:sz="4" w:space="0" w:color="000000" w:themeColor="text1"/>
            </w:tcBorders>
          </w:tcPr>
          <w:p w14:paraId="6F5354D3" w14:textId="77777777" w:rsidR="00407E69" w:rsidRDefault="00407E69" w:rsidP="0067520B">
            <w:pPr>
              <w:spacing w:after="0"/>
              <w:jc w:val="right"/>
            </w:pPr>
            <w:r>
              <w:t>-46.7%</w:t>
            </w:r>
          </w:p>
        </w:tc>
        <w:tc>
          <w:tcPr>
            <w:tcW w:w="1468" w:type="dxa"/>
            <w:tcBorders>
              <w:bottom w:val="single" w:sz="4" w:space="0" w:color="000000" w:themeColor="text1"/>
            </w:tcBorders>
          </w:tcPr>
          <w:p w14:paraId="6AEA17D7" w14:textId="348C7758" w:rsidR="00407E69" w:rsidRDefault="003D6794" w:rsidP="0067520B">
            <w:pPr>
              <w:spacing w:after="0"/>
              <w:jc w:val="right"/>
            </w:pPr>
            <w:r>
              <w:t>$3,111</w:t>
            </w:r>
          </w:p>
        </w:tc>
        <w:tc>
          <w:tcPr>
            <w:tcW w:w="1469" w:type="dxa"/>
            <w:tcBorders>
              <w:bottom w:val="single" w:sz="4" w:space="0" w:color="000000" w:themeColor="text1"/>
            </w:tcBorders>
          </w:tcPr>
          <w:p w14:paraId="31A1703E" w14:textId="269988E2" w:rsidR="00407E69" w:rsidRDefault="003D6794" w:rsidP="0067520B">
            <w:pPr>
              <w:spacing w:after="0"/>
              <w:jc w:val="right"/>
            </w:pPr>
            <w:r>
              <w:t>1.5</w:t>
            </w:r>
            <w:r w:rsidR="003817E7">
              <w:t>7</w:t>
            </w:r>
          </w:p>
        </w:tc>
        <w:tc>
          <w:tcPr>
            <w:tcW w:w="1469" w:type="dxa"/>
            <w:tcBorders>
              <w:bottom w:val="single" w:sz="4" w:space="0" w:color="000000" w:themeColor="text1"/>
            </w:tcBorders>
          </w:tcPr>
          <w:p w14:paraId="195BCBF9" w14:textId="0FCDEE5E" w:rsidR="00407E69" w:rsidRDefault="003D6794" w:rsidP="0067520B">
            <w:pPr>
              <w:spacing w:after="0"/>
              <w:jc w:val="right"/>
            </w:pPr>
            <w:r>
              <w:t>$1,931</w:t>
            </w:r>
          </w:p>
        </w:tc>
      </w:tr>
      <w:tr w:rsidR="00407E69" w14:paraId="13164435" w14:textId="77777777" w:rsidTr="005267B2">
        <w:tc>
          <w:tcPr>
            <w:tcW w:w="1683" w:type="dxa"/>
          </w:tcPr>
          <w:p w14:paraId="0E4B9F24" w14:textId="34792333" w:rsidR="00407E69" w:rsidRDefault="00407E69" w:rsidP="0067520B">
            <w:pPr>
              <w:spacing w:after="0"/>
            </w:pPr>
            <w:r>
              <w:t xml:space="preserve">Biennial screening for 45 to </w:t>
            </w:r>
            <w:r w:rsidR="00FE6281">
              <w:t xml:space="preserve">74 </w:t>
            </w:r>
            <w:r>
              <w:t>years</w:t>
            </w:r>
          </w:p>
        </w:tc>
        <w:tc>
          <w:tcPr>
            <w:tcW w:w="1468" w:type="dxa"/>
          </w:tcPr>
          <w:p w14:paraId="0624F2C9" w14:textId="77777777" w:rsidR="00407E69" w:rsidRDefault="00407E69" w:rsidP="0067520B">
            <w:pPr>
              <w:spacing w:after="0"/>
              <w:jc w:val="right"/>
            </w:pPr>
            <w:r>
              <w:t>-41.4%</w:t>
            </w:r>
          </w:p>
        </w:tc>
        <w:tc>
          <w:tcPr>
            <w:tcW w:w="1469" w:type="dxa"/>
            <w:tcBorders>
              <w:top w:val="single" w:sz="4" w:space="0" w:color="000000" w:themeColor="text1"/>
              <w:bottom w:val="single" w:sz="4" w:space="0" w:color="000000" w:themeColor="text1"/>
            </w:tcBorders>
          </w:tcPr>
          <w:p w14:paraId="5282C02A" w14:textId="77777777" w:rsidR="00407E69" w:rsidRDefault="00407E69" w:rsidP="0067520B">
            <w:pPr>
              <w:spacing w:after="0"/>
              <w:jc w:val="right"/>
            </w:pPr>
            <w:r>
              <w:t>-48.6%</w:t>
            </w:r>
          </w:p>
        </w:tc>
        <w:tc>
          <w:tcPr>
            <w:tcW w:w="1468" w:type="dxa"/>
            <w:tcBorders>
              <w:top w:val="single" w:sz="4" w:space="0" w:color="000000" w:themeColor="text1"/>
              <w:bottom w:val="single" w:sz="4" w:space="0" w:color="000000" w:themeColor="text1"/>
            </w:tcBorders>
          </w:tcPr>
          <w:p w14:paraId="7D12FF78" w14:textId="6A3E3B5A" w:rsidR="00407E69" w:rsidRDefault="003D6794" w:rsidP="0067520B">
            <w:pPr>
              <w:spacing w:after="0"/>
              <w:jc w:val="right"/>
            </w:pPr>
            <w:r>
              <w:t>$3,100</w:t>
            </w:r>
          </w:p>
        </w:tc>
        <w:tc>
          <w:tcPr>
            <w:tcW w:w="1469" w:type="dxa"/>
            <w:tcBorders>
              <w:top w:val="single" w:sz="4" w:space="0" w:color="000000" w:themeColor="text1"/>
              <w:bottom w:val="single" w:sz="4" w:space="0" w:color="000000" w:themeColor="text1"/>
            </w:tcBorders>
          </w:tcPr>
          <w:p w14:paraId="5CDF943B" w14:textId="6B250EA1" w:rsidR="00407E69" w:rsidRDefault="003D6794" w:rsidP="0067520B">
            <w:pPr>
              <w:spacing w:after="0"/>
              <w:jc w:val="right"/>
            </w:pPr>
            <w:r>
              <w:t>1.56</w:t>
            </w:r>
          </w:p>
        </w:tc>
        <w:tc>
          <w:tcPr>
            <w:tcW w:w="1469" w:type="dxa"/>
            <w:tcBorders>
              <w:top w:val="single" w:sz="4" w:space="0" w:color="000000" w:themeColor="text1"/>
              <w:bottom w:val="single" w:sz="4" w:space="0" w:color="000000" w:themeColor="text1"/>
            </w:tcBorders>
          </w:tcPr>
          <w:p w14:paraId="08467C2B" w14:textId="3FFB9E2B" w:rsidR="00407E69" w:rsidRDefault="003D6794" w:rsidP="0067520B">
            <w:pPr>
              <w:spacing w:after="0"/>
              <w:jc w:val="right"/>
            </w:pPr>
            <w:bookmarkStart w:id="188" w:name="_Hlk70515058"/>
            <w:r>
              <w:t>$1,381</w:t>
            </w:r>
            <w:bookmarkEnd w:id="188"/>
          </w:p>
        </w:tc>
      </w:tr>
      <w:tr w:rsidR="004B40F3" w14:paraId="01A32935" w14:textId="77777777" w:rsidTr="005267B2">
        <w:tc>
          <w:tcPr>
            <w:tcW w:w="1683" w:type="dxa"/>
          </w:tcPr>
          <w:p w14:paraId="0C1E2A9B" w14:textId="03D41EA6" w:rsidR="004B40F3" w:rsidRDefault="004B40F3" w:rsidP="004B40F3">
            <w:pPr>
              <w:spacing w:after="0"/>
            </w:pPr>
            <w:r>
              <w:t>Biennial screening for 40 to 74 years</w:t>
            </w:r>
          </w:p>
        </w:tc>
        <w:tc>
          <w:tcPr>
            <w:tcW w:w="1468" w:type="dxa"/>
          </w:tcPr>
          <w:p w14:paraId="7C5520CC" w14:textId="4DCAA247" w:rsidR="004B40F3" w:rsidRDefault="004B40F3" w:rsidP="004B40F3">
            <w:pPr>
              <w:spacing w:after="0"/>
              <w:jc w:val="right"/>
            </w:pPr>
            <w:r>
              <w:t>-41.7%</w:t>
            </w:r>
          </w:p>
        </w:tc>
        <w:tc>
          <w:tcPr>
            <w:tcW w:w="1469" w:type="dxa"/>
            <w:tcBorders>
              <w:top w:val="single" w:sz="4" w:space="0" w:color="000000" w:themeColor="text1"/>
              <w:bottom w:val="single" w:sz="4" w:space="0" w:color="000000" w:themeColor="text1"/>
            </w:tcBorders>
          </w:tcPr>
          <w:p w14:paraId="68D81D8E" w14:textId="11722312" w:rsidR="004B40F3" w:rsidRDefault="004B40F3" w:rsidP="004B40F3">
            <w:pPr>
              <w:spacing w:after="0"/>
              <w:jc w:val="right"/>
            </w:pPr>
            <w:r>
              <w:t>-48.8%</w:t>
            </w:r>
          </w:p>
        </w:tc>
        <w:tc>
          <w:tcPr>
            <w:tcW w:w="1468" w:type="dxa"/>
            <w:tcBorders>
              <w:top w:val="single" w:sz="4" w:space="0" w:color="000000" w:themeColor="text1"/>
              <w:bottom w:val="single" w:sz="4" w:space="0" w:color="000000" w:themeColor="text1"/>
            </w:tcBorders>
          </w:tcPr>
          <w:p w14:paraId="45F2BCB5" w14:textId="1B7ABAC4" w:rsidR="004B40F3" w:rsidRDefault="004B40F3" w:rsidP="004B40F3">
            <w:pPr>
              <w:spacing w:after="0"/>
              <w:jc w:val="right"/>
            </w:pPr>
            <w:r>
              <w:t>$3,1</w:t>
            </w:r>
            <w:r w:rsidR="007112D0">
              <w:t>3</w:t>
            </w:r>
            <w:r w:rsidR="00A71693">
              <w:t>1</w:t>
            </w:r>
          </w:p>
        </w:tc>
        <w:tc>
          <w:tcPr>
            <w:tcW w:w="1469" w:type="dxa"/>
            <w:tcBorders>
              <w:top w:val="single" w:sz="4" w:space="0" w:color="000000" w:themeColor="text1"/>
              <w:bottom w:val="single" w:sz="4" w:space="0" w:color="000000" w:themeColor="text1"/>
            </w:tcBorders>
          </w:tcPr>
          <w:p w14:paraId="0C3E49B8" w14:textId="6643566D" w:rsidR="004B40F3" w:rsidRDefault="004B40F3" w:rsidP="004B40F3">
            <w:pPr>
              <w:spacing w:after="0"/>
              <w:jc w:val="right"/>
            </w:pPr>
            <w:r>
              <w:t>1.5</w:t>
            </w:r>
            <w:r w:rsidR="007112D0">
              <w:t>6</w:t>
            </w:r>
          </w:p>
        </w:tc>
        <w:tc>
          <w:tcPr>
            <w:tcW w:w="1469" w:type="dxa"/>
            <w:tcBorders>
              <w:top w:val="single" w:sz="4" w:space="0" w:color="000000" w:themeColor="text1"/>
              <w:bottom w:val="single" w:sz="4" w:space="0" w:color="000000" w:themeColor="text1"/>
            </w:tcBorders>
          </w:tcPr>
          <w:p w14:paraId="4C9EC2C7" w14:textId="4C06A87F" w:rsidR="004B40F3" w:rsidRDefault="004B40F3" w:rsidP="004B40F3">
            <w:pPr>
              <w:spacing w:after="0"/>
              <w:jc w:val="right"/>
            </w:pPr>
            <w:r>
              <w:t>$</w:t>
            </w:r>
            <w:r w:rsidR="00F771BB">
              <w:t>2,</w:t>
            </w:r>
            <w:r w:rsidR="00A71693">
              <w:t>012</w:t>
            </w:r>
          </w:p>
        </w:tc>
      </w:tr>
    </w:tbl>
    <w:p w14:paraId="2AD06A71" w14:textId="3F881115" w:rsidR="00407E69" w:rsidRPr="00407E69" w:rsidRDefault="00407E69" w:rsidP="000F06D0">
      <w:pPr>
        <w:pStyle w:val="Source"/>
        <w:spacing w:after="0"/>
      </w:pPr>
      <w:r w:rsidRPr="00407E69">
        <w:t>Notes: (a) Variables are estimates compared to the no</w:t>
      </w:r>
      <w:r w:rsidR="007E638D">
        <w:t xml:space="preserve"> </w:t>
      </w:r>
      <w:r w:rsidRPr="00407E69">
        <w:t>screening scenario</w:t>
      </w:r>
      <w:r w:rsidR="009E0FB2">
        <w:t>.</w:t>
      </w:r>
    </w:p>
    <w:p w14:paraId="322AE4EC" w14:textId="50765D50" w:rsidR="00407E69" w:rsidRDefault="00407E69" w:rsidP="00607337">
      <w:pPr>
        <w:pStyle w:val="Source"/>
      </w:pPr>
      <w:r w:rsidRPr="00407E69">
        <w:t>Source: Deloitte Access Economics analysis</w:t>
      </w:r>
      <w:r w:rsidR="009E0FB2">
        <w:t>.</w:t>
      </w:r>
    </w:p>
    <w:p w14:paraId="17C4993F" w14:textId="27574CE9" w:rsidR="00A71693" w:rsidRDefault="00A71693" w:rsidP="00A71693">
      <w:pPr>
        <w:pStyle w:val="CaptionChart"/>
      </w:pPr>
      <w:r>
        <w:lastRenderedPageBreak/>
        <w:t>: ICER plane of CEA results; societal perspective</w:t>
      </w:r>
      <w:r w:rsidRPr="00222F69">
        <w:t xml:space="preserve"> </w:t>
      </w:r>
    </w:p>
    <w:p w14:paraId="6C37B6D0" w14:textId="1F58F309" w:rsidR="00A71693" w:rsidRDefault="00A71693" w:rsidP="00A71693">
      <w:pPr>
        <w:pStyle w:val="CaptionChart"/>
        <w:numPr>
          <w:ilvl w:val="0"/>
          <w:numId w:val="0"/>
        </w:numPr>
      </w:pPr>
      <w:r w:rsidRPr="00A71693">
        <w:rPr>
          <w:noProof/>
        </w:rPr>
        <w:drawing>
          <wp:inline distT="0" distB="0" distL="0" distR="0" wp14:anchorId="0E709EA2" wp14:editId="57E0BD61">
            <wp:extent cx="5731510" cy="2606040"/>
            <wp:effectExtent l="0" t="0" r="0" b="0"/>
            <wp:docPr id="16" name="Picture 16" descr="ICER plane of CEA resorts, from a societal persp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CER plane of CEA resorts, from a societal perspectiv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31510" cy="2606040"/>
                    </a:xfrm>
                    <a:prstGeom prst="rect">
                      <a:avLst/>
                    </a:prstGeom>
                    <a:noFill/>
                    <a:ln>
                      <a:noFill/>
                    </a:ln>
                  </pic:spPr>
                </pic:pic>
              </a:graphicData>
            </a:graphic>
          </wp:inline>
        </w:drawing>
      </w:r>
      <w:r w:rsidRPr="00BC275F">
        <w:t xml:space="preserve"> </w:t>
      </w:r>
    </w:p>
    <w:p w14:paraId="67E6AE96" w14:textId="663176F9" w:rsidR="00A71693" w:rsidRPr="00101F1D" w:rsidRDefault="00A71693">
      <w:pPr>
        <w:pStyle w:val="Source"/>
      </w:pPr>
      <w:r w:rsidRPr="008515D3">
        <w:t>Source: Deloitte Access Economics analysis</w:t>
      </w:r>
      <w:r>
        <w:t>.</w:t>
      </w:r>
    </w:p>
    <w:p w14:paraId="7A22AABE" w14:textId="2E58E219" w:rsidR="008C729C" w:rsidRPr="00BA6BF3" w:rsidRDefault="008C729C" w:rsidP="008C729C">
      <w:pPr>
        <w:pStyle w:val="Heading3"/>
      </w:pPr>
      <w:r w:rsidRPr="00BA6BF3">
        <w:t>Scenario analysis</w:t>
      </w:r>
    </w:p>
    <w:p w14:paraId="1EFD46EB" w14:textId="77777777" w:rsidR="008C729C" w:rsidRDefault="008C729C" w:rsidP="008C729C">
      <w:r>
        <w:t>This section explores the change to the ICER results under the following scenarios:</w:t>
      </w:r>
    </w:p>
    <w:p w14:paraId="46EDEC22" w14:textId="1306CC15" w:rsidR="00134C19" w:rsidRDefault="00134C19" w:rsidP="00134C19">
      <w:pPr>
        <w:pStyle w:val="ListParagraph"/>
        <w:numPr>
          <w:ilvl w:val="0"/>
          <w:numId w:val="23"/>
        </w:numPr>
      </w:pPr>
      <w:r>
        <w:t>adjusting the perspective of the model to consider a narrower set of benefits that accrue only to the healthcare system (</w:t>
      </w:r>
      <w:proofErr w:type="gramStart"/>
      <w:r>
        <w:t>i.e.</w:t>
      </w:r>
      <w:proofErr w:type="gramEnd"/>
      <w:r>
        <w:t xml:space="preserve"> a healthcare system perspective) </w:t>
      </w:r>
    </w:p>
    <w:p w14:paraId="75965DA4" w14:textId="0CAC3EB2" w:rsidR="008C729C" w:rsidRDefault="008C729C" w:rsidP="00886E63">
      <w:pPr>
        <w:pStyle w:val="ListParagraph"/>
        <w:numPr>
          <w:ilvl w:val="0"/>
          <w:numId w:val="23"/>
        </w:numPr>
      </w:pPr>
      <w:r>
        <w:t>an increase in the participation rate to 60 per cent across all age brackets</w:t>
      </w:r>
    </w:p>
    <w:p w14:paraId="2493463B" w14:textId="06D003DF" w:rsidR="008C729C" w:rsidRDefault="008C729C" w:rsidP="00886E63">
      <w:pPr>
        <w:pStyle w:val="ListParagraph"/>
        <w:numPr>
          <w:ilvl w:val="0"/>
          <w:numId w:val="23"/>
        </w:numPr>
      </w:pPr>
      <w:r>
        <w:t xml:space="preserve">an increase in the diagnostic assessment rate following a positive </w:t>
      </w:r>
      <w:proofErr w:type="spellStart"/>
      <w:r>
        <w:t>iFOBT</w:t>
      </w:r>
      <w:proofErr w:type="spellEnd"/>
      <w:r>
        <w:t xml:space="preserve"> to 90 per cent across all age brackets</w:t>
      </w:r>
      <w:r w:rsidR="00134C19">
        <w:t>.</w:t>
      </w:r>
    </w:p>
    <w:p w14:paraId="3CC273F0" w14:textId="77777777" w:rsidR="00134C19" w:rsidRPr="00975948" w:rsidRDefault="00134C19" w:rsidP="00134C19">
      <w:pPr>
        <w:keepNext/>
        <w:keepLines/>
        <w:tabs>
          <w:tab w:val="left" w:pos="340"/>
        </w:tabs>
        <w:spacing w:after="0"/>
        <w:outlineLvl w:val="3"/>
        <w:rPr>
          <w:rFonts w:eastAsiaTheme="majorEastAsia" w:cstheme="majorBidi"/>
          <w:b/>
          <w:bCs/>
          <w:iCs/>
          <w:color w:val="012169" w:themeColor="accent4"/>
        </w:rPr>
      </w:pPr>
      <w:r>
        <w:rPr>
          <w:rFonts w:eastAsiaTheme="majorEastAsia" w:cstheme="majorBidi"/>
          <w:b/>
          <w:bCs/>
          <w:iCs/>
          <w:color w:val="012169" w:themeColor="accent4"/>
        </w:rPr>
        <w:t xml:space="preserve">When a </w:t>
      </w:r>
      <w:r w:rsidDel="00A90720">
        <w:rPr>
          <w:rFonts w:eastAsiaTheme="majorEastAsia" w:cstheme="majorBidi"/>
          <w:b/>
          <w:color w:val="012169" w:themeColor="accent4"/>
        </w:rPr>
        <w:t>healthcare system perspective</w:t>
      </w:r>
      <w:r>
        <w:rPr>
          <w:rFonts w:eastAsiaTheme="majorEastAsia" w:cstheme="majorBidi"/>
          <w:b/>
          <w:bCs/>
          <w:iCs/>
          <w:color w:val="012169" w:themeColor="accent4"/>
        </w:rPr>
        <w:t xml:space="preserve"> is adopted, the model estimates that lowering the starting screening age to 45 is </w:t>
      </w:r>
      <w:r w:rsidRPr="00C10095">
        <w:rPr>
          <w:rFonts w:eastAsiaTheme="majorEastAsia" w:cstheme="majorBidi"/>
          <w:b/>
          <w:bCs/>
          <w:i/>
          <w:color w:val="012169" w:themeColor="accent4"/>
        </w:rPr>
        <w:t>less</w:t>
      </w:r>
      <w:r>
        <w:rPr>
          <w:rFonts w:eastAsiaTheme="majorEastAsia" w:cstheme="majorBidi"/>
          <w:b/>
          <w:bCs/>
          <w:iCs/>
          <w:color w:val="012169" w:themeColor="accent4"/>
        </w:rPr>
        <w:t xml:space="preserve"> cost-effective than starting screening at age 50.  </w:t>
      </w:r>
    </w:p>
    <w:p w14:paraId="0AE6921C" w14:textId="2617D796" w:rsidR="00134C19" w:rsidRDefault="00134C19" w:rsidP="00134C19">
      <w:r>
        <w:t>When compared to the no screening scenario, adopting a narrower healthcare system perspective increases the ICER for biennial screening of those aged 50 to 74 to $</w:t>
      </w:r>
      <w:r w:rsidR="00B37421">
        <w:t>8,992</w:t>
      </w:r>
      <w:r w:rsidRPr="008753E9">
        <w:rPr>
          <w:color w:val="FF0000"/>
        </w:rPr>
        <w:t xml:space="preserve"> </w:t>
      </w:r>
      <w:r>
        <w:t>per DALY avoided, from $</w:t>
      </w:r>
      <w:r w:rsidR="00B37421" w:rsidRPr="00B37421">
        <w:t>1,</w:t>
      </w:r>
      <w:r w:rsidR="00B37421" w:rsidRPr="002D61B2">
        <w:rPr>
          <w:color w:val="000000" w:themeColor="text1"/>
        </w:rPr>
        <w:t>931</w:t>
      </w:r>
      <w:r w:rsidRPr="002D61B2">
        <w:rPr>
          <w:color w:val="000000" w:themeColor="text1"/>
        </w:rPr>
        <w:t xml:space="preserve"> </w:t>
      </w:r>
      <w:r w:rsidR="002D61B2" w:rsidRPr="002D61B2">
        <w:rPr>
          <w:color w:val="000000" w:themeColor="text1"/>
        </w:rPr>
        <w:t xml:space="preserve">per DALY avoided </w:t>
      </w:r>
      <w:r w:rsidRPr="002D61B2">
        <w:rPr>
          <w:color w:val="000000" w:themeColor="text1"/>
        </w:rPr>
        <w:t xml:space="preserve">when using </w:t>
      </w:r>
      <w:r>
        <w:t xml:space="preserve">a societal perspective. In other words, when the economic modelling perspective is narrowed to remove cost-savings not accruing by the healthcare system, the cost-effectiveness of the Program decreases. </w:t>
      </w:r>
    </w:p>
    <w:p w14:paraId="4A80006E" w14:textId="0DB3CACD" w:rsidR="00134C19" w:rsidRDefault="00134C19" w:rsidP="00134C19">
      <w:r>
        <w:t>When the model is adjusted to lower the starting screening age to 45</w:t>
      </w:r>
      <w:r w:rsidR="00391327">
        <w:t xml:space="preserve"> and 40</w:t>
      </w:r>
      <w:r>
        <w:t>, under a healthcare system perspective, the results show commencing screening at age 45</w:t>
      </w:r>
      <w:r w:rsidR="00391327">
        <w:t xml:space="preserve"> and 40</w:t>
      </w:r>
      <w:r>
        <w:t xml:space="preserve"> is </w:t>
      </w:r>
      <w:r w:rsidRPr="0077347D">
        <w:rPr>
          <w:i/>
          <w:iCs/>
        </w:rPr>
        <w:t>less</w:t>
      </w:r>
      <w:r w:rsidRPr="0077347D">
        <w:rPr>
          <w:i/>
        </w:rPr>
        <w:t xml:space="preserve"> </w:t>
      </w:r>
      <w:r>
        <w:t>cost-effective than starting screening at 50 (an ICER of $</w:t>
      </w:r>
      <w:r w:rsidR="00C025D3" w:rsidRPr="00C025D3">
        <w:t>9,</w:t>
      </w:r>
      <w:r w:rsidR="00C025D3" w:rsidRPr="003B04B7">
        <w:t>936</w:t>
      </w:r>
      <w:r w:rsidRPr="000F06D0">
        <w:t xml:space="preserve"> </w:t>
      </w:r>
      <w:r w:rsidR="00391327" w:rsidRPr="000F06D0">
        <w:t xml:space="preserve">and $12,021 </w:t>
      </w:r>
      <w:r w:rsidRPr="003B04B7">
        <w:t xml:space="preserve">per </w:t>
      </w:r>
      <w:r>
        <w:t>DALY avoided</w:t>
      </w:r>
      <w:r w:rsidR="00101F1D">
        <w:t>,</w:t>
      </w:r>
      <w:r>
        <w:t xml:space="preserve"> </w:t>
      </w:r>
      <w:r w:rsidR="00391327">
        <w:t>respectively</w:t>
      </w:r>
      <w:r w:rsidR="00101F1D">
        <w:t>,</w:t>
      </w:r>
      <w:r w:rsidR="00391327">
        <w:t xml:space="preserve"> </w:t>
      </w:r>
      <w:r>
        <w:t>versus $</w:t>
      </w:r>
      <w:r w:rsidR="005B08F3" w:rsidRPr="005B08F3">
        <w:t>8,992</w:t>
      </w:r>
      <w:r w:rsidRPr="0076559F">
        <w:rPr>
          <w:color w:val="FF0000"/>
        </w:rPr>
        <w:t xml:space="preserve"> </w:t>
      </w:r>
      <w:r>
        <w:t xml:space="preserve">per DALY avoided, </w:t>
      </w:r>
      <w:r w:rsidR="00101F1D">
        <w:t xml:space="preserve">when compared with no screening, </w:t>
      </w:r>
      <w:r>
        <w:t xml:space="preserve">respectively). These findings are consistent with Lew et al.’s 2018 economic modelling conducted from a healthcare system perspective, which found that commencing </w:t>
      </w:r>
      <w:r w:rsidR="00EE7FDE">
        <w:t>screening</w:t>
      </w:r>
      <w:r>
        <w:t xml:space="preserve"> at age </w:t>
      </w:r>
      <w:r w:rsidR="00767582">
        <w:t>45</w:t>
      </w:r>
      <w:r w:rsidR="00391327">
        <w:t xml:space="preserve"> and 40</w:t>
      </w:r>
      <w:r>
        <w:t xml:space="preserve"> is </w:t>
      </w:r>
      <w:r w:rsidR="00767582">
        <w:t>less</w:t>
      </w:r>
      <w:r>
        <w:t xml:space="preserve"> cost</w:t>
      </w:r>
      <w:r w:rsidR="00955808">
        <w:t>-</w:t>
      </w:r>
      <w:r>
        <w:t xml:space="preserve">effective than commencing </w:t>
      </w:r>
      <w:r w:rsidR="00EE7FDE">
        <w:t xml:space="preserve">screening </w:t>
      </w:r>
      <w:r>
        <w:t xml:space="preserve">at age </w:t>
      </w:r>
      <w:r w:rsidR="00391327">
        <w:t>50</w:t>
      </w:r>
      <w:r>
        <w:t>.</w:t>
      </w:r>
      <w:r>
        <w:rPr>
          <w:rStyle w:val="EndnoteReference"/>
        </w:rPr>
        <w:endnoteReference w:id="96"/>
      </w:r>
    </w:p>
    <w:p w14:paraId="2B9D6802" w14:textId="7458B7D9" w:rsidR="00134C19" w:rsidRDefault="00134C19" w:rsidP="00134C19">
      <w:pPr>
        <w:pStyle w:val="CaptionTable"/>
      </w:pPr>
      <w:r>
        <w:lastRenderedPageBreak/>
        <w:t>: Summary of CEA results; healthcare system perspective</w:t>
      </w:r>
    </w:p>
    <w:tbl>
      <w:tblPr>
        <w:tblStyle w:val="Deloittetable"/>
        <w:tblW w:w="8981" w:type="dxa"/>
        <w:tblLook w:val="04A0" w:firstRow="1" w:lastRow="0" w:firstColumn="1" w:lastColumn="0" w:noHBand="0" w:noVBand="1"/>
      </w:tblPr>
      <w:tblGrid>
        <w:gridCol w:w="1305"/>
        <w:gridCol w:w="1601"/>
        <w:gridCol w:w="1511"/>
        <w:gridCol w:w="1680"/>
        <w:gridCol w:w="1680"/>
        <w:gridCol w:w="1204"/>
      </w:tblGrid>
      <w:tr w:rsidR="00F771BB" w:rsidRPr="00AD10DC" w14:paraId="312A513F" w14:textId="77777777" w:rsidTr="00AD10DC">
        <w:trPr>
          <w:cnfStyle w:val="100000000000" w:firstRow="1" w:lastRow="0" w:firstColumn="0" w:lastColumn="0" w:oddVBand="0" w:evenVBand="0" w:oddHBand="0" w:evenHBand="0" w:firstRowFirstColumn="0" w:firstRowLastColumn="0" w:lastRowFirstColumn="0" w:lastRowLastColumn="0"/>
          <w:cantSplit/>
          <w:trHeight w:val="20"/>
          <w:tblHeader/>
        </w:trPr>
        <w:tc>
          <w:tcPr>
            <w:tcW w:w="0" w:type="dxa"/>
          </w:tcPr>
          <w:p w14:paraId="3DF598D7" w14:textId="77777777" w:rsidR="00F771BB" w:rsidRPr="00AD10DC" w:rsidRDefault="00F771BB" w:rsidP="00AD10DC">
            <w:r w:rsidRPr="00AD10DC">
              <w:t>Scenario</w:t>
            </w:r>
          </w:p>
        </w:tc>
        <w:tc>
          <w:tcPr>
            <w:tcW w:w="0" w:type="dxa"/>
          </w:tcPr>
          <w:p w14:paraId="11F5375E" w14:textId="77777777" w:rsidR="00F771BB" w:rsidRPr="00AD10DC" w:rsidRDefault="00F771BB" w:rsidP="00AD10DC">
            <w:r w:rsidRPr="00AD10DC">
              <w:t xml:space="preserve">Reduction in cancer </w:t>
            </w:r>
            <w:proofErr w:type="spellStart"/>
            <w:r w:rsidRPr="00AD10DC">
              <w:t>incidencea</w:t>
            </w:r>
            <w:proofErr w:type="spellEnd"/>
          </w:p>
        </w:tc>
        <w:tc>
          <w:tcPr>
            <w:tcW w:w="0" w:type="dxa"/>
          </w:tcPr>
          <w:p w14:paraId="0759BAAA" w14:textId="77777777" w:rsidR="00F771BB" w:rsidRPr="00AD10DC" w:rsidRDefault="00F771BB" w:rsidP="00AD10DC">
            <w:r w:rsidRPr="00AD10DC">
              <w:t xml:space="preserve">Reduction in </w:t>
            </w:r>
            <w:proofErr w:type="spellStart"/>
            <w:r w:rsidRPr="00AD10DC">
              <w:t>deathsa</w:t>
            </w:r>
            <w:proofErr w:type="spellEnd"/>
          </w:p>
        </w:tc>
        <w:tc>
          <w:tcPr>
            <w:tcW w:w="0" w:type="dxa"/>
          </w:tcPr>
          <w:p w14:paraId="185AB100" w14:textId="77777777" w:rsidR="00F771BB" w:rsidRPr="00AD10DC" w:rsidRDefault="00F771BB" w:rsidP="00AD10DC">
            <w:r w:rsidRPr="00AD10DC">
              <w:t>Discounted costs per person</w:t>
            </w:r>
          </w:p>
        </w:tc>
        <w:tc>
          <w:tcPr>
            <w:tcW w:w="0" w:type="dxa"/>
          </w:tcPr>
          <w:p w14:paraId="6A450B0A" w14:textId="77777777" w:rsidR="00F771BB" w:rsidRPr="00AD10DC" w:rsidRDefault="00F771BB" w:rsidP="00AD10DC">
            <w:r w:rsidRPr="00AD10DC">
              <w:t>Discounted DALY per person</w:t>
            </w:r>
          </w:p>
        </w:tc>
        <w:tc>
          <w:tcPr>
            <w:tcW w:w="0" w:type="dxa"/>
          </w:tcPr>
          <w:p w14:paraId="75C567C1" w14:textId="77777777" w:rsidR="00F771BB" w:rsidRPr="00AD10DC" w:rsidRDefault="00F771BB" w:rsidP="00AD10DC">
            <w:r w:rsidRPr="00AD10DC">
              <w:t>ICER(a)</w:t>
            </w:r>
          </w:p>
        </w:tc>
      </w:tr>
      <w:tr w:rsidR="00F771BB" w14:paraId="4B0F1F96" w14:textId="77777777" w:rsidTr="000F06D0">
        <w:trPr>
          <w:cantSplit/>
          <w:trHeight w:val="20"/>
        </w:trPr>
        <w:tc>
          <w:tcPr>
            <w:tcW w:w="0" w:type="dxa"/>
          </w:tcPr>
          <w:p w14:paraId="3F7BBAB9" w14:textId="77777777" w:rsidR="00F771BB" w:rsidRDefault="00F771BB" w:rsidP="000F06D0">
            <w:pPr>
              <w:keepNext/>
              <w:spacing w:after="0"/>
            </w:pPr>
            <w:r>
              <w:t>No screening</w:t>
            </w:r>
          </w:p>
        </w:tc>
        <w:tc>
          <w:tcPr>
            <w:tcW w:w="0" w:type="dxa"/>
          </w:tcPr>
          <w:p w14:paraId="08B72713" w14:textId="77777777" w:rsidR="00F771BB" w:rsidRDefault="00F771BB" w:rsidP="000F06D0">
            <w:pPr>
              <w:keepNext/>
              <w:spacing w:after="0"/>
              <w:jc w:val="right"/>
            </w:pPr>
            <w:r>
              <w:t>-</w:t>
            </w:r>
          </w:p>
        </w:tc>
        <w:tc>
          <w:tcPr>
            <w:tcW w:w="0" w:type="dxa"/>
          </w:tcPr>
          <w:p w14:paraId="7562AB89" w14:textId="77777777" w:rsidR="00F771BB" w:rsidRDefault="00F771BB" w:rsidP="000F06D0">
            <w:pPr>
              <w:keepNext/>
              <w:spacing w:after="0"/>
              <w:jc w:val="right"/>
            </w:pPr>
            <w:r>
              <w:t>-</w:t>
            </w:r>
          </w:p>
        </w:tc>
        <w:tc>
          <w:tcPr>
            <w:tcW w:w="0" w:type="dxa"/>
          </w:tcPr>
          <w:p w14:paraId="655BAA57" w14:textId="77777777" w:rsidR="00F771BB" w:rsidRDefault="00F771BB" w:rsidP="000F06D0">
            <w:pPr>
              <w:keepNext/>
              <w:spacing w:after="0"/>
              <w:jc w:val="right"/>
            </w:pPr>
            <w:r>
              <w:t>$1,257</w:t>
            </w:r>
          </w:p>
        </w:tc>
        <w:tc>
          <w:tcPr>
            <w:tcW w:w="0" w:type="dxa"/>
          </w:tcPr>
          <w:p w14:paraId="08A2CA50" w14:textId="77777777" w:rsidR="00F771BB" w:rsidRDefault="00F771BB" w:rsidP="000F06D0">
            <w:pPr>
              <w:keepNext/>
              <w:spacing w:after="0"/>
              <w:jc w:val="right"/>
            </w:pPr>
            <w:r>
              <w:t>1.60</w:t>
            </w:r>
          </w:p>
        </w:tc>
        <w:tc>
          <w:tcPr>
            <w:tcW w:w="0" w:type="dxa"/>
          </w:tcPr>
          <w:p w14:paraId="68381875" w14:textId="77777777" w:rsidR="00F771BB" w:rsidRDefault="00F771BB" w:rsidP="000F06D0">
            <w:pPr>
              <w:keepNext/>
              <w:spacing w:after="0"/>
              <w:jc w:val="right"/>
            </w:pPr>
            <w:r>
              <w:t>-</w:t>
            </w:r>
          </w:p>
        </w:tc>
      </w:tr>
      <w:tr w:rsidR="00F771BB" w14:paraId="7C307EA6" w14:textId="77777777" w:rsidTr="000F06D0">
        <w:trPr>
          <w:cantSplit/>
          <w:trHeight w:val="20"/>
        </w:trPr>
        <w:tc>
          <w:tcPr>
            <w:tcW w:w="0" w:type="dxa"/>
          </w:tcPr>
          <w:p w14:paraId="1E3BAA97" w14:textId="77777777" w:rsidR="00F771BB" w:rsidRDefault="00F771BB" w:rsidP="000F06D0">
            <w:pPr>
              <w:keepNext/>
              <w:spacing w:after="0"/>
            </w:pPr>
            <w:r>
              <w:t>Biennial screening for 50 to 74 years</w:t>
            </w:r>
          </w:p>
        </w:tc>
        <w:tc>
          <w:tcPr>
            <w:tcW w:w="0" w:type="dxa"/>
          </w:tcPr>
          <w:p w14:paraId="720C2850" w14:textId="77777777" w:rsidR="00F771BB" w:rsidRDefault="00F771BB" w:rsidP="000F06D0">
            <w:pPr>
              <w:keepNext/>
              <w:spacing w:after="0"/>
              <w:jc w:val="right"/>
            </w:pPr>
            <w:r>
              <w:t>-39.6%</w:t>
            </w:r>
          </w:p>
        </w:tc>
        <w:tc>
          <w:tcPr>
            <w:tcW w:w="0" w:type="dxa"/>
          </w:tcPr>
          <w:p w14:paraId="57736D83" w14:textId="77777777" w:rsidR="00F771BB" w:rsidRDefault="00F771BB" w:rsidP="000F06D0">
            <w:pPr>
              <w:keepNext/>
              <w:spacing w:after="0"/>
              <w:jc w:val="right"/>
            </w:pPr>
            <w:r>
              <w:t>-46.7%</w:t>
            </w:r>
          </w:p>
        </w:tc>
        <w:tc>
          <w:tcPr>
            <w:tcW w:w="0" w:type="dxa"/>
          </w:tcPr>
          <w:p w14:paraId="023D1C86" w14:textId="77777777" w:rsidR="00F771BB" w:rsidRPr="00F4272D" w:rsidRDefault="00F771BB" w:rsidP="000F06D0">
            <w:pPr>
              <w:keepNext/>
              <w:spacing w:after="0"/>
              <w:jc w:val="right"/>
              <w:rPr>
                <w:color w:val="FF0000"/>
              </w:rPr>
            </w:pPr>
            <w:r>
              <w:t>$1,574</w:t>
            </w:r>
          </w:p>
        </w:tc>
        <w:tc>
          <w:tcPr>
            <w:tcW w:w="0" w:type="dxa"/>
          </w:tcPr>
          <w:p w14:paraId="7D7C03AA" w14:textId="77777777" w:rsidR="00F771BB" w:rsidRDefault="00F771BB" w:rsidP="000F06D0">
            <w:pPr>
              <w:keepNext/>
              <w:spacing w:after="0"/>
              <w:jc w:val="right"/>
            </w:pPr>
            <w:r>
              <w:t>1.57</w:t>
            </w:r>
          </w:p>
        </w:tc>
        <w:tc>
          <w:tcPr>
            <w:tcW w:w="0" w:type="dxa"/>
          </w:tcPr>
          <w:p w14:paraId="19A57970" w14:textId="77777777" w:rsidR="00F771BB" w:rsidRDefault="00F771BB" w:rsidP="000F06D0">
            <w:pPr>
              <w:keepNext/>
              <w:spacing w:after="0"/>
              <w:jc w:val="right"/>
            </w:pPr>
            <w:r>
              <w:t>$8,992</w:t>
            </w:r>
          </w:p>
        </w:tc>
      </w:tr>
      <w:tr w:rsidR="00F771BB" w14:paraId="2A485F31" w14:textId="77777777" w:rsidTr="000F06D0">
        <w:trPr>
          <w:cantSplit/>
          <w:trHeight w:val="20"/>
        </w:trPr>
        <w:tc>
          <w:tcPr>
            <w:tcW w:w="0" w:type="dxa"/>
          </w:tcPr>
          <w:p w14:paraId="6B7792A6" w14:textId="77777777" w:rsidR="00F771BB" w:rsidRDefault="00F771BB" w:rsidP="000F06D0">
            <w:pPr>
              <w:keepNext/>
              <w:spacing w:after="0"/>
            </w:pPr>
            <w:r>
              <w:t>Biennial screening for 45 to 74 years</w:t>
            </w:r>
          </w:p>
        </w:tc>
        <w:tc>
          <w:tcPr>
            <w:tcW w:w="0" w:type="dxa"/>
          </w:tcPr>
          <w:p w14:paraId="6541DD51" w14:textId="77777777" w:rsidR="00F771BB" w:rsidRDefault="00F771BB" w:rsidP="000F06D0">
            <w:pPr>
              <w:keepNext/>
              <w:spacing w:after="0"/>
              <w:jc w:val="right"/>
            </w:pPr>
            <w:r>
              <w:t>-41.4%</w:t>
            </w:r>
          </w:p>
        </w:tc>
        <w:tc>
          <w:tcPr>
            <w:tcW w:w="0" w:type="dxa"/>
          </w:tcPr>
          <w:p w14:paraId="2AD465BC" w14:textId="77777777" w:rsidR="00F771BB" w:rsidRDefault="00F771BB" w:rsidP="000F06D0">
            <w:pPr>
              <w:keepNext/>
              <w:spacing w:after="0"/>
              <w:jc w:val="right"/>
            </w:pPr>
            <w:r>
              <w:t>-48.6%</w:t>
            </w:r>
          </w:p>
        </w:tc>
        <w:tc>
          <w:tcPr>
            <w:tcW w:w="0" w:type="dxa"/>
          </w:tcPr>
          <w:p w14:paraId="314FBA0F" w14:textId="77777777" w:rsidR="00F771BB" w:rsidRPr="00F4272D" w:rsidRDefault="00F771BB" w:rsidP="000F06D0">
            <w:pPr>
              <w:keepNext/>
              <w:spacing w:after="0"/>
              <w:jc w:val="right"/>
              <w:rPr>
                <w:color w:val="FF0000"/>
              </w:rPr>
            </w:pPr>
            <w:r>
              <w:t>$1,674</w:t>
            </w:r>
          </w:p>
        </w:tc>
        <w:tc>
          <w:tcPr>
            <w:tcW w:w="0" w:type="dxa"/>
          </w:tcPr>
          <w:p w14:paraId="5AA1A657" w14:textId="77777777" w:rsidR="00F771BB" w:rsidRDefault="00F771BB" w:rsidP="000F06D0">
            <w:pPr>
              <w:keepNext/>
              <w:spacing w:after="0"/>
              <w:jc w:val="right"/>
            </w:pPr>
            <w:r>
              <w:t>1.56</w:t>
            </w:r>
          </w:p>
        </w:tc>
        <w:tc>
          <w:tcPr>
            <w:tcW w:w="0" w:type="dxa"/>
          </w:tcPr>
          <w:p w14:paraId="06775018" w14:textId="77777777" w:rsidR="00F771BB" w:rsidRDefault="00F771BB" w:rsidP="000F06D0">
            <w:pPr>
              <w:keepNext/>
              <w:spacing w:after="0"/>
              <w:jc w:val="right"/>
            </w:pPr>
            <w:r>
              <w:t>$9,936</w:t>
            </w:r>
          </w:p>
        </w:tc>
      </w:tr>
      <w:tr w:rsidR="00F771BB" w14:paraId="5D263290" w14:textId="77777777" w:rsidTr="000F06D0">
        <w:trPr>
          <w:cantSplit/>
          <w:trHeight w:val="20"/>
        </w:trPr>
        <w:tc>
          <w:tcPr>
            <w:tcW w:w="0" w:type="dxa"/>
          </w:tcPr>
          <w:p w14:paraId="23C11273" w14:textId="1C14C4B3" w:rsidR="00F771BB" w:rsidRDefault="00F771BB" w:rsidP="000F06D0">
            <w:pPr>
              <w:keepNext/>
              <w:spacing w:after="0"/>
            </w:pPr>
            <w:r>
              <w:t>Biennial screening for 40 to 74 years</w:t>
            </w:r>
          </w:p>
        </w:tc>
        <w:tc>
          <w:tcPr>
            <w:tcW w:w="0" w:type="dxa"/>
          </w:tcPr>
          <w:p w14:paraId="40ED8F48" w14:textId="63CAD15B" w:rsidR="00F771BB" w:rsidRDefault="00F771BB" w:rsidP="000F06D0">
            <w:pPr>
              <w:keepNext/>
              <w:spacing w:after="0"/>
              <w:jc w:val="right"/>
            </w:pPr>
            <w:r>
              <w:t>-41.7%</w:t>
            </w:r>
          </w:p>
        </w:tc>
        <w:tc>
          <w:tcPr>
            <w:tcW w:w="0" w:type="dxa"/>
          </w:tcPr>
          <w:p w14:paraId="749E9E43" w14:textId="76CE7116" w:rsidR="00F771BB" w:rsidRDefault="00F771BB" w:rsidP="000F06D0">
            <w:pPr>
              <w:keepNext/>
              <w:spacing w:after="0"/>
              <w:jc w:val="right"/>
            </w:pPr>
            <w:r>
              <w:t>-48.8%</w:t>
            </w:r>
          </w:p>
        </w:tc>
        <w:tc>
          <w:tcPr>
            <w:tcW w:w="0" w:type="dxa"/>
          </w:tcPr>
          <w:p w14:paraId="042A59C5" w14:textId="3FA863BD" w:rsidR="00F771BB" w:rsidRDefault="00F771BB" w:rsidP="000F06D0">
            <w:pPr>
              <w:keepNext/>
              <w:spacing w:after="0"/>
              <w:jc w:val="right"/>
            </w:pPr>
            <w:r>
              <w:t>$1,7</w:t>
            </w:r>
            <w:r w:rsidR="007112D0">
              <w:t>8</w:t>
            </w:r>
            <w:r>
              <w:t>9</w:t>
            </w:r>
          </w:p>
        </w:tc>
        <w:tc>
          <w:tcPr>
            <w:tcW w:w="0" w:type="dxa"/>
          </w:tcPr>
          <w:p w14:paraId="67C27D8E" w14:textId="3F6DF139" w:rsidR="00F771BB" w:rsidRDefault="00F771BB" w:rsidP="000F06D0">
            <w:pPr>
              <w:keepNext/>
              <w:spacing w:after="0"/>
              <w:jc w:val="right"/>
            </w:pPr>
            <w:r>
              <w:t>1.5</w:t>
            </w:r>
            <w:r w:rsidR="007112D0">
              <w:t>6</w:t>
            </w:r>
          </w:p>
        </w:tc>
        <w:tc>
          <w:tcPr>
            <w:tcW w:w="0" w:type="dxa"/>
          </w:tcPr>
          <w:p w14:paraId="2B57AA1F" w14:textId="01351294" w:rsidR="00F771BB" w:rsidRDefault="00F771BB" w:rsidP="000F06D0">
            <w:pPr>
              <w:keepNext/>
              <w:spacing w:after="0"/>
              <w:jc w:val="right"/>
            </w:pPr>
            <w:r>
              <w:t>$12,021</w:t>
            </w:r>
          </w:p>
        </w:tc>
      </w:tr>
    </w:tbl>
    <w:p w14:paraId="105D9D18" w14:textId="77777777" w:rsidR="00134C19" w:rsidRDefault="00134C19" w:rsidP="000F06D0">
      <w:pPr>
        <w:pStyle w:val="Source"/>
        <w:keepNext/>
        <w:spacing w:after="0"/>
      </w:pPr>
      <w:r>
        <w:t>Notes: (a) Variables are estimates compared to the no screening scenario.</w:t>
      </w:r>
    </w:p>
    <w:p w14:paraId="32B74AEF" w14:textId="39472F44" w:rsidR="00134C19" w:rsidRDefault="00134C19" w:rsidP="00607337">
      <w:pPr>
        <w:pStyle w:val="Source"/>
      </w:pPr>
      <w:r w:rsidRPr="008515D3">
        <w:t>Source: Deloitte Access Economics analysis</w:t>
      </w:r>
      <w:r>
        <w:t>.</w:t>
      </w:r>
    </w:p>
    <w:p w14:paraId="76BE21B7" w14:textId="6C21E087" w:rsidR="00760079" w:rsidRDefault="00760079" w:rsidP="00760079">
      <w:pPr>
        <w:pStyle w:val="CaptionChart"/>
      </w:pPr>
      <w:r>
        <w:t xml:space="preserve">: ICER plane of CEA results; </w:t>
      </w:r>
      <w:r w:rsidR="00A71693">
        <w:t>health</w:t>
      </w:r>
      <w:r w:rsidR="00680B1A">
        <w:t xml:space="preserve">care system </w:t>
      </w:r>
      <w:r>
        <w:t>perspective</w:t>
      </w:r>
      <w:r w:rsidRPr="00222F69">
        <w:t xml:space="preserve"> </w:t>
      </w:r>
    </w:p>
    <w:p w14:paraId="772062C9" w14:textId="2D343C09" w:rsidR="00760079" w:rsidRDefault="003B04B7" w:rsidP="00760079">
      <w:pPr>
        <w:pStyle w:val="CaptionChart"/>
        <w:numPr>
          <w:ilvl w:val="0"/>
          <w:numId w:val="0"/>
        </w:numPr>
      </w:pPr>
      <w:r w:rsidRPr="003B04B7">
        <w:rPr>
          <w:noProof/>
        </w:rPr>
        <w:drawing>
          <wp:inline distT="0" distB="0" distL="0" distR="0" wp14:anchorId="27CF3916" wp14:editId="4DFC5818">
            <wp:extent cx="5731510" cy="2684145"/>
            <wp:effectExtent l="0" t="0" r="0" b="0"/>
            <wp:docPr id="22" name="Picture 22" descr="ICER plane of CEA results from a healthcare system persp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CER plane of CEA results from a healthcare system perspectiv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31510" cy="2684145"/>
                    </a:xfrm>
                    <a:prstGeom prst="rect">
                      <a:avLst/>
                    </a:prstGeom>
                    <a:noFill/>
                    <a:ln>
                      <a:noFill/>
                    </a:ln>
                  </pic:spPr>
                </pic:pic>
              </a:graphicData>
            </a:graphic>
          </wp:inline>
        </w:drawing>
      </w:r>
      <w:r w:rsidR="00760079" w:rsidRPr="00BC275F">
        <w:t xml:space="preserve"> </w:t>
      </w:r>
    </w:p>
    <w:p w14:paraId="519B5FA5" w14:textId="340AE4B9" w:rsidR="003B04B7" w:rsidRDefault="003B04B7" w:rsidP="00760079">
      <w:pPr>
        <w:pStyle w:val="Source"/>
      </w:pPr>
      <w:r>
        <w:t xml:space="preserve">Notes: Participation rates are weighted average participation rates across the simulation. They are weighted by population size at each age. </w:t>
      </w:r>
    </w:p>
    <w:p w14:paraId="7AED2555" w14:textId="3A8FB0A0" w:rsidR="00760079" w:rsidRPr="003B04B7" w:rsidRDefault="00760079">
      <w:pPr>
        <w:pStyle w:val="Source"/>
      </w:pPr>
      <w:r w:rsidRPr="008515D3">
        <w:t>Source: Deloitte Access Economics analysis</w:t>
      </w:r>
      <w:r>
        <w:t>.</w:t>
      </w:r>
    </w:p>
    <w:p w14:paraId="09024019" w14:textId="797904BA" w:rsidR="00276C53" w:rsidRPr="009E06D0" w:rsidRDefault="004C744F" w:rsidP="009E06D0">
      <w:pPr>
        <w:keepNext/>
        <w:keepLines/>
        <w:tabs>
          <w:tab w:val="left" w:pos="340"/>
        </w:tabs>
        <w:spacing w:after="0"/>
        <w:outlineLvl w:val="3"/>
        <w:rPr>
          <w:color w:val="012169" w:themeColor="accent4"/>
        </w:rPr>
      </w:pPr>
      <w:r>
        <w:rPr>
          <w:rFonts w:eastAsiaTheme="majorEastAsia" w:cstheme="majorBidi"/>
          <w:b/>
          <w:bCs/>
          <w:iCs/>
          <w:color w:val="012169" w:themeColor="accent4"/>
        </w:rPr>
        <w:t>I</w:t>
      </w:r>
      <w:r w:rsidR="00BD3A4E">
        <w:rPr>
          <w:rFonts w:eastAsiaTheme="majorEastAsia" w:cstheme="majorBidi"/>
          <w:b/>
          <w:bCs/>
          <w:iCs/>
          <w:color w:val="012169" w:themeColor="accent4"/>
        </w:rPr>
        <w:t xml:space="preserve">ncreasing </w:t>
      </w:r>
      <w:r>
        <w:rPr>
          <w:rFonts w:eastAsiaTheme="majorEastAsia" w:cstheme="majorBidi"/>
          <w:b/>
          <w:bCs/>
          <w:iCs/>
          <w:color w:val="012169" w:themeColor="accent4"/>
        </w:rPr>
        <w:t xml:space="preserve">Program </w:t>
      </w:r>
      <w:r w:rsidR="00BD3A4E">
        <w:rPr>
          <w:rFonts w:eastAsiaTheme="majorEastAsia" w:cstheme="majorBidi"/>
          <w:b/>
          <w:bCs/>
          <w:iCs/>
          <w:color w:val="012169" w:themeColor="accent4"/>
        </w:rPr>
        <w:t xml:space="preserve">participation </w:t>
      </w:r>
      <w:r>
        <w:rPr>
          <w:rFonts w:eastAsiaTheme="majorEastAsia" w:cstheme="majorBidi"/>
          <w:b/>
          <w:bCs/>
          <w:iCs/>
          <w:color w:val="012169" w:themeColor="accent4"/>
        </w:rPr>
        <w:t>c</w:t>
      </w:r>
      <w:r w:rsidR="00333C5B">
        <w:rPr>
          <w:rFonts w:eastAsiaTheme="majorEastAsia" w:cstheme="majorBidi"/>
          <w:b/>
          <w:bCs/>
          <w:iCs/>
          <w:color w:val="012169" w:themeColor="accent4"/>
        </w:rPr>
        <w:t>ould</w:t>
      </w:r>
      <w:r>
        <w:rPr>
          <w:rFonts w:eastAsiaTheme="majorEastAsia" w:cstheme="majorBidi"/>
          <w:b/>
          <w:bCs/>
          <w:iCs/>
          <w:color w:val="012169" w:themeColor="accent4"/>
        </w:rPr>
        <w:t xml:space="preserve"> increase</w:t>
      </w:r>
      <w:r w:rsidR="00BD3A4E">
        <w:rPr>
          <w:rFonts w:eastAsiaTheme="majorEastAsia" w:cstheme="majorBidi"/>
          <w:b/>
          <w:bCs/>
          <w:iCs/>
          <w:color w:val="012169" w:themeColor="accent4"/>
        </w:rPr>
        <w:t xml:space="preserve"> the cost-effectiveness of the Program. </w:t>
      </w:r>
    </w:p>
    <w:p w14:paraId="0234D242" w14:textId="07231F1C" w:rsidR="008C729C" w:rsidRDefault="008C729C" w:rsidP="008C729C">
      <w:r>
        <w:t xml:space="preserve">Participation is a key driver of the cost-effectiveness of the </w:t>
      </w:r>
      <w:r w:rsidR="00C447D0">
        <w:t>P</w:t>
      </w:r>
      <w:r>
        <w:t>rogram. Increasing participation to 60 per cent across all age cohorts</w:t>
      </w:r>
      <w:r w:rsidR="00221203">
        <w:t>, all else being equal,</w:t>
      </w:r>
      <w:r>
        <w:t xml:space="preserve"> is estimated to </w:t>
      </w:r>
      <w:r w:rsidR="00052B02">
        <w:t xml:space="preserve">reduce </w:t>
      </w:r>
      <w:r>
        <w:t>the ICER from $</w:t>
      </w:r>
      <w:r w:rsidR="005B08F3" w:rsidRPr="005B08F3">
        <w:t>1,931</w:t>
      </w:r>
      <w:r w:rsidR="00013265" w:rsidRPr="00013265">
        <w:rPr>
          <w:color w:val="FF0000"/>
        </w:rPr>
        <w:t xml:space="preserve"> </w:t>
      </w:r>
      <w:r>
        <w:t>per DALY avoided (using current participation rates) to $</w:t>
      </w:r>
      <w:r w:rsidR="005B08F3" w:rsidRPr="005B08F3">
        <w:t>1,223</w:t>
      </w:r>
      <w:r w:rsidR="00013265" w:rsidRPr="00013265">
        <w:rPr>
          <w:color w:val="FF0000"/>
        </w:rPr>
        <w:t xml:space="preserve"> </w:t>
      </w:r>
      <w:r>
        <w:t>per DALY avoided</w:t>
      </w:r>
      <w:r w:rsidR="00823694">
        <w:t>, under a societal perspective</w:t>
      </w:r>
      <w:r>
        <w:t>.</w:t>
      </w:r>
      <w:r w:rsidR="00052B02">
        <w:t xml:space="preserve"> </w:t>
      </w:r>
      <w:r w:rsidR="009B1402">
        <w:t>T</w:t>
      </w:r>
      <w:r w:rsidR="00567DC1">
        <w:t xml:space="preserve">he cost required to avoid one DALY is </w:t>
      </w:r>
      <w:r w:rsidR="009B1402">
        <w:t xml:space="preserve">thus </w:t>
      </w:r>
      <w:r w:rsidR="00567DC1">
        <w:t xml:space="preserve">lowered, </w:t>
      </w:r>
      <w:r w:rsidR="00303AF8">
        <w:t>signalling improved</w:t>
      </w:r>
      <w:r w:rsidR="00454212">
        <w:t xml:space="preserve"> cost-effectiveness.</w:t>
      </w:r>
    </w:p>
    <w:p w14:paraId="3AF36A1C" w14:textId="535D8C39" w:rsidR="00DC20BD" w:rsidRPr="00221A65" w:rsidRDefault="00DC20BD" w:rsidP="008C729C">
      <w:r>
        <w:t>However, it should be noted that increasing participation to 60 per cent across all ages is likely to required investment</w:t>
      </w:r>
      <w:r w:rsidR="00781849">
        <w:t xml:space="preserve"> by the Program</w:t>
      </w:r>
      <w:r>
        <w:t>, which has not been modelled.</w:t>
      </w:r>
    </w:p>
    <w:p w14:paraId="3B5BF87A" w14:textId="0E326B91" w:rsidR="008C729C" w:rsidRDefault="008515D3" w:rsidP="008515D3">
      <w:pPr>
        <w:pStyle w:val="CaptionTable"/>
      </w:pPr>
      <w:r>
        <w:lastRenderedPageBreak/>
        <w:t xml:space="preserve">: Summary of CEA results </w:t>
      </w:r>
      <w:r w:rsidR="00C86D1B">
        <w:t>with</w:t>
      </w:r>
      <w:r>
        <w:t xml:space="preserve"> participation of 60 per cent</w:t>
      </w:r>
      <w:r w:rsidR="00F4272D">
        <w:t>; both perspectives</w:t>
      </w:r>
    </w:p>
    <w:tbl>
      <w:tblPr>
        <w:tblStyle w:val="Deloittetable"/>
        <w:tblW w:w="0" w:type="auto"/>
        <w:tblLayout w:type="fixed"/>
        <w:tblLook w:val="04A0" w:firstRow="1" w:lastRow="0" w:firstColumn="1" w:lastColumn="0" w:noHBand="0" w:noVBand="1"/>
      </w:tblPr>
      <w:tblGrid>
        <w:gridCol w:w="1701"/>
        <w:gridCol w:w="1465"/>
        <w:gridCol w:w="1465"/>
        <w:gridCol w:w="1465"/>
        <w:gridCol w:w="1465"/>
        <w:gridCol w:w="1465"/>
      </w:tblGrid>
      <w:tr w:rsidR="008515D3" w:rsidRPr="00AD10DC" w14:paraId="23E47F18" w14:textId="77777777" w:rsidTr="00AD10DC">
        <w:trPr>
          <w:cnfStyle w:val="100000000000" w:firstRow="1" w:lastRow="0" w:firstColumn="0" w:lastColumn="0" w:oddVBand="0" w:evenVBand="0" w:oddHBand="0" w:evenHBand="0" w:firstRowFirstColumn="0" w:firstRowLastColumn="0" w:lastRowFirstColumn="0" w:lastRowLastColumn="0"/>
          <w:tblHeader/>
        </w:trPr>
        <w:tc>
          <w:tcPr>
            <w:tcW w:w="1701" w:type="dxa"/>
            <w:tcBorders>
              <w:bottom w:val="single" w:sz="4" w:space="0" w:color="000000" w:themeColor="text1"/>
            </w:tcBorders>
          </w:tcPr>
          <w:p w14:paraId="14C5BCC4" w14:textId="42AECE72" w:rsidR="008515D3" w:rsidRPr="00AD10DC" w:rsidRDefault="008515D3" w:rsidP="00AD10DC">
            <w:r w:rsidRPr="00AD10DC">
              <w:t>Scenario</w:t>
            </w:r>
          </w:p>
        </w:tc>
        <w:tc>
          <w:tcPr>
            <w:tcW w:w="1465" w:type="dxa"/>
            <w:tcBorders>
              <w:bottom w:val="single" w:sz="4" w:space="0" w:color="000000" w:themeColor="text1"/>
            </w:tcBorders>
          </w:tcPr>
          <w:p w14:paraId="00E756E4" w14:textId="2D8FF37A" w:rsidR="008515D3" w:rsidRPr="00AD10DC" w:rsidRDefault="008515D3" w:rsidP="00AD10DC">
            <w:r w:rsidRPr="00AD10DC">
              <w:t>Reduction in cancer incidence(a)</w:t>
            </w:r>
          </w:p>
        </w:tc>
        <w:tc>
          <w:tcPr>
            <w:tcW w:w="1465" w:type="dxa"/>
            <w:tcBorders>
              <w:bottom w:val="single" w:sz="4" w:space="0" w:color="000000" w:themeColor="text1"/>
            </w:tcBorders>
          </w:tcPr>
          <w:p w14:paraId="45FD1855" w14:textId="69C4CAA4" w:rsidR="008515D3" w:rsidRPr="00AD10DC" w:rsidRDefault="008515D3" w:rsidP="00AD10DC">
            <w:r w:rsidRPr="00AD10DC">
              <w:t>Reduction in deaths(a)</w:t>
            </w:r>
          </w:p>
        </w:tc>
        <w:tc>
          <w:tcPr>
            <w:tcW w:w="1465" w:type="dxa"/>
            <w:tcBorders>
              <w:bottom w:val="single" w:sz="4" w:space="0" w:color="000000" w:themeColor="text1"/>
            </w:tcBorders>
          </w:tcPr>
          <w:p w14:paraId="199B54DE" w14:textId="5B9AD3BF" w:rsidR="008515D3" w:rsidRPr="00AD10DC" w:rsidRDefault="008515D3" w:rsidP="00AD10DC">
            <w:r w:rsidRPr="00AD10DC">
              <w:t>Discounted costs per person</w:t>
            </w:r>
          </w:p>
        </w:tc>
        <w:tc>
          <w:tcPr>
            <w:tcW w:w="1465" w:type="dxa"/>
            <w:tcBorders>
              <w:bottom w:val="single" w:sz="4" w:space="0" w:color="000000" w:themeColor="text1"/>
            </w:tcBorders>
          </w:tcPr>
          <w:p w14:paraId="77137B5F" w14:textId="5DBA1AAE" w:rsidR="008515D3" w:rsidRPr="00AD10DC" w:rsidRDefault="008515D3" w:rsidP="00AD10DC">
            <w:r w:rsidRPr="00AD10DC">
              <w:t>Discounted DALY per person</w:t>
            </w:r>
          </w:p>
        </w:tc>
        <w:tc>
          <w:tcPr>
            <w:tcW w:w="1465" w:type="dxa"/>
            <w:tcBorders>
              <w:bottom w:val="single" w:sz="4" w:space="0" w:color="000000" w:themeColor="text1"/>
            </w:tcBorders>
          </w:tcPr>
          <w:p w14:paraId="4170EA97" w14:textId="479E6C50" w:rsidR="008515D3" w:rsidRPr="00AD10DC" w:rsidRDefault="008515D3" w:rsidP="00AD10DC">
            <w:r w:rsidRPr="00AD10DC">
              <w:t>ICER(a)</w:t>
            </w:r>
          </w:p>
        </w:tc>
      </w:tr>
      <w:tr w:rsidR="00AE4F35" w14:paraId="78D025B4" w14:textId="77777777" w:rsidTr="000D3CE3">
        <w:tc>
          <w:tcPr>
            <w:tcW w:w="9026" w:type="dxa"/>
            <w:gridSpan w:val="6"/>
            <w:tcBorders>
              <w:top w:val="single" w:sz="4" w:space="0" w:color="000000" w:themeColor="text1"/>
              <w:bottom w:val="nil"/>
            </w:tcBorders>
            <w:shd w:val="clear" w:color="auto" w:fill="F2F2F2" w:themeFill="background1" w:themeFillShade="F2"/>
          </w:tcPr>
          <w:p w14:paraId="79CE423D" w14:textId="18EB27E3" w:rsidR="00AE4F35" w:rsidRPr="000D3CE3" w:rsidRDefault="008B3A7D" w:rsidP="0043087A">
            <w:pPr>
              <w:spacing w:after="0"/>
              <w:rPr>
                <w:i/>
                <w:iCs/>
              </w:rPr>
            </w:pPr>
            <w:r w:rsidRPr="000D3CE3">
              <w:rPr>
                <w:i/>
                <w:iCs/>
              </w:rPr>
              <w:t>Societal</w:t>
            </w:r>
            <w:r w:rsidR="00AE4F35" w:rsidRPr="000D3CE3">
              <w:rPr>
                <w:i/>
                <w:iCs/>
              </w:rPr>
              <w:t xml:space="preserve"> perspective</w:t>
            </w:r>
          </w:p>
        </w:tc>
      </w:tr>
      <w:tr w:rsidR="00163B15" w14:paraId="57E77832" w14:textId="77777777" w:rsidTr="000D3CE3">
        <w:tc>
          <w:tcPr>
            <w:tcW w:w="1701" w:type="dxa"/>
            <w:tcBorders>
              <w:top w:val="nil"/>
            </w:tcBorders>
          </w:tcPr>
          <w:p w14:paraId="0F5C9390" w14:textId="6CA6ECEA" w:rsidR="00163B15" w:rsidRDefault="00163B15" w:rsidP="00163B15">
            <w:pPr>
              <w:spacing w:after="0"/>
            </w:pPr>
            <w:r>
              <w:t>No screening (base case)</w:t>
            </w:r>
          </w:p>
        </w:tc>
        <w:tc>
          <w:tcPr>
            <w:tcW w:w="1465" w:type="dxa"/>
            <w:tcBorders>
              <w:top w:val="nil"/>
            </w:tcBorders>
          </w:tcPr>
          <w:p w14:paraId="6D95BA2D" w14:textId="5ADBCD22" w:rsidR="00163B15" w:rsidRDefault="00163B15" w:rsidP="00163B15">
            <w:pPr>
              <w:spacing w:after="0"/>
              <w:jc w:val="right"/>
            </w:pPr>
            <w:r>
              <w:t>-</w:t>
            </w:r>
          </w:p>
        </w:tc>
        <w:tc>
          <w:tcPr>
            <w:tcW w:w="1465" w:type="dxa"/>
            <w:tcBorders>
              <w:top w:val="nil"/>
            </w:tcBorders>
          </w:tcPr>
          <w:p w14:paraId="24143966" w14:textId="3D598292" w:rsidR="00163B15" w:rsidRDefault="00163B15" w:rsidP="00163B15">
            <w:pPr>
              <w:spacing w:after="0"/>
              <w:jc w:val="right"/>
            </w:pPr>
            <w:r>
              <w:t>-</w:t>
            </w:r>
          </w:p>
        </w:tc>
        <w:tc>
          <w:tcPr>
            <w:tcW w:w="1465" w:type="dxa"/>
            <w:tcBorders>
              <w:top w:val="nil"/>
            </w:tcBorders>
          </w:tcPr>
          <w:p w14:paraId="36EACB02" w14:textId="561882E1" w:rsidR="00163B15" w:rsidRDefault="00CA14FB" w:rsidP="00163B15">
            <w:pPr>
              <w:spacing w:after="0"/>
              <w:jc w:val="right"/>
            </w:pPr>
            <w:r>
              <w:t>$3,042</w:t>
            </w:r>
          </w:p>
        </w:tc>
        <w:tc>
          <w:tcPr>
            <w:tcW w:w="1465" w:type="dxa"/>
            <w:tcBorders>
              <w:top w:val="nil"/>
            </w:tcBorders>
          </w:tcPr>
          <w:p w14:paraId="687AD41B" w14:textId="160AA493" w:rsidR="00163B15" w:rsidRDefault="00163B15" w:rsidP="00163B15">
            <w:pPr>
              <w:spacing w:after="0"/>
              <w:jc w:val="right"/>
            </w:pPr>
            <w:r>
              <w:t>1.60</w:t>
            </w:r>
            <w:r w:rsidR="006718AF">
              <w:t>3</w:t>
            </w:r>
          </w:p>
        </w:tc>
        <w:tc>
          <w:tcPr>
            <w:tcW w:w="1465" w:type="dxa"/>
            <w:tcBorders>
              <w:top w:val="nil"/>
            </w:tcBorders>
          </w:tcPr>
          <w:p w14:paraId="4B27FB7B" w14:textId="26BC7E0C" w:rsidR="00163B15" w:rsidRDefault="00163B15" w:rsidP="00163B15">
            <w:pPr>
              <w:spacing w:after="0"/>
              <w:jc w:val="right"/>
            </w:pPr>
            <w:r>
              <w:t>-</w:t>
            </w:r>
          </w:p>
        </w:tc>
      </w:tr>
      <w:tr w:rsidR="00163B15" w14:paraId="1E30881B" w14:textId="77777777" w:rsidTr="006D4FBF">
        <w:tc>
          <w:tcPr>
            <w:tcW w:w="1701" w:type="dxa"/>
            <w:tcBorders>
              <w:bottom w:val="single" w:sz="4" w:space="0" w:color="000000" w:themeColor="text1"/>
            </w:tcBorders>
          </w:tcPr>
          <w:p w14:paraId="5A5C69B4" w14:textId="5B1C03D4" w:rsidR="00163B15" w:rsidRDefault="00163B15" w:rsidP="00163B15">
            <w:pPr>
              <w:spacing w:after="0"/>
            </w:pPr>
            <w:r>
              <w:t>Biennial screening for 50 to 74 years</w:t>
            </w:r>
            <w:r w:rsidDel="001F7E7A">
              <w:t xml:space="preserve"> </w:t>
            </w:r>
          </w:p>
        </w:tc>
        <w:tc>
          <w:tcPr>
            <w:tcW w:w="1465" w:type="dxa"/>
            <w:tcBorders>
              <w:bottom w:val="single" w:sz="4" w:space="0" w:color="000000" w:themeColor="text1"/>
            </w:tcBorders>
          </w:tcPr>
          <w:p w14:paraId="265013E1" w14:textId="5CCBB82D" w:rsidR="00163B15" w:rsidRDefault="00163B15" w:rsidP="00163B15">
            <w:pPr>
              <w:spacing w:after="0"/>
              <w:jc w:val="right"/>
            </w:pPr>
            <w:r>
              <w:t>-48.3%</w:t>
            </w:r>
          </w:p>
        </w:tc>
        <w:tc>
          <w:tcPr>
            <w:tcW w:w="1465" w:type="dxa"/>
            <w:tcBorders>
              <w:bottom w:val="single" w:sz="4" w:space="0" w:color="000000" w:themeColor="text1"/>
            </w:tcBorders>
          </w:tcPr>
          <w:p w14:paraId="69177162" w14:textId="0E65803A" w:rsidR="00163B15" w:rsidRDefault="00163B15" w:rsidP="00163B15">
            <w:pPr>
              <w:spacing w:after="0"/>
              <w:jc w:val="right"/>
            </w:pPr>
            <w:r>
              <w:t>-56.0%</w:t>
            </w:r>
          </w:p>
        </w:tc>
        <w:tc>
          <w:tcPr>
            <w:tcW w:w="1465" w:type="dxa"/>
            <w:tcBorders>
              <w:bottom w:val="single" w:sz="4" w:space="0" w:color="000000" w:themeColor="text1"/>
            </w:tcBorders>
          </w:tcPr>
          <w:p w14:paraId="4365A3DA" w14:textId="2CE2624F" w:rsidR="00163B15" w:rsidRDefault="00CA14FB" w:rsidP="00163B15">
            <w:pPr>
              <w:spacing w:after="0"/>
              <w:jc w:val="right"/>
            </w:pPr>
            <w:r>
              <w:t>$3,098</w:t>
            </w:r>
          </w:p>
        </w:tc>
        <w:tc>
          <w:tcPr>
            <w:tcW w:w="1465" w:type="dxa"/>
            <w:tcBorders>
              <w:bottom w:val="single" w:sz="4" w:space="0" w:color="000000" w:themeColor="text1"/>
            </w:tcBorders>
          </w:tcPr>
          <w:p w14:paraId="2D4BC793" w14:textId="1B07A52B" w:rsidR="00163B15" w:rsidRDefault="00163B15" w:rsidP="00163B15">
            <w:pPr>
              <w:spacing w:after="0"/>
              <w:jc w:val="right"/>
            </w:pPr>
            <w:r>
              <w:t>1.55</w:t>
            </w:r>
            <w:r w:rsidR="00382429">
              <w:t>5</w:t>
            </w:r>
          </w:p>
        </w:tc>
        <w:tc>
          <w:tcPr>
            <w:tcW w:w="1465" w:type="dxa"/>
            <w:tcBorders>
              <w:bottom w:val="single" w:sz="4" w:space="0" w:color="000000" w:themeColor="text1"/>
            </w:tcBorders>
          </w:tcPr>
          <w:p w14:paraId="4F342306" w14:textId="45D25B06" w:rsidR="00163B15" w:rsidRDefault="00CA14FB" w:rsidP="00163B15">
            <w:pPr>
              <w:spacing w:after="0"/>
              <w:jc w:val="right"/>
            </w:pPr>
            <w:r>
              <w:t>$1,223</w:t>
            </w:r>
          </w:p>
        </w:tc>
      </w:tr>
      <w:tr w:rsidR="00D76501" w14:paraId="463B7BA2" w14:textId="77777777" w:rsidTr="006D4FBF">
        <w:tc>
          <w:tcPr>
            <w:tcW w:w="9026" w:type="dxa"/>
            <w:gridSpan w:val="6"/>
            <w:tcBorders>
              <w:top w:val="single" w:sz="4" w:space="0" w:color="000000" w:themeColor="text1"/>
              <w:bottom w:val="nil"/>
            </w:tcBorders>
            <w:shd w:val="clear" w:color="auto" w:fill="F2F2F2" w:themeFill="background1" w:themeFillShade="F2"/>
          </w:tcPr>
          <w:p w14:paraId="0B869CD6" w14:textId="1E4B2EBC" w:rsidR="00D76501" w:rsidRPr="006D4FBF" w:rsidRDefault="00826911" w:rsidP="0043087A">
            <w:pPr>
              <w:spacing w:after="0"/>
              <w:rPr>
                <w:i/>
                <w:iCs/>
              </w:rPr>
            </w:pPr>
            <w:r w:rsidRPr="006D4FBF">
              <w:rPr>
                <w:i/>
                <w:iCs/>
              </w:rPr>
              <w:t>Healthcare payer</w:t>
            </w:r>
            <w:r w:rsidR="00D76501" w:rsidRPr="006D4FBF">
              <w:rPr>
                <w:i/>
                <w:iCs/>
              </w:rPr>
              <w:t xml:space="preserve"> perspective</w:t>
            </w:r>
          </w:p>
        </w:tc>
      </w:tr>
      <w:tr w:rsidR="00D76501" w14:paraId="0CABFADB" w14:textId="77777777" w:rsidTr="006D4FBF">
        <w:tc>
          <w:tcPr>
            <w:tcW w:w="1701" w:type="dxa"/>
            <w:tcBorders>
              <w:top w:val="nil"/>
            </w:tcBorders>
          </w:tcPr>
          <w:p w14:paraId="4A46832E" w14:textId="39264469" w:rsidR="00D76501" w:rsidRDefault="00D76501" w:rsidP="00D76501">
            <w:pPr>
              <w:spacing w:after="0"/>
            </w:pPr>
            <w:r>
              <w:t>No screening (base case)</w:t>
            </w:r>
          </w:p>
        </w:tc>
        <w:tc>
          <w:tcPr>
            <w:tcW w:w="1465" w:type="dxa"/>
            <w:tcBorders>
              <w:top w:val="nil"/>
            </w:tcBorders>
          </w:tcPr>
          <w:p w14:paraId="0E23686F" w14:textId="49B19491" w:rsidR="00D76501" w:rsidRDefault="00D76501" w:rsidP="00D76501">
            <w:pPr>
              <w:spacing w:after="0"/>
              <w:jc w:val="right"/>
            </w:pPr>
            <w:r>
              <w:t>-</w:t>
            </w:r>
          </w:p>
        </w:tc>
        <w:tc>
          <w:tcPr>
            <w:tcW w:w="1465" w:type="dxa"/>
            <w:tcBorders>
              <w:top w:val="nil"/>
            </w:tcBorders>
          </w:tcPr>
          <w:p w14:paraId="7F6A334D" w14:textId="7C92E386" w:rsidR="00D76501" w:rsidRDefault="00D76501" w:rsidP="00D76501">
            <w:pPr>
              <w:spacing w:after="0"/>
              <w:jc w:val="right"/>
            </w:pPr>
            <w:r>
              <w:t>-</w:t>
            </w:r>
          </w:p>
        </w:tc>
        <w:tc>
          <w:tcPr>
            <w:tcW w:w="1465" w:type="dxa"/>
            <w:tcBorders>
              <w:top w:val="nil"/>
            </w:tcBorders>
          </w:tcPr>
          <w:p w14:paraId="283F0E08" w14:textId="124AD2ED" w:rsidR="00D76501" w:rsidRDefault="009C2DFC" w:rsidP="00D76501">
            <w:pPr>
              <w:spacing w:after="0"/>
              <w:jc w:val="right"/>
            </w:pPr>
            <w:r>
              <w:t>$1,257</w:t>
            </w:r>
          </w:p>
        </w:tc>
        <w:tc>
          <w:tcPr>
            <w:tcW w:w="1465" w:type="dxa"/>
            <w:tcBorders>
              <w:top w:val="nil"/>
            </w:tcBorders>
          </w:tcPr>
          <w:p w14:paraId="160A0287" w14:textId="6F0F0E3D" w:rsidR="00D76501" w:rsidRDefault="00D76501" w:rsidP="00D76501">
            <w:pPr>
              <w:spacing w:after="0"/>
              <w:jc w:val="right"/>
            </w:pPr>
            <w:r>
              <w:t>1.603</w:t>
            </w:r>
          </w:p>
        </w:tc>
        <w:tc>
          <w:tcPr>
            <w:tcW w:w="1465" w:type="dxa"/>
            <w:tcBorders>
              <w:top w:val="nil"/>
            </w:tcBorders>
          </w:tcPr>
          <w:p w14:paraId="190FC2AC" w14:textId="7D1619FF" w:rsidR="00D76501" w:rsidRDefault="00D76501" w:rsidP="00D76501">
            <w:pPr>
              <w:spacing w:after="0"/>
              <w:jc w:val="right"/>
            </w:pPr>
            <w:r>
              <w:t>-</w:t>
            </w:r>
          </w:p>
        </w:tc>
      </w:tr>
      <w:tr w:rsidR="00D76501" w14:paraId="27531D73" w14:textId="77777777" w:rsidTr="003A38A4">
        <w:tc>
          <w:tcPr>
            <w:tcW w:w="1701" w:type="dxa"/>
          </w:tcPr>
          <w:p w14:paraId="4EF63F83" w14:textId="477BC671" w:rsidR="00D76501" w:rsidRDefault="00D76501" w:rsidP="00D76501">
            <w:pPr>
              <w:spacing w:after="0"/>
            </w:pPr>
            <w:r>
              <w:t>Biennial screening for 50 to 74 years</w:t>
            </w:r>
            <w:r w:rsidDel="001F7E7A">
              <w:t xml:space="preserve"> </w:t>
            </w:r>
          </w:p>
        </w:tc>
        <w:tc>
          <w:tcPr>
            <w:tcW w:w="1465" w:type="dxa"/>
          </w:tcPr>
          <w:p w14:paraId="57EF5789" w14:textId="7EB13C6D" w:rsidR="00D76501" w:rsidRDefault="00D76501" w:rsidP="00D76501">
            <w:pPr>
              <w:spacing w:after="0"/>
              <w:jc w:val="right"/>
            </w:pPr>
            <w:r>
              <w:t>-48.3%</w:t>
            </w:r>
          </w:p>
        </w:tc>
        <w:tc>
          <w:tcPr>
            <w:tcW w:w="1465" w:type="dxa"/>
          </w:tcPr>
          <w:p w14:paraId="13FDFF89" w14:textId="65D727F0" w:rsidR="00D76501" w:rsidRDefault="00D76501" w:rsidP="00D76501">
            <w:pPr>
              <w:spacing w:after="0"/>
              <w:jc w:val="right"/>
            </w:pPr>
            <w:r>
              <w:t>-56.0%</w:t>
            </w:r>
          </w:p>
        </w:tc>
        <w:tc>
          <w:tcPr>
            <w:tcW w:w="1465" w:type="dxa"/>
          </w:tcPr>
          <w:p w14:paraId="1240D94E" w14:textId="41F6C72B" w:rsidR="00D76501" w:rsidRDefault="009C2DFC" w:rsidP="00D76501">
            <w:pPr>
              <w:spacing w:after="0"/>
              <w:jc w:val="right"/>
            </w:pPr>
            <w:r>
              <w:t>$1,653</w:t>
            </w:r>
          </w:p>
        </w:tc>
        <w:tc>
          <w:tcPr>
            <w:tcW w:w="1465" w:type="dxa"/>
          </w:tcPr>
          <w:p w14:paraId="5CDD3118" w14:textId="44460F26" w:rsidR="00D76501" w:rsidRDefault="00D76501" w:rsidP="00D76501">
            <w:pPr>
              <w:spacing w:after="0"/>
              <w:jc w:val="right"/>
            </w:pPr>
            <w:r>
              <w:t>1.555</w:t>
            </w:r>
          </w:p>
        </w:tc>
        <w:tc>
          <w:tcPr>
            <w:tcW w:w="1465" w:type="dxa"/>
          </w:tcPr>
          <w:p w14:paraId="2CB1428E" w14:textId="37C6A409" w:rsidR="00D76501" w:rsidRDefault="009C2DFC" w:rsidP="00D76501">
            <w:pPr>
              <w:spacing w:after="0"/>
              <w:jc w:val="right"/>
            </w:pPr>
            <w:r>
              <w:t>$8,581</w:t>
            </w:r>
          </w:p>
        </w:tc>
      </w:tr>
    </w:tbl>
    <w:p w14:paraId="58759A98" w14:textId="529E469F" w:rsidR="008515D3" w:rsidRPr="008515D3" w:rsidRDefault="008515D3" w:rsidP="00F678D8">
      <w:pPr>
        <w:pStyle w:val="Source"/>
        <w:spacing w:after="0"/>
      </w:pPr>
      <w:r w:rsidRPr="008515D3">
        <w:t>Notes: (a) Variables are estimates compared to the no</w:t>
      </w:r>
      <w:r w:rsidR="007E638D">
        <w:t xml:space="preserve"> </w:t>
      </w:r>
      <w:r w:rsidRPr="008515D3">
        <w:t>screening scenario</w:t>
      </w:r>
      <w:r w:rsidR="009E0FB2">
        <w:t>.</w:t>
      </w:r>
    </w:p>
    <w:p w14:paraId="32B8AC89" w14:textId="1CCF9E3E" w:rsidR="001B12F6" w:rsidRPr="001B12F6" w:rsidRDefault="008515D3" w:rsidP="00F678D8">
      <w:pPr>
        <w:pStyle w:val="Source"/>
        <w:spacing w:after="120"/>
      </w:pPr>
      <w:r w:rsidRPr="008515D3">
        <w:t>Source: Deloitte Access Economics analysis</w:t>
      </w:r>
      <w:r w:rsidR="009E0FB2">
        <w:t>.</w:t>
      </w:r>
    </w:p>
    <w:p w14:paraId="77741737" w14:textId="44B03656" w:rsidR="00276C53" w:rsidRPr="004C744F" w:rsidRDefault="004C744F" w:rsidP="004C744F">
      <w:pPr>
        <w:keepNext/>
        <w:keepLines/>
        <w:tabs>
          <w:tab w:val="left" w:pos="340"/>
        </w:tabs>
        <w:spacing w:after="0"/>
        <w:outlineLvl w:val="3"/>
        <w:rPr>
          <w:color w:val="012169" w:themeColor="accent4"/>
        </w:rPr>
      </w:pPr>
      <w:r>
        <w:rPr>
          <w:rFonts w:eastAsiaTheme="majorEastAsia" w:cstheme="majorBidi"/>
          <w:b/>
          <w:bCs/>
          <w:iCs/>
          <w:color w:val="012169" w:themeColor="accent4"/>
        </w:rPr>
        <w:t>Increasing the diagnostic assessment rate c</w:t>
      </w:r>
      <w:r w:rsidR="00333C5B">
        <w:rPr>
          <w:rFonts w:eastAsiaTheme="majorEastAsia" w:cstheme="majorBidi"/>
          <w:b/>
          <w:bCs/>
          <w:iCs/>
          <w:color w:val="012169" w:themeColor="accent4"/>
        </w:rPr>
        <w:t xml:space="preserve">ould </w:t>
      </w:r>
      <w:r>
        <w:rPr>
          <w:rFonts w:eastAsiaTheme="majorEastAsia" w:cstheme="majorBidi"/>
          <w:b/>
          <w:bCs/>
          <w:iCs/>
          <w:color w:val="012169" w:themeColor="accent4"/>
        </w:rPr>
        <w:t xml:space="preserve">increase the cost-effectiveness of the Program. </w:t>
      </w:r>
    </w:p>
    <w:p w14:paraId="5C46C175" w14:textId="47A039C6" w:rsidR="00781849" w:rsidRDefault="008515D3" w:rsidP="008515D3">
      <w:r>
        <w:t xml:space="preserve">The diagnostic assessment rate following a positive </w:t>
      </w:r>
      <w:proofErr w:type="spellStart"/>
      <w:r>
        <w:t>iFOBT</w:t>
      </w:r>
      <w:proofErr w:type="spellEnd"/>
      <w:r>
        <w:t xml:space="preserve"> is another key driver of the cost-effectiveness of the Program. Increasing the diagnostic assessment rate to 90 per cent across all age cohorts is estimated to </w:t>
      </w:r>
      <w:r w:rsidR="00097D5D">
        <w:t>reduce</w:t>
      </w:r>
      <w:r>
        <w:t xml:space="preserve"> the ICER from $</w:t>
      </w:r>
      <w:r w:rsidR="001A77CC">
        <w:t>1,931</w:t>
      </w:r>
      <w:r w:rsidR="009B3337" w:rsidRPr="009B3337">
        <w:rPr>
          <w:color w:val="FF0000"/>
        </w:rPr>
        <w:t xml:space="preserve"> </w:t>
      </w:r>
      <w:r>
        <w:t>per DALY avoided (using current diagnostic assessment rates) to $</w:t>
      </w:r>
      <w:r w:rsidR="001A77CC">
        <w:t>1,427</w:t>
      </w:r>
      <w:r w:rsidR="009B3337" w:rsidRPr="009B3337">
        <w:rPr>
          <w:color w:val="FF0000"/>
        </w:rPr>
        <w:t xml:space="preserve"> </w:t>
      </w:r>
      <w:r>
        <w:t>per DALY avoided</w:t>
      </w:r>
      <w:r w:rsidR="001A77CC">
        <w:t>, under a societal perspective. The cost required to avoid one DALY is lowered, signalling improved cost-effectiveness</w:t>
      </w:r>
      <w:r w:rsidR="00513212">
        <w:t xml:space="preserve">. </w:t>
      </w:r>
      <w:r w:rsidR="00781849">
        <w:t>As with participation rates, it should be noted that increasing diagnostic assessment rates across all ages is likely to required investment by the Program, which has not been modelled.</w:t>
      </w:r>
    </w:p>
    <w:p w14:paraId="0055CADD" w14:textId="706339CD" w:rsidR="00F34829" w:rsidRDefault="00D375E1" w:rsidP="00F34829">
      <w:pPr>
        <w:pStyle w:val="CaptionTable"/>
      </w:pPr>
      <w:r>
        <w:t>:</w:t>
      </w:r>
      <w:r w:rsidR="00823694">
        <w:t xml:space="preserve"> </w:t>
      </w:r>
      <w:r w:rsidR="00F34829">
        <w:t xml:space="preserve">Summary of CEA results with diagnostic assessment rate of 90 per cent; </w:t>
      </w:r>
      <w:r w:rsidR="00F4272D">
        <w:t>both</w:t>
      </w:r>
      <w:r w:rsidR="00F34829">
        <w:t xml:space="preserve"> perspective</w:t>
      </w:r>
      <w:r w:rsidR="00F4272D">
        <w:t>s</w:t>
      </w:r>
    </w:p>
    <w:tbl>
      <w:tblPr>
        <w:tblStyle w:val="Deloittetable"/>
        <w:tblW w:w="0" w:type="auto"/>
        <w:tblLayout w:type="fixed"/>
        <w:tblLook w:val="04A0" w:firstRow="1" w:lastRow="0" w:firstColumn="1" w:lastColumn="0" w:noHBand="0" w:noVBand="1"/>
      </w:tblPr>
      <w:tblGrid>
        <w:gridCol w:w="1701"/>
        <w:gridCol w:w="1465"/>
        <w:gridCol w:w="1465"/>
        <w:gridCol w:w="1465"/>
        <w:gridCol w:w="1465"/>
        <w:gridCol w:w="1465"/>
      </w:tblGrid>
      <w:tr w:rsidR="00F34829" w:rsidRPr="00AD10DC" w14:paraId="201D1450" w14:textId="77777777" w:rsidTr="00AD10DC">
        <w:trPr>
          <w:cnfStyle w:val="100000000000" w:firstRow="1" w:lastRow="0" w:firstColumn="0" w:lastColumn="0" w:oddVBand="0" w:evenVBand="0" w:oddHBand="0" w:evenHBand="0" w:firstRowFirstColumn="0" w:firstRowLastColumn="0" w:lastRowFirstColumn="0" w:lastRowLastColumn="0"/>
          <w:tblHeader/>
        </w:trPr>
        <w:tc>
          <w:tcPr>
            <w:tcW w:w="1701" w:type="dxa"/>
            <w:tcBorders>
              <w:bottom w:val="single" w:sz="4" w:space="0" w:color="000000" w:themeColor="text1"/>
            </w:tcBorders>
          </w:tcPr>
          <w:p w14:paraId="7F685A87" w14:textId="77777777" w:rsidR="00F34829" w:rsidRPr="00AD10DC" w:rsidRDefault="00F34829" w:rsidP="00AD10DC">
            <w:r w:rsidRPr="00AD10DC">
              <w:t>Scenario</w:t>
            </w:r>
          </w:p>
        </w:tc>
        <w:tc>
          <w:tcPr>
            <w:tcW w:w="1465" w:type="dxa"/>
            <w:tcBorders>
              <w:bottom w:val="single" w:sz="4" w:space="0" w:color="000000" w:themeColor="text1"/>
            </w:tcBorders>
          </w:tcPr>
          <w:p w14:paraId="6165D93D" w14:textId="77777777" w:rsidR="00F34829" w:rsidRPr="00AD10DC" w:rsidRDefault="00F34829" w:rsidP="00AD10DC">
            <w:r w:rsidRPr="00AD10DC">
              <w:t>Reduction in cancer incidence(a)</w:t>
            </w:r>
          </w:p>
        </w:tc>
        <w:tc>
          <w:tcPr>
            <w:tcW w:w="1465" w:type="dxa"/>
            <w:tcBorders>
              <w:bottom w:val="single" w:sz="4" w:space="0" w:color="000000" w:themeColor="text1"/>
            </w:tcBorders>
          </w:tcPr>
          <w:p w14:paraId="1B4BDE17" w14:textId="77777777" w:rsidR="00F34829" w:rsidRPr="00AD10DC" w:rsidRDefault="00F34829" w:rsidP="00AD10DC">
            <w:r w:rsidRPr="00AD10DC">
              <w:t>Reduction in deaths(a)</w:t>
            </w:r>
          </w:p>
        </w:tc>
        <w:tc>
          <w:tcPr>
            <w:tcW w:w="1465" w:type="dxa"/>
            <w:tcBorders>
              <w:bottom w:val="single" w:sz="4" w:space="0" w:color="000000" w:themeColor="text1"/>
            </w:tcBorders>
          </w:tcPr>
          <w:p w14:paraId="4893E588" w14:textId="77777777" w:rsidR="00F34829" w:rsidRPr="00AD10DC" w:rsidRDefault="00F34829" w:rsidP="00AD10DC">
            <w:r w:rsidRPr="00AD10DC">
              <w:t>Discounted costs per person</w:t>
            </w:r>
          </w:p>
        </w:tc>
        <w:tc>
          <w:tcPr>
            <w:tcW w:w="1465" w:type="dxa"/>
            <w:tcBorders>
              <w:bottom w:val="single" w:sz="4" w:space="0" w:color="000000" w:themeColor="text1"/>
            </w:tcBorders>
          </w:tcPr>
          <w:p w14:paraId="6CD96FB1" w14:textId="77777777" w:rsidR="00F34829" w:rsidRPr="00AD10DC" w:rsidRDefault="00F34829" w:rsidP="00AD10DC">
            <w:r w:rsidRPr="00AD10DC">
              <w:t>Discounted DALY per person</w:t>
            </w:r>
          </w:p>
        </w:tc>
        <w:tc>
          <w:tcPr>
            <w:tcW w:w="1465" w:type="dxa"/>
            <w:tcBorders>
              <w:bottom w:val="single" w:sz="4" w:space="0" w:color="000000" w:themeColor="text1"/>
            </w:tcBorders>
          </w:tcPr>
          <w:p w14:paraId="6C9EB89B" w14:textId="77777777" w:rsidR="00F34829" w:rsidRPr="00AD10DC" w:rsidRDefault="00F34829" w:rsidP="00AD10DC">
            <w:r w:rsidRPr="00AD10DC">
              <w:t>ICER(a)</w:t>
            </w:r>
          </w:p>
        </w:tc>
      </w:tr>
      <w:tr w:rsidR="00F34829" w14:paraId="3192D36E" w14:textId="77777777" w:rsidTr="00D35186">
        <w:tc>
          <w:tcPr>
            <w:tcW w:w="9026" w:type="dxa"/>
            <w:gridSpan w:val="6"/>
            <w:tcBorders>
              <w:top w:val="single" w:sz="4" w:space="0" w:color="000000" w:themeColor="text1"/>
              <w:bottom w:val="nil"/>
            </w:tcBorders>
            <w:shd w:val="clear" w:color="auto" w:fill="F2F2F2" w:themeFill="background1" w:themeFillShade="F2"/>
          </w:tcPr>
          <w:p w14:paraId="580ACE22" w14:textId="28509DC2" w:rsidR="00F34829" w:rsidRPr="00D35186" w:rsidRDefault="00CA14FB" w:rsidP="00B56C94">
            <w:pPr>
              <w:spacing w:after="0"/>
              <w:rPr>
                <w:i/>
                <w:iCs/>
              </w:rPr>
            </w:pPr>
            <w:r w:rsidRPr="00D35186">
              <w:rPr>
                <w:i/>
                <w:iCs/>
              </w:rPr>
              <w:t>Societal</w:t>
            </w:r>
            <w:r w:rsidR="00F34829" w:rsidRPr="00D35186">
              <w:rPr>
                <w:i/>
                <w:iCs/>
              </w:rPr>
              <w:t xml:space="preserve"> perspective</w:t>
            </w:r>
          </w:p>
        </w:tc>
      </w:tr>
      <w:tr w:rsidR="00F34829" w14:paraId="23710AF8" w14:textId="77777777" w:rsidTr="00D35186">
        <w:tc>
          <w:tcPr>
            <w:tcW w:w="1701" w:type="dxa"/>
            <w:tcBorders>
              <w:top w:val="nil"/>
            </w:tcBorders>
          </w:tcPr>
          <w:p w14:paraId="68C5FE12" w14:textId="77777777" w:rsidR="00F34829" w:rsidRDefault="00F34829" w:rsidP="00F34829">
            <w:pPr>
              <w:spacing w:after="0"/>
            </w:pPr>
            <w:r>
              <w:t>No screening (base case)</w:t>
            </w:r>
          </w:p>
        </w:tc>
        <w:tc>
          <w:tcPr>
            <w:tcW w:w="1465" w:type="dxa"/>
            <w:tcBorders>
              <w:top w:val="nil"/>
            </w:tcBorders>
          </w:tcPr>
          <w:p w14:paraId="0EB0F3F3" w14:textId="3AAC46CD" w:rsidR="00F34829" w:rsidRDefault="00F34829" w:rsidP="00F34829">
            <w:pPr>
              <w:spacing w:after="0"/>
              <w:jc w:val="right"/>
            </w:pPr>
            <w:r>
              <w:t>-</w:t>
            </w:r>
          </w:p>
        </w:tc>
        <w:tc>
          <w:tcPr>
            <w:tcW w:w="1465" w:type="dxa"/>
            <w:tcBorders>
              <w:top w:val="nil"/>
            </w:tcBorders>
          </w:tcPr>
          <w:p w14:paraId="358B6AF9" w14:textId="6981B1A6" w:rsidR="00F34829" w:rsidRDefault="00F34829" w:rsidP="00F34829">
            <w:pPr>
              <w:spacing w:after="0"/>
              <w:jc w:val="right"/>
            </w:pPr>
            <w:r>
              <w:t>-</w:t>
            </w:r>
          </w:p>
        </w:tc>
        <w:tc>
          <w:tcPr>
            <w:tcW w:w="1465" w:type="dxa"/>
            <w:tcBorders>
              <w:top w:val="nil"/>
            </w:tcBorders>
          </w:tcPr>
          <w:p w14:paraId="4093A70D" w14:textId="2A6AC73C" w:rsidR="00F34829" w:rsidRDefault="001A77CC" w:rsidP="00F34829">
            <w:pPr>
              <w:spacing w:after="0"/>
              <w:jc w:val="right"/>
            </w:pPr>
            <w:r>
              <w:t>$3,042</w:t>
            </w:r>
          </w:p>
        </w:tc>
        <w:tc>
          <w:tcPr>
            <w:tcW w:w="1465" w:type="dxa"/>
            <w:tcBorders>
              <w:top w:val="nil"/>
            </w:tcBorders>
          </w:tcPr>
          <w:p w14:paraId="7B7C7A55" w14:textId="49445578" w:rsidR="00F34829" w:rsidRDefault="00F34829" w:rsidP="00F34829">
            <w:pPr>
              <w:spacing w:after="0"/>
              <w:jc w:val="right"/>
            </w:pPr>
            <w:r>
              <w:t>1.603</w:t>
            </w:r>
          </w:p>
        </w:tc>
        <w:tc>
          <w:tcPr>
            <w:tcW w:w="1465" w:type="dxa"/>
            <w:tcBorders>
              <w:top w:val="nil"/>
            </w:tcBorders>
          </w:tcPr>
          <w:p w14:paraId="716DFC32" w14:textId="6BC703F8" w:rsidR="00F34829" w:rsidRDefault="00F34829" w:rsidP="00F34829">
            <w:pPr>
              <w:spacing w:after="0"/>
              <w:jc w:val="right"/>
            </w:pPr>
            <w:r>
              <w:t>-</w:t>
            </w:r>
          </w:p>
        </w:tc>
      </w:tr>
      <w:tr w:rsidR="00F34829" w14:paraId="34FB30A8" w14:textId="77777777" w:rsidTr="00D35186">
        <w:tc>
          <w:tcPr>
            <w:tcW w:w="1701" w:type="dxa"/>
            <w:tcBorders>
              <w:bottom w:val="single" w:sz="4" w:space="0" w:color="000000" w:themeColor="text1"/>
            </w:tcBorders>
          </w:tcPr>
          <w:p w14:paraId="42BE88DC" w14:textId="77777777" w:rsidR="00F34829" w:rsidRDefault="00F34829" w:rsidP="00F34829">
            <w:pPr>
              <w:spacing w:after="0"/>
            </w:pPr>
            <w:r>
              <w:t>Biennial screening for 50 to 74 years</w:t>
            </w:r>
            <w:r w:rsidDel="001F7E7A">
              <w:t xml:space="preserve"> </w:t>
            </w:r>
          </w:p>
        </w:tc>
        <w:tc>
          <w:tcPr>
            <w:tcW w:w="1465" w:type="dxa"/>
            <w:tcBorders>
              <w:bottom w:val="single" w:sz="4" w:space="0" w:color="000000" w:themeColor="text1"/>
            </w:tcBorders>
          </w:tcPr>
          <w:p w14:paraId="229545AD" w14:textId="43C68BEF" w:rsidR="00F34829" w:rsidRDefault="00F34829" w:rsidP="00F34829">
            <w:pPr>
              <w:spacing w:after="0"/>
              <w:jc w:val="right"/>
            </w:pPr>
            <w:r>
              <w:t>-46.7%</w:t>
            </w:r>
          </w:p>
        </w:tc>
        <w:tc>
          <w:tcPr>
            <w:tcW w:w="1465" w:type="dxa"/>
            <w:tcBorders>
              <w:bottom w:val="single" w:sz="4" w:space="0" w:color="000000" w:themeColor="text1"/>
            </w:tcBorders>
          </w:tcPr>
          <w:p w14:paraId="539ECAF3" w14:textId="377ADA72" w:rsidR="00F34829" w:rsidRDefault="00F34829" w:rsidP="00F34829">
            <w:pPr>
              <w:spacing w:after="0"/>
              <w:jc w:val="right"/>
            </w:pPr>
            <w:r>
              <w:t>-54.4%</w:t>
            </w:r>
          </w:p>
        </w:tc>
        <w:tc>
          <w:tcPr>
            <w:tcW w:w="1465" w:type="dxa"/>
            <w:tcBorders>
              <w:bottom w:val="single" w:sz="4" w:space="0" w:color="000000" w:themeColor="text1"/>
            </w:tcBorders>
          </w:tcPr>
          <w:p w14:paraId="0DDCA299" w14:textId="378FF7BC" w:rsidR="00F34829" w:rsidRDefault="001A77CC" w:rsidP="00F34829">
            <w:pPr>
              <w:spacing w:after="0"/>
              <w:jc w:val="right"/>
            </w:pPr>
            <w:r>
              <w:t>$3,102</w:t>
            </w:r>
          </w:p>
        </w:tc>
        <w:tc>
          <w:tcPr>
            <w:tcW w:w="1465" w:type="dxa"/>
            <w:tcBorders>
              <w:bottom w:val="single" w:sz="4" w:space="0" w:color="000000" w:themeColor="text1"/>
            </w:tcBorders>
          </w:tcPr>
          <w:p w14:paraId="645684A6" w14:textId="40D9DD8D" w:rsidR="00F34829" w:rsidRDefault="00F34829" w:rsidP="00F34829">
            <w:pPr>
              <w:spacing w:after="0"/>
              <w:jc w:val="right"/>
            </w:pPr>
            <w:r>
              <w:t>1.5</w:t>
            </w:r>
            <w:r w:rsidR="006060E0">
              <w:t>59</w:t>
            </w:r>
          </w:p>
        </w:tc>
        <w:tc>
          <w:tcPr>
            <w:tcW w:w="1465" w:type="dxa"/>
            <w:tcBorders>
              <w:bottom w:val="single" w:sz="4" w:space="0" w:color="000000" w:themeColor="text1"/>
            </w:tcBorders>
          </w:tcPr>
          <w:p w14:paraId="662BAF91" w14:textId="2A452FF1" w:rsidR="00F34829" w:rsidRDefault="001A77CC" w:rsidP="00F34829">
            <w:pPr>
              <w:spacing w:after="0"/>
              <w:jc w:val="right"/>
            </w:pPr>
            <w:r>
              <w:t>$1,427</w:t>
            </w:r>
          </w:p>
        </w:tc>
      </w:tr>
      <w:tr w:rsidR="000D2535" w14:paraId="0D6EF7F2" w14:textId="77777777" w:rsidTr="00D35186">
        <w:tc>
          <w:tcPr>
            <w:tcW w:w="9026" w:type="dxa"/>
            <w:gridSpan w:val="6"/>
            <w:tcBorders>
              <w:top w:val="single" w:sz="4" w:space="0" w:color="000000" w:themeColor="text1"/>
              <w:bottom w:val="nil"/>
            </w:tcBorders>
            <w:shd w:val="clear" w:color="auto" w:fill="F2F2F2" w:themeFill="background1" w:themeFillShade="F2"/>
          </w:tcPr>
          <w:p w14:paraId="0BC13084" w14:textId="4D215A86" w:rsidR="000D2535" w:rsidRPr="00D35186" w:rsidRDefault="00826911" w:rsidP="000D2535">
            <w:pPr>
              <w:spacing w:after="0"/>
              <w:rPr>
                <w:i/>
                <w:iCs/>
              </w:rPr>
            </w:pPr>
            <w:r w:rsidRPr="00D35186">
              <w:rPr>
                <w:i/>
                <w:iCs/>
              </w:rPr>
              <w:t>Healthcare payer</w:t>
            </w:r>
            <w:r w:rsidR="000D2535" w:rsidRPr="00D35186">
              <w:rPr>
                <w:i/>
                <w:iCs/>
              </w:rPr>
              <w:t xml:space="preserve"> perspective</w:t>
            </w:r>
          </w:p>
        </w:tc>
      </w:tr>
      <w:tr w:rsidR="000D2535" w14:paraId="395B487C" w14:textId="77777777" w:rsidTr="00D35186">
        <w:tc>
          <w:tcPr>
            <w:tcW w:w="1701" w:type="dxa"/>
            <w:tcBorders>
              <w:top w:val="nil"/>
            </w:tcBorders>
          </w:tcPr>
          <w:p w14:paraId="752AB708" w14:textId="77777777" w:rsidR="000D2535" w:rsidRDefault="000D2535" w:rsidP="000D2535">
            <w:pPr>
              <w:spacing w:after="0"/>
            </w:pPr>
            <w:r>
              <w:t>No screening (base case)</w:t>
            </w:r>
          </w:p>
        </w:tc>
        <w:tc>
          <w:tcPr>
            <w:tcW w:w="1465" w:type="dxa"/>
            <w:tcBorders>
              <w:top w:val="nil"/>
            </w:tcBorders>
          </w:tcPr>
          <w:p w14:paraId="02BCAFFC" w14:textId="040DD3DE" w:rsidR="000D2535" w:rsidRDefault="000D2535" w:rsidP="000D2535">
            <w:pPr>
              <w:spacing w:after="0"/>
              <w:jc w:val="right"/>
            </w:pPr>
            <w:r>
              <w:t>-</w:t>
            </w:r>
          </w:p>
        </w:tc>
        <w:tc>
          <w:tcPr>
            <w:tcW w:w="1465" w:type="dxa"/>
            <w:tcBorders>
              <w:top w:val="nil"/>
            </w:tcBorders>
          </w:tcPr>
          <w:p w14:paraId="1BB8169D" w14:textId="1BA6FDC9" w:rsidR="000D2535" w:rsidRDefault="000D2535" w:rsidP="000D2535">
            <w:pPr>
              <w:spacing w:after="0"/>
              <w:jc w:val="right"/>
            </w:pPr>
            <w:r>
              <w:t>-</w:t>
            </w:r>
          </w:p>
        </w:tc>
        <w:tc>
          <w:tcPr>
            <w:tcW w:w="1465" w:type="dxa"/>
            <w:tcBorders>
              <w:top w:val="nil"/>
            </w:tcBorders>
          </w:tcPr>
          <w:p w14:paraId="00484422" w14:textId="341BAEF2" w:rsidR="000D2535" w:rsidRDefault="00F8652F" w:rsidP="000D2535">
            <w:pPr>
              <w:spacing w:after="0"/>
              <w:jc w:val="right"/>
            </w:pPr>
            <w:r>
              <w:t>$1,257</w:t>
            </w:r>
          </w:p>
        </w:tc>
        <w:tc>
          <w:tcPr>
            <w:tcW w:w="1465" w:type="dxa"/>
            <w:tcBorders>
              <w:top w:val="nil"/>
            </w:tcBorders>
          </w:tcPr>
          <w:p w14:paraId="6F6A6E37" w14:textId="70F9CADC" w:rsidR="000D2535" w:rsidRDefault="000D2535" w:rsidP="000D2535">
            <w:pPr>
              <w:spacing w:after="0"/>
              <w:jc w:val="right"/>
            </w:pPr>
            <w:r>
              <w:t>1.603</w:t>
            </w:r>
          </w:p>
        </w:tc>
        <w:tc>
          <w:tcPr>
            <w:tcW w:w="1465" w:type="dxa"/>
            <w:tcBorders>
              <w:top w:val="nil"/>
            </w:tcBorders>
          </w:tcPr>
          <w:p w14:paraId="61133814" w14:textId="220CECFE" w:rsidR="000D2535" w:rsidRDefault="000D2535" w:rsidP="000D2535">
            <w:pPr>
              <w:spacing w:after="0"/>
              <w:jc w:val="right"/>
            </w:pPr>
            <w:r>
              <w:t>-</w:t>
            </w:r>
          </w:p>
        </w:tc>
      </w:tr>
      <w:tr w:rsidR="000D2535" w14:paraId="14D100DF" w14:textId="77777777" w:rsidTr="00B56C94">
        <w:tc>
          <w:tcPr>
            <w:tcW w:w="1701" w:type="dxa"/>
          </w:tcPr>
          <w:p w14:paraId="7DF88221" w14:textId="77777777" w:rsidR="000D2535" w:rsidRDefault="000D2535" w:rsidP="000D2535">
            <w:pPr>
              <w:spacing w:after="0"/>
            </w:pPr>
            <w:r>
              <w:t>Biennial screening for 50 to 74 years</w:t>
            </w:r>
            <w:r w:rsidDel="001F7E7A">
              <w:t xml:space="preserve"> </w:t>
            </w:r>
          </w:p>
        </w:tc>
        <w:tc>
          <w:tcPr>
            <w:tcW w:w="1465" w:type="dxa"/>
          </w:tcPr>
          <w:p w14:paraId="41A517F6" w14:textId="3B325562" w:rsidR="000D2535" w:rsidRDefault="000D2535" w:rsidP="000D2535">
            <w:pPr>
              <w:spacing w:after="0"/>
              <w:jc w:val="right"/>
            </w:pPr>
            <w:r>
              <w:t>-46.7%</w:t>
            </w:r>
          </w:p>
        </w:tc>
        <w:tc>
          <w:tcPr>
            <w:tcW w:w="1465" w:type="dxa"/>
          </w:tcPr>
          <w:p w14:paraId="75950876" w14:textId="15B225A5" w:rsidR="000D2535" w:rsidRDefault="000D2535" w:rsidP="000D2535">
            <w:pPr>
              <w:spacing w:after="0"/>
              <w:jc w:val="right"/>
            </w:pPr>
            <w:r>
              <w:t>-54.4%</w:t>
            </w:r>
          </w:p>
        </w:tc>
        <w:tc>
          <w:tcPr>
            <w:tcW w:w="1465" w:type="dxa"/>
          </w:tcPr>
          <w:p w14:paraId="71729DBC" w14:textId="61B6C5DB" w:rsidR="000D2535" w:rsidRDefault="00F8652F" w:rsidP="000D2535">
            <w:pPr>
              <w:spacing w:after="0"/>
              <w:jc w:val="right"/>
            </w:pPr>
            <w:r>
              <w:t>$1,618</w:t>
            </w:r>
          </w:p>
        </w:tc>
        <w:tc>
          <w:tcPr>
            <w:tcW w:w="1465" w:type="dxa"/>
          </w:tcPr>
          <w:p w14:paraId="551A33B3" w14:textId="6A3F8A96" w:rsidR="000D2535" w:rsidRDefault="000D2535" w:rsidP="000D2535">
            <w:pPr>
              <w:spacing w:after="0"/>
              <w:jc w:val="right"/>
            </w:pPr>
            <w:r>
              <w:t>1.559</w:t>
            </w:r>
          </w:p>
        </w:tc>
        <w:tc>
          <w:tcPr>
            <w:tcW w:w="1465" w:type="dxa"/>
          </w:tcPr>
          <w:p w14:paraId="693E4459" w14:textId="0622C7E2" w:rsidR="000D2535" w:rsidRDefault="00F8652F" w:rsidP="000D2535">
            <w:pPr>
              <w:spacing w:after="0"/>
              <w:jc w:val="right"/>
            </w:pPr>
            <w:r>
              <w:t>$8,558</w:t>
            </w:r>
          </w:p>
        </w:tc>
      </w:tr>
    </w:tbl>
    <w:p w14:paraId="6A24583C" w14:textId="77777777" w:rsidR="00F34829" w:rsidRPr="008515D3" w:rsidRDefault="00F34829" w:rsidP="00F678D8">
      <w:pPr>
        <w:pStyle w:val="Source"/>
        <w:spacing w:after="0"/>
      </w:pPr>
      <w:r w:rsidRPr="008515D3">
        <w:t>Notes: (a) Variables are estimates compared to the no</w:t>
      </w:r>
      <w:r>
        <w:t xml:space="preserve"> </w:t>
      </w:r>
      <w:r w:rsidRPr="008515D3">
        <w:t>screening scenario</w:t>
      </w:r>
      <w:r>
        <w:t>.</w:t>
      </w:r>
    </w:p>
    <w:p w14:paraId="4E28E1CA" w14:textId="2616C1EC" w:rsidR="008515D3" w:rsidRDefault="00F34829" w:rsidP="00E96DDA">
      <w:pPr>
        <w:pStyle w:val="Source"/>
        <w:spacing w:after="0"/>
      </w:pPr>
      <w:r w:rsidRPr="008515D3">
        <w:t>Source: Deloitte Access Economics analysis</w:t>
      </w:r>
      <w:r>
        <w:t>.</w:t>
      </w:r>
    </w:p>
    <w:p w14:paraId="47FE6D07" w14:textId="1D1749B0" w:rsidR="00185A25" w:rsidRDefault="00185A25" w:rsidP="00185A25">
      <w:pPr>
        <w:pStyle w:val="Heading3"/>
      </w:pPr>
      <w:bookmarkStart w:id="189" w:name="_Ref74292669"/>
      <w:r>
        <w:t xml:space="preserve">Review of Lew et al. </w:t>
      </w:r>
      <w:r w:rsidR="00E63A04">
        <w:t>(pre-published)</w:t>
      </w:r>
      <w:r>
        <w:t xml:space="preserve"> regarding Program cost-effectiveness for Aboriginal and Torres Strait Islander people</w:t>
      </w:r>
      <w:bookmarkEnd w:id="189"/>
      <w:r>
        <w:t xml:space="preserve"> </w:t>
      </w:r>
    </w:p>
    <w:p w14:paraId="49AEB664" w14:textId="77777777" w:rsidR="00495E4C" w:rsidRPr="00495E4C" w:rsidRDefault="00495E4C" w:rsidP="000F06D0">
      <w:pPr>
        <w:ind w:right="284"/>
      </w:pPr>
      <w:r w:rsidRPr="00495E4C">
        <w:t xml:space="preserve">To maximise benefits and minimise harms to individuals participating in the Program, the target population needs to be defined in a way that balances the likelihood of </w:t>
      </w:r>
      <w:r w:rsidRPr="00495E4C">
        <w:lastRenderedPageBreak/>
        <w:t>early detection of adenomas/bowel cancer, while limiting the number of people undertaking unnecessary colonoscopies. Aboriginal and Torres Strait Islander people represent a distinct cohort within the broader Australian population in relation to their experience of bowel cancer. Of note:</w:t>
      </w:r>
    </w:p>
    <w:p w14:paraId="4E980028" w14:textId="77777777" w:rsidR="00495E4C" w:rsidRPr="00495E4C" w:rsidRDefault="00495E4C" w:rsidP="00AD10DC">
      <w:pPr>
        <w:pStyle w:val="ListBullet"/>
      </w:pPr>
      <w:bookmarkStart w:id="190" w:name="_Hlk73695539"/>
      <w:r w:rsidRPr="00495E4C">
        <w:t xml:space="preserve">Aboriginal and Torres Strait Islander people that </w:t>
      </w:r>
      <w:bookmarkEnd w:id="190"/>
      <w:r w:rsidRPr="00495E4C">
        <w:t>participate in the Program have a higher positivity rate than non-Indigenous participants (9.9 per cent compared to 6.6 per cent in 2018).</w:t>
      </w:r>
      <w:r w:rsidRPr="00495E4C">
        <w:rPr>
          <w:vertAlign w:val="superscript"/>
        </w:rPr>
        <w:endnoteReference w:id="97"/>
      </w:r>
    </w:p>
    <w:p w14:paraId="384AD29A" w14:textId="77777777" w:rsidR="00495E4C" w:rsidRPr="00495E4C" w:rsidRDefault="00495E4C" w:rsidP="00AD10DC">
      <w:pPr>
        <w:pStyle w:val="ListBullet"/>
      </w:pPr>
      <w:r w:rsidRPr="00495E4C">
        <w:t>Aboriginal and Torres Strait Islander people have a lower recorded incidence of bowel cancer (2001 Australian population age-standardised rate of 116.5 per 100,000 people compared to 121.2 per 100,000). This statistic may have several possible underlying causes including reduced likelihood of diagnosis due to the availability of culturally appropriate health care.</w:t>
      </w:r>
      <w:r w:rsidRPr="00495E4C">
        <w:rPr>
          <w:vertAlign w:val="superscript"/>
        </w:rPr>
        <w:endnoteReference w:id="98"/>
      </w:r>
    </w:p>
    <w:p w14:paraId="297E3025" w14:textId="77777777" w:rsidR="00495E4C" w:rsidRPr="00495E4C" w:rsidRDefault="00495E4C" w:rsidP="00AD10DC">
      <w:pPr>
        <w:pStyle w:val="ListBullet"/>
      </w:pPr>
      <w:r w:rsidRPr="00495E4C">
        <w:t>Aboriginal and Torres Strait Islander people diagnosed with bowel cancer were more likely to be diagnosed at an advanced stage, compared to the non-Indigenous population.</w:t>
      </w:r>
      <w:r w:rsidRPr="00495E4C">
        <w:rPr>
          <w:vertAlign w:val="superscript"/>
        </w:rPr>
        <w:endnoteReference w:id="99"/>
      </w:r>
    </w:p>
    <w:p w14:paraId="6909B8E1" w14:textId="77777777" w:rsidR="00495E4C" w:rsidRPr="00495E4C" w:rsidRDefault="00495E4C" w:rsidP="00AD10DC">
      <w:pPr>
        <w:pStyle w:val="ListBullet"/>
      </w:pPr>
      <w:r w:rsidRPr="00495E4C">
        <w:t>Aboriginal and Torres Strait Islander people diagnosed with bowel cancer had a 5-year survival rate of 58 per cent between 2007 and 2014, compared with 67 per cent in non-Indigenous Australians.</w:t>
      </w:r>
      <w:r w:rsidRPr="00495E4C">
        <w:rPr>
          <w:vertAlign w:val="superscript"/>
        </w:rPr>
        <w:endnoteReference w:id="100"/>
      </w:r>
      <w:r w:rsidRPr="00495E4C">
        <w:t xml:space="preserve"> </w:t>
      </w:r>
    </w:p>
    <w:p w14:paraId="35068DD8" w14:textId="77777777" w:rsidR="00495E4C" w:rsidRPr="00495E4C" w:rsidRDefault="00495E4C" w:rsidP="00AD10DC">
      <w:pPr>
        <w:pStyle w:val="ListBullet"/>
      </w:pPr>
      <w:r w:rsidRPr="00495E4C">
        <w:t>The average age at diagnosis for Aboriginal and Torres Strait Islander people was 7.2 years younger than non-Indigenous Australians.</w:t>
      </w:r>
      <w:r w:rsidRPr="00495E4C">
        <w:rPr>
          <w:vertAlign w:val="superscript"/>
        </w:rPr>
        <w:endnoteReference w:id="101"/>
      </w:r>
    </w:p>
    <w:p w14:paraId="577C65D8" w14:textId="77777777" w:rsidR="00495E4C" w:rsidRPr="00495E4C" w:rsidRDefault="00495E4C" w:rsidP="00495E4C">
      <w:pPr>
        <w:ind w:right="284"/>
      </w:pPr>
      <w:r w:rsidRPr="00495E4C">
        <w:t>Consequently, there is merit to analysing cost-effectiveness considerations for Aboriginal and Torres Strait Islander people separately.</w:t>
      </w:r>
    </w:p>
    <w:p w14:paraId="5A5BE928" w14:textId="77777777" w:rsidR="00495E4C" w:rsidRPr="00495E4C" w:rsidRDefault="00495E4C" w:rsidP="00495E4C">
      <w:pPr>
        <w:ind w:right="284"/>
      </w:pPr>
      <w:r w:rsidRPr="00495E4C">
        <w:t>In a pre-published report ‘</w:t>
      </w:r>
      <w:r w:rsidRPr="00495E4C">
        <w:rPr>
          <w:i/>
          <w:iCs/>
        </w:rPr>
        <w:t>The potential for tailored screening to reduce bowel cancer mortality for Aboriginal and Torres Strait Islander peoples in Australia: modelling study</w:t>
      </w:r>
      <w:r w:rsidRPr="00495E4C">
        <w:t xml:space="preserve">’, Lew et al. analysed the cost-effectiveness of different target age ranges for the Aboriginal and Torres Strait Islander cohort. Age cohorts tested included 50 to 74, 45 to 74 and 40 to 74, as well as participation rates of ~20 per cent (the current Aboriginal and Torres Strait Islander participation rate) and ~40 per cent. </w:t>
      </w:r>
    </w:p>
    <w:p w14:paraId="130C8DA2" w14:textId="01417380" w:rsidR="00495E4C" w:rsidRPr="00495E4C" w:rsidRDefault="00495E4C" w:rsidP="00495E4C">
      <w:pPr>
        <w:ind w:right="284"/>
      </w:pPr>
      <w:r w:rsidRPr="00495E4C">
        <w:t xml:space="preserve">The paper uses the </w:t>
      </w:r>
      <w:r w:rsidRPr="00495E4C">
        <w:rPr>
          <w:i/>
          <w:iCs/>
        </w:rPr>
        <w:t>Policy-1 Bowel</w:t>
      </w:r>
      <w:r w:rsidRPr="00495E4C">
        <w:t xml:space="preserve"> model, with natural history and screening inputs parameterised and calibrated to Aboriginal and Torres Strait Islander-specific data where available. The model takes a health service perspective when calculating cost-effectiveness and does not include promotional/administrative Program overhead costs. As such, the cost-effectiveness values found by Lew et al. are not able to be directly compared with</w:t>
      </w:r>
      <w:r w:rsidR="000675E7">
        <w:t xml:space="preserve"> Deloitte Access Economics’</w:t>
      </w:r>
      <w:r w:rsidRPr="00495E4C" w:rsidDel="000675E7">
        <w:t xml:space="preserve"> </w:t>
      </w:r>
      <w:r w:rsidRPr="00495E4C">
        <w:t xml:space="preserve">healthcare </w:t>
      </w:r>
      <w:r w:rsidR="000675E7">
        <w:t xml:space="preserve">system </w:t>
      </w:r>
      <w:r w:rsidRPr="00495E4C">
        <w:t>or societal analysis provided</w:t>
      </w:r>
      <w:r w:rsidR="000675E7">
        <w:t xml:space="preserve"> for the overall Australian population</w:t>
      </w:r>
      <w:r w:rsidRPr="00495E4C">
        <w:t xml:space="preserve">. </w:t>
      </w:r>
      <w:r w:rsidR="000675E7">
        <w:t>Lew’s c</w:t>
      </w:r>
      <w:r w:rsidRPr="00495E4C">
        <w:t xml:space="preserve">ost-effectiveness results are estimated in 2018 $AUD. Results are framed within the context of a benchmark willingness-to-pay threshold of $50,000 per life-year saved. </w:t>
      </w:r>
    </w:p>
    <w:p w14:paraId="63A23B1E" w14:textId="77777777" w:rsidR="00495E4C" w:rsidRPr="00495E4C" w:rsidRDefault="00495E4C" w:rsidP="00F678D8">
      <w:pPr>
        <w:pStyle w:val="Heading4"/>
      </w:pPr>
      <w:r w:rsidRPr="00495E4C">
        <w:t>Economic considerations for Program policy settings</w:t>
      </w:r>
    </w:p>
    <w:p w14:paraId="61C2E1BC" w14:textId="6B5BA5A0" w:rsidR="00495E4C" w:rsidRPr="00495E4C" w:rsidRDefault="00495E4C" w:rsidP="00495E4C">
      <w:r w:rsidRPr="00495E4C">
        <w:t xml:space="preserve">Overall, Lew et al. reports that </w:t>
      </w:r>
      <w:r w:rsidR="000675E7">
        <w:t xml:space="preserve">the </w:t>
      </w:r>
      <w:r w:rsidRPr="00495E4C">
        <w:t xml:space="preserve">Program is cost-effective for the Aboriginal and Torres Strait Islander cohort at $11,927 per life-year saved compared to a baseline of no-screening, though this estimate is higher than the cost per life-year saved attributed to the broader Australian Program cohort in previous Lew et al. papers. Contributing factors for this result include lower modelled incidence rates, lower participation and lower diagnostic assessment rates in the Aboriginal and Torres Strait Islander cohort. </w:t>
      </w:r>
    </w:p>
    <w:p w14:paraId="0C5AE276" w14:textId="77777777" w:rsidR="00495E4C" w:rsidRPr="00495E4C" w:rsidRDefault="00495E4C" w:rsidP="00495E4C">
      <w:r w:rsidRPr="00495E4C">
        <w:t>Lew also modelled scenarios to assess the cost-effectiveness of increasing the Aboriginal and Torres Strait Islander participation rate, as well as extending the screening age cohort for this population. With an accepted cost-effectiveness threshold of $50,000 per life year saved, the following results were reported:</w:t>
      </w:r>
    </w:p>
    <w:p w14:paraId="15AE7155" w14:textId="77777777" w:rsidR="00495E4C" w:rsidRPr="00495E4C" w:rsidRDefault="00495E4C" w:rsidP="00AD10DC">
      <w:pPr>
        <w:pStyle w:val="ListBullet"/>
      </w:pPr>
      <w:r w:rsidRPr="00495E4C">
        <w:lastRenderedPageBreak/>
        <w:t>At the current participation rate, extending the screening age cohort from 50 to 74 (the status quo) to 45 to 74 was cost effective at $28,145 per life year saved.</w:t>
      </w:r>
      <w:r w:rsidRPr="00495E4C">
        <w:rPr>
          <w:vertAlign w:val="superscript"/>
        </w:rPr>
        <w:footnoteReference w:id="22"/>
      </w:r>
      <w:r w:rsidRPr="00495E4C">
        <w:t xml:space="preserve"> </w:t>
      </w:r>
    </w:p>
    <w:p w14:paraId="1E51CC3B" w14:textId="6F9C4AA0" w:rsidR="00CF3E2E" w:rsidRPr="00495E4C" w:rsidRDefault="00495E4C" w:rsidP="00AD10DC">
      <w:pPr>
        <w:pStyle w:val="ListBullet"/>
      </w:pPr>
      <w:r w:rsidRPr="00495E4C">
        <w:t>With the current screening age cohort, increasing the participation rate from ~20 per cent to ~40 per cent was also cost-effective at $25,636 per life-year saved.</w:t>
      </w:r>
      <w:r w:rsidRPr="00495E4C">
        <w:rPr>
          <w:vertAlign w:val="superscript"/>
        </w:rPr>
        <w:footnoteReference w:id="23"/>
      </w:r>
      <w:r w:rsidRPr="00495E4C">
        <w:t xml:space="preserve"> </w:t>
      </w:r>
    </w:p>
    <w:p w14:paraId="58DA580A" w14:textId="77777777" w:rsidR="00495E4C" w:rsidRPr="00495E4C" w:rsidRDefault="00495E4C" w:rsidP="00495E4C">
      <w:r w:rsidRPr="00495E4C">
        <w:t>Lew concludes, “The evidence … supports cost-effective screening for Aboriginal and Torres Strait Islander people in their forties, but not for the general population in their forties” (p5).</w:t>
      </w:r>
      <w:r w:rsidRPr="00495E4C">
        <w:rPr>
          <w:vertAlign w:val="superscript"/>
        </w:rPr>
        <w:endnoteReference w:id="102"/>
      </w:r>
      <w:r w:rsidRPr="00495E4C">
        <w:t xml:space="preserve"> </w:t>
      </w:r>
    </w:p>
    <w:p w14:paraId="41B4AD91" w14:textId="3F43096C" w:rsidR="008515D3" w:rsidRPr="00790B32" w:rsidRDefault="00185A25" w:rsidP="008515D3">
      <w:pPr>
        <w:pStyle w:val="Heading2"/>
      </w:pPr>
      <w:bookmarkStart w:id="191" w:name="_Toc107837523"/>
      <w:r>
        <w:t>C</w:t>
      </w:r>
      <w:r w:rsidR="008515D3">
        <w:t>onclusions</w:t>
      </w:r>
      <w:bookmarkEnd w:id="191"/>
    </w:p>
    <w:p w14:paraId="0C8CA482" w14:textId="4E1DDD7B" w:rsidR="00D33630" w:rsidRDefault="008515D3" w:rsidP="008515D3">
      <w:bookmarkStart w:id="192" w:name="_Hlk67646334"/>
      <w:r w:rsidRPr="009E2EB6">
        <w:t>Overall, the CEA results show that the Program is highly cost-eff</w:t>
      </w:r>
      <w:r w:rsidR="00B564AC">
        <w:t>ective</w:t>
      </w:r>
      <w:r w:rsidRPr="009E2EB6">
        <w:t xml:space="preserve"> compared to a no</w:t>
      </w:r>
      <w:r w:rsidR="007E638D">
        <w:t xml:space="preserve"> </w:t>
      </w:r>
      <w:r w:rsidRPr="009E2EB6">
        <w:t xml:space="preserve">screening scenario. </w:t>
      </w:r>
      <w:bookmarkEnd w:id="192"/>
      <w:r w:rsidR="007279FA">
        <w:t>The</w:t>
      </w:r>
      <w:r w:rsidRPr="009E2EB6">
        <w:t xml:space="preserve"> analysis </w:t>
      </w:r>
      <w:r w:rsidR="008D6551">
        <w:t>found</w:t>
      </w:r>
      <w:r w:rsidR="00900644">
        <w:t xml:space="preserve"> that the most cost-effective entry age varied slightly depending on the perspective taken, however, overall, there was a marginal difference between starting screening at</w:t>
      </w:r>
      <w:r w:rsidR="002A006B">
        <w:t xml:space="preserve"> age</w:t>
      </w:r>
      <w:r w:rsidR="00900644">
        <w:t xml:space="preserve"> 45 or 50.</w:t>
      </w:r>
      <w:r w:rsidR="008D6551">
        <w:t xml:space="preserve"> </w:t>
      </w:r>
      <w:r w:rsidR="00D33630">
        <w:t>Deciding which entry</w:t>
      </w:r>
      <w:r w:rsidR="009250B6">
        <w:t xml:space="preserve"> age</w:t>
      </w:r>
      <w:r w:rsidR="00D33630">
        <w:t xml:space="preserve"> is most cost-effective depends on </w:t>
      </w:r>
      <w:r w:rsidR="009671BA">
        <w:t xml:space="preserve">the extent of </w:t>
      </w:r>
      <w:r w:rsidR="00F109D4">
        <w:t>value placed on a societal perspective v</w:t>
      </w:r>
      <w:r w:rsidR="001E46F3">
        <w:t>ersus</w:t>
      </w:r>
      <w:r w:rsidR="00F109D4">
        <w:t xml:space="preserve"> a healthcare system perspective.</w:t>
      </w:r>
    </w:p>
    <w:p w14:paraId="24C4A392" w14:textId="5F048A6E" w:rsidR="005B578B" w:rsidRDefault="00535E93" w:rsidP="008515D3">
      <w:pPr>
        <w:spacing w:before="240"/>
      </w:pPr>
      <w:r>
        <w:t xml:space="preserve">Future </w:t>
      </w:r>
      <w:r w:rsidR="002A6C1F">
        <w:t>P</w:t>
      </w:r>
      <w:r>
        <w:t>rogram</w:t>
      </w:r>
      <w:r w:rsidR="008515D3">
        <w:t xml:space="preserve"> </w:t>
      </w:r>
      <w:r w:rsidR="00ED4BF1">
        <w:t>investment should prioritise</w:t>
      </w:r>
      <w:r w:rsidR="008515D3">
        <w:t xml:space="preserve"> </w:t>
      </w:r>
      <w:r w:rsidR="00ED4BF1">
        <w:t xml:space="preserve">efforts to </w:t>
      </w:r>
      <w:r w:rsidR="008515D3">
        <w:t>improv</w:t>
      </w:r>
      <w:r w:rsidR="00ED4BF1">
        <w:t>e</w:t>
      </w:r>
      <w:r w:rsidR="008515D3">
        <w:t xml:space="preserve"> Program p</w:t>
      </w:r>
      <w:r w:rsidR="008515D3" w:rsidRPr="009E2EB6">
        <w:t xml:space="preserve">articipation and </w:t>
      </w:r>
      <w:r w:rsidR="008226F2">
        <w:t xml:space="preserve">the rate of </w:t>
      </w:r>
      <w:r w:rsidR="008515D3" w:rsidRPr="009E2EB6">
        <w:t>diagnostic assessment</w:t>
      </w:r>
      <w:r w:rsidR="008226F2">
        <w:t>,</w:t>
      </w:r>
      <w:r w:rsidR="008515D3">
        <w:t xml:space="preserve"> as both factors are</w:t>
      </w:r>
      <w:r w:rsidR="008515D3" w:rsidRPr="009E2EB6">
        <w:t xml:space="preserve"> </w:t>
      </w:r>
      <w:r w:rsidR="00DC462E">
        <w:t>associated with improved</w:t>
      </w:r>
      <w:r w:rsidR="008515D3">
        <w:t xml:space="preserve"> </w:t>
      </w:r>
      <w:r w:rsidR="007A3E23">
        <w:t xml:space="preserve">outcomes and </w:t>
      </w:r>
      <w:r w:rsidR="008515D3" w:rsidRPr="009E2EB6">
        <w:t>cost-effectiveness</w:t>
      </w:r>
      <w:r w:rsidR="007A3E23">
        <w:t xml:space="preserve"> ratios</w:t>
      </w:r>
      <w:r w:rsidR="008515D3">
        <w:t>.</w:t>
      </w:r>
      <w:r w:rsidR="008515D3" w:rsidRPr="009E2EB6">
        <w:t xml:space="preserve"> </w:t>
      </w:r>
      <w:r w:rsidR="00DC462E">
        <w:t>For example,</w:t>
      </w:r>
      <w:r w:rsidR="008515D3">
        <w:t xml:space="preserve"> improving participation to 60 per cent</w:t>
      </w:r>
      <w:r w:rsidR="00227185">
        <w:t xml:space="preserve">, all else being equal, </w:t>
      </w:r>
      <w:r w:rsidR="008515D3" w:rsidRPr="009E2EB6">
        <w:t xml:space="preserve">could reduce deaths due to bowel cancer by an estimated </w:t>
      </w:r>
      <w:r w:rsidR="00F733F6">
        <w:t>7</w:t>
      </w:r>
      <w:r w:rsidR="00747655">
        <w:t xml:space="preserve"> </w:t>
      </w:r>
      <w:r w:rsidR="00747655" w:rsidRPr="009E2EB6">
        <w:t>percentage points</w:t>
      </w:r>
      <w:r w:rsidR="00CE3767">
        <w:t>, when compared with current rates</w:t>
      </w:r>
      <w:r w:rsidR="00747655">
        <w:t>.</w:t>
      </w:r>
      <w:r w:rsidR="008515D3" w:rsidRPr="009E2EB6">
        <w:t xml:space="preserve"> </w:t>
      </w:r>
      <w:r w:rsidR="00747655">
        <w:t>Improving the diagnostic assessment rate to 90 per cent</w:t>
      </w:r>
      <w:r w:rsidR="00227185">
        <w:t>, all else being equal,</w:t>
      </w:r>
      <w:r w:rsidR="00747655">
        <w:t xml:space="preserve"> </w:t>
      </w:r>
      <w:r w:rsidR="00747655" w:rsidRPr="009E2EB6">
        <w:t xml:space="preserve">could reduce deaths due to bowel cancer by an estimated </w:t>
      </w:r>
      <w:r w:rsidR="008515D3" w:rsidRPr="009E2EB6">
        <w:t xml:space="preserve">9 </w:t>
      </w:r>
      <w:r w:rsidR="00747655">
        <w:t>percentage point</w:t>
      </w:r>
      <w:r w:rsidR="00227185">
        <w:t>s</w:t>
      </w:r>
      <w:r w:rsidR="00CE3767">
        <w:t>, when compared with current rates</w:t>
      </w:r>
      <w:r w:rsidR="008515D3" w:rsidRPr="009E2EB6">
        <w:t>.</w:t>
      </w:r>
      <w:r w:rsidR="00747655">
        <w:t xml:space="preserve"> </w:t>
      </w:r>
    </w:p>
    <w:p w14:paraId="759ACC2B" w14:textId="61A3B280" w:rsidR="00371A19" w:rsidRPr="00495E4C" w:rsidRDefault="00371A19" w:rsidP="00371A19">
      <w:r w:rsidRPr="00495E4C">
        <w:t xml:space="preserve">Based on </w:t>
      </w:r>
      <w:r w:rsidR="00D932ED" w:rsidRPr="00495E4C">
        <w:t>Lew</w:t>
      </w:r>
      <w:r w:rsidR="00D932ED">
        <w:t xml:space="preserve"> et al.’s (pre-published)</w:t>
      </w:r>
      <w:r w:rsidRPr="00495E4C">
        <w:t xml:space="preserve"> findings and conclusions, it is</w:t>
      </w:r>
      <w:r>
        <w:t xml:space="preserve"> also</w:t>
      </w:r>
      <w:r w:rsidRPr="00495E4C">
        <w:t xml:space="preserve"> worthwhile to consider lowering the starting screening age for Aboriginal and Torres Strait Islander people. </w:t>
      </w:r>
      <w:r w:rsidR="008B26AD">
        <w:t>W</w:t>
      </w:r>
      <w:r w:rsidRPr="00495E4C">
        <w:t xml:space="preserve">hen considering a policy change to the Program it is necessary to consider both value for money </w:t>
      </w:r>
      <w:r w:rsidRPr="00495E4C">
        <w:rPr>
          <w:i/>
          <w:iCs/>
        </w:rPr>
        <w:t>and</w:t>
      </w:r>
      <w:r w:rsidRPr="00495E4C">
        <w:t xml:space="preserve"> equity of access considerations with a view to closing gaps in health disparities for certain population sub-groups. It is on this basis the review supports Lew</w:t>
      </w:r>
      <w:r w:rsidR="00D932ED">
        <w:t xml:space="preserve"> et al.</w:t>
      </w:r>
      <w:r w:rsidRPr="00495E4C">
        <w:t xml:space="preserve">’s conclusion that there is an opportunity to consider lowering the starting screening age for Aboriginal and Torres Strait Islander people but not the general population. </w:t>
      </w:r>
    </w:p>
    <w:p w14:paraId="1A225582" w14:textId="5B60431C" w:rsidR="00371A19" w:rsidRDefault="00371A19" w:rsidP="008F0CD2">
      <w:r w:rsidRPr="00495E4C">
        <w:t>Given the important role of the Alternative Pathway Pilot in increasing participation for Aboriginal and Torres Strait Islander people it is prudent to consider coupling any lowering of the screening starting age for Aboriginal and Torres Strait Islander people with a scale up of the Alternative Pathway Pilot for this group. This is particularly important given there is a positive correlation between age and participation, and Lew</w:t>
      </w:r>
      <w:r w:rsidR="00D932ED">
        <w:t xml:space="preserve"> et al.</w:t>
      </w:r>
      <w:r w:rsidRPr="00495E4C">
        <w:t>’s modelling was conducted on the basis that participation rates for Aboriginal and Torres Strait Islander people in their forties would be consistent with those aged 50. Therefore, without efforts to increase participation, the benefits of lowering the screening age may not be realised. Further, those that participate once are more likely to participate again, supporting the investment in increasing participation among younger age groups.</w:t>
      </w:r>
    </w:p>
    <w:p w14:paraId="6F9E9CDF" w14:textId="77777777" w:rsidR="005B578B" w:rsidRDefault="005B578B">
      <w:pPr>
        <w:spacing w:after="0"/>
      </w:pPr>
      <w:r>
        <w:br w:type="page"/>
      </w:r>
    </w:p>
    <w:p w14:paraId="4808AAEC" w14:textId="5793ECC4" w:rsidR="008515D3" w:rsidRDefault="005B578B" w:rsidP="005B578B">
      <w:pPr>
        <w:pStyle w:val="Heading1"/>
      </w:pPr>
      <w:bookmarkStart w:id="193" w:name="_Toc107837524"/>
      <w:r>
        <w:lastRenderedPageBreak/>
        <w:t>Concluding remarks and opportunities</w:t>
      </w:r>
      <w:bookmarkEnd w:id="193"/>
    </w:p>
    <w:p w14:paraId="49A31F86" w14:textId="1607D87A" w:rsidR="005B578B" w:rsidRPr="004218EA" w:rsidRDefault="005B578B" w:rsidP="005B578B">
      <w:pPr>
        <w:pStyle w:val="Sectionintro"/>
        <w:rPr>
          <w:b/>
          <w:bCs/>
        </w:rPr>
      </w:pPr>
      <w:r w:rsidRPr="00C87C9A">
        <w:t>This chapter provides concluding remarks on the Program and summari</w:t>
      </w:r>
      <w:r w:rsidR="0013713A">
        <w:t>s</w:t>
      </w:r>
      <w:r w:rsidRPr="00C87C9A">
        <w:t>es the key opportunities for improvement.</w:t>
      </w:r>
    </w:p>
    <w:p w14:paraId="7063A649" w14:textId="74C9D4FE" w:rsidR="008515D3" w:rsidRDefault="005B578B" w:rsidP="005B578B">
      <w:pPr>
        <w:pStyle w:val="Heading2"/>
      </w:pPr>
      <w:bookmarkStart w:id="194" w:name="_Toc107837525"/>
      <w:r>
        <w:t>Concluding remarks</w:t>
      </w:r>
      <w:bookmarkEnd w:id="194"/>
    </w:p>
    <w:p w14:paraId="72E8B79A" w14:textId="4D3DCFB2" w:rsidR="001D2612" w:rsidRPr="00E63E47" w:rsidRDefault="00E63E47" w:rsidP="00E63E47">
      <w:r>
        <w:t xml:space="preserve">Overall, </w:t>
      </w:r>
      <w:r w:rsidR="00190B39">
        <w:t>the</w:t>
      </w:r>
      <w:r>
        <w:t xml:space="preserve"> Program </w:t>
      </w:r>
      <w:r w:rsidR="001A32C2">
        <w:t>is</w:t>
      </w:r>
      <w:r w:rsidR="00115E73">
        <w:t xml:space="preserve"> a major strength of Australian’s public health system. </w:t>
      </w:r>
      <w:r w:rsidR="00935496">
        <w:t xml:space="preserve">The </w:t>
      </w:r>
      <w:r w:rsidR="00616125">
        <w:t xml:space="preserve">Program </w:t>
      </w:r>
      <w:r w:rsidR="00190B39">
        <w:t>has</w:t>
      </w:r>
      <w:r>
        <w:t xml:space="preserve"> </w:t>
      </w:r>
      <w:r w:rsidR="00BC5B3F">
        <w:t>contributed toward improve</w:t>
      </w:r>
      <w:r w:rsidR="008C65DC">
        <w:t>d</w:t>
      </w:r>
      <w:r w:rsidR="00BC5B3F">
        <w:t xml:space="preserve"> </w:t>
      </w:r>
      <w:r w:rsidR="00876384">
        <w:t>population health for Australians</w:t>
      </w:r>
      <w:r w:rsidR="008C65DC">
        <w:t xml:space="preserve"> through earlier detection </w:t>
      </w:r>
      <w:r w:rsidR="002F7661">
        <w:t xml:space="preserve">of bowel cancer </w:t>
      </w:r>
      <w:r w:rsidR="008C65DC">
        <w:t>and better survival.</w:t>
      </w:r>
      <w:r w:rsidR="00C72915">
        <w:t xml:space="preserve"> </w:t>
      </w:r>
      <w:r w:rsidR="00C36D95">
        <w:t xml:space="preserve">Since the </w:t>
      </w:r>
      <w:r w:rsidR="007A4E9B">
        <w:t>Program</w:t>
      </w:r>
      <w:r w:rsidR="00C36D95">
        <w:t>’s inception in 2006, it</w:t>
      </w:r>
      <w:r w:rsidR="007A4E9B">
        <w:t xml:space="preserve"> has </w:t>
      </w:r>
      <w:r w:rsidR="00016CDE">
        <w:t xml:space="preserve">played a key role in </w:t>
      </w:r>
      <w:r w:rsidR="007A4E9B">
        <w:t>Australia’s eminence in bowel cancer</w:t>
      </w:r>
      <w:r w:rsidR="0038762B">
        <w:t xml:space="preserve"> screening and</w:t>
      </w:r>
      <w:r w:rsidR="007A4E9B">
        <w:t xml:space="preserve"> </w:t>
      </w:r>
      <w:r w:rsidR="00016CDE">
        <w:t>prevention</w:t>
      </w:r>
      <w:r w:rsidR="007A4E9B">
        <w:t xml:space="preserve"> </w:t>
      </w:r>
      <w:r w:rsidR="001D2612">
        <w:t>for the following rea</w:t>
      </w:r>
      <w:r w:rsidR="00F157CC">
        <w:t>s</w:t>
      </w:r>
      <w:r w:rsidR="001D2612">
        <w:t>ons:</w:t>
      </w:r>
    </w:p>
    <w:p w14:paraId="210D9ADD" w14:textId="6B5755E2" w:rsidR="008210FD" w:rsidRDefault="003B7A87" w:rsidP="00AD10DC">
      <w:pPr>
        <w:pStyle w:val="ListBullet"/>
      </w:pPr>
      <w:r>
        <w:t>Australia was</w:t>
      </w:r>
      <w:r w:rsidR="00E4384E">
        <w:t xml:space="preserve"> one of the </w:t>
      </w:r>
      <w:r w:rsidR="0080589A">
        <w:t xml:space="preserve">first countries to offer </w:t>
      </w:r>
      <w:r w:rsidR="008210FD">
        <w:t xml:space="preserve">free </w:t>
      </w:r>
      <w:r w:rsidR="0080589A">
        <w:t xml:space="preserve">screening </w:t>
      </w:r>
      <w:r w:rsidR="008210FD">
        <w:t xml:space="preserve">for bowel cancer </w:t>
      </w:r>
      <w:r w:rsidR="0041680D">
        <w:t>to a national population</w:t>
      </w:r>
    </w:p>
    <w:p w14:paraId="7B8CB269" w14:textId="33735297" w:rsidR="008210FD" w:rsidRDefault="003B7A87" w:rsidP="00AD10DC">
      <w:pPr>
        <w:pStyle w:val="ListBullet"/>
      </w:pPr>
      <w:r>
        <w:t>Australia</w:t>
      </w:r>
      <w:r w:rsidR="008210FD">
        <w:t xml:space="preserve"> was one of the first countries to</w:t>
      </w:r>
      <w:r w:rsidR="0098196B">
        <w:t xml:space="preserve"> collect quantitative </w:t>
      </w:r>
      <w:proofErr w:type="spellStart"/>
      <w:r w:rsidR="0098196B">
        <w:t>iFOBT</w:t>
      </w:r>
      <w:proofErr w:type="spellEnd"/>
      <w:r w:rsidR="0098196B">
        <w:t xml:space="preserve"> results</w:t>
      </w:r>
      <w:r w:rsidR="000E2B5D">
        <w:t xml:space="preserve">, </w:t>
      </w:r>
      <w:r w:rsidR="008210FD">
        <w:t xml:space="preserve">which is now used globally as </w:t>
      </w:r>
      <w:r w:rsidR="002066F3">
        <w:t>best practice</w:t>
      </w:r>
    </w:p>
    <w:p w14:paraId="2373E0D7" w14:textId="4B6908CC" w:rsidR="008210FD" w:rsidRDefault="00672E46" w:rsidP="00AD10DC">
      <w:pPr>
        <w:pStyle w:val="ListBullet"/>
      </w:pPr>
      <w:r>
        <w:t>Australia</w:t>
      </w:r>
      <w:r w:rsidR="008210FD">
        <w:t xml:space="preserve"> offers screening to the widest age</w:t>
      </w:r>
      <w:r w:rsidR="00B41262">
        <w:t xml:space="preserve"> range</w:t>
      </w:r>
      <w:r w:rsidR="00FF4689">
        <w:t xml:space="preserve"> of all countries utilising </w:t>
      </w:r>
      <w:r w:rsidR="00937C4F">
        <w:t>FOBT</w:t>
      </w:r>
      <w:r w:rsidR="00FF4689">
        <w:t xml:space="preserve"> screening via a mail out method</w:t>
      </w:r>
      <w:r w:rsidR="000E2B5D">
        <w:t>.</w:t>
      </w:r>
    </w:p>
    <w:p w14:paraId="09F18413" w14:textId="0EBA9FDB" w:rsidR="005E514F" w:rsidRDefault="009F0159" w:rsidP="00BF5BF7">
      <w:r>
        <w:t xml:space="preserve">Phase Four of the Program saw the </w:t>
      </w:r>
      <w:r w:rsidR="00076566">
        <w:t>P</w:t>
      </w:r>
      <w:r>
        <w:t>rogram become fully biennial for people age</w:t>
      </w:r>
      <w:r w:rsidR="00D8639C">
        <w:t>d</w:t>
      </w:r>
      <w:r>
        <w:t xml:space="preserve"> 50 to 74</w:t>
      </w:r>
      <w:r w:rsidR="003C5974">
        <w:t xml:space="preserve">, following staged implementation </w:t>
      </w:r>
      <w:r w:rsidR="006E53DB">
        <w:t>since 2006</w:t>
      </w:r>
      <w:r w:rsidR="003C5974">
        <w:t>.</w:t>
      </w:r>
      <w:r w:rsidR="00F43B6F">
        <w:t xml:space="preserve"> Th</w:t>
      </w:r>
      <w:r w:rsidR="00E07C6E">
        <w:t>e Program’s</w:t>
      </w:r>
      <w:r w:rsidR="00D253A5">
        <w:t xml:space="preserve"> screening interval and age bracket is now </w:t>
      </w:r>
      <w:r w:rsidR="0060165D">
        <w:t xml:space="preserve">consistent </w:t>
      </w:r>
      <w:r w:rsidR="00D253A5">
        <w:t xml:space="preserve">with the </w:t>
      </w:r>
      <w:r w:rsidR="00772593">
        <w:t xml:space="preserve">NHMRC-approved </w:t>
      </w:r>
      <w:r w:rsidR="006163E3">
        <w:t xml:space="preserve">clinical practice </w:t>
      </w:r>
      <w:r w:rsidR="00D253A5">
        <w:t xml:space="preserve">guidelines for bowel cancer screening. </w:t>
      </w:r>
      <w:r w:rsidR="00366D7E">
        <w:t xml:space="preserve">The cost-effectiveness </w:t>
      </w:r>
      <w:r w:rsidR="00F4272D">
        <w:t xml:space="preserve">analysis </w:t>
      </w:r>
      <w:r w:rsidR="00366D7E">
        <w:t xml:space="preserve">conducted as part of the review found that </w:t>
      </w:r>
      <w:r w:rsidR="006C4820">
        <w:t xml:space="preserve">the most cost-effective entry age varied slightly </w:t>
      </w:r>
      <w:r w:rsidR="00FD3BE8">
        <w:t>depen</w:t>
      </w:r>
      <w:r w:rsidR="00C105AF">
        <w:t>d</w:t>
      </w:r>
      <w:r w:rsidR="00FD3BE8">
        <w:t>ing</w:t>
      </w:r>
      <w:r w:rsidR="00617DC7">
        <w:t xml:space="preserve"> </w:t>
      </w:r>
      <w:r w:rsidR="006C4820">
        <w:t xml:space="preserve">on the perspective taken, </w:t>
      </w:r>
      <w:r w:rsidR="00D802FF">
        <w:t>however</w:t>
      </w:r>
      <w:r w:rsidR="00617DC7">
        <w:t>,</w:t>
      </w:r>
      <w:r w:rsidR="00D802FF">
        <w:t xml:space="preserve"> over</w:t>
      </w:r>
      <w:r w:rsidR="00617DC7">
        <w:t>all,</w:t>
      </w:r>
      <w:r w:rsidR="00D802FF">
        <w:t xml:space="preserve"> there was a marginal difference between </w:t>
      </w:r>
      <w:r w:rsidR="00FD3BE8">
        <w:t>starting screening at 45 or 50</w:t>
      </w:r>
      <w:r w:rsidR="00D802FF">
        <w:t>.</w:t>
      </w:r>
      <w:r w:rsidR="00366D7E">
        <w:t xml:space="preserve"> </w:t>
      </w:r>
      <w:r w:rsidR="00FD3BE8">
        <w:t xml:space="preserve">The analysis </w:t>
      </w:r>
      <w:r w:rsidR="00EE1A54">
        <w:t xml:space="preserve">also highlighted the </w:t>
      </w:r>
      <w:r w:rsidR="00B30769">
        <w:t>importance</w:t>
      </w:r>
      <w:r w:rsidR="00EE1A54">
        <w:t xml:space="preserve"> of optimising Program</w:t>
      </w:r>
      <w:r w:rsidR="00666A1C">
        <w:t xml:space="preserve"> uptake and compliance</w:t>
      </w:r>
      <w:r w:rsidR="00EE1A54">
        <w:t xml:space="preserve">, </w:t>
      </w:r>
      <w:r w:rsidR="007E2D61">
        <w:t xml:space="preserve">with results showing </w:t>
      </w:r>
      <w:r w:rsidR="00B30769">
        <w:t>that</w:t>
      </w:r>
      <w:r w:rsidR="00FD3BE8">
        <w:t xml:space="preserve"> </w:t>
      </w:r>
      <w:r w:rsidR="00771F9C">
        <w:t>improv</w:t>
      </w:r>
      <w:r w:rsidR="006F54BF">
        <w:t>ed</w:t>
      </w:r>
      <w:r w:rsidR="00771F9C">
        <w:t xml:space="preserve"> </w:t>
      </w:r>
      <w:r w:rsidR="00FD3BE8">
        <w:t>participation and diagnostic assessment rate</w:t>
      </w:r>
      <w:r w:rsidR="006F54BF">
        <w:t>s</w:t>
      </w:r>
      <w:r w:rsidR="00FD3BE8">
        <w:t xml:space="preserve"> </w:t>
      </w:r>
      <w:r w:rsidR="002E40AA">
        <w:t xml:space="preserve">each improve </w:t>
      </w:r>
      <w:r w:rsidR="00FD3BE8">
        <w:t>cost-effectiveness.</w:t>
      </w:r>
    </w:p>
    <w:p w14:paraId="152D86BB" w14:textId="17A88391" w:rsidR="00BF5BF7" w:rsidRDefault="003452D6" w:rsidP="00BF5BF7">
      <w:r>
        <w:t>F</w:t>
      </w:r>
      <w:r w:rsidR="00E57AAC">
        <w:t>urther research is required to assess the feasibility of lowering the age bracket for groups at elevated risk, such as Aboriginal and Torres Strait Islander people.</w:t>
      </w:r>
    </w:p>
    <w:p w14:paraId="4F2B3EA1" w14:textId="687C0BE6" w:rsidR="00A06353" w:rsidRDefault="00CA1A0F" w:rsidP="00E57D66">
      <w:r>
        <w:t>Outside of achieving full implementation of biennial screening,</w:t>
      </w:r>
      <w:r w:rsidR="00676F08">
        <w:t xml:space="preserve"> </w:t>
      </w:r>
      <w:r>
        <w:t xml:space="preserve">the </w:t>
      </w:r>
      <w:r w:rsidR="00676F08">
        <w:t xml:space="preserve">review identified </w:t>
      </w:r>
      <w:r w:rsidR="005F013A">
        <w:t>several</w:t>
      </w:r>
      <w:r w:rsidR="00BB2AF9">
        <w:t xml:space="preserve"> key</w:t>
      </w:r>
      <w:r w:rsidR="00704D25">
        <w:t xml:space="preserve"> </w:t>
      </w:r>
      <w:r w:rsidR="00781BDD">
        <w:t>strengths of the Program</w:t>
      </w:r>
      <w:r w:rsidR="005F013A">
        <w:t xml:space="preserve"> </w:t>
      </w:r>
      <w:r w:rsidR="00781BDD">
        <w:t>in</w:t>
      </w:r>
      <w:r w:rsidR="00704D25">
        <w:t xml:space="preserve"> Phase</w:t>
      </w:r>
      <w:r w:rsidR="00D60C76">
        <w:t xml:space="preserve"> Four</w:t>
      </w:r>
      <w:r w:rsidR="00781BDD">
        <w:t>,</w:t>
      </w:r>
      <w:r w:rsidR="00704D25">
        <w:t xml:space="preserve"> including:</w:t>
      </w:r>
    </w:p>
    <w:p w14:paraId="0B6C9768" w14:textId="22E90CE8" w:rsidR="00337F37" w:rsidRPr="00AD10DC" w:rsidRDefault="00F278CB" w:rsidP="00AD10DC">
      <w:pPr>
        <w:pStyle w:val="ListBullet"/>
      </w:pPr>
      <w:r>
        <w:rPr>
          <w:b/>
          <w:bCs/>
        </w:rPr>
        <w:t>A</w:t>
      </w:r>
      <w:r w:rsidR="00337F37" w:rsidRPr="00337F37">
        <w:rPr>
          <w:b/>
          <w:bCs/>
        </w:rPr>
        <w:t xml:space="preserve">wareness of the program. </w:t>
      </w:r>
      <w:r w:rsidR="00337F37" w:rsidRPr="00A367FD">
        <w:t xml:space="preserve">There is a high degree of awareness of the </w:t>
      </w:r>
      <w:r w:rsidR="006975FF">
        <w:t>P</w:t>
      </w:r>
      <w:r w:rsidR="00337F37" w:rsidRPr="00A367FD">
        <w:t xml:space="preserve">rogram among </w:t>
      </w:r>
      <w:r w:rsidR="00A367FD" w:rsidRPr="00A367FD">
        <w:t>consumers and clinicians</w:t>
      </w:r>
      <w:r w:rsidR="00A367FD">
        <w:t>.</w:t>
      </w:r>
    </w:p>
    <w:p w14:paraId="4DA0448D" w14:textId="7DD828B0" w:rsidR="00F01530" w:rsidRDefault="00940A18" w:rsidP="00AD10DC">
      <w:pPr>
        <w:pStyle w:val="ListBullet"/>
      </w:pPr>
      <w:r w:rsidRPr="00940A18">
        <w:rPr>
          <w:b/>
          <w:bCs/>
        </w:rPr>
        <w:t xml:space="preserve">Alternative </w:t>
      </w:r>
      <w:r w:rsidR="002A4C09">
        <w:rPr>
          <w:b/>
          <w:bCs/>
        </w:rPr>
        <w:t xml:space="preserve">distribution and completion </w:t>
      </w:r>
      <w:r w:rsidRPr="00940A18">
        <w:rPr>
          <w:b/>
          <w:bCs/>
        </w:rPr>
        <w:t>pathways for Aboriginal and Torres Strait Islander people</w:t>
      </w:r>
      <w:r>
        <w:t xml:space="preserve">. </w:t>
      </w:r>
      <w:r w:rsidR="0064424F">
        <w:t xml:space="preserve">Offering </w:t>
      </w:r>
      <w:r w:rsidR="00F01530">
        <w:t>alternative pathways for kit</w:t>
      </w:r>
      <w:r w:rsidR="0043115E">
        <w:t xml:space="preserve"> access</w:t>
      </w:r>
      <w:r w:rsidR="00F01530">
        <w:t xml:space="preserve"> </w:t>
      </w:r>
      <w:r w:rsidR="00405873">
        <w:t>coupled with culturally tailored resources</w:t>
      </w:r>
      <w:r w:rsidR="0064424F">
        <w:t xml:space="preserve"> improved participation </w:t>
      </w:r>
      <w:r w:rsidR="00750409">
        <w:t xml:space="preserve">rates </w:t>
      </w:r>
      <w:r w:rsidR="0064424F">
        <w:t xml:space="preserve">among this cohort in line with </w:t>
      </w:r>
      <w:r w:rsidR="00872B89">
        <w:t xml:space="preserve">overall </w:t>
      </w:r>
      <w:r w:rsidR="00750409">
        <w:t>participation rates</w:t>
      </w:r>
      <w:r w:rsidR="00872B89">
        <w:t>.</w:t>
      </w:r>
    </w:p>
    <w:p w14:paraId="315EF1CA" w14:textId="0B768643" w:rsidR="00750409" w:rsidRDefault="00464FD8" w:rsidP="00AD10DC">
      <w:pPr>
        <w:pStyle w:val="ListBullet"/>
      </w:pPr>
      <w:r w:rsidRPr="00464FD8">
        <w:rPr>
          <w:b/>
          <w:bCs/>
        </w:rPr>
        <w:t>Simplified kit instructions.</w:t>
      </w:r>
      <w:r>
        <w:t xml:space="preserve"> </w:t>
      </w:r>
      <w:r w:rsidR="0043115E" w:rsidRPr="0043115E">
        <w:t xml:space="preserve">The simplified kit instructions (updated in 2018) </w:t>
      </w:r>
      <w:r w:rsidR="00940A18">
        <w:t>were</w:t>
      </w:r>
      <w:r w:rsidR="0043115E" w:rsidRPr="0043115E">
        <w:t xml:space="preserve"> associated with improved rates of valid kit returns.</w:t>
      </w:r>
    </w:p>
    <w:p w14:paraId="599D2DA7" w14:textId="78509C96" w:rsidR="0043115E" w:rsidRPr="00AD10DC" w:rsidRDefault="007B6633" w:rsidP="00AD10DC">
      <w:pPr>
        <w:pStyle w:val="ListBullet"/>
      </w:pPr>
      <w:r w:rsidRPr="007B6633">
        <w:rPr>
          <w:b/>
          <w:bCs/>
        </w:rPr>
        <w:t xml:space="preserve">Diagnostic value of the </w:t>
      </w:r>
      <w:proofErr w:type="spellStart"/>
      <w:r w:rsidRPr="007B6633">
        <w:rPr>
          <w:b/>
          <w:bCs/>
        </w:rPr>
        <w:t>iFOBT</w:t>
      </w:r>
      <w:proofErr w:type="spellEnd"/>
      <w:r w:rsidRPr="007B6633">
        <w:rPr>
          <w:b/>
          <w:bCs/>
        </w:rPr>
        <w:t>.</w:t>
      </w:r>
      <w:r>
        <w:rPr>
          <w:b/>
          <w:bCs/>
        </w:rPr>
        <w:t xml:space="preserve"> </w:t>
      </w:r>
      <w:r w:rsidRPr="007B6633">
        <w:t>Australia</w:t>
      </w:r>
      <w:r>
        <w:t>’s</w:t>
      </w:r>
      <w:r w:rsidRPr="007B6633">
        <w:t xml:space="preserve"> use of a two-sample test</w:t>
      </w:r>
      <w:r>
        <w:rPr>
          <w:b/>
          <w:bCs/>
        </w:rPr>
        <w:t xml:space="preserve"> </w:t>
      </w:r>
      <w:r w:rsidR="00164CC6">
        <w:t xml:space="preserve">results in enhanced detection of lesions </w:t>
      </w:r>
      <w:r w:rsidR="0078463C">
        <w:t>with a</w:t>
      </w:r>
      <w:r w:rsidR="00164CC6">
        <w:t xml:space="preserve"> lower colonoscopy workload</w:t>
      </w:r>
      <w:r w:rsidR="00AB6DED">
        <w:t xml:space="preserve"> compared to a one-sample test, which is used </w:t>
      </w:r>
      <w:r w:rsidR="00391EE8">
        <w:t>i</w:t>
      </w:r>
      <w:r w:rsidR="00AB6DED">
        <w:t>n most other countries.</w:t>
      </w:r>
    </w:p>
    <w:p w14:paraId="493F3552" w14:textId="4136CF77" w:rsidR="00E67F53" w:rsidRPr="00AD10DC" w:rsidRDefault="00D56813" w:rsidP="00AD10DC">
      <w:pPr>
        <w:pStyle w:val="ListBullet"/>
      </w:pPr>
      <w:r>
        <w:rPr>
          <w:b/>
          <w:bCs/>
        </w:rPr>
        <w:t>Transition to a national cancer screening register</w:t>
      </w:r>
      <w:r w:rsidR="00C8466F">
        <w:rPr>
          <w:b/>
          <w:bCs/>
        </w:rPr>
        <w:t xml:space="preserve"> with a healthcare provider portal</w:t>
      </w:r>
      <w:r>
        <w:rPr>
          <w:b/>
          <w:bCs/>
        </w:rPr>
        <w:t>.</w:t>
      </w:r>
      <w:r w:rsidR="00EA581E">
        <w:rPr>
          <w:b/>
          <w:bCs/>
        </w:rPr>
        <w:t xml:space="preserve"> </w:t>
      </w:r>
      <w:r w:rsidR="00EA581E" w:rsidRPr="00EA581E">
        <w:t xml:space="preserve">The transition to </w:t>
      </w:r>
      <w:r w:rsidR="00D3745A">
        <w:t xml:space="preserve">the NCSR </w:t>
      </w:r>
      <w:r w:rsidR="00EA581E">
        <w:t xml:space="preserve">allows for more efficient </w:t>
      </w:r>
      <w:r w:rsidR="00DB1B1E">
        <w:t xml:space="preserve">data collection and </w:t>
      </w:r>
      <w:r w:rsidR="00BF3DAC">
        <w:t>reporting and</w:t>
      </w:r>
      <w:r w:rsidR="00790862">
        <w:t xml:space="preserve"> allows for </w:t>
      </w:r>
      <w:r w:rsidR="00BF3DAC">
        <w:t>invitee data to be updated and monitored by practitioners (through the HPP)</w:t>
      </w:r>
      <w:r w:rsidR="00DB1B1E">
        <w:t xml:space="preserve">. </w:t>
      </w:r>
      <w:r w:rsidR="00D329A6">
        <w:t xml:space="preserve">With the migration </w:t>
      </w:r>
      <w:r w:rsidR="00790862">
        <w:t xml:space="preserve">now </w:t>
      </w:r>
      <w:r w:rsidR="00D329A6">
        <w:t xml:space="preserve">complete, the Program can </w:t>
      </w:r>
      <w:r w:rsidR="00A0270E">
        <w:t>s</w:t>
      </w:r>
      <w:r w:rsidR="00D329A6">
        <w:t xml:space="preserve">hift to a focus on enhancing </w:t>
      </w:r>
      <w:r w:rsidR="009226C7">
        <w:t xml:space="preserve">the </w:t>
      </w:r>
      <w:r w:rsidR="00513212">
        <w:t>completeness</w:t>
      </w:r>
      <w:r w:rsidR="009226C7">
        <w:t xml:space="preserve"> of data </w:t>
      </w:r>
      <w:r w:rsidR="006E65C4">
        <w:t>throughout the diagnostic and cancer care pathway continuum</w:t>
      </w:r>
      <w:r w:rsidR="001263F4">
        <w:t xml:space="preserve">, </w:t>
      </w:r>
      <w:r w:rsidR="00D329A6">
        <w:t>as described below.</w:t>
      </w:r>
    </w:p>
    <w:p w14:paraId="3C5C6DDA" w14:textId="5E5305E0" w:rsidR="00E67F53" w:rsidRPr="003A3494" w:rsidRDefault="00E67F53" w:rsidP="00AD10DC">
      <w:pPr>
        <w:pStyle w:val="ListBullet"/>
      </w:pPr>
      <w:r>
        <w:rPr>
          <w:b/>
          <w:bCs/>
        </w:rPr>
        <w:lastRenderedPageBreak/>
        <w:t xml:space="preserve">Consistency with best-practice </w:t>
      </w:r>
      <w:r w:rsidR="00175F62">
        <w:rPr>
          <w:b/>
          <w:bCs/>
        </w:rPr>
        <w:t>elements</w:t>
      </w:r>
      <w:r>
        <w:rPr>
          <w:b/>
          <w:bCs/>
        </w:rPr>
        <w:t xml:space="preserve"> of </w:t>
      </w:r>
      <w:r w:rsidR="004B46F4">
        <w:rPr>
          <w:b/>
          <w:bCs/>
        </w:rPr>
        <w:t xml:space="preserve">bowel </w:t>
      </w:r>
      <w:r>
        <w:rPr>
          <w:b/>
          <w:bCs/>
        </w:rPr>
        <w:t>cancer screening</w:t>
      </w:r>
      <w:r w:rsidR="004B46F4">
        <w:rPr>
          <w:b/>
          <w:bCs/>
        </w:rPr>
        <w:t xml:space="preserve"> programs</w:t>
      </w:r>
      <w:r>
        <w:rPr>
          <w:b/>
          <w:bCs/>
        </w:rPr>
        <w:t xml:space="preserve">. </w:t>
      </w:r>
      <w:r w:rsidR="004267AB" w:rsidRPr="004267AB">
        <w:t xml:space="preserve">Most facets of the </w:t>
      </w:r>
      <w:r w:rsidR="006B3F4B">
        <w:t>P</w:t>
      </w:r>
      <w:r w:rsidR="004267AB" w:rsidRPr="004267AB">
        <w:t>rogram broadly align with best</w:t>
      </w:r>
      <w:r w:rsidR="004267AB">
        <w:t xml:space="preserve"> </w:t>
      </w:r>
      <w:r w:rsidR="004267AB" w:rsidRPr="004267AB">
        <w:t>practice feature</w:t>
      </w:r>
      <w:r w:rsidR="006C052C">
        <w:t>s</w:t>
      </w:r>
      <w:r w:rsidR="004267AB" w:rsidRPr="004267AB">
        <w:t xml:space="preserve"> of bowel cancer screening Programs, including the</w:t>
      </w:r>
      <w:r w:rsidR="004267AB" w:rsidRPr="003A3494">
        <w:t xml:space="preserve"> </w:t>
      </w:r>
      <w:r w:rsidR="003A3494" w:rsidRPr="003A3494">
        <w:t>participant screening pathway, the mail-out approach to kit distribution</w:t>
      </w:r>
      <w:r w:rsidR="00CF4865">
        <w:t xml:space="preserve"> to </w:t>
      </w:r>
      <w:r w:rsidR="005E7B61">
        <w:t xml:space="preserve">achieve </w:t>
      </w:r>
      <w:r w:rsidR="001263F4">
        <w:t>equitable access</w:t>
      </w:r>
      <w:r w:rsidR="00C036C4">
        <w:t xml:space="preserve">, </w:t>
      </w:r>
      <w:r w:rsidR="00CF4865">
        <w:t xml:space="preserve">the use of </w:t>
      </w:r>
      <w:r w:rsidR="001263F4">
        <w:t>colonoscopy</w:t>
      </w:r>
      <w:r w:rsidR="00CF4865">
        <w:t xml:space="preserve"> for diagnosis, </w:t>
      </w:r>
      <w:r w:rsidR="00C036C4">
        <w:t xml:space="preserve">and the </w:t>
      </w:r>
      <w:r w:rsidR="00AC6F29">
        <w:t xml:space="preserve">suite of endorsed KPIs. However, opportunities to </w:t>
      </w:r>
      <w:r w:rsidR="00550C7C">
        <w:t>enhance</w:t>
      </w:r>
      <w:r w:rsidR="00AC6F29">
        <w:t xml:space="preserve"> many of these features were </w:t>
      </w:r>
      <w:r w:rsidR="005E7B61">
        <w:t>identified and are described</w:t>
      </w:r>
      <w:r w:rsidR="002B1576">
        <w:t xml:space="preserve"> below</w:t>
      </w:r>
      <w:r w:rsidR="005E7B61">
        <w:t>.</w:t>
      </w:r>
    </w:p>
    <w:p w14:paraId="207F28CF" w14:textId="05B50A60" w:rsidR="00444A50" w:rsidRPr="002251B3" w:rsidRDefault="00444A50" w:rsidP="00444A50">
      <w:r>
        <w:t>Now that the Program is fully biennial, the next phase of the Program can shift from a focus on expansion to optimisation. To support optimisation, the</w:t>
      </w:r>
      <w:r w:rsidRPr="002251B3">
        <w:t xml:space="preserve"> review identified several </w:t>
      </w:r>
      <w:r w:rsidR="00C86CCB">
        <w:t>opportunities</w:t>
      </w:r>
      <w:r w:rsidR="003E03EF">
        <w:t xml:space="preserve"> for improvement</w:t>
      </w:r>
      <w:r w:rsidRPr="002251B3">
        <w:t xml:space="preserve">, </w:t>
      </w:r>
      <w:r w:rsidR="009B592D">
        <w:t>as summarised below</w:t>
      </w:r>
      <w:r>
        <w:t>:</w:t>
      </w:r>
    </w:p>
    <w:p w14:paraId="428F1B84" w14:textId="4571E151" w:rsidR="000C2329" w:rsidRPr="00EA2459" w:rsidRDefault="007B2AD6" w:rsidP="00AD10DC">
      <w:pPr>
        <w:pStyle w:val="ListBullet"/>
      </w:pPr>
      <w:r>
        <w:rPr>
          <w:b/>
          <w:bCs/>
        </w:rPr>
        <w:t>P</w:t>
      </w:r>
      <w:r w:rsidR="00EA2459">
        <w:rPr>
          <w:b/>
          <w:bCs/>
        </w:rPr>
        <w:t xml:space="preserve">articipation. </w:t>
      </w:r>
      <w:r w:rsidR="00454BF6" w:rsidRPr="00EA2459">
        <w:t xml:space="preserve">Participation is </w:t>
      </w:r>
      <w:r w:rsidR="00E66B75" w:rsidRPr="00EA2459">
        <w:t>low relative to comparable Programs overseas</w:t>
      </w:r>
      <w:r w:rsidR="00E74182" w:rsidRPr="00EA2459">
        <w:t xml:space="preserve"> and could </w:t>
      </w:r>
      <w:r w:rsidR="008067D5" w:rsidRPr="00EA2459">
        <w:t>be addressed through better integration with primary care</w:t>
      </w:r>
      <w:r w:rsidR="0032182C" w:rsidRPr="00EA2459">
        <w:t xml:space="preserve">, </w:t>
      </w:r>
      <w:r w:rsidR="008067D5" w:rsidRPr="00EA2459">
        <w:t>innovative kit modifications</w:t>
      </w:r>
      <w:r w:rsidR="0032182C" w:rsidRPr="00EA2459">
        <w:t xml:space="preserve"> and sustained media and communications campaigns</w:t>
      </w:r>
      <w:r w:rsidR="000F162C">
        <w:t xml:space="preserve"> (described further in </w:t>
      </w:r>
      <w:r w:rsidR="006529EC">
        <w:t xml:space="preserve">section </w:t>
      </w:r>
      <w:r w:rsidR="006529EC">
        <w:fldChar w:fldCharType="begin"/>
      </w:r>
      <w:r w:rsidR="006529EC">
        <w:instrText xml:space="preserve"> REF _Ref67847596 \r \h </w:instrText>
      </w:r>
      <w:r w:rsidR="006529EC">
        <w:fldChar w:fldCharType="separate"/>
      </w:r>
      <w:r w:rsidR="00F27525">
        <w:t>4.2</w:t>
      </w:r>
      <w:r w:rsidR="006529EC">
        <w:fldChar w:fldCharType="end"/>
      </w:r>
      <w:r w:rsidR="006529EC">
        <w:t>)</w:t>
      </w:r>
      <w:r w:rsidR="00181A00">
        <w:t>.</w:t>
      </w:r>
    </w:p>
    <w:p w14:paraId="422BDDCE" w14:textId="1EBBB159" w:rsidR="00A35330" w:rsidRPr="00930387" w:rsidRDefault="00930387" w:rsidP="00AD10DC">
      <w:pPr>
        <w:pStyle w:val="ListBullet"/>
      </w:pPr>
      <w:r w:rsidRPr="00930387">
        <w:rPr>
          <w:b/>
          <w:bCs/>
        </w:rPr>
        <w:t>Colonoscopy access.</w:t>
      </w:r>
      <w:r>
        <w:t xml:space="preserve"> </w:t>
      </w:r>
      <w:r w:rsidR="00677F53" w:rsidRPr="00930387">
        <w:t xml:space="preserve">Low </w:t>
      </w:r>
      <w:r w:rsidR="00664057" w:rsidRPr="00930387">
        <w:t>rates o</w:t>
      </w:r>
      <w:r w:rsidR="00CF4F55" w:rsidRPr="00930387">
        <w:t>f</w:t>
      </w:r>
      <w:r w:rsidR="00664057" w:rsidRPr="00930387">
        <w:t xml:space="preserve"> </w:t>
      </w:r>
      <w:r w:rsidR="00677F53" w:rsidRPr="00930387">
        <w:t>d</w:t>
      </w:r>
      <w:r w:rsidR="00A35330" w:rsidRPr="00930387">
        <w:t xml:space="preserve">iagnostic assessment rates and </w:t>
      </w:r>
      <w:r w:rsidR="00677F53" w:rsidRPr="00930387">
        <w:t>long wait times</w:t>
      </w:r>
      <w:r w:rsidR="00A35330" w:rsidRPr="00930387">
        <w:t xml:space="preserve"> </w:t>
      </w:r>
      <w:r w:rsidR="00664057" w:rsidRPr="00930387">
        <w:t xml:space="preserve">limit the benefits of the </w:t>
      </w:r>
      <w:r w:rsidR="00D52A0B" w:rsidRPr="00930387">
        <w:t>P</w:t>
      </w:r>
      <w:r w:rsidR="00664057" w:rsidRPr="00930387">
        <w:t>rogram</w:t>
      </w:r>
      <w:r w:rsidR="00844603" w:rsidRPr="00930387">
        <w:t>. These</w:t>
      </w:r>
      <w:r w:rsidR="000E02EF">
        <w:t xml:space="preserve"> challenges</w:t>
      </w:r>
      <w:r w:rsidR="00844603" w:rsidRPr="00930387">
        <w:t xml:space="preserve"> may be </w:t>
      </w:r>
      <w:r w:rsidR="00732C62" w:rsidRPr="00930387">
        <w:t xml:space="preserve">addressed by improving awareness of the </w:t>
      </w:r>
      <w:r w:rsidR="00772593">
        <w:t xml:space="preserve">NHMRC-approved </w:t>
      </w:r>
      <w:r w:rsidR="006163E3">
        <w:t xml:space="preserve">clinical practice </w:t>
      </w:r>
      <w:r w:rsidR="00732C62" w:rsidRPr="00AD10DC">
        <w:t>guidelines</w:t>
      </w:r>
      <w:r w:rsidR="00732C62" w:rsidRPr="00930387">
        <w:t xml:space="preserve"> and</w:t>
      </w:r>
      <w:r w:rsidR="00291E3A" w:rsidRPr="00930387">
        <w:t xml:space="preserve"> reshaping</w:t>
      </w:r>
      <w:r w:rsidR="00CF0BF4">
        <w:t xml:space="preserve"> the</w:t>
      </w:r>
      <w:r w:rsidR="00291E3A" w:rsidRPr="00930387">
        <w:t xml:space="preserve"> PFUF </w:t>
      </w:r>
      <w:r w:rsidR="00CF0BF4">
        <w:t xml:space="preserve">officer role </w:t>
      </w:r>
      <w:r w:rsidR="009C4081" w:rsidRPr="00930387">
        <w:t>to include colonoscopy prioritisation and scheduling</w:t>
      </w:r>
      <w:r w:rsidR="001E78AA">
        <w:t xml:space="preserve"> (described further in section </w:t>
      </w:r>
      <w:r w:rsidR="001E78AA">
        <w:fldChar w:fldCharType="begin"/>
      </w:r>
      <w:r w:rsidR="001E78AA">
        <w:instrText xml:space="preserve"> REF _Ref68541994 \r \h </w:instrText>
      </w:r>
      <w:r w:rsidR="001E78AA">
        <w:fldChar w:fldCharType="separate"/>
      </w:r>
      <w:r w:rsidR="00F27525">
        <w:t>2.2</w:t>
      </w:r>
      <w:r w:rsidR="001E78AA">
        <w:fldChar w:fldCharType="end"/>
      </w:r>
      <w:r w:rsidR="001E78AA">
        <w:t>)</w:t>
      </w:r>
      <w:r w:rsidR="00181A00">
        <w:t>.</w:t>
      </w:r>
    </w:p>
    <w:p w14:paraId="37D3B30A" w14:textId="134CD183" w:rsidR="008424E6" w:rsidRPr="00AD10DC" w:rsidRDefault="002D4543" w:rsidP="00AD10DC">
      <w:pPr>
        <w:pStyle w:val="ListBullet"/>
      </w:pPr>
      <w:bookmarkStart w:id="195" w:name="_Ref68178846"/>
      <w:r>
        <w:rPr>
          <w:b/>
          <w:bCs/>
        </w:rPr>
        <w:t>C</w:t>
      </w:r>
      <w:r w:rsidR="00E17B6D">
        <w:rPr>
          <w:b/>
          <w:bCs/>
        </w:rPr>
        <w:t xml:space="preserve">ompleteness of data. </w:t>
      </w:r>
      <w:r w:rsidR="008424E6" w:rsidRPr="00E17B6D">
        <w:t xml:space="preserve">Complete data to demonstrate Program impact is limited </w:t>
      </w:r>
      <w:r w:rsidR="008A4B20" w:rsidRPr="00E17B6D">
        <w:t>a</w:t>
      </w:r>
      <w:r w:rsidR="008424E6" w:rsidRPr="00E17B6D">
        <w:t xml:space="preserve">nd could be addressed </w:t>
      </w:r>
      <w:r w:rsidR="008A4B20" w:rsidRPr="00E17B6D">
        <w:t>through ta</w:t>
      </w:r>
      <w:r w:rsidR="005D1E11" w:rsidRPr="00E17B6D">
        <w:t>rgeted</w:t>
      </w:r>
      <w:r w:rsidR="008A4B20" w:rsidRPr="00E17B6D">
        <w:t xml:space="preserve"> initiatives</w:t>
      </w:r>
      <w:r w:rsidR="002E007E">
        <w:t xml:space="preserve"> to address data gaps</w:t>
      </w:r>
      <w:r w:rsidR="008A4B20" w:rsidRPr="00E17B6D">
        <w:t xml:space="preserve"> </w:t>
      </w:r>
      <w:r w:rsidR="006E65C4">
        <w:t>along the diagnostic and cancer care continuum</w:t>
      </w:r>
      <w:r w:rsidR="002E007E">
        <w:t xml:space="preserve"> (</w:t>
      </w:r>
      <w:r w:rsidR="002E007E" w:rsidRPr="00AD10DC">
        <w:t>described</w:t>
      </w:r>
      <w:r w:rsidR="002E007E">
        <w:t xml:space="preserve"> further in section </w:t>
      </w:r>
      <w:r w:rsidR="002E007E">
        <w:fldChar w:fldCharType="begin"/>
      </w:r>
      <w:r w:rsidR="002E007E">
        <w:instrText xml:space="preserve"> REF _Ref68542088 \r \h </w:instrText>
      </w:r>
      <w:r w:rsidR="002E007E">
        <w:fldChar w:fldCharType="separate"/>
      </w:r>
      <w:r w:rsidR="00F27525">
        <w:t>3.4</w:t>
      </w:r>
      <w:r w:rsidR="002E007E">
        <w:fldChar w:fldCharType="end"/>
      </w:r>
      <w:r w:rsidR="002E007E">
        <w:t>).</w:t>
      </w:r>
    </w:p>
    <w:p w14:paraId="5502DF49" w14:textId="7E136910" w:rsidR="00644120" w:rsidRPr="00AD10DC" w:rsidRDefault="00644120" w:rsidP="00F341D4">
      <w:pPr>
        <w:pStyle w:val="ListBullet"/>
        <w:spacing w:after="170"/>
      </w:pPr>
      <w:r>
        <w:rPr>
          <w:b/>
          <w:bCs/>
        </w:rPr>
        <w:t xml:space="preserve">Maximising </w:t>
      </w:r>
      <w:r w:rsidR="001B2615">
        <w:rPr>
          <w:b/>
          <w:bCs/>
        </w:rPr>
        <w:t>a</w:t>
      </w:r>
      <w:r>
        <w:rPr>
          <w:b/>
          <w:bCs/>
        </w:rPr>
        <w:t xml:space="preserve">dvisory </w:t>
      </w:r>
      <w:r w:rsidR="001B2615">
        <w:rPr>
          <w:b/>
          <w:bCs/>
        </w:rPr>
        <w:t>g</w:t>
      </w:r>
      <w:r>
        <w:rPr>
          <w:b/>
          <w:bCs/>
        </w:rPr>
        <w:t xml:space="preserve">roup functions and </w:t>
      </w:r>
      <w:r w:rsidR="00A22C38">
        <w:rPr>
          <w:b/>
          <w:bCs/>
        </w:rPr>
        <w:t>promoting the Program’s research agenda.</w:t>
      </w:r>
      <w:r>
        <w:rPr>
          <w:b/>
          <w:bCs/>
        </w:rPr>
        <w:t xml:space="preserve"> </w:t>
      </w:r>
      <w:r w:rsidR="00A22C38" w:rsidRPr="00F678D8">
        <w:t>There is an opportunity to consider reconfiguring the PDAG to include</w:t>
      </w:r>
      <w:r w:rsidR="0079679A" w:rsidRPr="00F678D8">
        <w:t xml:space="preserve"> representation from jurisdictional colorectal departments to support the Program’s initiatives to address colonos</w:t>
      </w:r>
      <w:r w:rsidR="0079679A">
        <w:t>c</w:t>
      </w:r>
      <w:r w:rsidR="0079679A" w:rsidRPr="00F678D8">
        <w:t>opy access barriers</w:t>
      </w:r>
      <w:r w:rsidR="00141763">
        <w:t xml:space="preserve">. In addition, </w:t>
      </w:r>
      <w:r w:rsidR="001303B0">
        <w:t xml:space="preserve">there is an opportunity to </w:t>
      </w:r>
      <w:r w:rsidR="00EA2280">
        <w:t>encourage researchers to pursue research grants in areas that align with the Program’s key research priorities.</w:t>
      </w:r>
    </w:p>
    <w:p w14:paraId="3B1D5E06" w14:textId="390CB6F5" w:rsidR="005B578B" w:rsidRDefault="005B578B" w:rsidP="005B578B">
      <w:pPr>
        <w:pStyle w:val="Heading2"/>
      </w:pPr>
      <w:bookmarkStart w:id="196" w:name="_Toc74219885"/>
      <w:bookmarkStart w:id="197" w:name="_Toc74219934"/>
      <w:bookmarkStart w:id="198" w:name="_Toc74219982"/>
      <w:bookmarkStart w:id="199" w:name="_Toc74220030"/>
      <w:bookmarkStart w:id="200" w:name="_Toc74219886"/>
      <w:bookmarkStart w:id="201" w:name="_Toc74219935"/>
      <w:bookmarkStart w:id="202" w:name="_Toc74219983"/>
      <w:bookmarkStart w:id="203" w:name="_Toc74220031"/>
      <w:bookmarkStart w:id="204" w:name="_Toc74219887"/>
      <w:bookmarkStart w:id="205" w:name="_Toc74219936"/>
      <w:bookmarkStart w:id="206" w:name="_Toc74219984"/>
      <w:bookmarkStart w:id="207" w:name="_Toc74220032"/>
      <w:bookmarkStart w:id="208" w:name="_Toc107837526"/>
      <w:bookmarkEnd w:id="196"/>
      <w:bookmarkEnd w:id="197"/>
      <w:bookmarkEnd w:id="198"/>
      <w:bookmarkEnd w:id="199"/>
      <w:bookmarkEnd w:id="200"/>
      <w:bookmarkEnd w:id="201"/>
      <w:bookmarkEnd w:id="202"/>
      <w:bookmarkEnd w:id="203"/>
      <w:bookmarkEnd w:id="204"/>
      <w:bookmarkEnd w:id="205"/>
      <w:bookmarkEnd w:id="206"/>
      <w:bookmarkEnd w:id="207"/>
      <w:r>
        <w:t>Identified opportunities for improvement</w:t>
      </w:r>
      <w:bookmarkEnd w:id="195"/>
      <w:bookmarkEnd w:id="208"/>
    </w:p>
    <w:p w14:paraId="21342E9B" w14:textId="4A9F0A06" w:rsidR="00C43A0A" w:rsidRDefault="00686638" w:rsidP="00C43A0A">
      <w:r>
        <w:t xml:space="preserve">The findings generated through the review identified several </w:t>
      </w:r>
      <w:r w:rsidR="00DF34BE">
        <w:t xml:space="preserve">actions to </w:t>
      </w:r>
      <w:r w:rsidR="00C70A64">
        <w:t xml:space="preserve">guide </w:t>
      </w:r>
      <w:r w:rsidR="00DF34BE">
        <w:t>the</w:t>
      </w:r>
      <w:r w:rsidR="00C70A64">
        <w:t xml:space="preserve"> key</w:t>
      </w:r>
      <w:r w:rsidR="00DF34BE">
        <w:t xml:space="preserve"> </w:t>
      </w:r>
      <w:r>
        <w:t>opportunities for improvement</w:t>
      </w:r>
      <w:r w:rsidR="00C70A64">
        <w:t xml:space="preserve"> as part of the next phase of the Program</w:t>
      </w:r>
      <w:r w:rsidR="0027605F">
        <w:t>, as listed below:</w:t>
      </w:r>
    </w:p>
    <w:p w14:paraId="26301663" w14:textId="349D37E7" w:rsidR="003075AC" w:rsidRPr="00AD10DC" w:rsidRDefault="003075AC" w:rsidP="00AD10DC">
      <w:pPr>
        <w:pStyle w:val="Heading3un-numbered"/>
      </w:pPr>
      <w:r w:rsidRPr="00AD10DC">
        <w:t>Appropriateness of the Program</w:t>
      </w:r>
    </w:p>
    <w:p w14:paraId="2A18E539" w14:textId="4FEA1792" w:rsidR="00FA08FB" w:rsidRPr="00AD10DC" w:rsidRDefault="004A1F1A" w:rsidP="002066F3">
      <w:pPr>
        <w:pStyle w:val="ListNumber"/>
        <w:rPr>
          <w:lang w:val="en-US"/>
        </w:rPr>
      </w:pPr>
      <w:r w:rsidRPr="004526ED">
        <w:rPr>
          <w:lang w:val="en-US"/>
        </w:rPr>
        <w:t xml:space="preserve">Consider feasibility of lowering </w:t>
      </w:r>
      <w:r w:rsidR="00187A31" w:rsidRPr="00F02730">
        <w:rPr>
          <w:lang w:val="en-US"/>
        </w:rPr>
        <w:t xml:space="preserve">screening entry age to 40 </w:t>
      </w:r>
      <w:r w:rsidR="009158E8">
        <w:rPr>
          <w:lang w:val="en-US"/>
        </w:rPr>
        <w:t>or</w:t>
      </w:r>
      <w:r w:rsidR="009158E8" w:rsidRPr="00F02730">
        <w:rPr>
          <w:lang w:val="en-US"/>
        </w:rPr>
        <w:t xml:space="preserve"> </w:t>
      </w:r>
      <w:r w:rsidR="00187A31" w:rsidRPr="00F02730">
        <w:rPr>
          <w:lang w:val="en-US"/>
        </w:rPr>
        <w:t xml:space="preserve">45 </w:t>
      </w:r>
      <w:r w:rsidRPr="00452EE0">
        <w:rPr>
          <w:lang w:val="en-US"/>
        </w:rPr>
        <w:t xml:space="preserve">for Aboriginal and Torres </w:t>
      </w:r>
      <w:r w:rsidRPr="002C5835">
        <w:rPr>
          <w:lang w:val="en-US"/>
        </w:rPr>
        <w:t>Strait Islander people</w:t>
      </w:r>
      <w:r w:rsidR="00187A31" w:rsidRPr="002C5835">
        <w:rPr>
          <w:lang w:val="en-US"/>
        </w:rPr>
        <w:t xml:space="preserve">, coupled with </w:t>
      </w:r>
      <w:r w:rsidR="005A5AF5" w:rsidRPr="002C5835">
        <w:rPr>
          <w:lang w:val="en-US"/>
        </w:rPr>
        <w:t>scale of the Al</w:t>
      </w:r>
      <w:r w:rsidR="00772593" w:rsidRPr="002C5835">
        <w:rPr>
          <w:lang w:val="en-US"/>
        </w:rPr>
        <w:t>terna</w:t>
      </w:r>
      <w:r w:rsidR="005A5AF5" w:rsidRPr="002C5835">
        <w:rPr>
          <w:lang w:val="en-US"/>
        </w:rPr>
        <w:t xml:space="preserve">tive Pathway pilot for this group. </w:t>
      </w:r>
    </w:p>
    <w:p w14:paraId="545FB3F8" w14:textId="066CA1BD" w:rsidR="00082FEE" w:rsidRPr="00AD10DC" w:rsidRDefault="00FA08FB" w:rsidP="002066F3">
      <w:pPr>
        <w:pStyle w:val="ListNumber"/>
        <w:rPr>
          <w:lang w:val="en-US"/>
        </w:rPr>
      </w:pPr>
      <w:r>
        <w:rPr>
          <w:lang w:val="en-US"/>
        </w:rPr>
        <w:t>Review timing intervals for reminders with clinical input.</w:t>
      </w:r>
    </w:p>
    <w:p w14:paraId="7AF99896" w14:textId="2126E59C" w:rsidR="00082FEE" w:rsidRPr="00082FEE" w:rsidRDefault="00082FEE" w:rsidP="002066F3">
      <w:pPr>
        <w:pStyle w:val="ListNumber"/>
        <w:rPr>
          <w:lang w:val="en-US"/>
        </w:rPr>
      </w:pPr>
      <w:r w:rsidRPr="00082FEE">
        <w:rPr>
          <w:lang w:val="en-US"/>
        </w:rPr>
        <w:t>Consideration should be given to alternate forms of communication which do not require simultaneous availability of the PFUF officer and recipient (</w:t>
      </w:r>
      <w:proofErr w:type="gramStart"/>
      <w:r w:rsidRPr="00082FEE">
        <w:rPr>
          <w:lang w:val="en-US"/>
        </w:rPr>
        <w:t>e.g.</w:t>
      </w:r>
      <w:proofErr w:type="gramEnd"/>
      <w:r w:rsidRPr="00082FEE">
        <w:rPr>
          <w:lang w:val="en-US"/>
        </w:rPr>
        <w:t xml:space="preserve"> email/SMS).</w:t>
      </w:r>
    </w:p>
    <w:p w14:paraId="0F85AE3A" w14:textId="6867988C" w:rsidR="00F22724" w:rsidRPr="00AD10DC" w:rsidRDefault="00F22724" w:rsidP="00AD10DC">
      <w:pPr>
        <w:pStyle w:val="Heading3un-numbered"/>
      </w:pPr>
      <w:r w:rsidRPr="00AD10DC">
        <w:t>Appropriateness of colonoscopy</w:t>
      </w:r>
    </w:p>
    <w:p w14:paraId="309C2908" w14:textId="728AAC2D" w:rsidR="00F22724" w:rsidRDefault="00F22724" w:rsidP="002066F3">
      <w:pPr>
        <w:pStyle w:val="ListNumber"/>
        <w:rPr>
          <w:lang w:val="en-US"/>
        </w:rPr>
      </w:pPr>
      <w:r w:rsidRPr="00F22724">
        <w:rPr>
          <w:lang w:val="en-US"/>
        </w:rPr>
        <w:t xml:space="preserve">Support the </w:t>
      </w:r>
      <w:r w:rsidR="004C753C">
        <w:rPr>
          <w:lang w:val="en-US"/>
        </w:rPr>
        <w:t>ACSQHC</w:t>
      </w:r>
      <w:r w:rsidR="004C753C" w:rsidRPr="00F22724">
        <w:rPr>
          <w:lang w:val="en-US"/>
        </w:rPr>
        <w:t xml:space="preserve"> </w:t>
      </w:r>
      <w:r w:rsidRPr="00F22724">
        <w:rPr>
          <w:lang w:val="en-US"/>
        </w:rPr>
        <w:t xml:space="preserve">with its implementation of the CCCS and monitor </w:t>
      </w:r>
      <w:r>
        <w:rPr>
          <w:lang w:val="en-US"/>
        </w:rPr>
        <w:t xml:space="preserve">colonoscopy </w:t>
      </w:r>
      <w:r w:rsidRPr="00F22724">
        <w:rPr>
          <w:lang w:val="en-US"/>
        </w:rPr>
        <w:t>performance against colonoscopy quality standards.</w:t>
      </w:r>
    </w:p>
    <w:p w14:paraId="2DCE8B33" w14:textId="37A5F1E5" w:rsidR="00F22724" w:rsidRDefault="005E492E" w:rsidP="002066F3">
      <w:pPr>
        <w:pStyle w:val="ListNumber"/>
        <w:rPr>
          <w:lang w:val="en-US"/>
        </w:rPr>
      </w:pPr>
      <w:r>
        <w:rPr>
          <w:lang w:val="en-US"/>
        </w:rPr>
        <w:t>Encourage s</w:t>
      </w:r>
      <w:r w:rsidR="00F22724" w:rsidRPr="00F22724">
        <w:rPr>
          <w:lang w:val="en-US"/>
        </w:rPr>
        <w:t xml:space="preserve">tates and territories to </w:t>
      </w:r>
      <w:r w:rsidR="00381E76">
        <w:rPr>
          <w:lang w:val="en-US"/>
        </w:rPr>
        <w:t>pilot projects that reshape the PFUF role in line with</w:t>
      </w:r>
      <w:r w:rsidR="00F22724" w:rsidRPr="00F22724">
        <w:rPr>
          <w:lang w:val="en-US"/>
        </w:rPr>
        <w:t xml:space="preserve"> innovative colonoscopy access models.</w:t>
      </w:r>
    </w:p>
    <w:p w14:paraId="07EAFC5A" w14:textId="00BB0B90" w:rsidR="00642743" w:rsidRDefault="002C6530" w:rsidP="002066F3">
      <w:pPr>
        <w:pStyle w:val="ListNumber"/>
        <w:rPr>
          <w:lang w:val="en-US"/>
        </w:rPr>
      </w:pPr>
      <w:bookmarkStart w:id="209" w:name="_Hlk74144393"/>
      <w:r w:rsidRPr="002C6530">
        <w:rPr>
          <w:lang w:val="en-US"/>
        </w:rPr>
        <w:t>Engage with PHNs and professional bodies (</w:t>
      </w:r>
      <w:proofErr w:type="gramStart"/>
      <w:r w:rsidRPr="002C6530">
        <w:rPr>
          <w:lang w:val="en-US"/>
        </w:rPr>
        <w:t>e.g.</w:t>
      </w:r>
      <w:proofErr w:type="gramEnd"/>
      <w:r w:rsidRPr="002C6530">
        <w:rPr>
          <w:lang w:val="en-US"/>
        </w:rPr>
        <w:t xml:space="preserve"> RACGP and RACP) to promote </w:t>
      </w:r>
      <w:r w:rsidR="003D42CD">
        <w:rPr>
          <w:lang w:val="en-US"/>
        </w:rPr>
        <w:t xml:space="preserve">a comprehensive set of </w:t>
      </w:r>
      <w:r w:rsidRPr="002C6530">
        <w:rPr>
          <w:lang w:val="en-US"/>
        </w:rPr>
        <w:t>educational materials which describe the NHMRC-approved clinical practice guidelines</w:t>
      </w:r>
      <w:r w:rsidR="00A27B97">
        <w:rPr>
          <w:lang w:val="en-US"/>
        </w:rPr>
        <w:t>, the Program’s full alignment with</w:t>
      </w:r>
      <w:r w:rsidR="003D42CD">
        <w:rPr>
          <w:lang w:val="en-US"/>
        </w:rPr>
        <w:t xml:space="preserve"> biennial screening recommendations, and</w:t>
      </w:r>
      <w:r w:rsidRPr="002C6530">
        <w:rPr>
          <w:lang w:val="en-US"/>
        </w:rPr>
        <w:t xml:space="preserve"> recent changes to the MBS item codes</w:t>
      </w:r>
      <w:r w:rsidR="003D42CD">
        <w:rPr>
          <w:lang w:val="en-US"/>
        </w:rPr>
        <w:t xml:space="preserve"> for colonoscopy</w:t>
      </w:r>
      <w:r w:rsidR="00642743" w:rsidRPr="00642743">
        <w:rPr>
          <w:lang w:val="en-US"/>
        </w:rPr>
        <w:t>.</w:t>
      </w:r>
    </w:p>
    <w:p w14:paraId="3F9B8FE0" w14:textId="43A506E0" w:rsidR="0083119B" w:rsidRPr="00AD10DC" w:rsidRDefault="0083119B" w:rsidP="00AD10DC">
      <w:pPr>
        <w:pStyle w:val="Heading3un-numbered"/>
      </w:pPr>
      <w:r w:rsidRPr="00AD10DC">
        <w:t>Governance</w:t>
      </w:r>
    </w:p>
    <w:p w14:paraId="4C3CD78E" w14:textId="7902911B" w:rsidR="0083119B" w:rsidRDefault="0083119B" w:rsidP="002066F3">
      <w:pPr>
        <w:pStyle w:val="ListNumber"/>
        <w:rPr>
          <w:lang w:val="en-US"/>
        </w:rPr>
      </w:pPr>
      <w:r>
        <w:t>Re-</w:t>
      </w:r>
      <w:r w:rsidRPr="00DD6080">
        <w:t xml:space="preserve">configure PDAG to include jurisdictional representatives that </w:t>
      </w:r>
      <w:proofErr w:type="gramStart"/>
      <w:r w:rsidRPr="00DD6080">
        <w:t>are able to</w:t>
      </w:r>
      <w:proofErr w:type="gramEnd"/>
      <w:r w:rsidRPr="00DD6080">
        <w:t xml:space="preserve"> provide operational advice on contextual issues related to colonoscopy access.</w:t>
      </w:r>
    </w:p>
    <w:bookmarkEnd w:id="209"/>
    <w:p w14:paraId="0C8D49A9" w14:textId="53881C44" w:rsidR="00082FEE" w:rsidRPr="00082FEE" w:rsidRDefault="0083119B" w:rsidP="002066F3">
      <w:pPr>
        <w:pStyle w:val="ListNumber"/>
        <w:rPr>
          <w:lang w:val="en-US"/>
        </w:rPr>
      </w:pPr>
      <w:r w:rsidRPr="00F678D8">
        <w:rPr>
          <w:lang w:val="en-US"/>
        </w:rPr>
        <w:t xml:space="preserve">Promote </w:t>
      </w:r>
      <w:r w:rsidRPr="004526ED">
        <w:rPr>
          <w:lang w:val="en-US"/>
        </w:rPr>
        <w:t>the Program’s research priorities to external researchers.</w:t>
      </w:r>
      <w:r w:rsidR="00E65097" w:rsidRPr="004526ED">
        <w:rPr>
          <w:lang w:val="en-US"/>
        </w:rPr>
        <w:t xml:space="preserve"> </w:t>
      </w:r>
    </w:p>
    <w:p w14:paraId="1A9C85A3" w14:textId="10A48A85" w:rsidR="0083119B" w:rsidRDefault="00061584" w:rsidP="002066F3">
      <w:pPr>
        <w:pStyle w:val="ListNumber"/>
        <w:rPr>
          <w:lang w:val="en-US"/>
        </w:rPr>
      </w:pPr>
      <w:r>
        <w:t>R</w:t>
      </w:r>
      <w:r w:rsidRPr="00C24343">
        <w:t xml:space="preserve">eset the working relationship with all stakeholders to ensure needs are being met </w:t>
      </w:r>
      <w:proofErr w:type="gramStart"/>
      <w:r w:rsidRPr="00C24343">
        <w:t>in regard to</w:t>
      </w:r>
      <w:proofErr w:type="gramEnd"/>
      <w:r w:rsidRPr="00C24343">
        <w:t xml:space="preserve"> the purpose of each group and expectations on information sharing. </w:t>
      </w:r>
    </w:p>
    <w:p w14:paraId="3A9BC5F2" w14:textId="2E1ADC72" w:rsidR="00C45DE4" w:rsidRPr="00AD10DC" w:rsidRDefault="00C45DE4" w:rsidP="00AD10DC">
      <w:pPr>
        <w:pStyle w:val="Heading3un-numbered"/>
      </w:pPr>
      <w:r w:rsidRPr="00AD10DC">
        <w:lastRenderedPageBreak/>
        <w:t>Data collection</w:t>
      </w:r>
    </w:p>
    <w:p w14:paraId="011B9FAE" w14:textId="43F8D609" w:rsidR="00A816F1" w:rsidRPr="00AD10DC" w:rsidRDefault="00FF0520" w:rsidP="002066F3">
      <w:pPr>
        <w:pStyle w:val="ListNumber"/>
        <w:rPr>
          <w:u w:val="single"/>
          <w:lang w:val="en-US"/>
        </w:rPr>
      </w:pPr>
      <w:r w:rsidRPr="00FF0520">
        <w:t>Reconvene a working group with the goal of prioritising initiatives to address data gaps and agree on any required changes to the endorsed set of KPIs.</w:t>
      </w:r>
      <w:r>
        <w:t xml:space="preserve"> This group should be set-up over the medium to long term to manage the stakeholder engagement, effort and time required to </w:t>
      </w:r>
      <w:r w:rsidR="001F4CEA">
        <w:t>impl</w:t>
      </w:r>
      <w:r w:rsidR="00D5724F">
        <w:t>ement</w:t>
      </w:r>
      <w:r w:rsidR="001F4CEA">
        <w:t xml:space="preserve"> </w:t>
      </w:r>
      <w:r w:rsidR="00D5724F">
        <w:t>and oversee initiatives</w:t>
      </w:r>
      <w:r w:rsidR="001F4CEA">
        <w:t xml:space="preserve"> to address data gaps.</w:t>
      </w:r>
    </w:p>
    <w:p w14:paraId="482C2B96" w14:textId="48A10392" w:rsidR="00985ADE" w:rsidRPr="002B6F07" w:rsidRDefault="002B6F07" w:rsidP="002066F3">
      <w:pPr>
        <w:pStyle w:val="ListNumber"/>
        <w:rPr>
          <w:lang w:val="en-US"/>
        </w:rPr>
      </w:pPr>
      <w:r w:rsidRPr="002B6F07">
        <w:rPr>
          <w:lang w:val="en-US"/>
        </w:rPr>
        <w:t xml:space="preserve">Improve visibility of the target population’s participation in other forms of bowel cancer screening, including via </w:t>
      </w:r>
      <w:proofErr w:type="gramStart"/>
      <w:r w:rsidRPr="002B6F07">
        <w:rPr>
          <w:lang w:val="en-US"/>
        </w:rPr>
        <w:t>over-the-counter</w:t>
      </w:r>
      <w:proofErr w:type="gramEnd"/>
      <w:r w:rsidRPr="002B6F07">
        <w:rPr>
          <w:lang w:val="en-US"/>
        </w:rPr>
        <w:t xml:space="preserve"> </w:t>
      </w:r>
      <w:proofErr w:type="spellStart"/>
      <w:r w:rsidRPr="002B6F07">
        <w:rPr>
          <w:lang w:val="en-US"/>
        </w:rPr>
        <w:t>iFOBT</w:t>
      </w:r>
      <w:proofErr w:type="spellEnd"/>
      <w:r w:rsidRPr="002B6F07">
        <w:rPr>
          <w:lang w:val="en-US"/>
        </w:rPr>
        <w:t xml:space="preserve"> kits or kits provided by clinicians. Identifying invitees in the target population deemed to be at higher risk for bowel cancer (who may be undergoing surveillance colonoscopies) would also allow a more accurate measure of the true Program participation rate.</w:t>
      </w:r>
    </w:p>
    <w:p w14:paraId="0899ADEB" w14:textId="7911A048" w:rsidR="001F4CEA" w:rsidRPr="00AD10DC" w:rsidRDefault="001F4CEA" w:rsidP="00AD10DC">
      <w:pPr>
        <w:pStyle w:val="Heading3un-numbered"/>
      </w:pPr>
      <w:r w:rsidRPr="00AD10DC">
        <w:t>Participation</w:t>
      </w:r>
    </w:p>
    <w:p w14:paraId="682A54C6" w14:textId="3386520B" w:rsidR="00EF5DAD" w:rsidRPr="00AD10DC" w:rsidRDefault="00EF5DAD" w:rsidP="002066F3">
      <w:pPr>
        <w:pStyle w:val="ListNumber"/>
      </w:pPr>
      <w:r w:rsidRPr="005C5439">
        <w:rPr>
          <w:bCs/>
          <w:lang w:val="en-US"/>
        </w:rPr>
        <w:t>Implement sustained and coordinated media and communications campaigns.</w:t>
      </w:r>
      <w:r w:rsidRPr="003F20C3">
        <w:rPr>
          <w:lang w:val="en-US"/>
        </w:rPr>
        <w:t xml:space="preserve"> </w:t>
      </w:r>
      <w:r>
        <w:rPr>
          <w:lang w:val="en-US"/>
        </w:rPr>
        <w:t>C</w:t>
      </w:r>
      <w:r w:rsidRPr="003F20C3">
        <w:rPr>
          <w:lang w:val="en-US"/>
        </w:rPr>
        <w:t xml:space="preserve">ampaigns should be national in nature </w:t>
      </w:r>
      <w:r>
        <w:rPr>
          <w:lang w:val="en-US"/>
        </w:rPr>
        <w:t xml:space="preserve">(across jurisdictional and cancer charities, where possible) </w:t>
      </w:r>
      <w:r w:rsidRPr="003F20C3">
        <w:rPr>
          <w:lang w:val="en-US"/>
        </w:rPr>
        <w:t xml:space="preserve">to promote a coordinated message that </w:t>
      </w:r>
      <w:proofErr w:type="spellStart"/>
      <w:r w:rsidRPr="003F20C3">
        <w:rPr>
          <w:lang w:val="en-US"/>
        </w:rPr>
        <w:t>minimi</w:t>
      </w:r>
      <w:r>
        <w:rPr>
          <w:lang w:val="en-US"/>
        </w:rPr>
        <w:t>s</w:t>
      </w:r>
      <w:r w:rsidRPr="003F20C3">
        <w:rPr>
          <w:lang w:val="en-US"/>
        </w:rPr>
        <w:t>es</w:t>
      </w:r>
      <w:proofErr w:type="spellEnd"/>
      <w:r w:rsidRPr="003F20C3">
        <w:rPr>
          <w:lang w:val="en-US"/>
        </w:rPr>
        <w:t xml:space="preserve"> fragmentation and duplication of effort.</w:t>
      </w:r>
      <w:r>
        <w:t xml:space="preserve"> </w:t>
      </w:r>
    </w:p>
    <w:p w14:paraId="00FD2779" w14:textId="1375B91F" w:rsidR="000C6469" w:rsidRPr="00AD10DC" w:rsidRDefault="001F4CEA" w:rsidP="002066F3">
      <w:pPr>
        <w:pStyle w:val="ListNumber"/>
        <w:rPr>
          <w:bCs/>
          <w:u w:val="single"/>
          <w:lang w:val="en-US"/>
        </w:rPr>
      </w:pPr>
      <w:r w:rsidRPr="000C6469">
        <w:rPr>
          <w:bCs/>
          <w:lang w:val="en-US"/>
        </w:rPr>
        <w:t>Use the primary care sector as a resource to promote participation through education and opportunistic provision of kits.</w:t>
      </w:r>
      <w:r w:rsidR="000C6469">
        <w:rPr>
          <w:bCs/>
          <w:lang w:val="en-US"/>
        </w:rPr>
        <w:t xml:space="preserve"> </w:t>
      </w:r>
      <w:r w:rsidR="000C6469">
        <w:rPr>
          <w:lang w:val="en-US"/>
        </w:rPr>
        <w:t>GPs, practice nurses and pharmacists are well</w:t>
      </w:r>
      <w:r w:rsidR="004B0AD4">
        <w:rPr>
          <w:lang w:val="en-US"/>
        </w:rPr>
        <w:t xml:space="preserve"> </w:t>
      </w:r>
      <w:r w:rsidR="000C6469">
        <w:rPr>
          <w:lang w:val="en-US"/>
        </w:rPr>
        <w:t xml:space="preserve">placed to promote and provide counselling regarding Program participation. </w:t>
      </w:r>
    </w:p>
    <w:p w14:paraId="58A06A9A" w14:textId="4C53B9FB" w:rsidR="000C6469" w:rsidRPr="00AD10DC" w:rsidRDefault="000C6469" w:rsidP="002066F3">
      <w:pPr>
        <w:pStyle w:val="ListNumber"/>
        <w:rPr>
          <w:bCs/>
        </w:rPr>
      </w:pPr>
      <w:r w:rsidRPr="000C6469">
        <w:rPr>
          <w:bCs/>
        </w:rPr>
        <w:t>Consider piloting sample drop-off points.</w:t>
      </w:r>
      <w:r w:rsidR="008F3E74">
        <w:rPr>
          <w:bCs/>
        </w:rPr>
        <w:t xml:space="preserve"> Trials of this nature should initially </w:t>
      </w:r>
      <w:r w:rsidR="002503BA">
        <w:rPr>
          <w:bCs/>
        </w:rPr>
        <w:t>be targeted at people in</w:t>
      </w:r>
      <w:r w:rsidR="008F3E74">
        <w:rPr>
          <w:bCs/>
        </w:rPr>
        <w:t xml:space="preserve"> </w:t>
      </w:r>
      <w:r w:rsidR="002B6F07">
        <w:t>regional areas</w:t>
      </w:r>
      <w:r w:rsidR="008F3E74">
        <w:t xml:space="preserve"> due to the</w:t>
      </w:r>
      <w:r w:rsidR="002503BA">
        <w:t>ir</w:t>
      </w:r>
      <w:r w:rsidR="008F3E74">
        <w:t xml:space="preserve"> unique challenges in complying with the strict return postage requirements</w:t>
      </w:r>
      <w:r w:rsidR="00946334">
        <w:t>.</w:t>
      </w:r>
    </w:p>
    <w:p w14:paraId="002A9431" w14:textId="7E146B0E" w:rsidR="000C6469" w:rsidRPr="00AD10DC" w:rsidRDefault="000C6469" w:rsidP="002066F3">
      <w:pPr>
        <w:pStyle w:val="ListNumber"/>
        <w:rPr>
          <w:bCs/>
        </w:rPr>
      </w:pPr>
      <w:r w:rsidRPr="00474A6D">
        <w:rPr>
          <w:bCs/>
          <w:lang w:val="en-US"/>
        </w:rPr>
        <w:t>Scale up the Alternative Pathway pilot, as appropriate in other population groups.</w:t>
      </w:r>
      <w:r w:rsidR="00474A6D">
        <w:rPr>
          <w:bCs/>
          <w:lang w:val="en-US"/>
        </w:rPr>
        <w:t xml:space="preserve"> </w:t>
      </w:r>
      <w:r w:rsidR="00474A6D" w:rsidRPr="003F20C3">
        <w:rPr>
          <w:lang w:val="en-US"/>
        </w:rPr>
        <w:t>Th</w:t>
      </w:r>
      <w:r w:rsidR="00474A6D">
        <w:rPr>
          <w:lang w:val="en-US"/>
        </w:rPr>
        <w:t xml:space="preserve">is includes other locations targeted at Aboriginal and Torres Strait Islander people, as well as exploration of how the pilot could be tailored to address access barriers faced by </w:t>
      </w:r>
      <w:r w:rsidR="00B014FE">
        <w:rPr>
          <w:lang w:val="en-US"/>
        </w:rPr>
        <w:t xml:space="preserve">invitees </w:t>
      </w:r>
      <w:r w:rsidR="00C244F6">
        <w:rPr>
          <w:lang w:val="en-US"/>
        </w:rPr>
        <w:t xml:space="preserve">from </w:t>
      </w:r>
      <w:r w:rsidR="00474A6D">
        <w:rPr>
          <w:lang w:val="en-US"/>
        </w:rPr>
        <w:t xml:space="preserve">CALD </w:t>
      </w:r>
      <w:r w:rsidR="00C244F6">
        <w:rPr>
          <w:lang w:val="en-US"/>
        </w:rPr>
        <w:t>backgrounds</w:t>
      </w:r>
      <w:r w:rsidR="00474A6D">
        <w:rPr>
          <w:lang w:val="en-US"/>
        </w:rPr>
        <w:t>.</w:t>
      </w:r>
    </w:p>
    <w:p w14:paraId="45F5A910" w14:textId="2408AFFD" w:rsidR="00474A6D" w:rsidRPr="00AD10DC" w:rsidRDefault="00AB740D" w:rsidP="002066F3">
      <w:pPr>
        <w:pStyle w:val="ListNumber"/>
        <w:rPr>
          <w:bCs/>
        </w:rPr>
      </w:pPr>
      <w:r w:rsidRPr="00AB740D">
        <w:rPr>
          <w:lang w:val="en-US"/>
        </w:rPr>
        <w:t xml:space="preserve">Explore </w:t>
      </w:r>
      <w:proofErr w:type="spellStart"/>
      <w:r w:rsidR="006B080F">
        <w:rPr>
          <w:lang w:val="en-US"/>
        </w:rPr>
        <w:t>utilisation</w:t>
      </w:r>
      <w:proofErr w:type="spellEnd"/>
      <w:r w:rsidR="006B080F">
        <w:rPr>
          <w:lang w:val="en-US"/>
        </w:rPr>
        <w:t xml:space="preserve"> of the NCSR</w:t>
      </w:r>
      <w:r w:rsidRPr="00AB740D">
        <w:rPr>
          <w:lang w:val="en-US"/>
        </w:rPr>
        <w:t xml:space="preserve"> to improve participation.</w:t>
      </w:r>
      <w:r w:rsidRPr="00FF5B16">
        <w:rPr>
          <w:b/>
          <w:bCs/>
          <w:lang w:val="en-US"/>
        </w:rPr>
        <w:t xml:space="preserve"> </w:t>
      </w:r>
      <w:r>
        <w:rPr>
          <w:lang w:val="en-US"/>
        </w:rPr>
        <w:t xml:space="preserve">This could include electronic reminders, streamlined processes for completion of personal details, access to in-language communications, as well as </w:t>
      </w:r>
      <w:proofErr w:type="spellStart"/>
      <w:r>
        <w:rPr>
          <w:lang w:val="en-US"/>
        </w:rPr>
        <w:t>personalised</w:t>
      </w:r>
      <w:proofErr w:type="spellEnd"/>
      <w:r>
        <w:rPr>
          <w:lang w:val="en-US"/>
        </w:rPr>
        <w:t xml:space="preserve"> invitations based on Program screening history</w:t>
      </w:r>
      <w:r w:rsidR="00843D9E">
        <w:rPr>
          <w:lang w:val="en-US"/>
        </w:rPr>
        <w:t xml:space="preserve"> and/or demographic factors.</w:t>
      </w:r>
      <w:r w:rsidR="00060C70">
        <w:rPr>
          <w:lang w:val="en-US"/>
        </w:rPr>
        <w:t xml:space="preserve"> </w:t>
      </w:r>
      <w:r w:rsidR="0065257C">
        <w:t>However, given phone/email contact information is unavailable for first-time screeners,</w:t>
      </w:r>
      <w:r w:rsidR="00060C70">
        <w:t xml:space="preserve"> </w:t>
      </w:r>
      <w:r w:rsidR="0065257C">
        <w:t>mechanisms to collect this information from other government databases, such as MyGov, may be required.</w:t>
      </w:r>
    </w:p>
    <w:p w14:paraId="135281BE" w14:textId="2C7C894D" w:rsidR="005C5439" w:rsidRPr="00AD10DC" w:rsidRDefault="00474A6D" w:rsidP="002066F3">
      <w:pPr>
        <w:pStyle w:val="ListNumber"/>
        <w:rPr>
          <w:bCs/>
        </w:rPr>
      </w:pPr>
      <w:r w:rsidRPr="00474A6D">
        <w:rPr>
          <w:bCs/>
          <w:lang w:val="en-US"/>
        </w:rPr>
        <w:t xml:space="preserve">Modify kit </w:t>
      </w:r>
      <w:r w:rsidR="00E85AC4">
        <w:rPr>
          <w:bCs/>
          <w:lang w:val="en-US"/>
        </w:rPr>
        <w:t>contents and accessories</w:t>
      </w:r>
      <w:r w:rsidRPr="00474A6D">
        <w:rPr>
          <w:bCs/>
          <w:lang w:val="en-US"/>
        </w:rPr>
        <w:t xml:space="preserve"> to mitigate common reasons for non-completion.</w:t>
      </w:r>
      <w:r w:rsidR="007A72CE" w:rsidRPr="007A72CE">
        <w:t xml:space="preserve"> </w:t>
      </w:r>
      <w:r w:rsidR="007A72CE">
        <w:t xml:space="preserve">This may </w:t>
      </w:r>
      <w:r w:rsidR="0085088A">
        <w:t>include</w:t>
      </w:r>
      <w:r w:rsidR="007A72CE">
        <w:t xml:space="preserve"> an action plan for completion contained in the kit instructions</w:t>
      </w:r>
      <w:r w:rsidR="005C5439">
        <w:t xml:space="preserve"> (to overcome the procrastination barrier)</w:t>
      </w:r>
      <w:r w:rsidR="007A72CE">
        <w:t>, and</w:t>
      </w:r>
      <w:r w:rsidR="005C5439">
        <w:t>/or</w:t>
      </w:r>
      <w:r w:rsidR="007A72CE">
        <w:t xml:space="preserve"> provision of accessories such as an opaque bag for fridge storage</w:t>
      </w:r>
      <w:r w:rsidR="005C5439">
        <w:t xml:space="preserve"> (to overcome perceived hygiene concerns).</w:t>
      </w:r>
      <w:r w:rsidR="00E477BC" w:rsidRPr="00E477BC">
        <w:t xml:space="preserve"> </w:t>
      </w:r>
      <w:r w:rsidR="00E477BC">
        <w:t>Please refer to the ‘Supplementary information’ section for further information.</w:t>
      </w:r>
    </w:p>
    <w:p w14:paraId="36257980" w14:textId="45CCC180" w:rsidR="002C1140" w:rsidRPr="00174283" w:rsidRDefault="008F3511" w:rsidP="008F3511">
      <w:pPr>
        <w:pStyle w:val="Heading1un-numbered"/>
      </w:pPr>
      <w:bookmarkStart w:id="210" w:name="_Toc107837527"/>
      <w:r>
        <w:lastRenderedPageBreak/>
        <w:t xml:space="preserve">Appendix A </w:t>
      </w:r>
      <w:r w:rsidR="00597180">
        <w:t xml:space="preserve">Stakeholders </w:t>
      </w:r>
      <w:r w:rsidR="00D71D25">
        <w:t>consulted</w:t>
      </w:r>
      <w:bookmarkEnd w:id="210"/>
    </w:p>
    <w:p w14:paraId="56B2FB04" w14:textId="4E98BC6D" w:rsidR="002C1140" w:rsidRDefault="00D71D25" w:rsidP="002C1140">
      <w:pPr>
        <w:pStyle w:val="Appendixhead2"/>
      </w:pPr>
      <w:r>
        <w:t>List of organisations consulted</w:t>
      </w:r>
    </w:p>
    <w:p w14:paraId="3D001494" w14:textId="23AAEF61" w:rsidR="00615DA7" w:rsidRPr="003520EE" w:rsidRDefault="003520EE" w:rsidP="008C3255">
      <w:r w:rsidRPr="003520EE">
        <w:t>As part of the evaluation Deloitte Access Economics conduct</w:t>
      </w:r>
      <w:r w:rsidR="00BE0FB6">
        <w:t>ed</w:t>
      </w:r>
      <w:r w:rsidRPr="003520EE">
        <w:t xml:space="preserve"> 67 </w:t>
      </w:r>
      <w:r w:rsidR="00BE0FB6">
        <w:t>interview or focus group</w:t>
      </w:r>
      <w:r w:rsidRPr="003520EE">
        <w:t xml:space="preserve"> consult</w:t>
      </w:r>
      <w:r w:rsidR="00BE0FB6">
        <w:t>ations</w:t>
      </w:r>
      <w:r w:rsidRPr="003520EE">
        <w:t xml:space="preserve"> with 117 stakeholders from 4</w:t>
      </w:r>
      <w:r w:rsidR="007A4A04">
        <w:t>6</w:t>
      </w:r>
      <w:r w:rsidRPr="003520EE">
        <w:t xml:space="preserve"> organisations. The list of organisations is provided in </w:t>
      </w:r>
      <w:r w:rsidR="00F65111">
        <w:fldChar w:fldCharType="begin"/>
      </w:r>
      <w:r w:rsidR="00F65111">
        <w:instrText xml:space="preserve"> REF _Ref70516606 \r \h </w:instrText>
      </w:r>
      <w:r w:rsidR="00F65111">
        <w:fldChar w:fldCharType="separate"/>
      </w:r>
      <w:r w:rsidR="00F27525">
        <w:t>Table A.1</w:t>
      </w:r>
      <w:r w:rsidR="00F65111">
        <w:fldChar w:fldCharType="end"/>
      </w:r>
      <w:r w:rsidR="00931EF0">
        <w:t xml:space="preserve">). </w:t>
      </w:r>
      <w:r w:rsidR="00B37D4E">
        <w:t>Additional organisations provided online written submissions</w:t>
      </w:r>
      <w:r w:rsidR="00F1566D">
        <w:t xml:space="preserve"> to the public consultation</w:t>
      </w:r>
      <w:r w:rsidR="00D03CA0">
        <w:t xml:space="preserve"> website</w:t>
      </w:r>
      <w:r w:rsidR="00B37D4E">
        <w:t>.</w:t>
      </w:r>
    </w:p>
    <w:p w14:paraId="43F7A46B" w14:textId="44D5BE7D" w:rsidR="00615DA7" w:rsidRDefault="00F65111" w:rsidP="00F65111">
      <w:pPr>
        <w:pStyle w:val="AppendixTableCaption"/>
      </w:pPr>
      <w:bookmarkStart w:id="211" w:name="_Ref70516606"/>
      <w:r w:rsidRPr="00F65111">
        <w:rPr>
          <w:iCs/>
        </w:rPr>
        <w:t>:</w:t>
      </w:r>
      <w:r w:rsidR="007538DA">
        <w:t xml:space="preserve"> </w:t>
      </w:r>
      <w:r w:rsidR="00615DA7">
        <w:t>List of organisations consulted</w:t>
      </w:r>
      <w:bookmarkEnd w:id="211"/>
    </w:p>
    <w:tbl>
      <w:tblPr>
        <w:tblStyle w:val="Deloittetable"/>
        <w:tblW w:w="5000" w:type="pct"/>
        <w:tblLayout w:type="fixed"/>
        <w:tblLook w:val="04A0" w:firstRow="1" w:lastRow="0" w:firstColumn="1" w:lastColumn="0" w:noHBand="0" w:noVBand="1"/>
      </w:tblPr>
      <w:tblGrid>
        <w:gridCol w:w="9016"/>
      </w:tblGrid>
      <w:tr w:rsidR="00615DA7" w:rsidRPr="00AD10DC" w14:paraId="07570688" w14:textId="77777777" w:rsidTr="0029735C">
        <w:trPr>
          <w:cnfStyle w:val="100000000000" w:firstRow="1" w:lastRow="0" w:firstColumn="0" w:lastColumn="0" w:oddVBand="0" w:evenVBand="0" w:oddHBand="0" w:evenHBand="0" w:firstRowFirstColumn="0" w:firstRowLastColumn="0" w:lastRowFirstColumn="0" w:lastRowLastColumn="0"/>
          <w:tblHeader/>
        </w:trPr>
        <w:tc>
          <w:tcPr>
            <w:tcW w:w="9026" w:type="dxa"/>
          </w:tcPr>
          <w:p w14:paraId="47223BA5" w14:textId="77777777" w:rsidR="00615DA7" w:rsidRPr="00AD10DC" w:rsidRDefault="00615DA7" w:rsidP="00AD10DC">
            <w:r w:rsidRPr="00AD10DC">
              <w:t>Name of organisation</w:t>
            </w:r>
          </w:p>
        </w:tc>
      </w:tr>
      <w:tr w:rsidR="00175397" w:rsidRPr="00DE5647" w14:paraId="02414909" w14:textId="77777777" w:rsidTr="00883E3E">
        <w:tc>
          <w:tcPr>
            <w:tcW w:w="9026" w:type="dxa"/>
            <w:shd w:val="clear" w:color="auto" w:fill="F2F2F2" w:themeFill="background1" w:themeFillShade="F2"/>
          </w:tcPr>
          <w:p w14:paraId="28C40003" w14:textId="205DE49B" w:rsidR="00175397" w:rsidRPr="00AD10DC" w:rsidRDefault="00175397" w:rsidP="00AD10DC">
            <w:r>
              <w:t xml:space="preserve">Peak </w:t>
            </w:r>
            <w:r w:rsidR="00F115FD">
              <w:t>b</w:t>
            </w:r>
            <w:r>
              <w:t>odies</w:t>
            </w:r>
          </w:p>
        </w:tc>
      </w:tr>
      <w:tr w:rsidR="00175397" w:rsidRPr="00DE5647" w14:paraId="27ED9A1E" w14:textId="77777777" w:rsidTr="00615DA7">
        <w:tc>
          <w:tcPr>
            <w:tcW w:w="9026" w:type="dxa"/>
            <w:shd w:val="clear" w:color="auto" w:fill="auto"/>
          </w:tcPr>
          <w:p w14:paraId="6F1C336C" w14:textId="0CF3222C" w:rsidR="00175397" w:rsidRPr="00AD10DC" w:rsidRDefault="00F216E5" w:rsidP="00AD10DC">
            <w:r w:rsidRPr="00AD10DC">
              <w:t>Australian Association of Practice Management</w:t>
            </w:r>
          </w:p>
        </w:tc>
      </w:tr>
      <w:tr w:rsidR="00F216E5" w:rsidRPr="00DE5647" w14:paraId="5E558901" w14:textId="77777777" w:rsidTr="00615DA7">
        <w:tc>
          <w:tcPr>
            <w:tcW w:w="9026" w:type="dxa"/>
            <w:shd w:val="clear" w:color="auto" w:fill="auto"/>
          </w:tcPr>
          <w:p w14:paraId="5CBD1EDA" w14:textId="328A7CB8" w:rsidR="00F216E5" w:rsidRPr="00AD10DC" w:rsidRDefault="00F216E5" w:rsidP="00AD10DC">
            <w:r w:rsidRPr="00AD10DC">
              <w:t>Australian College of Rural and Remote Medicine</w:t>
            </w:r>
          </w:p>
        </w:tc>
      </w:tr>
      <w:tr w:rsidR="007B5D6F" w:rsidRPr="00DE5647" w14:paraId="20B1E3F5" w14:textId="77777777" w:rsidTr="00615DA7">
        <w:tc>
          <w:tcPr>
            <w:tcW w:w="9026" w:type="dxa"/>
            <w:shd w:val="clear" w:color="auto" w:fill="auto"/>
          </w:tcPr>
          <w:p w14:paraId="23A8E04E" w14:textId="44FE59C2" w:rsidR="007B5D6F" w:rsidRPr="00AD10DC" w:rsidRDefault="007B5D6F" w:rsidP="00AD10DC">
            <w:r w:rsidRPr="00AD10DC">
              <w:t xml:space="preserve">Australian Medical Association </w:t>
            </w:r>
          </w:p>
        </w:tc>
      </w:tr>
      <w:tr w:rsidR="007B5D6F" w:rsidRPr="00DE5647" w14:paraId="05F2F5A7" w14:textId="77777777" w:rsidTr="00615DA7">
        <w:tc>
          <w:tcPr>
            <w:tcW w:w="9026" w:type="dxa"/>
            <w:shd w:val="clear" w:color="auto" w:fill="auto"/>
          </w:tcPr>
          <w:p w14:paraId="33274E48" w14:textId="6CC65000" w:rsidR="007B5D6F" w:rsidRPr="00AD10DC" w:rsidRDefault="007B5D6F" w:rsidP="00AD10DC">
            <w:r w:rsidRPr="00AD10DC">
              <w:t xml:space="preserve">Australian Pathology </w:t>
            </w:r>
          </w:p>
        </w:tc>
      </w:tr>
      <w:tr w:rsidR="002D7C9A" w:rsidRPr="00DE5647" w14:paraId="386F9550" w14:textId="77777777" w:rsidTr="00615DA7">
        <w:tc>
          <w:tcPr>
            <w:tcW w:w="9026" w:type="dxa"/>
            <w:shd w:val="clear" w:color="auto" w:fill="auto"/>
          </w:tcPr>
          <w:p w14:paraId="0D094A2F" w14:textId="49C6D325" w:rsidR="002D7C9A" w:rsidRPr="00AD10DC" w:rsidRDefault="002D7C9A" w:rsidP="00AD10DC">
            <w:r w:rsidRPr="00AD10DC">
              <w:t>Consumers Health Forum</w:t>
            </w:r>
          </w:p>
        </w:tc>
      </w:tr>
      <w:tr w:rsidR="002D7C9A" w:rsidRPr="00DE5647" w14:paraId="274987F1" w14:textId="77777777" w:rsidTr="00615DA7">
        <w:tc>
          <w:tcPr>
            <w:tcW w:w="9026" w:type="dxa"/>
            <w:shd w:val="clear" w:color="auto" w:fill="auto"/>
          </w:tcPr>
          <w:p w14:paraId="7BF2A8FA" w14:textId="6B9F00E4" w:rsidR="002D7C9A" w:rsidRPr="00AD10DC" w:rsidRDefault="002D7C9A" w:rsidP="00AD10DC">
            <w:r w:rsidRPr="00AD10DC">
              <w:t xml:space="preserve">Gastroenterological Society of Australia </w:t>
            </w:r>
          </w:p>
        </w:tc>
      </w:tr>
      <w:tr w:rsidR="002D7C9A" w:rsidRPr="00DE5647" w14:paraId="64D182A0" w14:textId="77777777" w:rsidTr="00615DA7">
        <w:tc>
          <w:tcPr>
            <w:tcW w:w="9026" w:type="dxa"/>
            <w:shd w:val="clear" w:color="auto" w:fill="auto"/>
          </w:tcPr>
          <w:p w14:paraId="178BAF51" w14:textId="09859327" w:rsidR="002D7C9A" w:rsidRPr="00AD10DC" w:rsidRDefault="00B67037" w:rsidP="00AD10DC">
            <w:r w:rsidRPr="00AD10DC">
              <w:t>National Aboriginal Community Controlled Health Organisation</w:t>
            </w:r>
          </w:p>
        </w:tc>
      </w:tr>
      <w:tr w:rsidR="002D7C9A" w:rsidRPr="00DE5647" w14:paraId="46C52806" w14:textId="77777777" w:rsidTr="00615DA7">
        <w:tc>
          <w:tcPr>
            <w:tcW w:w="9026" w:type="dxa"/>
            <w:shd w:val="clear" w:color="auto" w:fill="auto"/>
          </w:tcPr>
          <w:p w14:paraId="468DBE2A" w14:textId="4976066C" w:rsidR="002D7C9A" w:rsidRPr="00AD10DC" w:rsidRDefault="00B67037" w:rsidP="00AD10DC">
            <w:r w:rsidRPr="00AD10DC">
              <w:t>National Association of Aboriginal and Torres Strait Islander Health Workers and Practitioners</w:t>
            </w:r>
          </w:p>
        </w:tc>
      </w:tr>
      <w:tr w:rsidR="002D7C9A" w:rsidRPr="00DE5647" w14:paraId="6C14C2C6" w14:textId="77777777" w:rsidTr="00615DA7">
        <w:tc>
          <w:tcPr>
            <w:tcW w:w="9026" w:type="dxa"/>
            <w:shd w:val="clear" w:color="auto" w:fill="auto"/>
          </w:tcPr>
          <w:p w14:paraId="72D4E2FC" w14:textId="4FE130DB" w:rsidR="002D7C9A" w:rsidRPr="00AD10DC" w:rsidRDefault="00B67037" w:rsidP="00AD10DC">
            <w:r w:rsidRPr="00AD10DC">
              <w:t>Pathology QLD</w:t>
            </w:r>
          </w:p>
        </w:tc>
      </w:tr>
      <w:tr w:rsidR="002D7C9A" w:rsidRPr="00DE5647" w14:paraId="500C1131" w14:textId="77777777" w:rsidTr="00615DA7">
        <w:tc>
          <w:tcPr>
            <w:tcW w:w="9026" w:type="dxa"/>
            <w:shd w:val="clear" w:color="auto" w:fill="auto"/>
          </w:tcPr>
          <w:p w14:paraId="392B5FEE" w14:textId="0D1C1050" w:rsidR="002D7C9A" w:rsidRPr="00AD10DC" w:rsidRDefault="00B67037" w:rsidP="00AD10DC">
            <w:r w:rsidRPr="00AD10DC">
              <w:t xml:space="preserve">Pharmaceutical Society of Australia </w:t>
            </w:r>
          </w:p>
        </w:tc>
      </w:tr>
      <w:tr w:rsidR="002D7C9A" w:rsidRPr="00DE5647" w14:paraId="1FEDE2F2" w14:textId="77777777" w:rsidTr="00615DA7">
        <w:tc>
          <w:tcPr>
            <w:tcW w:w="9026" w:type="dxa"/>
            <w:shd w:val="clear" w:color="auto" w:fill="auto"/>
          </w:tcPr>
          <w:p w14:paraId="606BBAE6" w14:textId="08AA7CDF" w:rsidR="002D7C9A" w:rsidRPr="00AD10DC" w:rsidRDefault="00B67037" w:rsidP="00AD10DC">
            <w:r w:rsidRPr="00AD10DC">
              <w:t>Public Pathology of Australia</w:t>
            </w:r>
          </w:p>
        </w:tc>
      </w:tr>
      <w:tr w:rsidR="00EB3EF4" w:rsidRPr="00DE5647" w14:paraId="7D5D4DCB" w14:textId="77777777" w:rsidTr="00615DA7">
        <w:tc>
          <w:tcPr>
            <w:tcW w:w="9026" w:type="dxa"/>
            <w:shd w:val="clear" w:color="auto" w:fill="auto"/>
          </w:tcPr>
          <w:p w14:paraId="3A08C43E" w14:textId="2C7136BB" w:rsidR="00EB3EF4" w:rsidRPr="00AD10DC" w:rsidRDefault="00EB3EF4" w:rsidP="00AD10DC">
            <w:r w:rsidRPr="00AD10DC">
              <w:t>Royal Australasian College of Surgeons</w:t>
            </w:r>
          </w:p>
        </w:tc>
      </w:tr>
      <w:tr w:rsidR="00EB3EF4" w:rsidRPr="00DE5647" w14:paraId="15AA50C6" w14:textId="77777777" w:rsidTr="00615DA7">
        <w:tc>
          <w:tcPr>
            <w:tcW w:w="9026" w:type="dxa"/>
            <w:shd w:val="clear" w:color="auto" w:fill="auto"/>
          </w:tcPr>
          <w:p w14:paraId="2FF64463" w14:textId="0E4D61FA" w:rsidR="00EB3EF4" w:rsidRPr="00AD10DC" w:rsidRDefault="00EB3EF4" w:rsidP="00AD10DC">
            <w:r w:rsidRPr="00AD10DC">
              <w:t>Royal Australian College of General Practitioners</w:t>
            </w:r>
          </w:p>
        </w:tc>
      </w:tr>
      <w:tr w:rsidR="00EB3EF4" w:rsidRPr="00DE5647" w14:paraId="058C8B20" w14:textId="77777777" w:rsidTr="00615DA7">
        <w:tc>
          <w:tcPr>
            <w:tcW w:w="9026" w:type="dxa"/>
            <w:shd w:val="clear" w:color="auto" w:fill="auto"/>
          </w:tcPr>
          <w:p w14:paraId="3720EF63" w14:textId="49B47695" w:rsidR="00EB3EF4" w:rsidRPr="00AD10DC" w:rsidRDefault="00EB3EF4" w:rsidP="00AD10DC">
            <w:r w:rsidRPr="00AD10DC">
              <w:t xml:space="preserve">Royal College of Pathologists of Australasia </w:t>
            </w:r>
          </w:p>
        </w:tc>
      </w:tr>
      <w:tr w:rsidR="00EB3EF4" w:rsidRPr="00DE5647" w14:paraId="1DFD8022" w14:textId="77777777" w:rsidTr="00615DA7">
        <w:tc>
          <w:tcPr>
            <w:tcW w:w="9026" w:type="dxa"/>
            <w:shd w:val="clear" w:color="auto" w:fill="auto"/>
          </w:tcPr>
          <w:p w14:paraId="5BF3407A" w14:textId="5F0D6CE7" w:rsidR="00EB3EF4" w:rsidRPr="00AD10DC" w:rsidRDefault="001E1121" w:rsidP="00AD10DC">
            <w:r w:rsidRPr="00AD10DC">
              <w:t>The Pharmacy Guild of Australia</w:t>
            </w:r>
          </w:p>
        </w:tc>
      </w:tr>
      <w:tr w:rsidR="00194310" w:rsidRPr="00DE5647" w14:paraId="50C18933" w14:textId="77777777" w:rsidTr="00883E3E">
        <w:tc>
          <w:tcPr>
            <w:tcW w:w="9026" w:type="dxa"/>
            <w:shd w:val="clear" w:color="auto" w:fill="F2F2F2" w:themeFill="background1" w:themeFillShade="F2"/>
          </w:tcPr>
          <w:p w14:paraId="0A393C0E" w14:textId="27EA1A39" w:rsidR="00194310" w:rsidRPr="00AD10DC" w:rsidRDefault="00194310" w:rsidP="00AD10DC">
            <w:r w:rsidRPr="00AD10DC">
              <w:t xml:space="preserve">Advisory </w:t>
            </w:r>
            <w:r w:rsidR="00F115FD" w:rsidRPr="00AD10DC">
              <w:t>g</w:t>
            </w:r>
            <w:r w:rsidR="001E1121" w:rsidRPr="00AD10DC">
              <w:t>roups</w:t>
            </w:r>
          </w:p>
        </w:tc>
      </w:tr>
      <w:tr w:rsidR="00194310" w:rsidRPr="00DE5647" w14:paraId="03B97CD9" w14:textId="77777777" w:rsidTr="00615DA7">
        <w:tc>
          <w:tcPr>
            <w:tcW w:w="9026" w:type="dxa"/>
            <w:shd w:val="clear" w:color="auto" w:fill="auto"/>
          </w:tcPr>
          <w:p w14:paraId="0084DA5B" w14:textId="1DEA7FB5" w:rsidR="00194310" w:rsidRPr="00AD10DC" w:rsidRDefault="002D7C9A" w:rsidP="00AD10DC">
            <w:r w:rsidRPr="00AD10DC">
              <w:t>NBCSP Clinical Advisory Group</w:t>
            </w:r>
          </w:p>
        </w:tc>
      </w:tr>
      <w:tr w:rsidR="002D7C9A" w:rsidRPr="00DE5647" w14:paraId="039349BE" w14:textId="77777777" w:rsidTr="00615DA7">
        <w:tc>
          <w:tcPr>
            <w:tcW w:w="9026" w:type="dxa"/>
            <w:shd w:val="clear" w:color="auto" w:fill="auto"/>
          </w:tcPr>
          <w:p w14:paraId="5DCC5986" w14:textId="483207D6" w:rsidR="002D7C9A" w:rsidRPr="00AD10DC" w:rsidRDefault="002D7C9A" w:rsidP="00AD10DC">
            <w:r w:rsidRPr="00AD10DC">
              <w:t>NBCSP Program Delivery Advisory Group</w:t>
            </w:r>
          </w:p>
        </w:tc>
      </w:tr>
      <w:tr w:rsidR="00194310" w:rsidRPr="00DE5647" w14:paraId="4F9B1CE6" w14:textId="77777777" w:rsidTr="00883E3E">
        <w:tc>
          <w:tcPr>
            <w:tcW w:w="9026" w:type="dxa"/>
            <w:shd w:val="clear" w:color="auto" w:fill="F2F2F2" w:themeFill="background1" w:themeFillShade="F2"/>
          </w:tcPr>
          <w:p w14:paraId="149C69FF" w14:textId="5752EB34" w:rsidR="00194310" w:rsidRPr="00AD10DC" w:rsidRDefault="00194310" w:rsidP="00AD10DC">
            <w:r w:rsidRPr="00AD10DC">
              <w:t xml:space="preserve">Federal </w:t>
            </w:r>
            <w:r w:rsidR="00BF117D" w:rsidRPr="00AD10DC">
              <w:t>D</w:t>
            </w:r>
            <w:r w:rsidR="001E1121" w:rsidRPr="00AD10DC">
              <w:t>epartments</w:t>
            </w:r>
            <w:r w:rsidRPr="00AD10DC">
              <w:t xml:space="preserve"> and branches</w:t>
            </w:r>
          </w:p>
        </w:tc>
      </w:tr>
      <w:tr w:rsidR="00310ECA" w:rsidRPr="00DE5647" w14:paraId="6AC45D5A" w14:textId="77777777" w:rsidTr="00615DA7">
        <w:tc>
          <w:tcPr>
            <w:tcW w:w="9026" w:type="dxa"/>
            <w:shd w:val="clear" w:color="auto" w:fill="auto"/>
          </w:tcPr>
          <w:p w14:paraId="4760E1D4" w14:textId="0DAE3745" w:rsidR="00310ECA" w:rsidRPr="00AD10DC" w:rsidRDefault="002D7C9A" w:rsidP="00AD10DC">
            <w:r w:rsidRPr="00AD10DC">
              <w:t>Commonwealth Department of Health</w:t>
            </w:r>
          </w:p>
        </w:tc>
      </w:tr>
      <w:tr w:rsidR="007809AE" w:rsidRPr="00DE5647" w14:paraId="37E73424" w14:textId="77777777" w:rsidTr="00615DA7">
        <w:tc>
          <w:tcPr>
            <w:tcW w:w="9026" w:type="dxa"/>
            <w:shd w:val="clear" w:color="auto" w:fill="auto"/>
          </w:tcPr>
          <w:p w14:paraId="39316B1E" w14:textId="1C306C04" w:rsidR="007809AE" w:rsidRPr="00AD10DC" w:rsidRDefault="00EB3EF4" w:rsidP="00AD10DC">
            <w:r w:rsidRPr="00AD10DC">
              <w:t>Services Australia</w:t>
            </w:r>
          </w:p>
        </w:tc>
      </w:tr>
      <w:tr w:rsidR="007809AE" w:rsidRPr="00DE5647" w14:paraId="3FB4F08F" w14:textId="77777777" w:rsidTr="00883E3E">
        <w:tc>
          <w:tcPr>
            <w:tcW w:w="9026" w:type="dxa"/>
            <w:shd w:val="clear" w:color="auto" w:fill="F2F2F2" w:themeFill="background1" w:themeFillShade="F2"/>
          </w:tcPr>
          <w:p w14:paraId="0854FE85" w14:textId="15C210F9" w:rsidR="007809AE" w:rsidRPr="00AD10DC" w:rsidRDefault="007809AE" w:rsidP="00AD10DC">
            <w:r w:rsidRPr="00AD10DC">
              <w:t>Relevant government agencies</w:t>
            </w:r>
          </w:p>
        </w:tc>
      </w:tr>
      <w:tr w:rsidR="007809AE" w:rsidRPr="00DE5647" w14:paraId="7BFE0249" w14:textId="77777777" w:rsidTr="00615DA7">
        <w:tc>
          <w:tcPr>
            <w:tcW w:w="9026" w:type="dxa"/>
            <w:shd w:val="clear" w:color="auto" w:fill="auto"/>
          </w:tcPr>
          <w:p w14:paraId="37A2CF78" w14:textId="3FF7004D" w:rsidR="007809AE" w:rsidRPr="00AD10DC" w:rsidRDefault="007809AE" w:rsidP="00AD10DC">
            <w:r w:rsidRPr="00AD10DC">
              <w:t xml:space="preserve">Australian Commission on Safety and Quality in Health Care </w:t>
            </w:r>
          </w:p>
        </w:tc>
      </w:tr>
      <w:tr w:rsidR="007809AE" w:rsidRPr="00DE5647" w14:paraId="34512C02" w14:textId="77777777" w:rsidTr="00615DA7">
        <w:tc>
          <w:tcPr>
            <w:tcW w:w="9026" w:type="dxa"/>
            <w:shd w:val="clear" w:color="auto" w:fill="auto"/>
          </w:tcPr>
          <w:p w14:paraId="04BBD118" w14:textId="48B2AB23" w:rsidR="007809AE" w:rsidRPr="00AD10DC" w:rsidRDefault="007809AE" w:rsidP="00AD10DC">
            <w:r w:rsidRPr="00AD10DC">
              <w:t>Australian institute of Health and Welfare</w:t>
            </w:r>
          </w:p>
        </w:tc>
      </w:tr>
      <w:tr w:rsidR="00D633DB" w:rsidRPr="00AD10DC" w14:paraId="340D8E83" w14:textId="77777777" w:rsidTr="00615DA7">
        <w:tc>
          <w:tcPr>
            <w:tcW w:w="9026" w:type="dxa"/>
            <w:shd w:val="clear" w:color="auto" w:fill="auto"/>
          </w:tcPr>
          <w:p w14:paraId="59B9480A" w14:textId="4DD421E7" w:rsidR="00D633DB" w:rsidRPr="00AD10DC" w:rsidRDefault="00D633DB" w:rsidP="00AD10DC">
            <w:r w:rsidRPr="00AD10DC">
              <w:t xml:space="preserve">National Pathology Accreditation Advisory Council </w:t>
            </w:r>
          </w:p>
        </w:tc>
      </w:tr>
      <w:tr w:rsidR="00310ECA" w:rsidRPr="00AD10DC" w14:paraId="0F3D62F0" w14:textId="77777777" w:rsidTr="00883E3E">
        <w:tc>
          <w:tcPr>
            <w:tcW w:w="9026" w:type="dxa"/>
            <w:shd w:val="clear" w:color="auto" w:fill="F2F2F2" w:themeFill="background1" w:themeFillShade="F2"/>
          </w:tcPr>
          <w:p w14:paraId="0EB6A0A4" w14:textId="35E5C988" w:rsidR="00310ECA" w:rsidRPr="00AD10DC" w:rsidRDefault="00310ECA" w:rsidP="00AD10DC">
            <w:r w:rsidRPr="00AD10DC">
              <w:t xml:space="preserve">State Departments and branches </w:t>
            </w:r>
          </w:p>
        </w:tc>
      </w:tr>
      <w:tr w:rsidR="00194310" w:rsidRPr="00AD10DC" w14:paraId="37C3D47A" w14:textId="77777777" w:rsidTr="00615DA7">
        <w:tc>
          <w:tcPr>
            <w:tcW w:w="9026" w:type="dxa"/>
            <w:shd w:val="clear" w:color="auto" w:fill="auto"/>
          </w:tcPr>
          <w:p w14:paraId="6AFAEF86" w14:textId="14C41DD7" w:rsidR="00194310" w:rsidRPr="00AD10DC" w:rsidRDefault="00D633DB" w:rsidP="00AD10DC">
            <w:r w:rsidRPr="00AD10DC">
              <w:t>QLD Department of Health</w:t>
            </w:r>
          </w:p>
        </w:tc>
      </w:tr>
      <w:tr w:rsidR="00C25E70" w:rsidRPr="00AD10DC" w14:paraId="2FF8E00F" w14:textId="77777777" w:rsidTr="00615DA7">
        <w:tc>
          <w:tcPr>
            <w:tcW w:w="9026" w:type="dxa"/>
            <w:shd w:val="clear" w:color="auto" w:fill="auto"/>
          </w:tcPr>
          <w:p w14:paraId="654C0216" w14:textId="6A982D90" w:rsidR="00C25E70" w:rsidRPr="00AD10DC" w:rsidRDefault="001E1121" w:rsidP="00AD10DC">
            <w:r w:rsidRPr="00AD10DC">
              <w:lastRenderedPageBreak/>
              <w:t>Tasmanian Health Service</w:t>
            </w:r>
          </w:p>
        </w:tc>
      </w:tr>
      <w:tr w:rsidR="00C25E70" w:rsidRPr="00AD10DC" w14:paraId="375BF35F" w14:textId="77777777" w:rsidTr="00615DA7">
        <w:tc>
          <w:tcPr>
            <w:tcW w:w="9026" w:type="dxa"/>
            <w:shd w:val="clear" w:color="auto" w:fill="auto"/>
          </w:tcPr>
          <w:p w14:paraId="313AC9C9" w14:textId="6F9D1BD1" w:rsidR="00C25E70" w:rsidRPr="00AD10DC" w:rsidRDefault="009B2BF2" w:rsidP="00AD10DC">
            <w:r w:rsidRPr="00AD10DC">
              <w:t>Victorian Department of Health and Human Services</w:t>
            </w:r>
          </w:p>
        </w:tc>
      </w:tr>
      <w:tr w:rsidR="00C25E70" w:rsidRPr="00AD10DC" w14:paraId="07E53483" w14:textId="77777777" w:rsidTr="00615DA7">
        <w:tc>
          <w:tcPr>
            <w:tcW w:w="9026" w:type="dxa"/>
            <w:shd w:val="clear" w:color="auto" w:fill="auto"/>
          </w:tcPr>
          <w:p w14:paraId="1C1C61EB" w14:textId="794106FA" w:rsidR="00C25E70" w:rsidRPr="00AD10DC" w:rsidRDefault="009B2BF2" w:rsidP="00AD10DC">
            <w:r w:rsidRPr="00AD10DC">
              <w:t>WA Department of Health</w:t>
            </w:r>
          </w:p>
        </w:tc>
      </w:tr>
      <w:tr w:rsidR="00194310" w:rsidRPr="00AD10DC" w14:paraId="5B3A2EA5" w14:textId="77777777" w:rsidTr="00883E3E">
        <w:tc>
          <w:tcPr>
            <w:tcW w:w="9026" w:type="dxa"/>
            <w:shd w:val="clear" w:color="auto" w:fill="F2F2F2" w:themeFill="background1" w:themeFillShade="F2"/>
          </w:tcPr>
          <w:p w14:paraId="1B3855A4" w14:textId="5437F225" w:rsidR="00194310" w:rsidRPr="00AD10DC" w:rsidRDefault="00194310" w:rsidP="00AD10DC">
            <w:r w:rsidRPr="00AD10DC">
              <w:t>NGOs</w:t>
            </w:r>
          </w:p>
        </w:tc>
      </w:tr>
      <w:tr w:rsidR="00194310" w:rsidRPr="00AD10DC" w14:paraId="2FACE864" w14:textId="77777777" w:rsidTr="00615DA7">
        <w:tc>
          <w:tcPr>
            <w:tcW w:w="9026" w:type="dxa"/>
            <w:shd w:val="clear" w:color="auto" w:fill="auto"/>
          </w:tcPr>
          <w:p w14:paraId="44B35ABD" w14:textId="47CEF1CF" w:rsidR="00194310" w:rsidRPr="00AD10DC" w:rsidRDefault="007B5D6F" w:rsidP="00AD10DC">
            <w:r w:rsidRPr="00AD10DC">
              <w:t>Bowel Cancer Australia</w:t>
            </w:r>
          </w:p>
        </w:tc>
      </w:tr>
      <w:tr w:rsidR="003127AD" w:rsidRPr="00AD10DC" w14:paraId="33C07286" w14:textId="77777777" w:rsidTr="00615DA7">
        <w:tc>
          <w:tcPr>
            <w:tcW w:w="9026" w:type="dxa"/>
            <w:shd w:val="clear" w:color="auto" w:fill="auto"/>
          </w:tcPr>
          <w:p w14:paraId="7928F809" w14:textId="63A6C997" w:rsidR="003127AD" w:rsidRPr="00AD10DC" w:rsidRDefault="003127AD" w:rsidP="00AD10DC">
            <w:r w:rsidRPr="00AD10DC">
              <w:t>Cancer Council Australia</w:t>
            </w:r>
          </w:p>
        </w:tc>
      </w:tr>
      <w:tr w:rsidR="003127AD" w:rsidRPr="00AD10DC" w14:paraId="00C3C7B2" w14:textId="77777777" w:rsidTr="00615DA7">
        <w:tc>
          <w:tcPr>
            <w:tcW w:w="9026" w:type="dxa"/>
            <w:shd w:val="clear" w:color="auto" w:fill="auto"/>
          </w:tcPr>
          <w:p w14:paraId="19D7A438" w14:textId="10909773" w:rsidR="003127AD" w:rsidRPr="00AD10DC" w:rsidRDefault="003127AD" w:rsidP="00AD10DC">
            <w:r w:rsidRPr="00AD10DC">
              <w:t>Cancer Council NSW</w:t>
            </w:r>
          </w:p>
        </w:tc>
      </w:tr>
      <w:tr w:rsidR="003127AD" w:rsidRPr="00AD10DC" w14:paraId="79363DBE" w14:textId="77777777" w:rsidTr="00615DA7">
        <w:tc>
          <w:tcPr>
            <w:tcW w:w="9026" w:type="dxa"/>
            <w:shd w:val="clear" w:color="auto" w:fill="auto"/>
          </w:tcPr>
          <w:p w14:paraId="6F505E15" w14:textId="160ED858" w:rsidR="003127AD" w:rsidRPr="00AD10DC" w:rsidRDefault="003127AD" w:rsidP="00AD10DC">
            <w:r w:rsidRPr="00AD10DC">
              <w:t>Cancer Council QLD</w:t>
            </w:r>
          </w:p>
        </w:tc>
      </w:tr>
      <w:tr w:rsidR="003127AD" w:rsidRPr="00AD10DC" w14:paraId="1E488267" w14:textId="77777777" w:rsidTr="00615DA7">
        <w:tc>
          <w:tcPr>
            <w:tcW w:w="9026" w:type="dxa"/>
            <w:shd w:val="clear" w:color="auto" w:fill="auto"/>
          </w:tcPr>
          <w:p w14:paraId="58AA749D" w14:textId="528E58F9" w:rsidR="003127AD" w:rsidRPr="00AD10DC" w:rsidRDefault="003127AD" w:rsidP="00AD10DC">
            <w:r w:rsidRPr="00AD10DC">
              <w:t>Cancer Council SA</w:t>
            </w:r>
          </w:p>
        </w:tc>
      </w:tr>
      <w:tr w:rsidR="003127AD" w:rsidRPr="00AD10DC" w14:paraId="2D307D49" w14:textId="77777777" w:rsidTr="00615DA7">
        <w:tc>
          <w:tcPr>
            <w:tcW w:w="9026" w:type="dxa"/>
            <w:shd w:val="clear" w:color="auto" w:fill="auto"/>
          </w:tcPr>
          <w:p w14:paraId="72EA9A5B" w14:textId="39F81A5B" w:rsidR="003127AD" w:rsidRPr="00AD10DC" w:rsidRDefault="003127AD" w:rsidP="00AD10DC">
            <w:r w:rsidRPr="00AD10DC">
              <w:t>Cancer Council TAS</w:t>
            </w:r>
          </w:p>
        </w:tc>
      </w:tr>
      <w:tr w:rsidR="003127AD" w:rsidRPr="00AD10DC" w14:paraId="25D7A6EB" w14:textId="77777777" w:rsidTr="00615DA7">
        <w:tc>
          <w:tcPr>
            <w:tcW w:w="9026" w:type="dxa"/>
            <w:shd w:val="clear" w:color="auto" w:fill="auto"/>
          </w:tcPr>
          <w:p w14:paraId="0327B858" w14:textId="7E17DCFC" w:rsidR="003127AD" w:rsidRPr="00AD10DC" w:rsidRDefault="003127AD" w:rsidP="00AD10DC">
            <w:r w:rsidRPr="00AD10DC">
              <w:t>Cancer Council VIC</w:t>
            </w:r>
          </w:p>
        </w:tc>
      </w:tr>
      <w:tr w:rsidR="003127AD" w:rsidRPr="00AD10DC" w14:paraId="042A38F7" w14:textId="77777777" w:rsidTr="00615DA7">
        <w:tc>
          <w:tcPr>
            <w:tcW w:w="9026" w:type="dxa"/>
            <w:shd w:val="clear" w:color="auto" w:fill="auto"/>
          </w:tcPr>
          <w:p w14:paraId="23F83587" w14:textId="204EB3C1" w:rsidR="003127AD" w:rsidRPr="00AD10DC" w:rsidRDefault="003127AD" w:rsidP="00AD10DC">
            <w:r w:rsidRPr="00AD10DC">
              <w:t>Cancer Council WA</w:t>
            </w:r>
          </w:p>
        </w:tc>
      </w:tr>
      <w:tr w:rsidR="002D7C9A" w:rsidRPr="00AD10DC" w14:paraId="25349063" w14:textId="77777777" w:rsidTr="00615DA7">
        <w:tc>
          <w:tcPr>
            <w:tcW w:w="9026" w:type="dxa"/>
            <w:shd w:val="clear" w:color="auto" w:fill="auto"/>
          </w:tcPr>
          <w:p w14:paraId="6F0B7280" w14:textId="3871B759" w:rsidR="002D7C9A" w:rsidRPr="00AD10DC" w:rsidRDefault="002D7C9A" w:rsidP="00AD10DC">
            <w:r w:rsidRPr="00AD10DC">
              <w:t>Jodi Lee Foundation</w:t>
            </w:r>
          </w:p>
        </w:tc>
      </w:tr>
      <w:tr w:rsidR="00000A53" w:rsidRPr="00AD10DC" w14:paraId="5A98EF88" w14:textId="77777777" w:rsidTr="00615DA7">
        <w:tc>
          <w:tcPr>
            <w:tcW w:w="9026" w:type="dxa"/>
            <w:shd w:val="clear" w:color="auto" w:fill="auto"/>
          </w:tcPr>
          <w:p w14:paraId="50A4BAA3" w14:textId="5F5D40CA" w:rsidR="00000A53" w:rsidRPr="00AD10DC" w:rsidRDefault="00000A53" w:rsidP="00AD10DC">
            <w:r w:rsidRPr="00AD10DC">
              <w:t>Let’s Beat Bowel Cancer (Cabrini)</w:t>
            </w:r>
          </w:p>
        </w:tc>
      </w:tr>
      <w:tr w:rsidR="002516BA" w:rsidRPr="00AD10DC" w14:paraId="2C980751" w14:textId="77777777" w:rsidTr="00615DA7">
        <w:tc>
          <w:tcPr>
            <w:tcW w:w="9026" w:type="dxa"/>
            <w:shd w:val="clear" w:color="auto" w:fill="auto"/>
          </w:tcPr>
          <w:p w14:paraId="61CDBB51" w14:textId="4E2DDC91" w:rsidR="002516BA" w:rsidRPr="00AD10DC" w:rsidRDefault="002516BA" w:rsidP="00AD10DC">
            <w:r w:rsidRPr="00AD10DC">
              <w:t>VCS Foundation</w:t>
            </w:r>
          </w:p>
        </w:tc>
      </w:tr>
      <w:tr w:rsidR="003258B6" w:rsidRPr="00AD10DC" w14:paraId="331BC118" w14:textId="77777777" w:rsidTr="00883E3E">
        <w:tc>
          <w:tcPr>
            <w:tcW w:w="9026" w:type="dxa"/>
            <w:shd w:val="clear" w:color="auto" w:fill="F2F2F2" w:themeFill="background1" w:themeFillShade="F2"/>
          </w:tcPr>
          <w:p w14:paraId="4DB85182" w14:textId="51778DF4" w:rsidR="003258B6" w:rsidRPr="00AD10DC" w:rsidRDefault="003258B6" w:rsidP="00AD10DC">
            <w:r w:rsidRPr="00AD10DC">
              <w:t xml:space="preserve">Time limited working groups </w:t>
            </w:r>
          </w:p>
        </w:tc>
      </w:tr>
      <w:tr w:rsidR="003258B6" w:rsidRPr="00AD10DC" w14:paraId="1A783B4D" w14:textId="77777777" w:rsidTr="00615DA7">
        <w:tc>
          <w:tcPr>
            <w:tcW w:w="9026" w:type="dxa"/>
            <w:shd w:val="clear" w:color="auto" w:fill="auto"/>
          </w:tcPr>
          <w:p w14:paraId="7B0218A4" w14:textId="3AF803B8" w:rsidR="003258B6" w:rsidRPr="00AD10DC" w:rsidRDefault="00F216E5" w:rsidP="00AD10DC">
            <w:r w:rsidRPr="00AD10DC">
              <w:t>Alternative Pathway Pilot Evaluation Committee</w:t>
            </w:r>
          </w:p>
        </w:tc>
      </w:tr>
      <w:tr w:rsidR="002D7C9A" w:rsidRPr="00AD10DC" w14:paraId="67953257" w14:textId="77777777" w:rsidTr="00615DA7">
        <w:tc>
          <w:tcPr>
            <w:tcW w:w="9026" w:type="dxa"/>
            <w:shd w:val="clear" w:color="auto" w:fill="auto"/>
          </w:tcPr>
          <w:p w14:paraId="040FA763" w14:textId="596F2183" w:rsidR="002D7C9A" w:rsidRPr="00AD10DC" w:rsidRDefault="002D7C9A" w:rsidP="00AD10DC">
            <w:r w:rsidRPr="00AD10DC">
              <w:t>NBCSP KPI Working Group</w:t>
            </w:r>
          </w:p>
        </w:tc>
      </w:tr>
      <w:tr w:rsidR="003258B6" w:rsidRPr="00AD10DC" w14:paraId="444473CA" w14:textId="77777777" w:rsidTr="00883E3E">
        <w:tc>
          <w:tcPr>
            <w:tcW w:w="9026" w:type="dxa"/>
            <w:shd w:val="clear" w:color="auto" w:fill="F2F2F2" w:themeFill="background1" w:themeFillShade="F2"/>
          </w:tcPr>
          <w:p w14:paraId="1BF294D5" w14:textId="51B3B03A" w:rsidR="003258B6" w:rsidRPr="00AD10DC" w:rsidRDefault="00310ECA" w:rsidP="00AD10DC">
            <w:r w:rsidRPr="00AD10DC">
              <w:t>Other</w:t>
            </w:r>
          </w:p>
        </w:tc>
      </w:tr>
      <w:tr w:rsidR="00615DA7" w:rsidRPr="00AD10DC" w14:paraId="72D2B259" w14:textId="77777777" w:rsidTr="0029735C">
        <w:tc>
          <w:tcPr>
            <w:tcW w:w="9026" w:type="dxa"/>
            <w:shd w:val="clear" w:color="auto" w:fill="auto"/>
          </w:tcPr>
          <w:p w14:paraId="32048798" w14:textId="3089A757" w:rsidR="00615DA7" w:rsidRPr="00AD10DC" w:rsidRDefault="00EB3EF4" w:rsidP="00AD10DC">
            <w:r w:rsidRPr="00AD10DC">
              <w:t>Rhythm Biosciences</w:t>
            </w:r>
          </w:p>
        </w:tc>
      </w:tr>
      <w:tr w:rsidR="00615DA7" w:rsidRPr="00AD10DC" w14:paraId="5F90769D" w14:textId="77777777" w:rsidTr="0029735C">
        <w:tc>
          <w:tcPr>
            <w:tcW w:w="9026" w:type="dxa"/>
            <w:shd w:val="clear" w:color="auto" w:fill="auto"/>
          </w:tcPr>
          <w:p w14:paraId="18110243" w14:textId="2BE56EE7" w:rsidR="00615DA7" w:rsidRPr="00AD10DC" w:rsidRDefault="00EB3EF4" w:rsidP="00AD10DC">
            <w:r w:rsidRPr="00AD10DC">
              <w:t>Sonic Healthcare</w:t>
            </w:r>
          </w:p>
        </w:tc>
      </w:tr>
      <w:tr w:rsidR="00615DA7" w:rsidRPr="00AD10DC" w14:paraId="5DB5B20E" w14:textId="77777777" w:rsidTr="0029735C">
        <w:tc>
          <w:tcPr>
            <w:tcW w:w="9026" w:type="dxa"/>
            <w:shd w:val="clear" w:color="auto" w:fill="auto"/>
          </w:tcPr>
          <w:p w14:paraId="6048A383" w14:textId="5523B6BB" w:rsidR="00615DA7" w:rsidRPr="00AD10DC" w:rsidRDefault="00EB3EF4" w:rsidP="00AD10DC">
            <w:r w:rsidRPr="00AD10DC">
              <w:t>Telstra Health</w:t>
            </w:r>
          </w:p>
        </w:tc>
      </w:tr>
      <w:tr w:rsidR="00615DA7" w:rsidRPr="00AD10DC" w14:paraId="2CEAC9CA" w14:textId="77777777" w:rsidTr="0029735C">
        <w:tc>
          <w:tcPr>
            <w:tcW w:w="9026" w:type="dxa"/>
            <w:shd w:val="clear" w:color="auto" w:fill="auto"/>
          </w:tcPr>
          <w:p w14:paraId="1E7C9848" w14:textId="5625FCDF" w:rsidR="00615DA7" w:rsidRPr="00AD10DC" w:rsidRDefault="001E1121" w:rsidP="00AD10DC">
            <w:r w:rsidRPr="00AD10DC">
              <w:t>The Menzies School of Health Research</w:t>
            </w:r>
          </w:p>
        </w:tc>
      </w:tr>
    </w:tbl>
    <w:p w14:paraId="2B86FFD7" w14:textId="390A9539" w:rsidR="00A11B98" w:rsidRPr="00174283" w:rsidRDefault="00CD13D7" w:rsidP="00AD10DC">
      <w:pPr>
        <w:pStyle w:val="Appendixhead1"/>
        <w:ind w:hanging="4707"/>
      </w:pPr>
      <w:bookmarkStart w:id="212" w:name="_Ref67644698"/>
      <w:bookmarkStart w:id="213" w:name="_Ref69403062"/>
      <w:r>
        <w:lastRenderedPageBreak/>
        <w:t>CEA</w:t>
      </w:r>
      <w:r w:rsidR="003F0DD8">
        <w:t xml:space="preserve"> </w:t>
      </w:r>
      <w:bookmarkEnd w:id="212"/>
      <w:r w:rsidR="006807D9">
        <w:t>methodology</w:t>
      </w:r>
      <w:bookmarkEnd w:id="213"/>
    </w:p>
    <w:p w14:paraId="77313212" w14:textId="0EC4BFC9" w:rsidR="003F0DD8" w:rsidRDefault="003F0DD8" w:rsidP="003F0DD8">
      <w:pPr>
        <w:pStyle w:val="Appendixhead2"/>
      </w:pPr>
      <w:r>
        <w:t>Methodology</w:t>
      </w:r>
    </w:p>
    <w:p w14:paraId="65D3289F" w14:textId="23872BFD" w:rsidR="00C030B7" w:rsidRDefault="00C030B7" w:rsidP="00C030B7">
      <w:r w:rsidRPr="00CB4123">
        <w:t>The CEA was conducted using a Markov cohort model to reproduce the natural history of bowel cancer overlayed with a model to account for the effect of screening (see a schematic of the model provided in</w:t>
      </w:r>
      <w:r w:rsidR="00456699">
        <w:t xml:space="preserve"> Figure B.1.</w:t>
      </w:r>
      <w:r w:rsidRPr="00CB4123">
        <w:t>). This approach is consistent with the approach used by Lew et al</w:t>
      </w:r>
      <w:r w:rsidR="00BE5B86">
        <w:t>.</w:t>
      </w:r>
      <w:r w:rsidRPr="00CB4123">
        <w:t xml:space="preserve"> and representative of a ‘deep model’ as described in Silva-</w:t>
      </w:r>
      <w:proofErr w:type="spellStart"/>
      <w:r w:rsidRPr="00CB4123">
        <w:t>Illanes</w:t>
      </w:r>
      <w:proofErr w:type="spellEnd"/>
      <w:r w:rsidRPr="00CB4123">
        <w:t xml:space="preserve">’ </w:t>
      </w:r>
      <w:r w:rsidR="00BE5B86">
        <w:t>(</w:t>
      </w:r>
      <w:r w:rsidRPr="00CB4123">
        <w:t>2018</w:t>
      </w:r>
      <w:r w:rsidR="00BE5B86">
        <w:t>)</w:t>
      </w:r>
      <w:r w:rsidRPr="00CB4123">
        <w:t xml:space="preserve"> critical analysis of </w:t>
      </w:r>
      <w:r>
        <w:t>M</w:t>
      </w:r>
      <w:r w:rsidRPr="00CB4123">
        <w:t>arkov models used for the economic evaluation of colorectal cancer screening</w:t>
      </w:r>
      <w:r w:rsidR="00530529">
        <w:t xml:space="preserve"> programs</w:t>
      </w:r>
      <w:r w:rsidRPr="00CB4123">
        <w:t>.</w:t>
      </w:r>
      <w:r w:rsidRPr="002F465E">
        <w:rPr>
          <w:rStyle w:val="EndnoteReference"/>
        </w:rPr>
        <w:endnoteReference w:id="103"/>
      </w:r>
      <w:r w:rsidR="002F465E">
        <w:rPr>
          <w:vertAlign w:val="superscript"/>
        </w:rPr>
        <w:t>,</w:t>
      </w:r>
      <w:r w:rsidR="002F465E">
        <w:rPr>
          <w:rStyle w:val="EndnoteReference"/>
        </w:rPr>
        <w:endnoteReference w:id="104"/>
      </w:r>
    </w:p>
    <w:p w14:paraId="70CA4E53" w14:textId="541DFD71" w:rsidR="00C030B7" w:rsidRDefault="00456699" w:rsidP="009E06D0">
      <w:pPr>
        <w:pStyle w:val="CaptionChart"/>
        <w:numPr>
          <w:ilvl w:val="0"/>
          <w:numId w:val="0"/>
        </w:numPr>
      </w:pPr>
      <w:r>
        <w:t>Figure B.1</w:t>
      </w:r>
      <w:r w:rsidR="00C030B7">
        <w:t>: Schematic overview of the natural history and screening pathways</w:t>
      </w:r>
    </w:p>
    <w:p w14:paraId="1C2BBBF1" w14:textId="77777777" w:rsidR="00C030B7" w:rsidRDefault="00C030B7" w:rsidP="00C030B7">
      <w:r w:rsidRPr="000C367D">
        <w:rPr>
          <w:noProof/>
          <w:lang w:eastAsia="en-AU"/>
        </w:rPr>
        <w:drawing>
          <wp:inline distT="0" distB="0" distL="0" distR="0" wp14:anchorId="28E95699" wp14:editId="2FAB4341">
            <wp:extent cx="5731510" cy="4119245"/>
            <wp:effectExtent l="0" t="0" r="2540" b="0"/>
            <wp:docPr id="21" name="Picture 21" descr="Schematic overview of the natural history and screening pathways, showing cancer pathway states and death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chematic overview of the natural history and screening pathways, showing cancer pathway states and death states"/>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31510" cy="4119245"/>
                    </a:xfrm>
                    <a:prstGeom prst="rect">
                      <a:avLst/>
                    </a:prstGeom>
                    <a:noFill/>
                    <a:ln>
                      <a:noFill/>
                    </a:ln>
                  </pic:spPr>
                </pic:pic>
              </a:graphicData>
            </a:graphic>
          </wp:inline>
        </w:drawing>
      </w:r>
    </w:p>
    <w:p w14:paraId="4A109595" w14:textId="5C1B51D9" w:rsidR="0080731E" w:rsidRDefault="002231B9" w:rsidP="00C030B7">
      <w:r w:rsidRPr="00456699">
        <w:rPr>
          <w:noProof/>
          <w:lang w:eastAsia="en-AU"/>
        </w:rPr>
        <w:drawing>
          <wp:inline distT="0" distB="0" distL="0" distR="0" wp14:anchorId="1F1FDAE2" wp14:editId="5706D2FD">
            <wp:extent cx="5372100" cy="609600"/>
            <wp:effectExtent l="0" t="0" r="0" b="0"/>
            <wp:docPr id="56" name="Picture 56" descr="A legend for interpreting Figure 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legend for interpreting Figure B.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372100" cy="609600"/>
                    </a:xfrm>
                    <a:prstGeom prst="rect">
                      <a:avLst/>
                    </a:prstGeom>
                    <a:noFill/>
                    <a:ln>
                      <a:noFill/>
                    </a:ln>
                  </pic:spPr>
                </pic:pic>
              </a:graphicData>
            </a:graphic>
          </wp:inline>
        </w:drawing>
      </w:r>
    </w:p>
    <w:p w14:paraId="54D5D4B5" w14:textId="0B4D23CE" w:rsidR="00C030B7" w:rsidRDefault="00C030B7" w:rsidP="00607337">
      <w:pPr>
        <w:pStyle w:val="Source"/>
      </w:pPr>
      <w:r>
        <w:t xml:space="preserve">Notes: a) </w:t>
      </w:r>
      <w:r w:rsidRPr="009725E9">
        <w:t>This arrow indicates that a proportion of people within the Surveillance stage do not comply with the surveillance guidelines at all, and therefore they return to the ‘Healthy – susceptible population’ state.</w:t>
      </w:r>
      <w:r>
        <w:t xml:space="preserve"> b) </w:t>
      </w:r>
      <w:r w:rsidRPr="009725E9">
        <w:t xml:space="preserve">All states in the ‘cancer pathway’ can transfer to the ‘Death by other means’ state. </w:t>
      </w:r>
    </w:p>
    <w:p w14:paraId="48178143" w14:textId="4CC91DB6" w:rsidR="00F5172E" w:rsidRPr="00F5172E" w:rsidRDefault="00F5172E" w:rsidP="00F5172E">
      <w:pPr>
        <w:pStyle w:val="Sources"/>
        <w:spacing w:before="0"/>
      </w:pPr>
      <w:r>
        <w:t>Source: Deloitte Access Economics.</w:t>
      </w:r>
    </w:p>
    <w:p w14:paraId="49EEBC32" w14:textId="6003CD50" w:rsidR="00303244" w:rsidRDefault="00C030B7" w:rsidP="00C030B7">
      <w:r>
        <w:t xml:space="preserve">The model simulated the impact of the Program on costs and outcomes of bowel cancer over a person’s lifetime (or by the time they turned 90, whichever occurred first) for a representative cohort of Australians. The discounted outcomes and costs associated with screening were compared to a scenario in which no screening occurred. </w:t>
      </w:r>
      <w:r w:rsidR="00565202">
        <w:t xml:space="preserve">A base case of a health care system in which no coordinated screening strategy is in place was chosen to understand the cost-effectiveness of </w:t>
      </w:r>
      <w:r w:rsidR="0005613C">
        <w:t xml:space="preserve">the current configuration of the </w:t>
      </w:r>
      <w:r w:rsidR="00565202">
        <w:t>screening program</w:t>
      </w:r>
      <w:r w:rsidR="00766B4B">
        <w:t xml:space="preserve">. </w:t>
      </w:r>
      <w:r w:rsidR="00565202">
        <w:t xml:space="preserve"> </w:t>
      </w:r>
    </w:p>
    <w:p w14:paraId="0C90A732" w14:textId="06A02D19" w:rsidR="00C030B7" w:rsidRDefault="00C030B7" w:rsidP="00C030B7">
      <w:r>
        <w:lastRenderedPageBreak/>
        <w:t xml:space="preserve">Outcomes were measured as disability adjusted life years (DALY) averted, and costs were measured in 2020 AUD. A 5 per cent discount rate was used. Results were reported using an Incremental Cost Effectiveness Ratio (ICER), from both a healthcare </w:t>
      </w:r>
      <w:r w:rsidR="004B3852">
        <w:t>system</w:t>
      </w:r>
      <w:r>
        <w:t xml:space="preserve"> and a societal perspective. </w:t>
      </w:r>
    </w:p>
    <w:p w14:paraId="246AEBB4" w14:textId="77777777" w:rsidR="00C030B7" w:rsidRDefault="00C030B7" w:rsidP="00C030B7">
      <w:r w:rsidRPr="00BE4918">
        <w:t xml:space="preserve">The model assumes </w:t>
      </w:r>
      <w:r>
        <w:t>that bowel cancer always develops</w:t>
      </w:r>
      <w:r w:rsidRPr="00BE4918">
        <w:t xml:space="preserve"> through the adenoma-carcinoma pathway, due to limited evidence regarding development via the serrated pathway.</w:t>
      </w:r>
    </w:p>
    <w:p w14:paraId="34E11742" w14:textId="79254551" w:rsidR="00C030B7" w:rsidRPr="00DA1605" w:rsidRDefault="00C030B7" w:rsidP="00EA7630">
      <w:pPr>
        <w:pStyle w:val="Appendixhead3"/>
      </w:pPr>
      <w:r>
        <w:t xml:space="preserve">The Markov-chain simulation </w:t>
      </w:r>
    </w:p>
    <w:p w14:paraId="3A4601AA" w14:textId="77777777" w:rsidR="00C030B7" w:rsidRDefault="00C030B7" w:rsidP="00C030B7">
      <w:r>
        <w:t xml:space="preserve">The Markov-chain process models the movement of individuals through various health states, based on the probability that a person will transition from one state to another. </w:t>
      </w:r>
    </w:p>
    <w:p w14:paraId="2ABAA390" w14:textId="1D0BFEB3" w:rsidR="00C030B7" w:rsidRDefault="00C030B7" w:rsidP="00C030B7">
      <w:r>
        <w:t>The Markov-chain includes 35 health states through which a person moves over time. Each health state represents a state in the natural history of adenoma and bowel cancer development, including but not limited to: ‘healthy’, ‘advanced adenoma’, ‘undetected cancer’ (by stage), ‘detected bowel cancer stage’ (by stage), ‘survival’ and ‘death’. In the base case, the population enters the model at age 50, and moves from one state to another each period, defined as a year, until each person dies or reaches 90 years.</w:t>
      </w:r>
      <w:r w:rsidR="008346C3">
        <w:t xml:space="preserve"> The probability that a person will move from one state to another is based on transition probabilities drawn from the literature</w:t>
      </w:r>
      <w:r>
        <w:t xml:space="preserve"> on adenoma incidence rates, low to </w:t>
      </w:r>
      <w:proofErr w:type="gramStart"/>
      <w:r>
        <w:t>high risk</w:t>
      </w:r>
      <w:proofErr w:type="gramEnd"/>
      <w:r>
        <w:t xml:space="preserve"> adenoma progression rates, cancer progression rates, cancer survival rates, all-cause mortality rates etc.   </w:t>
      </w:r>
    </w:p>
    <w:p w14:paraId="552185C1" w14:textId="77777777" w:rsidR="00C030B7" w:rsidRDefault="00C030B7" w:rsidP="00C030B7">
      <w:r>
        <w:t xml:space="preserve">Costs and DALYs are applied to each state to determine the costs and outcomes associated with a person living in a given state for a year. Costs and DALYs are accrued annually over time as each person in the cohort cycles through the model. Costs include: </w:t>
      </w:r>
    </w:p>
    <w:p w14:paraId="02153108" w14:textId="77777777" w:rsidR="00C030B7" w:rsidRDefault="00C030B7" w:rsidP="00C030B7">
      <w:pPr>
        <w:pStyle w:val="ListBullet"/>
      </w:pPr>
      <w:r>
        <w:t>medical costs associated with bowel cancer treatment</w:t>
      </w:r>
    </w:p>
    <w:p w14:paraId="0206B350" w14:textId="77777777" w:rsidR="00C030B7" w:rsidRDefault="00C030B7" w:rsidP="00C030B7">
      <w:pPr>
        <w:pStyle w:val="ListBullet"/>
      </w:pPr>
      <w:r>
        <w:t>diagnostic costs, such as GP follow-up and colonoscopy to diagnose bowel cancer</w:t>
      </w:r>
    </w:p>
    <w:p w14:paraId="5619A867" w14:textId="697E0EFD" w:rsidR="00C030B7" w:rsidRDefault="00C030B7" w:rsidP="00C030B7">
      <w:pPr>
        <w:pStyle w:val="ListBullet"/>
      </w:pPr>
      <w:r>
        <w:t xml:space="preserve">costs of administrating the Program, such as development of the </w:t>
      </w:r>
      <w:r w:rsidR="00513D4A">
        <w:t>NCSR</w:t>
      </w:r>
      <w:r>
        <w:t xml:space="preserve">, costs of manufacturing and distributing Sonic kits, and costs of pathology </w:t>
      </w:r>
    </w:p>
    <w:p w14:paraId="315E6BEE" w14:textId="7B30BA2E" w:rsidR="00C030B7" w:rsidRDefault="00C030B7" w:rsidP="00C030B7">
      <w:pPr>
        <w:pStyle w:val="ListBullet"/>
      </w:pPr>
      <w:r>
        <w:t>productivity costs due to change in employment</w:t>
      </w:r>
      <w:r w:rsidR="008346C3">
        <w:t xml:space="preserve"> status</w:t>
      </w:r>
      <w:r>
        <w:t xml:space="preserve"> </w:t>
      </w:r>
      <w:r w:rsidR="008346C3">
        <w:t>and</w:t>
      </w:r>
      <w:r>
        <w:t xml:space="preserve"> premature loss of life (</w:t>
      </w:r>
      <w:r w:rsidRPr="00BA4957">
        <w:rPr>
          <w:i/>
          <w:iCs/>
        </w:rPr>
        <w:t>calculated in the societal perspective scenario only</w:t>
      </w:r>
      <w:r>
        <w:t>)</w:t>
      </w:r>
    </w:p>
    <w:p w14:paraId="0E5F469B" w14:textId="77777777" w:rsidR="00C030B7" w:rsidRDefault="00C030B7" w:rsidP="00C030B7">
      <w:pPr>
        <w:pStyle w:val="ListBullet"/>
        <w:spacing w:after="170"/>
      </w:pPr>
      <w:r>
        <w:t>costs of informal care provided to cancer patients (</w:t>
      </w:r>
      <w:r w:rsidRPr="00BA4957">
        <w:rPr>
          <w:i/>
          <w:iCs/>
        </w:rPr>
        <w:t>calculated in the societal perspective scenario only</w:t>
      </w:r>
      <w:r>
        <w:t>)</w:t>
      </w:r>
    </w:p>
    <w:p w14:paraId="338B3B3E" w14:textId="2411EB0F" w:rsidR="00630FB6" w:rsidRDefault="00C030B7" w:rsidP="00C030B7">
      <w:r>
        <w:t xml:space="preserve">Disutility associated with each health state, or DALYs, take a value of between 0 and 1, where 1 equals a complete loss of quality life (or death), and </w:t>
      </w:r>
      <w:r w:rsidR="003E04C3">
        <w:t xml:space="preserve">0 </w:t>
      </w:r>
      <w:r>
        <w:t>means that a person is completely healthy. DALYs were also applied to diagnosed cancer stages, as well as during cancer survival due to the possibility that a cancer survivor requires a permanent stoma. These values were drawn from AIHW’s Australian Burden of Disease study.</w:t>
      </w:r>
      <w:r>
        <w:rPr>
          <w:rStyle w:val="EndnoteReference"/>
        </w:rPr>
        <w:endnoteReference w:id="105"/>
      </w:r>
      <w:r>
        <w:t xml:space="preserve"> </w:t>
      </w:r>
    </w:p>
    <w:p w14:paraId="273FDBED" w14:textId="3CAC6A15" w:rsidR="00F90C7A" w:rsidRDefault="00F90C7A" w:rsidP="00EA7630">
      <w:pPr>
        <w:pStyle w:val="Appendixhead4"/>
      </w:pPr>
      <w:r>
        <w:t xml:space="preserve">Superimposing the screening strategy </w:t>
      </w:r>
    </w:p>
    <w:p w14:paraId="57E4CA8B" w14:textId="25F15BA9" w:rsidR="00607337" w:rsidRDefault="00F90C7A" w:rsidP="00F90C7A">
      <w:r>
        <w:t>To account for the benefit of screening on earlier detection, a second model using a decision tree structure</w:t>
      </w:r>
      <w:r w:rsidR="00252BA0">
        <w:t xml:space="preserve"> (</w:t>
      </w:r>
      <w:r w:rsidR="005F58C6">
        <w:t>Figure B.2</w:t>
      </w:r>
      <w:r>
        <w:t>) is superimposed on the natural history model every second year (to account for biennial screening) over the target age range</w:t>
      </w:r>
      <w:r w:rsidR="00383466">
        <w:t>. I</w:t>
      </w:r>
      <w:r>
        <w:t xml:space="preserve">n the base case this is </w:t>
      </w:r>
      <w:r w:rsidR="000F35F2">
        <w:t xml:space="preserve">age </w:t>
      </w:r>
      <w:r>
        <w:t>50 to 74.</w:t>
      </w:r>
    </w:p>
    <w:p w14:paraId="37561B44" w14:textId="77777777" w:rsidR="00607337" w:rsidRDefault="00607337">
      <w:pPr>
        <w:spacing w:after="0"/>
      </w:pPr>
      <w:r>
        <w:br w:type="page"/>
      </w:r>
    </w:p>
    <w:p w14:paraId="18681C17" w14:textId="03E034C1" w:rsidR="007B4D57" w:rsidRDefault="007B4D57" w:rsidP="007B4D57">
      <w:pPr>
        <w:pStyle w:val="CaptionChart"/>
        <w:numPr>
          <w:ilvl w:val="0"/>
          <w:numId w:val="0"/>
        </w:numPr>
      </w:pPr>
      <w:r>
        <w:lastRenderedPageBreak/>
        <w:t xml:space="preserve">Figure B.2: Screening pathway </w:t>
      </w:r>
      <w:r w:rsidR="006F3985">
        <w:t>decision tree</w:t>
      </w:r>
    </w:p>
    <w:p w14:paraId="179CC828" w14:textId="3E7CE21A" w:rsidR="00847D00" w:rsidRPr="00847D00" w:rsidRDefault="00D57F37" w:rsidP="00847D00">
      <w:r w:rsidRPr="00D57F37">
        <w:rPr>
          <w:noProof/>
          <w:lang w:eastAsia="en-AU"/>
        </w:rPr>
        <w:drawing>
          <wp:inline distT="0" distB="0" distL="0" distR="0" wp14:anchorId="113BC332" wp14:editId="016DBDE4">
            <wp:extent cx="5731510" cy="1716405"/>
            <wp:effectExtent l="0" t="0" r="2540" b="0"/>
            <wp:docPr id="24" name="Picture 24" descr="Screening pathway decision tree, starting at cohort age 50 to 74, showing participation, non participation, and re-entry after 2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creening pathway decision tree, starting at cohort age 50 to 74, showing participation, non participation, and re-entry after 2 years"/>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31510" cy="1716405"/>
                    </a:xfrm>
                    <a:prstGeom prst="rect">
                      <a:avLst/>
                    </a:prstGeom>
                    <a:noFill/>
                    <a:ln>
                      <a:noFill/>
                    </a:ln>
                  </pic:spPr>
                </pic:pic>
              </a:graphicData>
            </a:graphic>
          </wp:inline>
        </w:drawing>
      </w:r>
    </w:p>
    <w:p w14:paraId="7D31914D" w14:textId="1A81525A" w:rsidR="006F3985" w:rsidRDefault="006F3985" w:rsidP="006F3985">
      <w:pPr>
        <w:pStyle w:val="Sources"/>
        <w:spacing w:before="0"/>
      </w:pPr>
      <w:r>
        <w:t>Source: Deloitte Access Economics</w:t>
      </w:r>
      <w:r w:rsidR="00F5172E">
        <w:t>.</w:t>
      </w:r>
    </w:p>
    <w:p w14:paraId="57AD84EA" w14:textId="77777777" w:rsidR="00100DAB" w:rsidRDefault="00F90C7A" w:rsidP="00F90C7A">
      <w:bookmarkStart w:id="214" w:name="_Hlk68066516"/>
      <w:r>
        <w:t xml:space="preserve">This model represents the screening strategy and is governed by participation rates, </w:t>
      </w:r>
      <w:proofErr w:type="spellStart"/>
      <w:r>
        <w:t>iFOBT</w:t>
      </w:r>
      <w:proofErr w:type="spellEnd"/>
      <w:r>
        <w:t xml:space="preserve"> sensitivity rates, diagnostic assessment rates, colonoscopy sensitivity rates, and colonoscopy adverse event rates. This model is used to adjust transition probabilities to account for the effect of the screening </w:t>
      </w:r>
      <w:r w:rsidR="000F35F2">
        <w:t>P</w:t>
      </w:r>
      <w:r>
        <w:t xml:space="preserve">rogram on ‘intercepting’ the natural progression of bowel cancer and reducing the probability that cancer will be </w:t>
      </w:r>
      <w:r w:rsidR="00E6449D">
        <w:t xml:space="preserve">detected </w:t>
      </w:r>
      <w:r>
        <w:t>(</w:t>
      </w:r>
      <w:proofErr w:type="gramStart"/>
      <w:r w:rsidR="00E6449D">
        <w:t>i.e.</w:t>
      </w:r>
      <w:proofErr w:type="gramEnd"/>
      <w:r w:rsidR="00E6449D">
        <w:t xml:space="preserve"> </w:t>
      </w:r>
      <w:r>
        <w:t>through detection at the adenoma stage)</w:t>
      </w:r>
      <w:r w:rsidR="00E6449D">
        <w:t xml:space="preserve"> or detected at an advanced stage</w:t>
      </w:r>
      <w:r>
        <w:t xml:space="preserve">. </w:t>
      </w:r>
    </w:p>
    <w:bookmarkEnd w:id="214"/>
    <w:p w14:paraId="7F3B2037" w14:textId="2C6B729E" w:rsidR="00F90C7A" w:rsidRDefault="00F90C7A" w:rsidP="00F90C7A">
      <w:r>
        <w:t>This is achieved by applying the decision tree to the und</w:t>
      </w:r>
      <w:r w:rsidR="00E6449D">
        <w:t>iagnosed</w:t>
      </w:r>
      <w:r>
        <w:t xml:space="preserve"> adenoma </w:t>
      </w:r>
      <w:r w:rsidR="00E6449D">
        <w:t>and</w:t>
      </w:r>
      <w:r>
        <w:t xml:space="preserve"> cancer </w:t>
      </w:r>
      <w:r w:rsidR="00C718C6">
        <w:t xml:space="preserve">health </w:t>
      </w:r>
      <w:r>
        <w:t xml:space="preserve">states. This is reflected in the dotted arrows of </w:t>
      </w:r>
      <w:r w:rsidR="007B4D57">
        <w:t>Figure B.1</w:t>
      </w:r>
      <w:r>
        <w:t xml:space="preserve">, which represent </w:t>
      </w:r>
      <w:r w:rsidR="001561CB">
        <w:t>modified</w:t>
      </w:r>
      <w:r>
        <w:t xml:space="preserve"> transition probabilities that account for the effect of screening.</w:t>
      </w:r>
    </w:p>
    <w:p w14:paraId="1A4FE980" w14:textId="77777777" w:rsidR="00F90C7A" w:rsidRDefault="00F90C7A" w:rsidP="00EA7630">
      <w:pPr>
        <w:pStyle w:val="Appendixhead4"/>
      </w:pPr>
      <w:r>
        <w:t>Calculation approach</w:t>
      </w:r>
    </w:p>
    <w:p w14:paraId="06BD8F5F" w14:textId="24A22113" w:rsidR="00F90C7A" w:rsidRDefault="00271A31" w:rsidP="00F90C7A">
      <w:r>
        <w:t>To estimate the incremental impact of screening vs. no screening, a</w:t>
      </w:r>
      <w:r w:rsidR="00F90C7A">
        <w:t xml:space="preserve"> cohort of Australians is simulated through the model both with (screening arm) and without (no screening) the </w:t>
      </w:r>
      <w:r w:rsidR="007672C6">
        <w:t xml:space="preserve">decision-tree </w:t>
      </w:r>
      <w:r w:rsidR="00F90C7A">
        <w:t xml:space="preserve">model. In the base case, the population enters at age 50, and DALYs and costs are accrued until each person dies (or turns 90, whichever occurs first). </w:t>
      </w:r>
    </w:p>
    <w:p w14:paraId="692136F7" w14:textId="34713FDC" w:rsidR="00F90C7A" w:rsidRDefault="00F90C7A" w:rsidP="00C030B7">
      <w:r>
        <w:t>Costs and DALYs are summed and compared between the</w:t>
      </w:r>
      <w:r w:rsidR="00810509">
        <w:t xml:space="preserve">se two </w:t>
      </w:r>
      <w:r w:rsidR="00271A31">
        <w:t>simulations</w:t>
      </w:r>
      <w:r>
        <w:t>, and results are reported in the form of an ICER. This ratio is calculated as the difference between the discounted costs of the two simulations, over the difference between the discounted DALY’s</w:t>
      </w:r>
      <w:r w:rsidR="00DF2D1E">
        <w:t>. It is</w:t>
      </w:r>
      <w:r>
        <w:t xml:space="preserve"> interpreted as the additional cost required to avoid </w:t>
      </w:r>
      <w:r w:rsidR="00DF2D1E">
        <w:t xml:space="preserve">one </w:t>
      </w:r>
      <w:r>
        <w:t>DALY. If this value if less than approximately $50,000, it is decided that the screening program is cost-effective.</w:t>
      </w:r>
    </w:p>
    <w:p w14:paraId="4502AAD3" w14:textId="7B732885" w:rsidR="00FC700D" w:rsidRPr="00DA1605" w:rsidRDefault="00FC700D" w:rsidP="00FC700D">
      <w:pPr>
        <w:pStyle w:val="Appendixhead3"/>
      </w:pPr>
      <w:r>
        <w:t xml:space="preserve">Limitations of the CEA </w:t>
      </w:r>
    </w:p>
    <w:p w14:paraId="777A16EC" w14:textId="026DA556" w:rsidR="003F1ED6" w:rsidRDefault="00695A4F" w:rsidP="00FC700D">
      <w:r>
        <w:t xml:space="preserve">The CEA analysis results should be considered within </w:t>
      </w:r>
      <w:r w:rsidR="00F23258">
        <w:t>the</w:t>
      </w:r>
      <w:r>
        <w:t xml:space="preserve"> limitations of the </w:t>
      </w:r>
      <w:r w:rsidR="00F23258">
        <w:t>modelling</w:t>
      </w:r>
      <w:r>
        <w:t xml:space="preserve">. </w:t>
      </w:r>
      <w:r w:rsidR="00D90BCD">
        <w:t>Notably,</w:t>
      </w:r>
      <w:r>
        <w:t xml:space="preserve"> the analysis relies on available data from </w:t>
      </w:r>
      <w:r w:rsidR="00537C7A">
        <w:t xml:space="preserve">older </w:t>
      </w:r>
      <w:r>
        <w:t>studies within Australia and in other jurisdictions (whe</w:t>
      </w:r>
      <w:r w:rsidR="00537C7A">
        <w:t>re</w:t>
      </w:r>
      <w:r>
        <w:t xml:space="preserve"> </w:t>
      </w:r>
      <w:r w:rsidR="00D87689">
        <w:t>high</w:t>
      </w:r>
      <w:r w:rsidR="00537C7A">
        <w:t>-</w:t>
      </w:r>
      <w:r w:rsidR="00D87689">
        <w:t xml:space="preserve">quality data </w:t>
      </w:r>
      <w:r w:rsidR="00537C7A">
        <w:t>was</w:t>
      </w:r>
      <w:r w:rsidR="00D87689">
        <w:t xml:space="preserve"> not available in the Australian context)</w:t>
      </w:r>
      <w:r w:rsidR="00387CD5">
        <w:t>.</w:t>
      </w:r>
      <w:r w:rsidR="00A836CB">
        <w:t xml:space="preserve"> </w:t>
      </w:r>
    </w:p>
    <w:p w14:paraId="5ABFBC9D" w14:textId="26069539" w:rsidR="00543FDA" w:rsidRDefault="00FF607A" w:rsidP="00543FDA">
      <w:r>
        <w:t xml:space="preserve">Key parameters </w:t>
      </w:r>
      <w:r w:rsidR="00C96D6D">
        <w:t xml:space="preserve">drawn from </w:t>
      </w:r>
      <w:r w:rsidR="00F93DDE">
        <w:t xml:space="preserve">overseas literature </w:t>
      </w:r>
      <w:r>
        <w:t xml:space="preserve">include </w:t>
      </w:r>
      <w:r w:rsidR="00F93DDE">
        <w:t>adenoma incidence rates</w:t>
      </w:r>
      <w:r w:rsidR="00F459A8">
        <w:t xml:space="preserve"> and transition probabilities associated with the natural progression of cancer</w:t>
      </w:r>
      <w:r w:rsidR="00F93DDE">
        <w:t>.</w:t>
      </w:r>
      <w:r w:rsidR="00291AD2">
        <w:t xml:space="preserve"> </w:t>
      </w:r>
      <w:r>
        <w:t xml:space="preserve">Adenoma incidence </w:t>
      </w:r>
      <w:r w:rsidR="00291AD2">
        <w:t xml:space="preserve">rates </w:t>
      </w:r>
      <w:r w:rsidR="00EC09F3">
        <w:t xml:space="preserve">are based on a Dutch </w:t>
      </w:r>
      <w:r w:rsidR="00BE0204">
        <w:t>randomised trial</w:t>
      </w:r>
      <w:r w:rsidR="00537034">
        <w:t xml:space="preserve"> </w:t>
      </w:r>
      <w:r w:rsidR="00DB1093">
        <w:t xml:space="preserve">conducted </w:t>
      </w:r>
      <w:r w:rsidR="00537034">
        <w:t>in 2003</w:t>
      </w:r>
      <w:r w:rsidR="008344A5">
        <w:t>. O</w:t>
      </w:r>
      <w:r w:rsidR="0060180C">
        <w:t xml:space="preserve">ther </w:t>
      </w:r>
      <w:r w:rsidR="00543FDA">
        <w:t xml:space="preserve">transition probabilities </w:t>
      </w:r>
      <w:r w:rsidR="00A8761D">
        <w:t>associated with the natural development of cancer</w:t>
      </w:r>
      <w:r w:rsidR="00BC42DA">
        <w:t xml:space="preserve"> were</w:t>
      </w:r>
      <w:r w:rsidR="0071558E">
        <w:t xml:space="preserve"> </w:t>
      </w:r>
      <w:r w:rsidR="00A24981">
        <w:t xml:space="preserve">estimated </w:t>
      </w:r>
      <w:r w:rsidR="00DB1093">
        <w:t>from</w:t>
      </w:r>
      <w:r w:rsidR="00A24981">
        <w:t xml:space="preserve"> Lew</w:t>
      </w:r>
      <w:r w:rsidR="00697C11">
        <w:t xml:space="preserve"> et al.</w:t>
      </w:r>
      <w:r w:rsidR="008344A5">
        <w:t xml:space="preserve">, </w:t>
      </w:r>
      <w:r w:rsidR="006C5C30">
        <w:t xml:space="preserve">where </w:t>
      </w:r>
      <w:r w:rsidR="00F90DDD">
        <w:t>the authors applied a</w:t>
      </w:r>
      <w:r w:rsidR="006C5C30">
        <w:t xml:space="preserve"> calibration approach</w:t>
      </w:r>
      <w:r w:rsidR="00F90DDD">
        <w:t xml:space="preserve"> </w:t>
      </w:r>
      <w:r w:rsidR="006C5C30">
        <w:t>to</w:t>
      </w:r>
      <w:r w:rsidR="0010391E">
        <w:t xml:space="preserve"> results from a trial conducted in the </w:t>
      </w:r>
      <w:r w:rsidR="00A24981">
        <w:t>Netherlands</w:t>
      </w:r>
      <w:r w:rsidR="00232EE6">
        <w:t xml:space="preserve"> in 201</w:t>
      </w:r>
      <w:r w:rsidR="00086805">
        <w:t>2</w:t>
      </w:r>
      <w:r w:rsidR="00A24981">
        <w:t xml:space="preserve">. </w:t>
      </w:r>
      <w:r w:rsidR="00BC42DA">
        <w:t xml:space="preserve"> </w:t>
      </w:r>
    </w:p>
    <w:p w14:paraId="1AAD5C47" w14:textId="04A55418" w:rsidR="001A0A78" w:rsidRDefault="00422FC2" w:rsidP="00FC700D">
      <w:r>
        <w:t xml:space="preserve">These parameters were identified as the most appropriate estimates </w:t>
      </w:r>
      <w:r w:rsidR="001925C2">
        <w:t>of</w:t>
      </w:r>
      <w:r>
        <w:t xml:space="preserve"> the natural development of cancer </w:t>
      </w:r>
      <w:r w:rsidR="00454D36">
        <w:t>for</w:t>
      </w:r>
      <w:r>
        <w:t xml:space="preserve"> our study as </w:t>
      </w:r>
      <w:r w:rsidR="00454D36">
        <w:t xml:space="preserve">there were no </w:t>
      </w:r>
      <w:r w:rsidR="00D50C99">
        <w:t>equivalent</w:t>
      </w:r>
      <w:r w:rsidR="00F229C7">
        <w:t xml:space="preserve"> data available </w:t>
      </w:r>
      <w:r w:rsidR="005246BE">
        <w:t xml:space="preserve">in the Australian context. </w:t>
      </w:r>
      <w:r w:rsidR="00745D2F">
        <w:t xml:space="preserve">Further, it was </w:t>
      </w:r>
      <w:r w:rsidR="000D59C5">
        <w:t>not possible to</w:t>
      </w:r>
      <w:r w:rsidR="00745D2F">
        <w:t xml:space="preserve"> estimate</w:t>
      </w:r>
      <w:r w:rsidR="000D59C5">
        <w:t xml:space="preserve"> current</w:t>
      </w:r>
      <w:r w:rsidR="00745D2F">
        <w:t xml:space="preserve"> </w:t>
      </w:r>
      <w:r w:rsidR="00D374EE">
        <w:t>age-specific adenoma incidence</w:t>
      </w:r>
      <w:r w:rsidR="00121E26">
        <w:t xml:space="preserve"> rates</w:t>
      </w:r>
      <w:r w:rsidR="00D374EE">
        <w:t xml:space="preserve"> </w:t>
      </w:r>
      <w:r w:rsidR="00B65D5F">
        <w:t>(</w:t>
      </w:r>
      <w:proofErr w:type="gramStart"/>
      <w:r w:rsidR="00B65D5F">
        <w:t>i.e.</w:t>
      </w:r>
      <w:proofErr w:type="gramEnd"/>
      <w:r w:rsidR="00B65D5F">
        <w:t xml:space="preserve"> the likelihood of progression from no lesion to adenoma in a year) </w:t>
      </w:r>
      <w:r w:rsidR="00535F24">
        <w:t xml:space="preserve">using </w:t>
      </w:r>
      <w:r w:rsidR="00745D2F">
        <w:t xml:space="preserve">AIHW </w:t>
      </w:r>
      <w:r w:rsidR="000D59C5">
        <w:t xml:space="preserve">bowel </w:t>
      </w:r>
      <w:r w:rsidR="00535F24">
        <w:t xml:space="preserve">cancer </w:t>
      </w:r>
      <w:r w:rsidR="00745D2F">
        <w:t xml:space="preserve">incidence data, as </w:t>
      </w:r>
      <w:r w:rsidR="004E5FB3">
        <w:t xml:space="preserve">the </w:t>
      </w:r>
      <w:r w:rsidR="00A41133">
        <w:t>NBCSP</w:t>
      </w:r>
      <w:r w:rsidR="004E5FB3">
        <w:t xml:space="preserve"> ha</w:t>
      </w:r>
      <w:r w:rsidR="000D59C5">
        <w:t>s</w:t>
      </w:r>
      <w:r w:rsidR="004E5FB3">
        <w:t xml:space="preserve"> been in place since 2006</w:t>
      </w:r>
      <w:r w:rsidR="00843526">
        <w:t>. Consequently, AIHW</w:t>
      </w:r>
      <w:r w:rsidR="00200C7F">
        <w:t xml:space="preserve"> rates are not reflective of </w:t>
      </w:r>
      <w:r w:rsidR="00773DC6">
        <w:t xml:space="preserve">the </w:t>
      </w:r>
      <w:r w:rsidR="00642790">
        <w:t xml:space="preserve">natural </w:t>
      </w:r>
      <w:r w:rsidR="00773DC6">
        <w:t>rate of detection under a no screening scenario</w:t>
      </w:r>
      <w:r w:rsidR="00032345">
        <w:t>, which is required for the natural progression model.</w:t>
      </w:r>
    </w:p>
    <w:p w14:paraId="51C6EB4A" w14:textId="6AFEFED6" w:rsidR="00CB3320" w:rsidRDefault="001A0A78" w:rsidP="00FC700D">
      <w:r>
        <w:t xml:space="preserve">As a method </w:t>
      </w:r>
      <w:r w:rsidR="00651293">
        <w:t xml:space="preserve">of validating the </w:t>
      </w:r>
      <w:r w:rsidR="009B5AB0">
        <w:t>modelling approach and</w:t>
      </w:r>
      <w:r w:rsidR="00651293">
        <w:t xml:space="preserve"> </w:t>
      </w:r>
      <w:r w:rsidR="008A4360">
        <w:t>the inputs used</w:t>
      </w:r>
      <w:r w:rsidR="00651293">
        <w:t xml:space="preserve">, </w:t>
      </w:r>
      <w:r w:rsidR="00664CD2">
        <w:t xml:space="preserve">model estimates of </w:t>
      </w:r>
      <w:r w:rsidR="00A41133">
        <w:t xml:space="preserve">the </w:t>
      </w:r>
      <w:r w:rsidR="00664CD2">
        <w:t>age-specific incidence of</w:t>
      </w:r>
      <w:r w:rsidR="00261F9E">
        <w:t xml:space="preserve"> bowel</w:t>
      </w:r>
      <w:r w:rsidR="00664CD2">
        <w:t xml:space="preserve"> cancer </w:t>
      </w:r>
      <w:r w:rsidR="00193874">
        <w:t>(</w:t>
      </w:r>
      <w:proofErr w:type="gramStart"/>
      <w:r w:rsidR="00193874">
        <w:t>i.e.</w:t>
      </w:r>
      <w:proofErr w:type="gramEnd"/>
      <w:r w:rsidR="00193874">
        <w:t xml:space="preserve"> outputs of the model) </w:t>
      </w:r>
      <w:r w:rsidR="00664CD2">
        <w:t>w</w:t>
      </w:r>
      <w:r w:rsidR="00261F9E">
        <w:t>as</w:t>
      </w:r>
      <w:r w:rsidR="00664CD2">
        <w:t xml:space="preserve"> compared to actual AIHW </w:t>
      </w:r>
      <w:r w:rsidR="00506B2A">
        <w:t xml:space="preserve">bowel cancer incidence </w:t>
      </w:r>
      <w:r w:rsidR="00664CD2">
        <w:t>data</w:t>
      </w:r>
      <w:r w:rsidR="00C47794">
        <w:t xml:space="preserve"> pre-screening </w:t>
      </w:r>
      <w:r w:rsidR="00A41133">
        <w:t>P</w:t>
      </w:r>
      <w:r w:rsidR="00C47794">
        <w:t>rogram (i.e. in 2006). Th</w:t>
      </w:r>
      <w:r w:rsidR="00EF5921">
        <w:t>e</w:t>
      </w:r>
      <w:r w:rsidR="00C47794">
        <w:t xml:space="preserve"> </w:t>
      </w:r>
      <w:r w:rsidR="009B5AB0">
        <w:t>results</w:t>
      </w:r>
      <w:r w:rsidR="005F5D6E">
        <w:t xml:space="preserve"> show that</w:t>
      </w:r>
      <w:r w:rsidR="009B5AB0">
        <w:t xml:space="preserve"> modelled</w:t>
      </w:r>
      <w:r w:rsidR="005F5D6E">
        <w:t xml:space="preserve"> estimates of age-specific </w:t>
      </w:r>
      <w:r w:rsidR="00506B2A">
        <w:t xml:space="preserve">cancer </w:t>
      </w:r>
      <w:r w:rsidR="005F5D6E">
        <w:t xml:space="preserve">incidence and mortality in a </w:t>
      </w:r>
      <w:r w:rsidR="005F5D6E">
        <w:lastRenderedPageBreak/>
        <w:t>scenario where no screening program exists broadly align</w:t>
      </w:r>
      <w:r w:rsidR="00736073">
        <w:t>s</w:t>
      </w:r>
      <w:r w:rsidR="005F5D6E">
        <w:t xml:space="preserve"> with </w:t>
      </w:r>
      <w:r w:rsidR="00A9443B">
        <w:t xml:space="preserve">the </w:t>
      </w:r>
      <w:r w:rsidR="00AB4860">
        <w:t xml:space="preserve">AIHW </w:t>
      </w:r>
      <w:r w:rsidR="006E7AC9">
        <w:t>statistics</w:t>
      </w:r>
      <w:r w:rsidR="00C23DC1">
        <w:t xml:space="preserve"> from </w:t>
      </w:r>
      <w:r w:rsidR="006E7AC9">
        <w:t>2006</w:t>
      </w:r>
      <w:r w:rsidR="00EE0734">
        <w:t xml:space="preserve"> (See </w:t>
      </w:r>
      <w:r w:rsidR="005E0307">
        <w:t>s</w:t>
      </w:r>
      <w:r w:rsidR="00EE0734">
        <w:t>ection B.2)</w:t>
      </w:r>
      <w:r w:rsidR="00AC43CA">
        <w:t>.</w:t>
      </w:r>
      <w:r w:rsidR="00651293">
        <w:t xml:space="preserve"> </w:t>
      </w:r>
    </w:p>
    <w:p w14:paraId="345C79F7" w14:textId="16C1F7D2" w:rsidR="00543FDA" w:rsidRDefault="007255EB" w:rsidP="00FC700D">
      <w:r>
        <w:t>While this validation check</w:t>
      </w:r>
      <w:r w:rsidR="000C4694">
        <w:t xml:space="preserve"> implies robustness of the model,</w:t>
      </w:r>
      <w:r w:rsidR="00FF607A">
        <w:t xml:space="preserve"> </w:t>
      </w:r>
      <w:r w:rsidR="003B0C66">
        <w:t>the absence of current age specific adenoma incidence rates in an Australian setting remains a limitation</w:t>
      </w:r>
      <w:r w:rsidR="00FB0B7D">
        <w:t xml:space="preserve">, </w:t>
      </w:r>
      <w:r w:rsidR="004A3CE5">
        <w:t xml:space="preserve">given that </w:t>
      </w:r>
      <w:r w:rsidR="004759F9">
        <w:t xml:space="preserve">that AIHW statistics </w:t>
      </w:r>
      <w:r w:rsidR="002F5956">
        <w:t>show</w:t>
      </w:r>
      <w:r w:rsidR="004759F9">
        <w:t xml:space="preserve"> moderate changes to incidence rates </w:t>
      </w:r>
      <w:r w:rsidR="00536E08">
        <w:t>for younger cohorts</w:t>
      </w:r>
      <w:r w:rsidR="004759F9">
        <w:t xml:space="preserve"> over time.</w:t>
      </w:r>
      <w:r w:rsidR="00A8048F">
        <w:t xml:space="preserve"> </w:t>
      </w:r>
    </w:p>
    <w:p w14:paraId="6F07A9F6" w14:textId="5E37CD08" w:rsidR="00630FB6" w:rsidRDefault="00630FB6" w:rsidP="009E06D0">
      <w:pPr>
        <w:pStyle w:val="Appendixhead2"/>
      </w:pPr>
      <w:r>
        <w:t>Model calibration and validity</w:t>
      </w:r>
    </w:p>
    <w:p w14:paraId="6F19C5B7" w14:textId="217F9759" w:rsidR="00630FB6" w:rsidRDefault="00630FB6" w:rsidP="00630FB6">
      <w:r>
        <w:t xml:space="preserve">This section assesses the validity of the CEA results by comparing modelled outputs on incidence and mortality rates to actual rates observed in AIHW data. The results of the analysis are also compared to results reported in comparable modelling studies. </w:t>
      </w:r>
    </w:p>
    <w:p w14:paraId="4AC2DD77" w14:textId="77777777" w:rsidR="00630FB6" w:rsidRPr="00C521C8" w:rsidRDefault="00630FB6" w:rsidP="00EA7630">
      <w:pPr>
        <w:pStyle w:val="Appendixhead3"/>
      </w:pPr>
      <w:r>
        <w:t>Calibration with observed rates</w:t>
      </w:r>
    </w:p>
    <w:p w14:paraId="1C44C8F0" w14:textId="01C8BCBE" w:rsidR="00CD13D7" w:rsidRDefault="00630FB6" w:rsidP="00630FB6">
      <w:r>
        <w:t>Actual and modelled bowel cancer incidence and mortality rates are displayed in</w:t>
      </w:r>
      <w:r w:rsidR="00CD13D7">
        <w:t xml:space="preserve"> Chart B.1</w:t>
      </w:r>
      <w:r>
        <w:t>. The modelled rates are based o</w:t>
      </w:r>
      <w:r w:rsidR="00F92F17">
        <w:t xml:space="preserve">n </w:t>
      </w:r>
      <w:r>
        <w:t>the no</w:t>
      </w:r>
      <w:r w:rsidR="007E638D">
        <w:t xml:space="preserve"> </w:t>
      </w:r>
      <w:r>
        <w:t xml:space="preserve">screening scenario, while the actual rates were sourced from AIHW’s 2006 cancer statistics; the year the Program was first implemented. The model captures cancer incidence and mortality to a reasonable degree of accuracy. The model predicts a lifetime risk of bowel cancer for people aged </w:t>
      </w:r>
      <w:r w:rsidR="007056D5">
        <w:t>50</w:t>
      </w:r>
      <w:r w:rsidR="00F92F17">
        <w:t>-years</w:t>
      </w:r>
      <w:r>
        <w:t xml:space="preserve"> of approximately 8.</w:t>
      </w:r>
      <w:r w:rsidR="007056D5">
        <w:t>0</w:t>
      </w:r>
      <w:r>
        <w:t xml:space="preserve"> per cent, and a lifetime risk of dying of bowel cancer of 3.5 per cent. This is compared to AIHW lifetime risk statistics measured between 2001</w:t>
      </w:r>
      <w:r w:rsidR="00C63667">
        <w:t xml:space="preserve"> to </w:t>
      </w:r>
      <w:r>
        <w:t xml:space="preserve">2010 of </w:t>
      </w:r>
      <w:r w:rsidR="003F35CB">
        <w:t>7.</w:t>
      </w:r>
      <w:r w:rsidR="00796DE6">
        <w:t>7</w:t>
      </w:r>
      <w:r>
        <w:t xml:space="preserve"> per cent and 3.</w:t>
      </w:r>
      <w:r w:rsidR="00A074FD">
        <w:t>2</w:t>
      </w:r>
      <w:r>
        <w:t xml:space="preserve"> per cent respectively.  </w:t>
      </w:r>
    </w:p>
    <w:p w14:paraId="7485F129" w14:textId="222F982D" w:rsidR="00630FB6" w:rsidRDefault="00486BAC" w:rsidP="009E06D0">
      <w:pPr>
        <w:pStyle w:val="CaptionFigure"/>
        <w:numPr>
          <w:ilvl w:val="0"/>
          <w:numId w:val="0"/>
        </w:numPr>
      </w:pPr>
      <w:r w:rsidRPr="008515D3">
        <w:rPr>
          <w:noProof/>
          <w:lang w:eastAsia="en-AU"/>
        </w:rPr>
        <mc:AlternateContent>
          <mc:Choice Requires="wps">
            <w:drawing>
              <wp:anchor distT="45720" distB="45720" distL="114300" distR="114300" simplePos="0" relativeHeight="251658246" behindDoc="1" locked="0" layoutInCell="1" allowOverlap="1" wp14:anchorId="2DC29999" wp14:editId="4C0B4C64">
                <wp:simplePos x="0" y="0"/>
                <wp:positionH relativeFrom="margin">
                  <wp:posOffset>3035300</wp:posOffset>
                </wp:positionH>
                <wp:positionV relativeFrom="paragraph">
                  <wp:posOffset>329679</wp:posOffset>
                </wp:positionV>
                <wp:extent cx="2360930" cy="1404620"/>
                <wp:effectExtent l="0" t="0" r="0" b="1270"/>
                <wp:wrapNone/>
                <wp:docPr id="5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D1E0815" w14:textId="0B6300B1" w:rsidR="00F26BA2" w:rsidRPr="0030179F" w:rsidRDefault="00F26BA2" w:rsidP="00630FB6">
                            <w:pPr>
                              <w:rPr>
                                <w:color w:val="808080" w:themeColor="background1" w:themeShade="80"/>
                                <w:sz w:val="17"/>
                                <w:szCs w:val="17"/>
                              </w:rPr>
                            </w:pPr>
                            <w:r w:rsidRPr="0030179F">
                              <w:rPr>
                                <w:color w:val="808080" w:themeColor="background1" w:themeShade="80"/>
                                <w:sz w:val="17"/>
                                <w:szCs w:val="17"/>
                              </w:rPr>
                              <w:t xml:space="preserve">Mortality rates </w:t>
                            </w:r>
                            <w:r>
                              <w:rPr>
                                <w:color w:val="808080" w:themeColor="background1" w:themeShade="80"/>
                                <w:sz w:val="17"/>
                                <w:szCs w:val="17"/>
                              </w:rPr>
                              <w:t>from</w:t>
                            </w:r>
                            <w:r w:rsidRPr="0030179F">
                              <w:rPr>
                                <w:color w:val="808080" w:themeColor="background1" w:themeShade="80"/>
                                <w:sz w:val="17"/>
                                <w:szCs w:val="17"/>
                              </w:rPr>
                              <w:t xml:space="preserve"> co</w:t>
                            </w:r>
                            <w:r>
                              <w:rPr>
                                <w:color w:val="808080" w:themeColor="background1" w:themeShade="80"/>
                                <w:sz w:val="17"/>
                                <w:szCs w:val="17"/>
                              </w:rPr>
                              <w:t>lo</w:t>
                            </w:r>
                            <w:r w:rsidRPr="0030179F">
                              <w:rPr>
                                <w:color w:val="808080" w:themeColor="background1" w:themeShade="80"/>
                                <w:sz w:val="17"/>
                                <w:szCs w:val="17"/>
                              </w:rPr>
                              <w:t>rectal cancer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DC29999" id="_x0000_t202" coordsize="21600,21600" o:spt="202" path="m,l,21600r21600,l21600,xe">
                <v:stroke joinstyle="miter"/>
                <v:path gradientshapeok="t" o:connecttype="rect"/>
              </v:shapetype>
              <v:shape id="Text Box 2" o:spid="_x0000_s1026" type="#_x0000_t202" alt="&quot;&quot;" style="position:absolute;margin-left:239pt;margin-top:25.95pt;width:185.9pt;height:110.6pt;z-index:-25165823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" stroked="f">
                <v:textbox style="mso-fit-shape-to-text:t">
                  <w:txbxContent>
                    <w:p w14:paraId="3D1E0815" w14:textId="0B6300B1" w:rsidR="00F26BA2" w:rsidRPr="0030179F" w:rsidRDefault="00F26BA2" w:rsidP="00630FB6">
                      <w:pPr>
                        <w:rPr>
                          <w:color w:val="808080" w:themeColor="background1" w:themeShade="80"/>
                          <w:sz w:val="17"/>
                          <w:szCs w:val="17"/>
                        </w:rPr>
                      </w:pPr>
                      <w:r w:rsidRPr="0030179F">
                        <w:rPr>
                          <w:color w:val="808080" w:themeColor="background1" w:themeShade="80"/>
                          <w:sz w:val="17"/>
                          <w:szCs w:val="17"/>
                        </w:rPr>
                        <w:t xml:space="preserve">Mortality rates </w:t>
                      </w:r>
                      <w:r>
                        <w:rPr>
                          <w:color w:val="808080" w:themeColor="background1" w:themeShade="80"/>
                          <w:sz w:val="17"/>
                          <w:szCs w:val="17"/>
                        </w:rPr>
                        <w:t>from</w:t>
                      </w:r>
                      <w:r w:rsidRPr="0030179F">
                        <w:rPr>
                          <w:color w:val="808080" w:themeColor="background1" w:themeShade="80"/>
                          <w:sz w:val="17"/>
                          <w:szCs w:val="17"/>
                        </w:rPr>
                        <w:t xml:space="preserve"> co</w:t>
                      </w:r>
                      <w:r>
                        <w:rPr>
                          <w:color w:val="808080" w:themeColor="background1" w:themeShade="80"/>
                          <w:sz w:val="17"/>
                          <w:szCs w:val="17"/>
                        </w:rPr>
                        <w:t>lo</w:t>
                      </w:r>
                      <w:r w:rsidRPr="0030179F">
                        <w:rPr>
                          <w:color w:val="808080" w:themeColor="background1" w:themeShade="80"/>
                          <w:sz w:val="17"/>
                          <w:szCs w:val="17"/>
                        </w:rPr>
                        <w:t>rectal cancer</w:t>
                      </w:r>
                    </w:p>
                  </w:txbxContent>
                </v:textbox>
                <w10:wrap anchorx="margin"/>
              </v:shape>
            </w:pict>
          </mc:Fallback>
        </mc:AlternateContent>
      </w:r>
      <w:r w:rsidR="004041EF" w:rsidRPr="008515D3">
        <w:rPr>
          <w:noProof/>
          <w:lang w:eastAsia="en-AU"/>
        </w:rPr>
        <mc:AlternateContent>
          <mc:Choice Requires="wps">
            <w:drawing>
              <wp:anchor distT="45720" distB="45720" distL="114300" distR="114300" simplePos="0" relativeHeight="251658245" behindDoc="1" locked="0" layoutInCell="1" allowOverlap="1" wp14:anchorId="59EC23BF" wp14:editId="687E6DF8">
                <wp:simplePos x="0" y="0"/>
                <wp:positionH relativeFrom="margin">
                  <wp:align>left</wp:align>
                </wp:positionH>
                <wp:positionV relativeFrom="paragraph">
                  <wp:posOffset>325120</wp:posOffset>
                </wp:positionV>
                <wp:extent cx="2360930" cy="1404620"/>
                <wp:effectExtent l="0" t="0" r="0" b="1270"/>
                <wp:wrapNone/>
                <wp:docPr id="5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DAC7C01" w14:textId="77777777" w:rsidR="00F26BA2" w:rsidRPr="0030179F" w:rsidRDefault="00F26BA2" w:rsidP="00630FB6">
                            <w:pPr>
                              <w:rPr>
                                <w:color w:val="808080" w:themeColor="background1" w:themeShade="80"/>
                                <w:sz w:val="17"/>
                                <w:szCs w:val="17"/>
                              </w:rPr>
                            </w:pPr>
                            <w:r w:rsidRPr="0030179F">
                              <w:rPr>
                                <w:color w:val="808080" w:themeColor="background1" w:themeShade="80"/>
                                <w:sz w:val="17"/>
                                <w:szCs w:val="17"/>
                              </w:rPr>
                              <w:t>Incidence rates of co</w:t>
                            </w:r>
                            <w:r>
                              <w:rPr>
                                <w:color w:val="808080" w:themeColor="background1" w:themeShade="80"/>
                                <w:sz w:val="17"/>
                                <w:szCs w:val="17"/>
                              </w:rPr>
                              <w:t>lo</w:t>
                            </w:r>
                            <w:r w:rsidRPr="0030179F">
                              <w:rPr>
                                <w:color w:val="808080" w:themeColor="background1" w:themeShade="80"/>
                                <w:sz w:val="17"/>
                                <w:szCs w:val="17"/>
                              </w:rPr>
                              <w:t>rectal cancer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9EC23BF" id="_x0000_s1027" type="#_x0000_t202" alt="&quot;&quot;" style="position:absolute;margin-left:0;margin-top:25.6pt;width:185.9pt;height:110.6pt;z-index:-251658235;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" stroked="f">
                <v:textbox style="mso-fit-shape-to-text:t">
                  <w:txbxContent>
                    <w:p w14:paraId="5DAC7C01" w14:textId="77777777" w:rsidR="00F26BA2" w:rsidRPr="0030179F" w:rsidRDefault="00F26BA2" w:rsidP="00630FB6">
                      <w:pPr>
                        <w:rPr>
                          <w:color w:val="808080" w:themeColor="background1" w:themeShade="80"/>
                          <w:sz w:val="17"/>
                          <w:szCs w:val="17"/>
                        </w:rPr>
                      </w:pPr>
                      <w:r w:rsidRPr="0030179F">
                        <w:rPr>
                          <w:color w:val="808080" w:themeColor="background1" w:themeShade="80"/>
                          <w:sz w:val="17"/>
                          <w:szCs w:val="17"/>
                        </w:rPr>
                        <w:t>Incidence rates of co</w:t>
                      </w:r>
                      <w:r>
                        <w:rPr>
                          <w:color w:val="808080" w:themeColor="background1" w:themeShade="80"/>
                          <w:sz w:val="17"/>
                          <w:szCs w:val="17"/>
                        </w:rPr>
                        <w:t>lo</w:t>
                      </w:r>
                      <w:r w:rsidRPr="0030179F">
                        <w:rPr>
                          <w:color w:val="808080" w:themeColor="background1" w:themeShade="80"/>
                          <w:sz w:val="17"/>
                          <w:szCs w:val="17"/>
                        </w:rPr>
                        <w:t>rectal cancer</w:t>
                      </w:r>
                    </w:p>
                  </w:txbxContent>
                </v:textbox>
                <w10:wrap anchorx="margin"/>
              </v:shape>
            </w:pict>
          </mc:Fallback>
        </mc:AlternateContent>
      </w:r>
      <w:r w:rsidR="004041EF">
        <w:t xml:space="preserve">Chart B.1. </w:t>
      </w:r>
      <w:r w:rsidR="00630FB6">
        <w:t>Actual age-standardised incidence and mortality rates for bowel cancer vs. modelled estimates under the no</w:t>
      </w:r>
      <w:r w:rsidR="007E638D">
        <w:t xml:space="preserve"> </w:t>
      </w:r>
      <w:r w:rsidR="00630FB6">
        <w:t>screening scenario</w:t>
      </w:r>
    </w:p>
    <w:p w14:paraId="7419632D" w14:textId="77777777" w:rsidR="00630FB6" w:rsidRPr="008515D3" w:rsidRDefault="00630FB6" w:rsidP="00630FB6"/>
    <w:p w14:paraId="0CFEA97D" w14:textId="77777777" w:rsidR="00630FB6" w:rsidRDefault="00630FB6" w:rsidP="00630FB6">
      <w:r w:rsidRPr="006A07BB">
        <w:rPr>
          <w:noProof/>
          <w:lang w:eastAsia="en-AU"/>
        </w:rPr>
        <w:drawing>
          <wp:inline distT="0" distB="0" distL="0" distR="0" wp14:anchorId="0490E1FE" wp14:editId="53E964BD">
            <wp:extent cx="5578867" cy="2724130"/>
            <wp:effectExtent l="0" t="0" r="0" b="0"/>
            <wp:docPr id="54" name="Picture 54" descr="Graph depicting incidence of colorectal cancer by age, and mortality of colorectal cancer by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Graph depicting incidence of colorectal cancer by age, and mortality of colorectal cancer by ag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611127" cy="2739883"/>
                    </a:xfrm>
                    <a:prstGeom prst="rect">
                      <a:avLst/>
                    </a:prstGeom>
                    <a:noFill/>
                    <a:ln>
                      <a:noFill/>
                    </a:ln>
                  </pic:spPr>
                </pic:pic>
              </a:graphicData>
            </a:graphic>
          </wp:inline>
        </w:drawing>
      </w:r>
    </w:p>
    <w:p w14:paraId="20B8E8DE" w14:textId="77777777" w:rsidR="00630FB6" w:rsidRDefault="00630FB6" w:rsidP="00607337">
      <w:pPr>
        <w:pStyle w:val="Source"/>
      </w:pPr>
      <w:r>
        <w:t>Notes: a) Actual age-standardised rate from 2006 used to control for the impact of the NBCSP on cancer incidence and mortality over the period 2006-2020</w:t>
      </w:r>
    </w:p>
    <w:p w14:paraId="70CA58EC" w14:textId="14356FA2" w:rsidR="00630FB6" w:rsidRDefault="00630FB6" w:rsidP="00607337">
      <w:pPr>
        <w:pStyle w:val="Source"/>
      </w:pPr>
      <w:r w:rsidRPr="008515D3">
        <w:t>Source: Deloitte Access Economics analysis and AIHW Cancer data in Australia (2020)</w:t>
      </w:r>
      <w:r w:rsidR="00607337">
        <w:t>.</w:t>
      </w:r>
      <w:r w:rsidRPr="008515D3">
        <w:t xml:space="preserve"> </w:t>
      </w:r>
    </w:p>
    <w:p w14:paraId="1DC2527E" w14:textId="79C61B56" w:rsidR="00630FB6" w:rsidRPr="00C521C8" w:rsidRDefault="00630FB6" w:rsidP="00EA7630">
      <w:pPr>
        <w:pStyle w:val="Appendixhead3"/>
      </w:pPr>
      <w:r>
        <w:t>Comparison with Lew et al</w:t>
      </w:r>
      <w:r w:rsidR="00FB7F03">
        <w:t>.</w:t>
      </w:r>
      <w:r>
        <w:t>’s economic evaluation</w:t>
      </w:r>
    </w:p>
    <w:p w14:paraId="42E36FE2" w14:textId="3BF110A0" w:rsidR="00630FB6" w:rsidRDefault="00630FB6" w:rsidP="00630FB6">
      <w:r>
        <w:t xml:space="preserve">The modelling results conducted from a healthcare </w:t>
      </w:r>
      <w:r w:rsidR="004B3852">
        <w:t>system</w:t>
      </w:r>
      <w:r>
        <w:t xml:space="preserve"> perspective are compared against Lew et a</w:t>
      </w:r>
      <w:r w:rsidR="002C0025">
        <w:t>l</w:t>
      </w:r>
      <w:r w:rsidR="00372997">
        <w:t>.</w:t>
      </w:r>
      <w:r>
        <w:t xml:space="preserve">’s results in </w:t>
      </w:r>
      <w:r w:rsidR="00CD13D7">
        <w:t>Table B.1</w:t>
      </w:r>
      <w:r>
        <w:t>. To enable direct comparison between the outputs of each study, the model was adjusted to remove Program costs, and DALYs associated with reduced morbidity, as neither of these were included in the Lew et al</w:t>
      </w:r>
      <w:r w:rsidR="00FB7F03">
        <w:t>.</w:t>
      </w:r>
      <w:r>
        <w:t xml:space="preserve"> study. </w:t>
      </w:r>
    </w:p>
    <w:p w14:paraId="2A480F37" w14:textId="6A2ED6AE" w:rsidR="00630FB6" w:rsidRDefault="00630FB6" w:rsidP="00630FB6">
      <w:r>
        <w:t>Overall, our base-case ICER results comparing biennial screening for individuals aged 50 to 74 to a scenario of no</w:t>
      </w:r>
      <w:r w:rsidR="007E638D">
        <w:t xml:space="preserve"> </w:t>
      </w:r>
      <w:r>
        <w:t xml:space="preserve">screening </w:t>
      </w:r>
      <w:r w:rsidR="00134A75">
        <w:t>is slightly</w:t>
      </w:r>
      <w:r>
        <w:t xml:space="preserve"> higher than the results reported by Lew et al. In addition, our analysis comparing different screening starting ages is consistent with Lew et al</w:t>
      </w:r>
      <w:r w:rsidR="00FB7F03">
        <w:t>.</w:t>
      </w:r>
      <w:r>
        <w:t>, with both studies concluding that commencing the Program at age 50 is more cost effective than commencing screening at age 45</w:t>
      </w:r>
      <w:r w:rsidR="001C61B1">
        <w:t>, when evaluated</w:t>
      </w:r>
      <w:r w:rsidR="002768F1">
        <w:t xml:space="preserve"> from </w:t>
      </w:r>
      <w:r w:rsidR="001C61B1">
        <w:t>a</w:t>
      </w:r>
      <w:r w:rsidR="002768F1">
        <w:t xml:space="preserve"> healthcare </w:t>
      </w:r>
      <w:r w:rsidR="001C61B1">
        <w:t>system</w:t>
      </w:r>
      <w:r w:rsidR="002768F1">
        <w:t xml:space="preserve"> perspective</w:t>
      </w:r>
      <w:r>
        <w:t>.</w:t>
      </w:r>
    </w:p>
    <w:p w14:paraId="297C69DA" w14:textId="5C01DD81" w:rsidR="00630FB6" w:rsidRDefault="00CD13D7" w:rsidP="00725383">
      <w:pPr>
        <w:pStyle w:val="CaptionTable"/>
        <w:numPr>
          <w:ilvl w:val="0"/>
          <w:numId w:val="0"/>
        </w:numPr>
        <w:spacing w:before="0"/>
      </w:pPr>
      <w:r>
        <w:lastRenderedPageBreak/>
        <w:t>Table B.1</w:t>
      </w:r>
      <w:r w:rsidR="00630FB6">
        <w:t>: Comparison of ICER</w:t>
      </w:r>
      <w:r w:rsidR="00A944A6">
        <w:t>s</w:t>
      </w:r>
      <w:r w:rsidR="00630FB6">
        <w:t xml:space="preserve"> for scenarios between this study and Lew </w:t>
      </w:r>
      <w:r w:rsidR="001F4C14">
        <w:t>et al</w:t>
      </w:r>
      <w:r w:rsidR="00A944A6">
        <w:t>.</w:t>
      </w:r>
    </w:p>
    <w:tbl>
      <w:tblPr>
        <w:tblW w:w="8920" w:type="dxa"/>
        <w:tblCellMar>
          <w:left w:w="0" w:type="dxa"/>
          <w:right w:w="0" w:type="dxa"/>
        </w:tblCellMar>
        <w:tblLook w:val="04A0" w:firstRow="1" w:lastRow="0" w:firstColumn="1" w:lastColumn="0" w:noHBand="0" w:noVBand="1"/>
      </w:tblPr>
      <w:tblGrid>
        <w:gridCol w:w="3569"/>
        <w:gridCol w:w="3923"/>
        <w:gridCol w:w="1428"/>
      </w:tblGrid>
      <w:tr w:rsidR="00A71693" w14:paraId="3BD127C6" w14:textId="77777777" w:rsidTr="00101F1D">
        <w:trPr>
          <w:trHeight w:val="568"/>
        </w:trPr>
        <w:tc>
          <w:tcPr>
            <w:tcW w:w="3569" w:type="dxa"/>
            <w:tcBorders>
              <w:top w:val="single" w:sz="24" w:space="0" w:color="61B5E4"/>
              <w:left w:val="nil"/>
              <w:bottom w:val="single" w:sz="8" w:space="0" w:color="000000"/>
              <w:right w:val="nil"/>
            </w:tcBorders>
            <w:hideMark/>
          </w:tcPr>
          <w:p w14:paraId="3DD0401D" w14:textId="77777777" w:rsidR="00A71693" w:rsidRPr="00027638" w:rsidRDefault="00A71693" w:rsidP="00101F1D">
            <w:pPr>
              <w:pStyle w:val="TableParagraph"/>
              <w:spacing w:before="88" w:line="252" w:lineRule="auto"/>
              <w:ind w:left="71"/>
              <w:rPr>
                <w:rFonts w:asciiTheme="majorHAnsi" w:hAnsiTheme="majorHAnsi"/>
                <w:b/>
                <w:bCs/>
                <w:sz w:val="17"/>
                <w:szCs w:val="17"/>
              </w:rPr>
            </w:pPr>
            <w:r w:rsidRPr="00027638">
              <w:rPr>
                <w:rFonts w:asciiTheme="majorHAnsi" w:hAnsiTheme="majorHAnsi"/>
                <w:b/>
                <w:bCs/>
                <w:color w:val="61B5E4"/>
                <w:sz w:val="17"/>
                <w:szCs w:val="17"/>
              </w:rPr>
              <w:t>Scenario</w:t>
            </w:r>
          </w:p>
        </w:tc>
        <w:tc>
          <w:tcPr>
            <w:tcW w:w="3923" w:type="dxa"/>
            <w:tcBorders>
              <w:top w:val="single" w:sz="24" w:space="0" w:color="61B5E4"/>
              <w:left w:val="nil"/>
              <w:bottom w:val="single" w:sz="8" w:space="0" w:color="000000"/>
              <w:right w:val="nil"/>
            </w:tcBorders>
            <w:hideMark/>
          </w:tcPr>
          <w:p w14:paraId="7938742B" w14:textId="77777777" w:rsidR="00A71693" w:rsidRPr="00027638" w:rsidRDefault="00A71693" w:rsidP="00101F1D">
            <w:pPr>
              <w:pStyle w:val="TableParagraph"/>
              <w:spacing w:before="88" w:line="252" w:lineRule="auto"/>
              <w:ind w:right="134"/>
              <w:rPr>
                <w:rFonts w:asciiTheme="majorHAnsi" w:hAnsiTheme="majorHAnsi"/>
                <w:b/>
                <w:bCs/>
                <w:sz w:val="17"/>
                <w:szCs w:val="17"/>
              </w:rPr>
            </w:pPr>
            <w:r w:rsidRPr="00027638">
              <w:rPr>
                <w:rFonts w:asciiTheme="majorHAnsi" w:hAnsiTheme="majorHAnsi"/>
                <w:b/>
                <w:bCs/>
                <w:color w:val="61B5E4"/>
                <w:sz w:val="17"/>
                <w:szCs w:val="17"/>
              </w:rPr>
              <w:t>Lew et al. (low scenario)</w:t>
            </w:r>
          </w:p>
        </w:tc>
        <w:tc>
          <w:tcPr>
            <w:tcW w:w="0" w:type="auto"/>
            <w:tcBorders>
              <w:top w:val="single" w:sz="24" w:space="0" w:color="61B5E4"/>
              <w:left w:val="nil"/>
              <w:bottom w:val="single" w:sz="8" w:space="0" w:color="000000"/>
              <w:right w:val="nil"/>
            </w:tcBorders>
            <w:hideMark/>
          </w:tcPr>
          <w:p w14:paraId="05CD9B72" w14:textId="77777777" w:rsidR="00A71693" w:rsidRPr="00027638" w:rsidRDefault="00A71693" w:rsidP="00101F1D">
            <w:pPr>
              <w:pStyle w:val="TableParagraph"/>
              <w:spacing w:before="88" w:line="252" w:lineRule="auto"/>
              <w:ind w:right="200"/>
              <w:rPr>
                <w:rFonts w:asciiTheme="majorHAnsi" w:hAnsiTheme="majorHAnsi"/>
                <w:b/>
                <w:bCs/>
                <w:sz w:val="17"/>
                <w:szCs w:val="17"/>
              </w:rPr>
            </w:pPr>
            <w:r w:rsidRPr="00027638">
              <w:rPr>
                <w:rFonts w:asciiTheme="majorHAnsi" w:hAnsiTheme="majorHAnsi"/>
                <w:b/>
                <w:bCs/>
                <w:color w:val="61B5E4"/>
                <w:sz w:val="17"/>
                <w:szCs w:val="17"/>
              </w:rPr>
              <w:t>This study</w:t>
            </w:r>
          </w:p>
        </w:tc>
      </w:tr>
      <w:tr w:rsidR="00A71693" w14:paraId="450F53B6" w14:textId="77777777" w:rsidTr="00101F1D">
        <w:trPr>
          <w:trHeight w:val="345"/>
        </w:trPr>
        <w:tc>
          <w:tcPr>
            <w:tcW w:w="8920" w:type="dxa"/>
            <w:gridSpan w:val="3"/>
            <w:shd w:val="clear" w:color="auto" w:fill="F1F1F1"/>
            <w:hideMark/>
          </w:tcPr>
          <w:p w14:paraId="61EFBC15" w14:textId="77777777" w:rsidR="00A71693" w:rsidRPr="00027638" w:rsidRDefault="00A71693" w:rsidP="00101F1D">
            <w:pPr>
              <w:pStyle w:val="TableParagraph"/>
              <w:spacing w:before="0" w:line="252" w:lineRule="auto"/>
              <w:rPr>
                <w:rFonts w:asciiTheme="majorHAnsi" w:hAnsiTheme="majorHAnsi"/>
                <w:sz w:val="16"/>
                <w:szCs w:val="16"/>
              </w:rPr>
            </w:pPr>
            <w:r w:rsidRPr="00027638">
              <w:rPr>
                <w:rFonts w:asciiTheme="majorHAnsi" w:hAnsiTheme="majorHAnsi"/>
                <w:i/>
                <w:iCs/>
                <w:color w:val="000000"/>
                <w:sz w:val="16"/>
                <w:szCs w:val="16"/>
              </w:rPr>
              <w:t>Healthcare system perspective: ICER per life-year saved compared t</w:t>
            </w:r>
            <w:r>
              <w:rPr>
                <w:rFonts w:asciiTheme="majorHAnsi" w:hAnsiTheme="majorHAnsi"/>
                <w:i/>
                <w:iCs/>
                <w:color w:val="000000"/>
                <w:sz w:val="16"/>
                <w:szCs w:val="16"/>
              </w:rPr>
              <w:t xml:space="preserve">o </w:t>
            </w:r>
            <w:r w:rsidRPr="00027638">
              <w:rPr>
                <w:rFonts w:asciiTheme="majorHAnsi" w:hAnsiTheme="majorHAnsi"/>
                <w:i/>
                <w:iCs/>
                <w:color w:val="000000"/>
                <w:sz w:val="16"/>
                <w:szCs w:val="16"/>
              </w:rPr>
              <w:t>no screening</w:t>
            </w:r>
          </w:p>
        </w:tc>
      </w:tr>
      <w:tr w:rsidR="00A71693" w14:paraId="6D4D9E20" w14:textId="77777777" w:rsidTr="000F06D0">
        <w:trPr>
          <w:trHeight w:val="405"/>
        </w:trPr>
        <w:tc>
          <w:tcPr>
            <w:tcW w:w="3569" w:type="dxa"/>
            <w:tcBorders>
              <w:top w:val="nil"/>
              <w:left w:val="nil"/>
              <w:bottom w:val="single" w:sz="8" w:space="0" w:color="000000"/>
              <w:right w:val="nil"/>
            </w:tcBorders>
            <w:hideMark/>
          </w:tcPr>
          <w:p w14:paraId="780B3E09" w14:textId="77777777" w:rsidR="00A71693" w:rsidRPr="00027638" w:rsidRDefault="00A71693" w:rsidP="00101F1D">
            <w:pPr>
              <w:spacing w:after="0"/>
              <w:ind w:left="57" w:right="137"/>
              <w:rPr>
                <w:sz w:val="17"/>
              </w:rPr>
            </w:pPr>
            <w:r>
              <w:t>Biennial screening for 50 to 74 years</w:t>
            </w:r>
          </w:p>
        </w:tc>
        <w:tc>
          <w:tcPr>
            <w:tcW w:w="3923" w:type="dxa"/>
            <w:tcBorders>
              <w:top w:val="nil"/>
              <w:left w:val="nil"/>
              <w:bottom w:val="single" w:sz="8" w:space="0" w:color="000000"/>
              <w:right w:val="nil"/>
            </w:tcBorders>
            <w:hideMark/>
          </w:tcPr>
          <w:p w14:paraId="6257E610" w14:textId="77777777" w:rsidR="00A71693" w:rsidRDefault="00A71693" w:rsidP="00101F1D">
            <w:pPr>
              <w:jc w:val="center"/>
              <w:rPr>
                <w:szCs w:val="20"/>
                <w:lang w:val="en-GB"/>
              </w:rPr>
            </w:pPr>
            <w:r>
              <w:t>$2,984</w:t>
            </w:r>
          </w:p>
        </w:tc>
        <w:tc>
          <w:tcPr>
            <w:tcW w:w="0" w:type="auto"/>
            <w:tcBorders>
              <w:top w:val="nil"/>
              <w:left w:val="nil"/>
              <w:bottom w:val="single" w:sz="8" w:space="0" w:color="000000"/>
              <w:right w:val="nil"/>
            </w:tcBorders>
            <w:hideMark/>
          </w:tcPr>
          <w:p w14:paraId="6121EB52" w14:textId="77777777" w:rsidR="00A71693" w:rsidRDefault="00A71693" w:rsidP="00101F1D">
            <w:pPr>
              <w:jc w:val="center"/>
              <w:rPr>
                <w:rFonts w:ascii="Calibri" w:hAnsi="Calibri"/>
                <w:lang w:val="en-GB"/>
              </w:rPr>
            </w:pPr>
            <w:r>
              <w:rPr>
                <w:lang w:val="en-GB"/>
              </w:rPr>
              <w:t>$6,514</w:t>
            </w:r>
          </w:p>
        </w:tc>
      </w:tr>
      <w:tr w:rsidR="00A71693" w14:paraId="37A5E574" w14:textId="77777777" w:rsidTr="000F06D0">
        <w:trPr>
          <w:trHeight w:val="405"/>
        </w:trPr>
        <w:tc>
          <w:tcPr>
            <w:tcW w:w="3569" w:type="dxa"/>
            <w:tcBorders>
              <w:top w:val="single" w:sz="8" w:space="0" w:color="000000"/>
              <w:left w:val="nil"/>
              <w:bottom w:val="single" w:sz="4" w:space="0" w:color="auto"/>
              <w:right w:val="nil"/>
            </w:tcBorders>
            <w:hideMark/>
          </w:tcPr>
          <w:p w14:paraId="55B81CB2" w14:textId="77777777" w:rsidR="00A71693" w:rsidRPr="000F06D0" w:rsidRDefault="00A71693" w:rsidP="00101F1D">
            <w:pPr>
              <w:spacing w:after="0"/>
              <w:ind w:left="57" w:right="137"/>
            </w:pPr>
            <w:r>
              <w:t>Biennial screening for 45 to 74 years</w:t>
            </w:r>
          </w:p>
        </w:tc>
        <w:tc>
          <w:tcPr>
            <w:tcW w:w="3923" w:type="dxa"/>
            <w:tcBorders>
              <w:top w:val="single" w:sz="8" w:space="0" w:color="000000"/>
              <w:left w:val="nil"/>
              <w:bottom w:val="single" w:sz="4" w:space="0" w:color="auto"/>
              <w:right w:val="nil"/>
            </w:tcBorders>
            <w:hideMark/>
          </w:tcPr>
          <w:p w14:paraId="1331C83C" w14:textId="77777777" w:rsidR="00A71693" w:rsidRPr="000F06D0" w:rsidRDefault="00A71693" w:rsidP="00101F1D">
            <w:pPr>
              <w:jc w:val="center"/>
            </w:pPr>
            <w:r w:rsidRPr="000F06D0">
              <w:t>$5,471</w:t>
            </w:r>
          </w:p>
        </w:tc>
        <w:tc>
          <w:tcPr>
            <w:tcW w:w="0" w:type="auto"/>
            <w:tcBorders>
              <w:top w:val="single" w:sz="8" w:space="0" w:color="000000"/>
              <w:left w:val="nil"/>
              <w:bottom w:val="single" w:sz="4" w:space="0" w:color="auto"/>
              <w:right w:val="nil"/>
            </w:tcBorders>
            <w:hideMark/>
          </w:tcPr>
          <w:p w14:paraId="77DB6B07" w14:textId="77777777" w:rsidR="00A71693" w:rsidRPr="000F06D0" w:rsidRDefault="00A71693" w:rsidP="00101F1D">
            <w:pPr>
              <w:jc w:val="center"/>
            </w:pPr>
            <w:r w:rsidRPr="000F06D0">
              <w:t>$6,993</w:t>
            </w:r>
          </w:p>
        </w:tc>
      </w:tr>
      <w:tr w:rsidR="00A71693" w14:paraId="0ACA7031" w14:textId="77777777" w:rsidTr="000F06D0">
        <w:trPr>
          <w:trHeight w:val="405"/>
        </w:trPr>
        <w:tc>
          <w:tcPr>
            <w:tcW w:w="3569" w:type="dxa"/>
            <w:tcBorders>
              <w:top w:val="single" w:sz="4" w:space="0" w:color="auto"/>
              <w:left w:val="nil"/>
              <w:bottom w:val="single" w:sz="8" w:space="0" w:color="000000"/>
              <w:right w:val="nil"/>
            </w:tcBorders>
          </w:tcPr>
          <w:p w14:paraId="5EB99C9E" w14:textId="6D5E5A9E" w:rsidR="00A71693" w:rsidRDefault="00A71693" w:rsidP="00A71693">
            <w:pPr>
              <w:spacing w:after="0"/>
              <w:ind w:left="57" w:right="137"/>
            </w:pPr>
            <w:r>
              <w:t>Biennial screening for 40 to 74 years</w:t>
            </w:r>
          </w:p>
        </w:tc>
        <w:tc>
          <w:tcPr>
            <w:tcW w:w="3923" w:type="dxa"/>
            <w:tcBorders>
              <w:top w:val="single" w:sz="4" w:space="0" w:color="auto"/>
              <w:left w:val="nil"/>
              <w:bottom w:val="single" w:sz="8" w:space="0" w:color="000000"/>
              <w:right w:val="nil"/>
            </w:tcBorders>
          </w:tcPr>
          <w:p w14:paraId="11BA3244" w14:textId="29AE92B6" w:rsidR="00A71693" w:rsidRDefault="00A71693" w:rsidP="00A71693">
            <w:pPr>
              <w:jc w:val="center"/>
              <w:rPr>
                <w:lang w:val="en-GB"/>
              </w:rPr>
            </w:pPr>
            <w:r>
              <w:rPr>
                <w:lang w:val="en-GB"/>
              </w:rPr>
              <w:t>$8,264</w:t>
            </w:r>
          </w:p>
        </w:tc>
        <w:tc>
          <w:tcPr>
            <w:tcW w:w="0" w:type="auto"/>
            <w:tcBorders>
              <w:top w:val="single" w:sz="4" w:space="0" w:color="auto"/>
              <w:left w:val="nil"/>
              <w:bottom w:val="single" w:sz="8" w:space="0" w:color="000000"/>
              <w:right w:val="nil"/>
            </w:tcBorders>
          </w:tcPr>
          <w:p w14:paraId="2F271E84" w14:textId="604EF0BE" w:rsidR="00A71693" w:rsidRDefault="00A71693" w:rsidP="00A71693">
            <w:pPr>
              <w:jc w:val="center"/>
              <w:rPr>
                <w:lang w:val="en-GB"/>
              </w:rPr>
            </w:pPr>
            <w:r>
              <w:rPr>
                <w:lang w:val="en-GB"/>
              </w:rPr>
              <w:t>$</w:t>
            </w:r>
            <w:r w:rsidR="0054586C">
              <w:rPr>
                <w:lang w:val="en-GB"/>
              </w:rPr>
              <w:t>7,764</w:t>
            </w:r>
          </w:p>
        </w:tc>
      </w:tr>
    </w:tbl>
    <w:p w14:paraId="72605AFE" w14:textId="0CE856B9" w:rsidR="00A71693" w:rsidRDefault="00A71693" w:rsidP="00A71693">
      <w:pPr>
        <w:pStyle w:val="Source"/>
      </w:pPr>
      <w:r>
        <w:t xml:space="preserve">Notes: Results for Lew’s ‘low scenario’ are used in this analysis. </w:t>
      </w:r>
      <w:r w:rsidR="00057104">
        <w:t xml:space="preserve">This scenario assumes </w:t>
      </w:r>
      <w:r w:rsidR="002469E9">
        <w:t xml:space="preserve">~40% </w:t>
      </w:r>
      <w:r w:rsidR="00C93D4F">
        <w:t>screening participation rate.</w:t>
      </w:r>
    </w:p>
    <w:p w14:paraId="4E9B7B26" w14:textId="2D42408D" w:rsidR="00A71693" w:rsidRPr="00101F1D" w:rsidRDefault="00A71693" w:rsidP="000F06D0">
      <w:pPr>
        <w:pStyle w:val="Source"/>
      </w:pPr>
      <w:r w:rsidRPr="008515D3">
        <w:t xml:space="preserve">Source: </w:t>
      </w:r>
      <w:proofErr w:type="spellStart"/>
      <w:r w:rsidRPr="00424571">
        <w:rPr>
          <w:vertAlign w:val="superscript"/>
        </w:rPr>
        <w:t>a</w:t>
      </w:r>
      <w:r w:rsidRPr="00424571">
        <w:t>Deloitte</w:t>
      </w:r>
      <w:proofErr w:type="spellEnd"/>
      <w:r w:rsidRPr="008515D3">
        <w:t xml:space="preserve"> Access Economics</w:t>
      </w:r>
      <w:r>
        <w:t xml:space="preserve">, </w:t>
      </w:r>
      <w:proofErr w:type="spellStart"/>
      <w:r>
        <w:rPr>
          <w:vertAlign w:val="superscript"/>
        </w:rPr>
        <w:t>b</w:t>
      </w:r>
      <w:r w:rsidRPr="002B16EC">
        <w:t>Lew</w:t>
      </w:r>
      <w:proofErr w:type="spellEnd"/>
      <w:r w:rsidRPr="002B16EC">
        <w:t xml:space="preserve"> JB, St John J, Xu X-M, et al ‘</w:t>
      </w:r>
      <w:r w:rsidR="003B04B7">
        <w:t xml:space="preserve">Supplementary Files - </w:t>
      </w:r>
      <w:r w:rsidRPr="002B16EC">
        <w:t xml:space="preserve">Long-term evaluation of benefits, harms, and cost-effectiveness of the National Bowel Cancer Screening Program in Australia: a modelling study’ (2017) 2(7), </w:t>
      </w:r>
      <w:r w:rsidRPr="00346835">
        <w:rPr>
          <w:i/>
        </w:rPr>
        <w:t>The Lancet</w:t>
      </w:r>
      <w:r w:rsidRPr="002B16EC">
        <w:t>, 331.</w:t>
      </w:r>
      <w:r>
        <w:rPr>
          <w:vertAlign w:val="superscript"/>
        </w:rPr>
        <w:t xml:space="preserve"> </w:t>
      </w:r>
    </w:p>
    <w:p w14:paraId="3731038F" w14:textId="47F8F1FF" w:rsidR="00630FB6" w:rsidRDefault="002768F1" w:rsidP="00725383">
      <w:r>
        <w:t>D</w:t>
      </w:r>
      <w:r w:rsidR="00630FB6">
        <w:t>ifferences in base-case results can be attributed to several factors. First, Lew et al</w:t>
      </w:r>
      <w:r w:rsidR="00FE294A">
        <w:t>.</w:t>
      </w:r>
      <w:r w:rsidR="00630FB6">
        <w:t xml:space="preserve"> simulates the development of </w:t>
      </w:r>
      <w:r w:rsidR="00105A59">
        <w:t>bowel</w:t>
      </w:r>
      <w:r w:rsidR="00630FB6">
        <w:t xml:space="preserve"> cancer through both the conventional adenoma-carcinoma and serrated pathways. The serrated pathway describes the development of cancer through serrated polyps, such as sessile serrated adenomas. </w:t>
      </w:r>
      <w:r w:rsidR="007C2CAC">
        <w:t>By</w:t>
      </w:r>
      <w:r w:rsidR="00630FB6">
        <w:t xml:space="preserve"> comparison, this study</w:t>
      </w:r>
      <w:r w:rsidR="00B6381B">
        <w:t xml:space="preserve"> only</w:t>
      </w:r>
      <w:r w:rsidR="00630FB6">
        <w:t xml:space="preserve"> captures the conventional adenoma-carcinoma pathway due to limited evidence to inform parameters on the development of bowel cancer through the serrated pathway. </w:t>
      </w:r>
    </w:p>
    <w:p w14:paraId="6E624F93" w14:textId="273101B1" w:rsidR="00630FB6" w:rsidRDefault="00630FB6" w:rsidP="00630FB6">
      <w:pPr>
        <w:spacing w:before="240"/>
      </w:pPr>
      <w:r>
        <w:t>Second, Lew et al</w:t>
      </w:r>
      <w:r w:rsidR="00AA623D">
        <w:t>.</w:t>
      </w:r>
      <w:r>
        <w:t xml:space="preserve"> includes different mortality rates by stage for individuals with bowel cancer detected through screening v</w:t>
      </w:r>
      <w:r w:rsidR="009C3485">
        <w:t>s</w:t>
      </w:r>
      <w:r>
        <w:t xml:space="preserve">. symptomatic detection. By comparison, this study does not adjust the stage-dependant mortality rates by detection type due to limited evidence to support this </w:t>
      </w:r>
      <w:r w:rsidR="00D51D81">
        <w:t>difference</w:t>
      </w:r>
      <w:r>
        <w:t xml:space="preserve"> in an Australian setting. As a result, our modelling takes a more conservative perspective on the potential impact of screening on better survival. </w:t>
      </w:r>
    </w:p>
    <w:p w14:paraId="00527A79" w14:textId="5D69D3A7" w:rsidR="003F0DD8" w:rsidRDefault="00630FB6" w:rsidP="009E06D0">
      <w:pPr>
        <w:spacing w:before="240"/>
      </w:pPr>
      <w:r>
        <w:t>Third, the analysis in this study draws on more recent data. Therefore, several inputs differ between studies, such as the time-value of money, participation rates, as well as the use of different data sources where new research has been made available since 2017.</w:t>
      </w:r>
    </w:p>
    <w:p w14:paraId="352C0ED4" w14:textId="36A202CE" w:rsidR="00CB78FF" w:rsidRDefault="00CB78FF" w:rsidP="00CB78FF">
      <w:pPr>
        <w:pStyle w:val="Appendixhead2"/>
      </w:pPr>
      <w:bookmarkStart w:id="215" w:name="_Ref69738183"/>
      <w:r>
        <w:t>Model parameters</w:t>
      </w:r>
      <w:bookmarkEnd w:id="215"/>
    </w:p>
    <w:p w14:paraId="76419814" w14:textId="778EE70B" w:rsidR="00CB78FF" w:rsidRDefault="00CB78FF" w:rsidP="00CB78FF">
      <w:r>
        <w:t>Table B.</w:t>
      </w:r>
      <w:r w:rsidR="00CD13D7">
        <w:t>2</w:t>
      </w:r>
      <w:r>
        <w:t xml:space="preserve">. below summarised the key model parameter assumptions. </w:t>
      </w:r>
    </w:p>
    <w:p w14:paraId="4D7438E4" w14:textId="40428762" w:rsidR="00CB78FF" w:rsidRPr="001F0769" w:rsidRDefault="00CB78FF" w:rsidP="00CB78FF">
      <w:pPr>
        <w:pStyle w:val="Caption"/>
      </w:pPr>
      <w:r>
        <w:t>Table B.</w:t>
      </w:r>
      <w:r w:rsidR="00CD13D7">
        <w:t>2</w:t>
      </w:r>
      <w:r>
        <w:t>: Model parameters informing the CEA</w:t>
      </w:r>
    </w:p>
    <w:tbl>
      <w:tblPr>
        <w:tblStyle w:val="Deloittetable"/>
        <w:tblW w:w="9045" w:type="dxa"/>
        <w:tblLook w:val="04A0" w:firstRow="1" w:lastRow="0" w:firstColumn="1" w:lastColumn="0" w:noHBand="0" w:noVBand="1"/>
      </w:tblPr>
      <w:tblGrid>
        <w:gridCol w:w="1985"/>
        <w:gridCol w:w="3544"/>
        <w:gridCol w:w="3508"/>
        <w:gridCol w:w="8"/>
      </w:tblGrid>
      <w:tr w:rsidR="00CB78FF" w14:paraId="0E153BD4" w14:textId="77777777" w:rsidTr="007E0904">
        <w:trPr>
          <w:gridAfter w:val="1"/>
          <w:cnfStyle w:val="100000000000" w:firstRow="1" w:lastRow="0" w:firstColumn="0" w:lastColumn="0" w:oddVBand="0" w:evenVBand="0" w:oddHBand="0" w:evenHBand="0" w:firstRowFirstColumn="0" w:firstRowLastColumn="0" w:lastRowFirstColumn="0" w:lastRowLastColumn="0"/>
          <w:wAfter w:w="8" w:type="dxa"/>
          <w:trHeight w:val="306"/>
          <w:tblHeader/>
        </w:trPr>
        <w:tc>
          <w:tcPr>
            <w:tcW w:w="1985" w:type="dxa"/>
          </w:tcPr>
          <w:p w14:paraId="7EB765F4" w14:textId="77777777" w:rsidR="00CB78FF" w:rsidRPr="00C961D3" w:rsidRDefault="00CB78FF" w:rsidP="002B61DA">
            <w:pPr>
              <w:spacing w:after="0"/>
              <w:rPr>
                <w:b w:val="0"/>
                <w:color w:val="62B5E5" w:themeColor="accent3"/>
              </w:rPr>
            </w:pPr>
            <w:r w:rsidRPr="00C961D3">
              <w:rPr>
                <w:color w:val="62B5E5" w:themeColor="accent3"/>
              </w:rPr>
              <w:t>Parameter</w:t>
            </w:r>
          </w:p>
        </w:tc>
        <w:tc>
          <w:tcPr>
            <w:tcW w:w="3544" w:type="dxa"/>
          </w:tcPr>
          <w:p w14:paraId="5CCF4DC1" w14:textId="77777777" w:rsidR="00CB78FF" w:rsidRPr="00EB75C0" w:rsidRDefault="00CB78FF" w:rsidP="002B61DA">
            <w:pPr>
              <w:spacing w:after="0"/>
              <w:rPr>
                <w:b w:val="0"/>
                <w:color w:val="62B5E5" w:themeColor="accent3"/>
              </w:rPr>
            </w:pPr>
            <w:r>
              <w:rPr>
                <w:color w:val="62B5E5" w:themeColor="accent3"/>
              </w:rPr>
              <w:t>Value</w:t>
            </w:r>
          </w:p>
        </w:tc>
        <w:tc>
          <w:tcPr>
            <w:tcW w:w="3508" w:type="dxa"/>
          </w:tcPr>
          <w:p w14:paraId="17E6D8BB" w14:textId="28E0C829" w:rsidR="00CB78FF" w:rsidRPr="00C961D3" w:rsidRDefault="00CB78FF" w:rsidP="002B61DA">
            <w:pPr>
              <w:spacing w:after="0"/>
              <w:rPr>
                <w:b w:val="0"/>
                <w:color w:val="62B5E5" w:themeColor="accent3"/>
              </w:rPr>
            </w:pPr>
            <w:r w:rsidRPr="00C961D3">
              <w:rPr>
                <w:color w:val="62B5E5" w:themeColor="accent3"/>
              </w:rPr>
              <w:t>Source</w:t>
            </w:r>
          </w:p>
        </w:tc>
      </w:tr>
      <w:tr w:rsidR="00CB78FF" w14:paraId="54855C1E" w14:textId="77777777" w:rsidTr="00064BF3">
        <w:trPr>
          <w:gridAfter w:val="1"/>
          <w:wAfter w:w="8" w:type="dxa"/>
          <w:trHeight w:val="239"/>
        </w:trPr>
        <w:tc>
          <w:tcPr>
            <w:tcW w:w="9037" w:type="dxa"/>
            <w:gridSpan w:val="3"/>
            <w:shd w:val="clear" w:color="auto" w:fill="F2F2F2" w:themeFill="background1" w:themeFillShade="F2"/>
          </w:tcPr>
          <w:p w14:paraId="5FA4E8D7" w14:textId="77777777" w:rsidR="00CB78FF" w:rsidRDefault="00CB78FF" w:rsidP="002B61DA">
            <w:pPr>
              <w:spacing w:after="0"/>
              <w:jc w:val="both"/>
            </w:pPr>
            <w:r w:rsidRPr="00A34A70">
              <w:rPr>
                <w:b/>
                <w:bCs/>
              </w:rPr>
              <w:t>Cohort characteristics</w:t>
            </w:r>
          </w:p>
        </w:tc>
      </w:tr>
      <w:tr w:rsidR="00CB78FF" w14:paraId="6FDB810B" w14:textId="77777777" w:rsidTr="00064BF3">
        <w:trPr>
          <w:gridAfter w:val="1"/>
          <w:wAfter w:w="8" w:type="dxa"/>
          <w:trHeight w:val="488"/>
        </w:trPr>
        <w:tc>
          <w:tcPr>
            <w:tcW w:w="1985" w:type="dxa"/>
          </w:tcPr>
          <w:p w14:paraId="1B2BC6D7" w14:textId="77777777" w:rsidR="00CB78FF" w:rsidRDefault="00CB78FF" w:rsidP="005E5CAE">
            <w:pPr>
              <w:spacing w:after="0"/>
              <w:ind w:right="137"/>
            </w:pPr>
            <w:r>
              <w:t>Size and gender distribution of cohort</w:t>
            </w:r>
          </w:p>
        </w:tc>
        <w:tc>
          <w:tcPr>
            <w:tcW w:w="3544" w:type="dxa"/>
          </w:tcPr>
          <w:p w14:paraId="7977D4B5" w14:textId="656917E8" w:rsidR="00CB78FF" w:rsidRDefault="00CB78FF" w:rsidP="002B61DA">
            <w:pPr>
              <w:spacing w:after="0"/>
            </w:pPr>
            <w:r>
              <w:t xml:space="preserve">320,448 (50.3% Female, 49.7% </w:t>
            </w:r>
            <w:r w:rsidR="005A081E">
              <w:t>M</w:t>
            </w:r>
            <w:r>
              <w:t>ale)</w:t>
            </w:r>
          </w:p>
        </w:tc>
        <w:tc>
          <w:tcPr>
            <w:tcW w:w="3508" w:type="dxa"/>
          </w:tcPr>
          <w:p w14:paraId="05282336" w14:textId="7E155673" w:rsidR="00CB78FF" w:rsidRDefault="00CB78FF" w:rsidP="002B61DA">
            <w:pPr>
              <w:spacing w:after="0"/>
            </w:pPr>
            <w:r>
              <w:t>ABS</w:t>
            </w:r>
            <w:r w:rsidR="00C108FC">
              <w:rPr>
                <w:rStyle w:val="EndnoteReference"/>
              </w:rPr>
              <w:endnoteReference w:id="106"/>
            </w:r>
            <w:r>
              <w:t xml:space="preserve"> </w:t>
            </w:r>
          </w:p>
        </w:tc>
      </w:tr>
      <w:tr w:rsidR="00CB78FF" w14:paraId="7615651F" w14:textId="77777777" w:rsidTr="00064BF3">
        <w:trPr>
          <w:gridAfter w:val="1"/>
          <w:wAfter w:w="8" w:type="dxa"/>
          <w:trHeight w:val="500"/>
        </w:trPr>
        <w:tc>
          <w:tcPr>
            <w:tcW w:w="1985" w:type="dxa"/>
          </w:tcPr>
          <w:p w14:paraId="52F26633" w14:textId="77777777" w:rsidR="00CB78FF" w:rsidRDefault="00CB78FF" w:rsidP="005E5CAE">
            <w:pPr>
              <w:spacing w:after="0"/>
              <w:ind w:right="137"/>
            </w:pPr>
            <w:r>
              <w:t>Natural mortality rate</w:t>
            </w:r>
          </w:p>
        </w:tc>
        <w:tc>
          <w:tcPr>
            <w:tcW w:w="3544" w:type="dxa"/>
          </w:tcPr>
          <w:p w14:paraId="38479F40" w14:textId="77777777" w:rsidR="00CB78FF" w:rsidRDefault="00CB78FF" w:rsidP="002B61DA">
            <w:pPr>
              <w:spacing w:after="0"/>
            </w:pPr>
            <w:r>
              <w:t>Age dependent</w:t>
            </w:r>
          </w:p>
        </w:tc>
        <w:tc>
          <w:tcPr>
            <w:tcW w:w="3508" w:type="dxa"/>
          </w:tcPr>
          <w:p w14:paraId="2EB5233B" w14:textId="322C865E" w:rsidR="00CB78FF" w:rsidRDefault="00CB78FF" w:rsidP="002B61DA">
            <w:pPr>
              <w:spacing w:after="0"/>
            </w:pPr>
            <w:r>
              <w:t>ABS</w:t>
            </w:r>
            <w:r w:rsidR="00543A4D">
              <w:rPr>
                <w:rStyle w:val="EndnoteReference"/>
              </w:rPr>
              <w:endnoteReference w:id="107"/>
            </w:r>
          </w:p>
        </w:tc>
      </w:tr>
      <w:tr w:rsidR="00CB78FF" w14:paraId="6D4BBA6D" w14:textId="77777777" w:rsidTr="00064BF3">
        <w:trPr>
          <w:trHeight w:val="250"/>
        </w:trPr>
        <w:tc>
          <w:tcPr>
            <w:tcW w:w="9045" w:type="dxa"/>
            <w:gridSpan w:val="4"/>
            <w:shd w:val="clear" w:color="auto" w:fill="F2F2F2" w:themeFill="background1" w:themeFillShade="F2"/>
          </w:tcPr>
          <w:p w14:paraId="2DD55C89" w14:textId="77777777" w:rsidR="00CB78FF" w:rsidRDefault="00CB78FF" w:rsidP="002B61DA">
            <w:pPr>
              <w:spacing w:after="0"/>
            </w:pPr>
            <w:r>
              <w:rPr>
                <w:b/>
                <w:bCs/>
              </w:rPr>
              <w:t>General model parameters</w:t>
            </w:r>
          </w:p>
        </w:tc>
      </w:tr>
      <w:tr w:rsidR="00CB78FF" w14:paraId="38266460" w14:textId="77777777" w:rsidTr="00064BF3">
        <w:trPr>
          <w:gridAfter w:val="1"/>
          <w:wAfter w:w="8" w:type="dxa"/>
          <w:trHeight w:val="500"/>
        </w:trPr>
        <w:tc>
          <w:tcPr>
            <w:tcW w:w="1985" w:type="dxa"/>
          </w:tcPr>
          <w:p w14:paraId="0D3BCC74" w14:textId="77777777" w:rsidR="00CB78FF" w:rsidRDefault="00CB78FF" w:rsidP="002B61DA">
            <w:pPr>
              <w:spacing w:after="0"/>
            </w:pPr>
            <w:r>
              <w:t>Initial commencement distribution across health states</w:t>
            </w:r>
          </w:p>
        </w:tc>
        <w:tc>
          <w:tcPr>
            <w:tcW w:w="3544" w:type="dxa"/>
          </w:tcPr>
          <w:p w14:paraId="4A1F447F" w14:textId="77777777" w:rsidR="00CB78FF" w:rsidRPr="00206E47" w:rsidRDefault="00CB78FF" w:rsidP="00064BF3">
            <w:pPr>
              <w:spacing w:after="0"/>
            </w:pPr>
            <w:r>
              <w:t>Stage dependant</w:t>
            </w:r>
          </w:p>
        </w:tc>
        <w:tc>
          <w:tcPr>
            <w:tcW w:w="3508" w:type="dxa"/>
          </w:tcPr>
          <w:p w14:paraId="0ACE5A32" w14:textId="791CF82C" w:rsidR="00BF1EB3" w:rsidRDefault="00CB78FF" w:rsidP="00A574C9">
            <w:pPr>
              <w:spacing w:after="0"/>
            </w:pPr>
            <w:r>
              <w:t>Bishop</w:t>
            </w:r>
            <w:r w:rsidR="00BF1EB3">
              <w:t xml:space="preserve"> et al</w:t>
            </w:r>
            <w:r w:rsidR="00BF1EB3">
              <w:rPr>
                <w:rStyle w:val="EndnoteReference"/>
              </w:rPr>
              <w:endnoteReference w:id="108"/>
            </w:r>
          </w:p>
          <w:p w14:paraId="582713D3" w14:textId="7B47C144" w:rsidR="00BF1EB3" w:rsidRDefault="00CB78FF" w:rsidP="00A574C9">
            <w:pPr>
              <w:spacing w:after="0"/>
            </w:pPr>
            <w:r>
              <w:t xml:space="preserve"> </w:t>
            </w:r>
          </w:p>
          <w:p w14:paraId="2C93AB7B" w14:textId="77235E04" w:rsidR="00CB78FF" w:rsidRDefault="00CB78FF" w:rsidP="002B61DA">
            <w:pPr>
              <w:spacing w:after="0"/>
            </w:pPr>
            <w:r>
              <w:t xml:space="preserve">These rates were adjusted for a cohort starting at </w:t>
            </w:r>
            <w:r w:rsidR="003B04B7">
              <w:t xml:space="preserve">40 </w:t>
            </w:r>
            <w:r>
              <w:t xml:space="preserve">years, based on differences in incidence rates </w:t>
            </w:r>
            <w:r>
              <w:lastRenderedPageBreak/>
              <w:t>of bowel cancer by age, sourced from AIHW</w:t>
            </w:r>
            <w:r w:rsidR="00740F68">
              <w:rPr>
                <w:rStyle w:val="EndnoteReference"/>
              </w:rPr>
              <w:endnoteReference w:id="109"/>
            </w:r>
            <w:r>
              <w:t xml:space="preserve"> </w:t>
            </w:r>
          </w:p>
        </w:tc>
      </w:tr>
      <w:tr w:rsidR="00CB78FF" w14:paraId="18B2679A" w14:textId="77777777" w:rsidTr="00064BF3">
        <w:trPr>
          <w:gridAfter w:val="1"/>
          <w:wAfter w:w="8" w:type="dxa"/>
          <w:trHeight w:val="500"/>
        </w:trPr>
        <w:tc>
          <w:tcPr>
            <w:tcW w:w="1985" w:type="dxa"/>
          </w:tcPr>
          <w:p w14:paraId="33E596C9" w14:textId="77777777" w:rsidR="00CB78FF" w:rsidRDefault="00CB78FF" w:rsidP="002B61DA">
            <w:pPr>
              <w:spacing w:after="0"/>
            </w:pPr>
            <w:r>
              <w:lastRenderedPageBreak/>
              <w:t xml:space="preserve">Adenoma incidence, by age </w:t>
            </w:r>
          </w:p>
        </w:tc>
        <w:tc>
          <w:tcPr>
            <w:tcW w:w="3544" w:type="dxa"/>
          </w:tcPr>
          <w:p w14:paraId="09D663AE" w14:textId="77777777" w:rsidR="00CB78FF" w:rsidRPr="00914DC5" w:rsidRDefault="00CB78FF" w:rsidP="002B61DA">
            <w:pPr>
              <w:spacing w:after="0"/>
            </w:pPr>
            <w:r>
              <w:t>Age dependent</w:t>
            </w:r>
          </w:p>
        </w:tc>
        <w:tc>
          <w:tcPr>
            <w:tcW w:w="3508" w:type="dxa"/>
          </w:tcPr>
          <w:p w14:paraId="3EDAD511" w14:textId="77777777" w:rsidR="00C41E0C" w:rsidRDefault="00666277" w:rsidP="002B61DA">
            <w:pPr>
              <w:spacing w:after="0"/>
            </w:pPr>
            <w:r>
              <w:t>J</w:t>
            </w:r>
            <w:r w:rsidR="00D62EF5">
              <w:t xml:space="preserve">ahn </w:t>
            </w:r>
            <w:r w:rsidR="00D12A07">
              <w:t>et al</w:t>
            </w:r>
            <w:r w:rsidR="00D12A07">
              <w:rPr>
                <w:rStyle w:val="EndnoteReference"/>
              </w:rPr>
              <w:endnoteReference w:id="110"/>
            </w:r>
          </w:p>
          <w:p w14:paraId="0B6606F1" w14:textId="77777777" w:rsidR="00C41E0C" w:rsidRDefault="00C41E0C" w:rsidP="002B61DA">
            <w:pPr>
              <w:spacing w:after="0"/>
            </w:pPr>
          </w:p>
          <w:p w14:paraId="00BAC8B5" w14:textId="5D148A97" w:rsidR="00CB78FF" w:rsidRDefault="00C41E0C" w:rsidP="002B61DA">
            <w:pPr>
              <w:spacing w:after="0"/>
            </w:pPr>
            <w:r>
              <w:t xml:space="preserve">Note: Adenoma incidence rates used by Jahn </w:t>
            </w:r>
            <w:r w:rsidR="00B65743">
              <w:t>et al. were taken from a study conducted</w:t>
            </w:r>
            <w:r w:rsidR="00CB78FF">
              <w:t xml:space="preserve"> </w:t>
            </w:r>
            <w:r w:rsidR="00B65743">
              <w:t>by Goede et al. dated 2013.</w:t>
            </w:r>
            <w:r w:rsidR="00CB78FF">
              <w:t xml:space="preserve"> </w:t>
            </w:r>
          </w:p>
        </w:tc>
      </w:tr>
      <w:tr w:rsidR="00CB78FF" w14:paraId="7D1BBA5D" w14:textId="77777777" w:rsidTr="00064BF3">
        <w:trPr>
          <w:gridAfter w:val="1"/>
          <w:wAfter w:w="8" w:type="dxa"/>
          <w:trHeight w:val="500"/>
        </w:trPr>
        <w:tc>
          <w:tcPr>
            <w:tcW w:w="1985" w:type="dxa"/>
          </w:tcPr>
          <w:p w14:paraId="0F3D39FE" w14:textId="77777777" w:rsidR="00CB78FF" w:rsidRDefault="00CB78FF" w:rsidP="002B61DA">
            <w:pPr>
              <w:spacing w:after="0"/>
            </w:pPr>
            <w:r>
              <w:t>Natural pathway transition probabilities for health states</w:t>
            </w:r>
          </w:p>
        </w:tc>
        <w:tc>
          <w:tcPr>
            <w:tcW w:w="3544" w:type="dxa"/>
          </w:tcPr>
          <w:p w14:paraId="3AE68959" w14:textId="77777777" w:rsidR="00CB78FF" w:rsidRDefault="00CB78FF" w:rsidP="002B61DA">
            <w:pPr>
              <w:spacing w:after="0"/>
            </w:pPr>
            <w:r>
              <w:t>Stage dependent</w:t>
            </w:r>
          </w:p>
        </w:tc>
        <w:tc>
          <w:tcPr>
            <w:tcW w:w="3508" w:type="dxa"/>
          </w:tcPr>
          <w:p w14:paraId="698F05B8" w14:textId="77777777" w:rsidR="00CB78FF" w:rsidRDefault="00CB78FF" w:rsidP="002B61DA">
            <w:pPr>
              <w:spacing w:after="0"/>
            </w:pPr>
            <w:r>
              <w:t xml:space="preserve">Lew </w:t>
            </w:r>
            <w:r w:rsidR="004D0FDA">
              <w:t>et al</w:t>
            </w:r>
            <w:r w:rsidR="004D0FDA">
              <w:rPr>
                <w:rStyle w:val="EndnoteReference"/>
              </w:rPr>
              <w:endnoteReference w:id="111"/>
            </w:r>
            <w:r>
              <w:t xml:space="preserve"> </w:t>
            </w:r>
          </w:p>
          <w:p w14:paraId="2F383170" w14:textId="77777777" w:rsidR="008E0709" w:rsidRDefault="008E0709" w:rsidP="002B61DA">
            <w:pPr>
              <w:spacing w:after="0"/>
            </w:pPr>
          </w:p>
          <w:p w14:paraId="392FE2C7" w14:textId="318BCF65" w:rsidR="00CB78FF" w:rsidRDefault="008E0709" w:rsidP="002B61DA">
            <w:pPr>
              <w:spacing w:after="0"/>
            </w:pPr>
            <w:r>
              <w:t>Note: The transition probabilities estimated by Lew et al. were results of calibration</w:t>
            </w:r>
            <w:r w:rsidR="00322AC0">
              <w:t xml:space="preserve"> to align with observed from the COCOS trial dated 2012 (see </w:t>
            </w:r>
            <w:r w:rsidR="003B67C6">
              <w:t>Stoop et al. 2012)</w:t>
            </w:r>
            <w:r w:rsidR="00322AC0">
              <w:t xml:space="preserve">. </w:t>
            </w:r>
          </w:p>
        </w:tc>
      </w:tr>
      <w:tr w:rsidR="00CB78FF" w14:paraId="539B136A" w14:textId="77777777" w:rsidTr="00064BF3">
        <w:trPr>
          <w:gridAfter w:val="1"/>
          <w:wAfter w:w="8" w:type="dxa"/>
          <w:trHeight w:val="500"/>
        </w:trPr>
        <w:tc>
          <w:tcPr>
            <w:tcW w:w="1985" w:type="dxa"/>
          </w:tcPr>
          <w:p w14:paraId="2BC98C54" w14:textId="77777777" w:rsidR="00CB78FF" w:rsidRDefault="00CB78FF" w:rsidP="002B61DA">
            <w:pPr>
              <w:spacing w:after="0"/>
            </w:pPr>
            <w:r>
              <w:t>Disutility associated with cancer Stage and time since diagnosis</w:t>
            </w:r>
          </w:p>
        </w:tc>
        <w:tc>
          <w:tcPr>
            <w:tcW w:w="3544" w:type="dxa"/>
          </w:tcPr>
          <w:p w14:paraId="6E1946CF" w14:textId="77777777" w:rsidR="00CB78FF" w:rsidRDefault="00CB78FF" w:rsidP="002B61DA">
            <w:pPr>
              <w:spacing w:after="0"/>
            </w:pPr>
            <w:r>
              <w:t>Stage dependent</w:t>
            </w:r>
          </w:p>
        </w:tc>
        <w:tc>
          <w:tcPr>
            <w:tcW w:w="3508" w:type="dxa"/>
          </w:tcPr>
          <w:p w14:paraId="5ABE5A4D" w14:textId="2E95B42B" w:rsidR="00CB78FF" w:rsidRDefault="00CB78FF" w:rsidP="002B61DA">
            <w:pPr>
              <w:spacing w:after="0"/>
            </w:pPr>
            <w:r w:rsidRPr="009E06D0">
              <w:t>AIHW</w:t>
            </w:r>
            <w:r w:rsidR="00426693">
              <w:rPr>
                <w:rStyle w:val="EndnoteReference"/>
              </w:rPr>
              <w:endnoteReference w:id="112"/>
            </w:r>
          </w:p>
        </w:tc>
      </w:tr>
      <w:tr w:rsidR="00CB78FF" w14:paraId="159FC193" w14:textId="77777777" w:rsidTr="00064BF3">
        <w:trPr>
          <w:gridAfter w:val="1"/>
          <w:wAfter w:w="8" w:type="dxa"/>
          <w:trHeight w:val="500"/>
        </w:trPr>
        <w:tc>
          <w:tcPr>
            <w:tcW w:w="1985" w:type="dxa"/>
          </w:tcPr>
          <w:p w14:paraId="7F44A25F" w14:textId="77777777" w:rsidR="00CB78FF" w:rsidRDefault="00CB78FF" w:rsidP="002B61DA">
            <w:pPr>
              <w:spacing w:after="0"/>
            </w:pPr>
            <w:r>
              <w:t>Disutility associated with full health</w:t>
            </w:r>
          </w:p>
        </w:tc>
        <w:tc>
          <w:tcPr>
            <w:tcW w:w="3544" w:type="dxa"/>
          </w:tcPr>
          <w:p w14:paraId="071600B0" w14:textId="77777777" w:rsidR="00CB78FF" w:rsidRDefault="00CB78FF" w:rsidP="002B61DA">
            <w:pPr>
              <w:spacing w:after="0"/>
            </w:pPr>
            <w:r>
              <w:t>0.00</w:t>
            </w:r>
          </w:p>
        </w:tc>
        <w:tc>
          <w:tcPr>
            <w:tcW w:w="3508" w:type="dxa"/>
          </w:tcPr>
          <w:p w14:paraId="7225223F" w14:textId="77777777" w:rsidR="00CB78FF" w:rsidRDefault="00CB78FF" w:rsidP="002B61DA">
            <w:pPr>
              <w:spacing w:after="0"/>
            </w:pPr>
            <w:r>
              <w:t>Assumption</w:t>
            </w:r>
          </w:p>
        </w:tc>
      </w:tr>
      <w:tr w:rsidR="00CB78FF" w14:paraId="5F14859C" w14:textId="77777777" w:rsidTr="00064BF3">
        <w:trPr>
          <w:gridAfter w:val="1"/>
          <w:wAfter w:w="8" w:type="dxa"/>
          <w:trHeight w:val="500"/>
        </w:trPr>
        <w:tc>
          <w:tcPr>
            <w:tcW w:w="1985" w:type="dxa"/>
          </w:tcPr>
          <w:p w14:paraId="2CD1F374" w14:textId="77777777" w:rsidR="00CB78FF" w:rsidRDefault="00CB78FF" w:rsidP="002B61DA">
            <w:pPr>
              <w:spacing w:after="0"/>
            </w:pPr>
            <w:r>
              <w:t>Disutility associated with death</w:t>
            </w:r>
          </w:p>
        </w:tc>
        <w:tc>
          <w:tcPr>
            <w:tcW w:w="3544" w:type="dxa"/>
          </w:tcPr>
          <w:p w14:paraId="0D7574D2" w14:textId="77777777" w:rsidR="00CB78FF" w:rsidRDefault="00CB78FF" w:rsidP="002B61DA">
            <w:pPr>
              <w:spacing w:after="0"/>
            </w:pPr>
            <w:r>
              <w:t>1.00</w:t>
            </w:r>
          </w:p>
        </w:tc>
        <w:tc>
          <w:tcPr>
            <w:tcW w:w="3508" w:type="dxa"/>
          </w:tcPr>
          <w:p w14:paraId="6E0F614C" w14:textId="77777777" w:rsidR="00CB78FF" w:rsidRDefault="00CB78FF" w:rsidP="002B61DA">
            <w:pPr>
              <w:spacing w:after="0"/>
            </w:pPr>
            <w:r>
              <w:t>Assumption</w:t>
            </w:r>
          </w:p>
        </w:tc>
      </w:tr>
      <w:tr w:rsidR="00CB78FF" w14:paraId="28CDE591" w14:textId="77777777" w:rsidTr="00064BF3">
        <w:trPr>
          <w:gridAfter w:val="1"/>
          <w:wAfter w:w="8" w:type="dxa"/>
          <w:trHeight w:val="500"/>
        </w:trPr>
        <w:tc>
          <w:tcPr>
            <w:tcW w:w="1985" w:type="dxa"/>
          </w:tcPr>
          <w:p w14:paraId="3156AC2E" w14:textId="77777777" w:rsidR="00CB78FF" w:rsidRDefault="00CB78FF" w:rsidP="002B61DA">
            <w:pPr>
              <w:spacing w:after="0"/>
            </w:pPr>
            <w:r>
              <w:t>Disutility associated with permanent stoma</w:t>
            </w:r>
          </w:p>
        </w:tc>
        <w:tc>
          <w:tcPr>
            <w:tcW w:w="3544" w:type="dxa"/>
          </w:tcPr>
          <w:p w14:paraId="651839E0" w14:textId="77777777" w:rsidR="00CB78FF" w:rsidRDefault="00CB78FF" w:rsidP="002B61DA">
            <w:pPr>
              <w:spacing w:after="0"/>
            </w:pPr>
            <w:r>
              <w:t>0.09</w:t>
            </w:r>
          </w:p>
        </w:tc>
        <w:tc>
          <w:tcPr>
            <w:tcW w:w="3508" w:type="dxa"/>
          </w:tcPr>
          <w:p w14:paraId="6D71260E" w14:textId="402D947C" w:rsidR="00CB78FF" w:rsidRDefault="00A233C0" w:rsidP="002B61DA">
            <w:pPr>
              <w:spacing w:after="0"/>
            </w:pPr>
            <w:r w:rsidRPr="009E06D0">
              <w:t>AIHW</w:t>
            </w:r>
            <w:r w:rsidR="00D82F1E">
              <w:rPr>
                <w:rStyle w:val="EndnoteReference"/>
              </w:rPr>
              <w:endnoteReference w:id="113"/>
            </w:r>
          </w:p>
        </w:tc>
      </w:tr>
      <w:tr w:rsidR="00064BF3" w14:paraId="3CDBFD1D" w14:textId="77777777" w:rsidTr="002231B9">
        <w:trPr>
          <w:trHeight w:val="324"/>
        </w:trPr>
        <w:tc>
          <w:tcPr>
            <w:tcW w:w="9037" w:type="dxa"/>
            <w:gridSpan w:val="4"/>
            <w:shd w:val="clear" w:color="auto" w:fill="F2F2F2" w:themeFill="background1" w:themeFillShade="F2"/>
          </w:tcPr>
          <w:p w14:paraId="0A9979A2" w14:textId="5CE5AAE6" w:rsidR="00064BF3" w:rsidRPr="00064BF3" w:rsidRDefault="00064BF3" w:rsidP="00064BF3">
            <w:pPr>
              <w:spacing w:after="0"/>
              <w:rPr>
                <w:b/>
                <w:bCs/>
              </w:rPr>
            </w:pPr>
            <w:r w:rsidRPr="00064BF3">
              <w:rPr>
                <w:b/>
                <w:bCs/>
              </w:rPr>
              <w:t>Colonoscopy parameters</w:t>
            </w:r>
          </w:p>
        </w:tc>
      </w:tr>
      <w:tr w:rsidR="00CB78FF" w14:paraId="7B4E8536" w14:textId="77777777" w:rsidTr="00064BF3">
        <w:trPr>
          <w:gridAfter w:val="1"/>
          <w:wAfter w:w="8" w:type="dxa"/>
          <w:trHeight w:val="500"/>
        </w:trPr>
        <w:tc>
          <w:tcPr>
            <w:tcW w:w="1985" w:type="dxa"/>
          </w:tcPr>
          <w:p w14:paraId="7DECB687" w14:textId="4E9CAF20" w:rsidR="00CB78FF" w:rsidRDefault="00CB78FF" w:rsidP="002B61DA">
            <w:pPr>
              <w:spacing w:after="0"/>
            </w:pPr>
            <w:r>
              <w:t>Colonoscopy costs</w:t>
            </w:r>
            <w:r w:rsidR="00C713C7">
              <w:t xml:space="preserve"> (health care payer / societal)</w:t>
            </w:r>
          </w:p>
        </w:tc>
        <w:tc>
          <w:tcPr>
            <w:tcW w:w="3544" w:type="dxa"/>
          </w:tcPr>
          <w:p w14:paraId="4D075B88" w14:textId="0007E18C" w:rsidR="00CB78FF" w:rsidRDefault="00CB78FF" w:rsidP="002B61DA">
            <w:pPr>
              <w:spacing w:after="0"/>
            </w:pPr>
            <w:r>
              <w:t>Minor complexity: $1,915 / $1,945</w:t>
            </w:r>
          </w:p>
          <w:p w14:paraId="2E4F4E71" w14:textId="77777777" w:rsidR="00CB78FF" w:rsidRDefault="00CB78FF" w:rsidP="002B61DA">
            <w:pPr>
              <w:spacing w:after="0"/>
            </w:pPr>
            <w:r>
              <w:t>Major complexity: $9,860 / $10,015</w:t>
            </w:r>
          </w:p>
        </w:tc>
        <w:tc>
          <w:tcPr>
            <w:tcW w:w="3508" w:type="dxa"/>
          </w:tcPr>
          <w:p w14:paraId="25E33906" w14:textId="62467FA7" w:rsidR="00185340" w:rsidRDefault="00CB78FF" w:rsidP="002B61DA">
            <w:pPr>
              <w:spacing w:after="0"/>
            </w:pPr>
            <w:r>
              <w:t>Queensland Government</w:t>
            </w:r>
            <w:r w:rsidR="00185340">
              <w:rPr>
                <w:rStyle w:val="EndnoteReference"/>
              </w:rPr>
              <w:endnoteReference w:id="114"/>
            </w:r>
          </w:p>
          <w:p w14:paraId="33811D51" w14:textId="3A27DA01" w:rsidR="00CB78FF" w:rsidRDefault="00CB78FF" w:rsidP="002B61DA">
            <w:pPr>
              <w:spacing w:after="0"/>
            </w:pPr>
            <w:r>
              <w:t xml:space="preserve">This study used national rates, which were reported by the Queensland Government as benchmarks for state rates. </w:t>
            </w:r>
          </w:p>
        </w:tc>
      </w:tr>
      <w:tr w:rsidR="00CB78FF" w14:paraId="50460405" w14:textId="77777777" w:rsidTr="00064BF3">
        <w:trPr>
          <w:gridAfter w:val="1"/>
          <w:wAfter w:w="8" w:type="dxa"/>
          <w:trHeight w:val="500"/>
        </w:trPr>
        <w:tc>
          <w:tcPr>
            <w:tcW w:w="1985" w:type="dxa"/>
          </w:tcPr>
          <w:p w14:paraId="437A9817" w14:textId="77777777" w:rsidR="00CB78FF" w:rsidRDefault="00CB78FF" w:rsidP="002B61DA">
            <w:pPr>
              <w:spacing w:after="0"/>
            </w:pPr>
            <w:r>
              <w:t>Compliance to recommended surveillance regime (Non-advanced adenoma / advanced adenoma)</w:t>
            </w:r>
          </w:p>
        </w:tc>
        <w:tc>
          <w:tcPr>
            <w:tcW w:w="3544" w:type="dxa"/>
          </w:tcPr>
          <w:p w14:paraId="40488945" w14:textId="347A5255" w:rsidR="00CB78FF" w:rsidRDefault="00C713C7" w:rsidP="002B61DA">
            <w:pPr>
              <w:spacing w:after="0"/>
            </w:pPr>
            <w:r>
              <w:t xml:space="preserve">Percentage of people who screen at least once within a 10-year period </w:t>
            </w:r>
            <w:r w:rsidR="00CB78FF">
              <w:t>– 83.9% / 93.9%</w:t>
            </w:r>
          </w:p>
          <w:p w14:paraId="39C6E2B9" w14:textId="6E09CD6F" w:rsidR="00CB78FF" w:rsidRDefault="00CB78FF" w:rsidP="002B61DA">
            <w:pPr>
              <w:spacing w:after="0"/>
            </w:pPr>
            <w:r>
              <w:t xml:space="preserve">Compliance with screening regime guidelines </w:t>
            </w:r>
            <w:r w:rsidR="00C713C7">
              <w:t>(</w:t>
            </w:r>
            <w:proofErr w:type="gramStart"/>
            <w:r w:rsidR="00C713C7">
              <w:t>i.e.</w:t>
            </w:r>
            <w:proofErr w:type="gramEnd"/>
            <w:r w:rsidR="00C713C7">
              <w:t xml:space="preserve"> frequency of screening) </w:t>
            </w:r>
            <w:r>
              <w:t>50% / 50%</w:t>
            </w:r>
          </w:p>
        </w:tc>
        <w:tc>
          <w:tcPr>
            <w:tcW w:w="3508" w:type="dxa"/>
          </w:tcPr>
          <w:p w14:paraId="558DD205" w14:textId="2908813F" w:rsidR="00B26E52" w:rsidRDefault="00CB78FF" w:rsidP="00B14FEB">
            <w:pPr>
              <w:spacing w:after="0"/>
            </w:pPr>
            <w:r>
              <w:t xml:space="preserve">Taylor </w:t>
            </w:r>
            <w:r w:rsidR="00B17C66">
              <w:t>et al</w:t>
            </w:r>
            <w:r w:rsidR="00B17C66">
              <w:rPr>
                <w:rStyle w:val="EndnoteReference"/>
              </w:rPr>
              <w:endnoteReference w:id="115"/>
            </w:r>
          </w:p>
          <w:p w14:paraId="2FD3ED5E" w14:textId="77777777" w:rsidR="00B26E52" w:rsidRDefault="00B26E52" w:rsidP="00B14FEB">
            <w:pPr>
              <w:spacing w:after="0"/>
            </w:pPr>
          </w:p>
          <w:p w14:paraId="1DF4B810" w14:textId="4653155E" w:rsidR="00CB78FF" w:rsidRDefault="000317C6" w:rsidP="002B61DA">
            <w:pPr>
              <w:spacing w:after="0"/>
            </w:pPr>
            <w:r>
              <w:t>Tran et al</w:t>
            </w:r>
            <w:r w:rsidR="00BE7B6A">
              <w:rPr>
                <w:rStyle w:val="EndnoteReference"/>
              </w:rPr>
              <w:endnoteReference w:id="116"/>
            </w:r>
          </w:p>
        </w:tc>
      </w:tr>
      <w:tr w:rsidR="00CB78FF" w14:paraId="5C695F16" w14:textId="77777777" w:rsidTr="00064BF3">
        <w:trPr>
          <w:gridAfter w:val="1"/>
          <w:wAfter w:w="8" w:type="dxa"/>
          <w:trHeight w:val="500"/>
        </w:trPr>
        <w:tc>
          <w:tcPr>
            <w:tcW w:w="1985" w:type="dxa"/>
          </w:tcPr>
          <w:p w14:paraId="2915153A" w14:textId="77777777" w:rsidR="00CB78FF" w:rsidRDefault="00CB78FF" w:rsidP="002B61DA">
            <w:pPr>
              <w:spacing w:after="0"/>
            </w:pPr>
            <w:r>
              <w:t>Negative impacts of colonoscopy (death and perforation)</w:t>
            </w:r>
          </w:p>
        </w:tc>
        <w:tc>
          <w:tcPr>
            <w:tcW w:w="3544" w:type="dxa"/>
          </w:tcPr>
          <w:p w14:paraId="1C9114BD" w14:textId="3423C6BF" w:rsidR="00CB78FF" w:rsidRDefault="00CB78FF" w:rsidP="002B61DA">
            <w:pPr>
              <w:spacing w:after="0"/>
            </w:pPr>
            <w:r>
              <w:t>Death – 1.6 per 10,000</w:t>
            </w:r>
          </w:p>
          <w:p w14:paraId="04D5645D" w14:textId="77777777" w:rsidR="00CB78FF" w:rsidRDefault="00CB78FF" w:rsidP="002B61DA">
            <w:pPr>
              <w:spacing w:after="0"/>
            </w:pPr>
            <w:r>
              <w:t xml:space="preserve">Perforation – 5.0 per 10,000 </w:t>
            </w:r>
          </w:p>
        </w:tc>
        <w:tc>
          <w:tcPr>
            <w:tcW w:w="3508" w:type="dxa"/>
          </w:tcPr>
          <w:p w14:paraId="09780520" w14:textId="7B1B908D" w:rsidR="00CB78FF" w:rsidRDefault="00CB78FF" w:rsidP="002B61DA">
            <w:pPr>
              <w:spacing w:after="0"/>
            </w:pPr>
            <w:r>
              <w:t xml:space="preserve">Rutter </w:t>
            </w:r>
            <w:r w:rsidR="00B74B63">
              <w:t>et al</w:t>
            </w:r>
            <w:r w:rsidR="00B74B63">
              <w:rPr>
                <w:rStyle w:val="EndnoteReference"/>
              </w:rPr>
              <w:endnoteReference w:id="117"/>
            </w:r>
          </w:p>
        </w:tc>
      </w:tr>
      <w:tr w:rsidR="00CB78FF" w14:paraId="1F716BBA" w14:textId="77777777" w:rsidTr="00064BF3">
        <w:trPr>
          <w:gridAfter w:val="1"/>
          <w:wAfter w:w="8" w:type="dxa"/>
          <w:trHeight w:val="500"/>
        </w:trPr>
        <w:tc>
          <w:tcPr>
            <w:tcW w:w="1985" w:type="dxa"/>
          </w:tcPr>
          <w:p w14:paraId="5171AD40" w14:textId="77777777" w:rsidR="00CB78FF" w:rsidRDefault="00CB78FF" w:rsidP="002B61DA">
            <w:pPr>
              <w:spacing w:after="0"/>
            </w:pPr>
            <w:r>
              <w:t>Colonoscopy diagnostic assessment rate</w:t>
            </w:r>
          </w:p>
        </w:tc>
        <w:tc>
          <w:tcPr>
            <w:tcW w:w="3544" w:type="dxa"/>
          </w:tcPr>
          <w:p w14:paraId="11105D6C" w14:textId="77777777" w:rsidR="00CB78FF" w:rsidRDefault="00CB78FF" w:rsidP="002B61DA">
            <w:pPr>
              <w:spacing w:after="0"/>
            </w:pPr>
            <w:r>
              <w:t>Age dependant</w:t>
            </w:r>
          </w:p>
        </w:tc>
        <w:tc>
          <w:tcPr>
            <w:tcW w:w="3508" w:type="dxa"/>
          </w:tcPr>
          <w:p w14:paraId="3BDCC4A9" w14:textId="7A124C45" w:rsidR="00CB78FF" w:rsidRDefault="007B096A" w:rsidP="002B61DA">
            <w:pPr>
              <w:spacing w:after="0"/>
            </w:pPr>
            <w:r>
              <w:t>Lew et al</w:t>
            </w:r>
            <w:r>
              <w:rPr>
                <w:rStyle w:val="EndnoteReference"/>
              </w:rPr>
              <w:endnoteReference w:id="118"/>
            </w:r>
          </w:p>
        </w:tc>
      </w:tr>
      <w:tr w:rsidR="00CB78FF" w14:paraId="40E919AD" w14:textId="77777777" w:rsidTr="00064BF3">
        <w:trPr>
          <w:gridAfter w:val="1"/>
          <w:wAfter w:w="8" w:type="dxa"/>
          <w:trHeight w:val="322"/>
        </w:trPr>
        <w:tc>
          <w:tcPr>
            <w:tcW w:w="9037" w:type="dxa"/>
            <w:gridSpan w:val="3"/>
            <w:shd w:val="clear" w:color="auto" w:fill="F2F2F2" w:themeFill="background1" w:themeFillShade="F2"/>
          </w:tcPr>
          <w:p w14:paraId="5D3E7A5D" w14:textId="77777777" w:rsidR="00CB78FF" w:rsidRDefault="00CB78FF" w:rsidP="002B61DA">
            <w:pPr>
              <w:spacing w:after="0"/>
            </w:pPr>
            <w:r>
              <w:rPr>
                <w:b/>
                <w:bCs/>
              </w:rPr>
              <w:lastRenderedPageBreak/>
              <w:t>Cancer-stage parameters</w:t>
            </w:r>
          </w:p>
        </w:tc>
      </w:tr>
      <w:tr w:rsidR="00CB78FF" w14:paraId="5BEA1195" w14:textId="77777777" w:rsidTr="00064BF3">
        <w:trPr>
          <w:gridAfter w:val="1"/>
          <w:wAfter w:w="8" w:type="dxa"/>
          <w:trHeight w:val="500"/>
        </w:trPr>
        <w:tc>
          <w:tcPr>
            <w:tcW w:w="1985" w:type="dxa"/>
          </w:tcPr>
          <w:p w14:paraId="498ADE29" w14:textId="7A5E686F" w:rsidR="00CB78FF" w:rsidRDefault="00CB78FF" w:rsidP="002B61DA">
            <w:pPr>
              <w:spacing w:after="0"/>
            </w:pPr>
            <w:r>
              <w:t>5-year survival rate from co</w:t>
            </w:r>
            <w:r w:rsidR="006E19BD">
              <w:t>lorectal</w:t>
            </w:r>
            <w:r>
              <w:t xml:space="preserve"> cancer</w:t>
            </w:r>
          </w:p>
        </w:tc>
        <w:tc>
          <w:tcPr>
            <w:tcW w:w="3544" w:type="dxa"/>
          </w:tcPr>
          <w:p w14:paraId="6F799C57" w14:textId="6E0D5E61" w:rsidR="00CB78FF" w:rsidRDefault="00ED33B0" w:rsidP="002B61DA">
            <w:pPr>
              <w:spacing w:after="0"/>
            </w:pPr>
            <w:r>
              <w:t>Stage 1</w:t>
            </w:r>
            <w:r w:rsidR="00CB78FF">
              <w:t xml:space="preserve">: </w:t>
            </w:r>
            <w:r w:rsidR="00D93D14">
              <w:t>86.9</w:t>
            </w:r>
            <w:r w:rsidR="00E83567">
              <w:t>%</w:t>
            </w:r>
          </w:p>
          <w:p w14:paraId="276FA074" w14:textId="705136B7" w:rsidR="00CB78FF" w:rsidRDefault="00ED33B0" w:rsidP="002B61DA">
            <w:pPr>
              <w:spacing w:after="0"/>
            </w:pPr>
            <w:r>
              <w:t>Stage 2</w:t>
            </w:r>
            <w:r w:rsidR="00CB78FF">
              <w:t xml:space="preserve">: </w:t>
            </w:r>
            <w:r w:rsidR="00BE5EF6">
              <w:t>73.0</w:t>
            </w:r>
            <w:r w:rsidR="00E83567">
              <w:t>%</w:t>
            </w:r>
          </w:p>
          <w:p w14:paraId="006B5CE2" w14:textId="71CD2B99" w:rsidR="00CB78FF" w:rsidRDefault="00ED33B0" w:rsidP="002B61DA">
            <w:pPr>
              <w:spacing w:after="0"/>
            </w:pPr>
            <w:r>
              <w:t>Stage 3</w:t>
            </w:r>
            <w:r w:rsidR="00CB78FF">
              <w:t xml:space="preserve">: </w:t>
            </w:r>
            <w:r w:rsidR="00485369">
              <w:t>42.4</w:t>
            </w:r>
            <w:r w:rsidR="00E83567">
              <w:t>%</w:t>
            </w:r>
          </w:p>
          <w:p w14:paraId="7396ED6F" w14:textId="2DA5C206" w:rsidR="00CB78FF" w:rsidRDefault="00ED33B0" w:rsidP="002B61DA">
            <w:pPr>
              <w:spacing w:after="0"/>
            </w:pPr>
            <w:r>
              <w:t>Stage 4</w:t>
            </w:r>
            <w:r w:rsidR="00CB78FF">
              <w:t xml:space="preserve">: </w:t>
            </w:r>
            <w:r w:rsidR="00E83567">
              <w:t>9.5%</w:t>
            </w:r>
          </w:p>
        </w:tc>
        <w:tc>
          <w:tcPr>
            <w:tcW w:w="3508" w:type="dxa"/>
          </w:tcPr>
          <w:p w14:paraId="4D4612E8" w14:textId="4B7FAE19" w:rsidR="00B36BE1" w:rsidRDefault="00B36BE1" w:rsidP="009A77AB">
            <w:pPr>
              <w:spacing w:after="0"/>
            </w:pPr>
            <w:r>
              <w:t>Lew et al</w:t>
            </w:r>
            <w:r>
              <w:rPr>
                <w:rStyle w:val="EndnoteReference"/>
              </w:rPr>
              <w:endnoteReference w:id="119"/>
            </w:r>
          </w:p>
          <w:p w14:paraId="60769212" w14:textId="77777777" w:rsidR="00B36BE1" w:rsidRDefault="00B36BE1" w:rsidP="009A77AB">
            <w:pPr>
              <w:spacing w:after="0"/>
            </w:pPr>
          </w:p>
          <w:p w14:paraId="001FB832" w14:textId="29F04586" w:rsidR="00CB78FF" w:rsidRDefault="00CB78FF" w:rsidP="009E06D0">
            <w:pPr>
              <w:spacing w:after="0"/>
            </w:pPr>
          </w:p>
        </w:tc>
      </w:tr>
      <w:tr w:rsidR="00CB78FF" w14:paraId="0292C5A4" w14:textId="77777777" w:rsidTr="00064BF3">
        <w:trPr>
          <w:gridAfter w:val="1"/>
          <w:wAfter w:w="8" w:type="dxa"/>
          <w:trHeight w:val="500"/>
        </w:trPr>
        <w:tc>
          <w:tcPr>
            <w:tcW w:w="1985" w:type="dxa"/>
          </w:tcPr>
          <w:p w14:paraId="3DB15C8B" w14:textId="4401B74C" w:rsidR="00CB78FF" w:rsidRDefault="00CB78FF" w:rsidP="002B61DA">
            <w:pPr>
              <w:spacing w:after="0"/>
            </w:pPr>
            <w:r>
              <w:t xml:space="preserve">Medical costs (health care </w:t>
            </w:r>
            <w:r w:rsidR="005A3219">
              <w:t>payer</w:t>
            </w:r>
            <w:r>
              <w:t xml:space="preserve"> / societal)</w:t>
            </w:r>
          </w:p>
        </w:tc>
        <w:tc>
          <w:tcPr>
            <w:tcW w:w="3544" w:type="dxa"/>
          </w:tcPr>
          <w:p w14:paraId="5838196F" w14:textId="77777777" w:rsidR="00CB78FF" w:rsidRDefault="00CB78FF" w:rsidP="002B61DA">
            <w:pPr>
              <w:spacing w:after="0"/>
            </w:pPr>
            <w:r>
              <w:t>Stage 1: $30,145 / $38,721</w:t>
            </w:r>
          </w:p>
          <w:p w14:paraId="7B34A876" w14:textId="77777777" w:rsidR="00CB78FF" w:rsidRDefault="00CB78FF" w:rsidP="002B61DA">
            <w:pPr>
              <w:spacing w:after="0"/>
            </w:pPr>
            <w:r>
              <w:t>Stage 2: $39,249 / $50,414</w:t>
            </w:r>
          </w:p>
          <w:p w14:paraId="2E2FC1B6" w14:textId="77777777" w:rsidR="00CB78FF" w:rsidRDefault="00CB78FF" w:rsidP="002B61DA">
            <w:pPr>
              <w:spacing w:after="0"/>
            </w:pPr>
            <w:r>
              <w:t>Stage 3: $72,976 / $93,735</w:t>
            </w:r>
          </w:p>
          <w:p w14:paraId="79272CEB" w14:textId="77777777" w:rsidR="00CB78FF" w:rsidRPr="00D0706B" w:rsidRDefault="00CB78FF" w:rsidP="002B61DA">
            <w:pPr>
              <w:spacing w:after="0"/>
            </w:pPr>
            <w:r>
              <w:t>Stage 4: $72,031 / $92,522</w:t>
            </w:r>
          </w:p>
        </w:tc>
        <w:tc>
          <w:tcPr>
            <w:tcW w:w="3508" w:type="dxa"/>
          </w:tcPr>
          <w:p w14:paraId="2B5F896D" w14:textId="25A55C4B" w:rsidR="007E210E" w:rsidRDefault="00AF266F" w:rsidP="001713DF">
            <w:pPr>
              <w:spacing w:after="0"/>
            </w:pPr>
            <w:r>
              <w:t>Ana</w:t>
            </w:r>
            <w:r w:rsidR="007E210E">
              <w:t>nda et al</w:t>
            </w:r>
            <w:r w:rsidR="007E210E">
              <w:rPr>
                <w:rStyle w:val="EndnoteReference"/>
              </w:rPr>
              <w:endnoteReference w:id="120"/>
            </w:r>
          </w:p>
          <w:p w14:paraId="15B9CB4B" w14:textId="77777777" w:rsidR="007E210E" w:rsidRDefault="007E210E" w:rsidP="001713DF">
            <w:pPr>
              <w:spacing w:after="0"/>
            </w:pPr>
          </w:p>
          <w:p w14:paraId="6EF33059" w14:textId="4CED80D2" w:rsidR="00CB78FF" w:rsidRDefault="00C22A82" w:rsidP="002B61DA">
            <w:pPr>
              <w:spacing w:after="0"/>
            </w:pPr>
            <w:r>
              <w:t>Gordon et al</w:t>
            </w:r>
            <w:r>
              <w:rPr>
                <w:rStyle w:val="EndnoteReference"/>
              </w:rPr>
              <w:endnoteReference w:id="121"/>
            </w:r>
          </w:p>
        </w:tc>
      </w:tr>
      <w:tr w:rsidR="00CB78FF" w14:paraId="236F0EC4" w14:textId="77777777" w:rsidTr="00064BF3">
        <w:trPr>
          <w:gridAfter w:val="1"/>
          <w:wAfter w:w="8" w:type="dxa"/>
          <w:trHeight w:val="500"/>
        </w:trPr>
        <w:tc>
          <w:tcPr>
            <w:tcW w:w="1985" w:type="dxa"/>
          </w:tcPr>
          <w:p w14:paraId="53B4C911" w14:textId="77777777" w:rsidR="00CB78FF" w:rsidRDefault="00CB78FF" w:rsidP="002B61DA">
            <w:pPr>
              <w:spacing w:after="0"/>
            </w:pPr>
            <w:r>
              <w:t>Probability of requiring a permanent stoma</w:t>
            </w:r>
          </w:p>
        </w:tc>
        <w:tc>
          <w:tcPr>
            <w:tcW w:w="3544" w:type="dxa"/>
          </w:tcPr>
          <w:p w14:paraId="59927CA0" w14:textId="77777777" w:rsidR="00CB78FF" w:rsidRDefault="00CB78FF" w:rsidP="002B61DA">
            <w:pPr>
              <w:spacing w:after="0"/>
            </w:pPr>
            <w:r>
              <w:t>Cancer stages 1 to 3:  2.3% of survivors</w:t>
            </w:r>
          </w:p>
          <w:p w14:paraId="63C3E2BC" w14:textId="77777777" w:rsidR="00CB78FF" w:rsidRDefault="00CB78FF" w:rsidP="002B61DA">
            <w:pPr>
              <w:spacing w:after="0"/>
            </w:pPr>
            <w:r>
              <w:t>Cancer stage 4:  11.5% of survivors</w:t>
            </w:r>
          </w:p>
        </w:tc>
        <w:tc>
          <w:tcPr>
            <w:tcW w:w="3508" w:type="dxa"/>
          </w:tcPr>
          <w:p w14:paraId="6CDE339D" w14:textId="79998C8E" w:rsidR="00CB78FF" w:rsidRDefault="00CB78FF" w:rsidP="002236FC">
            <w:pPr>
              <w:spacing w:after="0"/>
            </w:pPr>
            <w:r>
              <w:t xml:space="preserve">Estimated using </w:t>
            </w:r>
            <w:proofErr w:type="spellStart"/>
            <w:r>
              <w:t>Enker</w:t>
            </w:r>
            <w:proofErr w:type="spellEnd"/>
            <w:r>
              <w:t xml:space="preserve"> </w:t>
            </w:r>
            <w:r w:rsidR="000021E4">
              <w:t>et al</w:t>
            </w:r>
            <w:r w:rsidR="000021E4">
              <w:rPr>
                <w:rStyle w:val="EndnoteReference"/>
              </w:rPr>
              <w:endnoteReference w:id="122"/>
            </w:r>
            <w:r>
              <w:t xml:space="preserve"> </w:t>
            </w:r>
            <w:r w:rsidRPr="00EF06AF">
              <w:t xml:space="preserve">and </w:t>
            </w:r>
            <w:r w:rsidRPr="009E06D0">
              <w:t xml:space="preserve">Gessler </w:t>
            </w:r>
            <w:r w:rsidR="00A45701">
              <w:t>et al</w:t>
            </w:r>
            <w:r w:rsidR="006D6BE1">
              <w:rPr>
                <w:rStyle w:val="EndnoteReference"/>
              </w:rPr>
              <w:endnoteReference w:id="123"/>
            </w:r>
          </w:p>
        </w:tc>
      </w:tr>
      <w:tr w:rsidR="00CB78FF" w14:paraId="79FF68BE" w14:textId="77777777" w:rsidTr="00064BF3">
        <w:trPr>
          <w:gridAfter w:val="1"/>
          <w:wAfter w:w="8" w:type="dxa"/>
          <w:trHeight w:val="304"/>
        </w:trPr>
        <w:tc>
          <w:tcPr>
            <w:tcW w:w="9037" w:type="dxa"/>
            <w:gridSpan w:val="3"/>
            <w:shd w:val="clear" w:color="auto" w:fill="F2F2F2" w:themeFill="background1" w:themeFillShade="F2"/>
          </w:tcPr>
          <w:p w14:paraId="76962B13" w14:textId="77777777" w:rsidR="00CB78FF" w:rsidRDefault="00CB78FF" w:rsidP="002B61DA">
            <w:pPr>
              <w:spacing w:after="0"/>
            </w:pPr>
            <w:r>
              <w:rPr>
                <w:b/>
                <w:bCs/>
              </w:rPr>
              <w:t>NBCSP Program parameters</w:t>
            </w:r>
          </w:p>
        </w:tc>
      </w:tr>
      <w:tr w:rsidR="00CB78FF" w14:paraId="19323067" w14:textId="77777777" w:rsidTr="00064BF3">
        <w:trPr>
          <w:gridAfter w:val="1"/>
          <w:wAfter w:w="8" w:type="dxa"/>
          <w:trHeight w:val="500"/>
        </w:trPr>
        <w:tc>
          <w:tcPr>
            <w:tcW w:w="1985" w:type="dxa"/>
          </w:tcPr>
          <w:p w14:paraId="56623024" w14:textId="77777777" w:rsidR="00CB78FF" w:rsidRDefault="00CB78FF" w:rsidP="002B61DA">
            <w:pPr>
              <w:spacing w:after="0"/>
            </w:pPr>
            <w:proofErr w:type="spellStart"/>
            <w:r>
              <w:t>iFOBT</w:t>
            </w:r>
            <w:proofErr w:type="spellEnd"/>
            <w:r>
              <w:t xml:space="preserve"> sensitivity</w:t>
            </w:r>
          </w:p>
        </w:tc>
        <w:tc>
          <w:tcPr>
            <w:tcW w:w="3544" w:type="dxa"/>
          </w:tcPr>
          <w:p w14:paraId="0FDDBD4F" w14:textId="77777777" w:rsidR="00CB78FF" w:rsidRPr="000E74BA" w:rsidRDefault="00CB78FF" w:rsidP="002B61DA">
            <w:pPr>
              <w:spacing w:after="0"/>
            </w:pPr>
            <w:r w:rsidRPr="000E74BA">
              <w:t>Non-advanced adenoma: 15.2%</w:t>
            </w:r>
          </w:p>
          <w:p w14:paraId="48B42636" w14:textId="77777777" w:rsidR="00CB78FF" w:rsidRPr="000E74BA" w:rsidRDefault="00CB78FF" w:rsidP="002B61DA">
            <w:pPr>
              <w:spacing w:after="0"/>
            </w:pPr>
            <w:r w:rsidRPr="000E74BA">
              <w:t>Advanced adenoma: 41.5%</w:t>
            </w:r>
          </w:p>
          <w:p w14:paraId="422ACD65" w14:textId="77777777" w:rsidR="00CB78FF" w:rsidRPr="000E74BA" w:rsidRDefault="00CB78FF" w:rsidP="002B61DA">
            <w:pPr>
              <w:spacing w:after="0"/>
            </w:pPr>
            <w:r w:rsidRPr="000E74BA">
              <w:t>Cancer: 58.6%</w:t>
            </w:r>
          </w:p>
        </w:tc>
        <w:tc>
          <w:tcPr>
            <w:tcW w:w="3508" w:type="dxa"/>
          </w:tcPr>
          <w:p w14:paraId="7F16651E" w14:textId="6AE11503" w:rsidR="00CB78FF" w:rsidRDefault="00473262" w:rsidP="002B61DA">
            <w:pPr>
              <w:spacing w:after="0"/>
            </w:pPr>
            <w:r>
              <w:t>Lew et al</w:t>
            </w:r>
            <w:r>
              <w:rPr>
                <w:rStyle w:val="EndnoteReference"/>
              </w:rPr>
              <w:endnoteReference w:id="124"/>
            </w:r>
            <w:r w:rsidR="00CB78FF">
              <w:t xml:space="preserve"> </w:t>
            </w:r>
          </w:p>
        </w:tc>
      </w:tr>
      <w:tr w:rsidR="00CB78FF" w14:paraId="01B7B79B" w14:textId="77777777" w:rsidTr="00064BF3">
        <w:trPr>
          <w:gridAfter w:val="1"/>
          <w:wAfter w:w="8" w:type="dxa"/>
          <w:trHeight w:val="500"/>
        </w:trPr>
        <w:tc>
          <w:tcPr>
            <w:tcW w:w="1985" w:type="dxa"/>
          </w:tcPr>
          <w:p w14:paraId="3577A6AD" w14:textId="77777777" w:rsidR="00CB78FF" w:rsidRDefault="00CB78FF" w:rsidP="002B61DA">
            <w:pPr>
              <w:spacing w:after="0"/>
            </w:pPr>
            <w:proofErr w:type="spellStart"/>
            <w:r>
              <w:t>iFOBT</w:t>
            </w:r>
            <w:proofErr w:type="spellEnd"/>
            <w:r>
              <w:t xml:space="preserve"> false positive rate</w:t>
            </w:r>
          </w:p>
        </w:tc>
        <w:tc>
          <w:tcPr>
            <w:tcW w:w="3544" w:type="dxa"/>
          </w:tcPr>
          <w:p w14:paraId="4A420AB9" w14:textId="77777777" w:rsidR="00CB78FF" w:rsidRPr="000E74BA" w:rsidRDefault="00CB78FF" w:rsidP="002B61DA">
            <w:pPr>
              <w:spacing w:after="0"/>
            </w:pPr>
            <w:r>
              <w:t>4.4%</w:t>
            </w:r>
          </w:p>
        </w:tc>
        <w:tc>
          <w:tcPr>
            <w:tcW w:w="3508" w:type="dxa"/>
          </w:tcPr>
          <w:p w14:paraId="62A226CF" w14:textId="2DEBAE27" w:rsidR="00CB78FF" w:rsidRDefault="00987EEF" w:rsidP="002B61DA">
            <w:pPr>
              <w:spacing w:after="0"/>
            </w:pPr>
            <w:r>
              <w:t>Hubbard et al</w:t>
            </w:r>
            <w:r>
              <w:rPr>
                <w:rStyle w:val="EndnoteReference"/>
              </w:rPr>
              <w:endnoteReference w:id="125"/>
            </w:r>
            <w:r w:rsidR="00CB78FF">
              <w:t xml:space="preserve"> </w:t>
            </w:r>
          </w:p>
        </w:tc>
      </w:tr>
      <w:tr w:rsidR="00CB78FF" w14:paraId="279EF00F" w14:textId="77777777" w:rsidTr="00064BF3">
        <w:trPr>
          <w:gridAfter w:val="1"/>
          <w:wAfter w:w="8" w:type="dxa"/>
          <w:trHeight w:val="500"/>
        </w:trPr>
        <w:tc>
          <w:tcPr>
            <w:tcW w:w="1985" w:type="dxa"/>
          </w:tcPr>
          <w:p w14:paraId="000B7813" w14:textId="77777777" w:rsidR="00CB78FF" w:rsidRDefault="00CB78FF" w:rsidP="002B61DA">
            <w:pPr>
              <w:spacing w:after="0"/>
            </w:pPr>
            <w:r>
              <w:t>Participation rate (NBCSP)</w:t>
            </w:r>
          </w:p>
        </w:tc>
        <w:tc>
          <w:tcPr>
            <w:tcW w:w="3544" w:type="dxa"/>
          </w:tcPr>
          <w:p w14:paraId="71D58206" w14:textId="331CFBDC" w:rsidR="003B04B7" w:rsidRDefault="003B04B7" w:rsidP="003B04B7">
            <w:pPr>
              <w:spacing w:after="0"/>
            </w:pPr>
            <w:r>
              <w:t>40 to 44: 25.3%</w:t>
            </w:r>
          </w:p>
          <w:p w14:paraId="530A1E4F" w14:textId="1731698A" w:rsidR="00CB78FF" w:rsidRDefault="00CB78FF" w:rsidP="002B61DA">
            <w:pPr>
              <w:spacing w:after="0"/>
            </w:pPr>
            <w:r>
              <w:t>45 to 49</w:t>
            </w:r>
            <w:r w:rsidR="005A081E">
              <w:t>:</w:t>
            </w:r>
            <w:r>
              <w:t xml:space="preserve"> 29.4%</w:t>
            </w:r>
          </w:p>
          <w:p w14:paraId="4639B062" w14:textId="2BC49D21" w:rsidR="00CB78FF" w:rsidRDefault="00CB78FF" w:rsidP="002B61DA">
            <w:pPr>
              <w:spacing w:after="0"/>
            </w:pPr>
            <w:r>
              <w:t>50 to 54</w:t>
            </w:r>
            <w:r w:rsidR="005A081E">
              <w:t>:</w:t>
            </w:r>
            <w:r>
              <w:t xml:space="preserve"> 33.9%</w:t>
            </w:r>
          </w:p>
          <w:p w14:paraId="2E3079E4" w14:textId="55ED12E7" w:rsidR="00CB78FF" w:rsidRDefault="00CB78FF" w:rsidP="002B61DA">
            <w:pPr>
              <w:spacing w:after="0"/>
            </w:pPr>
            <w:r>
              <w:t>55 to 59</w:t>
            </w:r>
            <w:r w:rsidR="005A081E">
              <w:t>:</w:t>
            </w:r>
            <w:r>
              <w:t xml:space="preserve"> 39.0%</w:t>
            </w:r>
          </w:p>
          <w:p w14:paraId="14C0F4F3" w14:textId="0701590C" w:rsidR="00CB78FF" w:rsidRDefault="00CB78FF" w:rsidP="002B61DA">
            <w:pPr>
              <w:spacing w:after="0"/>
            </w:pPr>
            <w:r>
              <w:t>60 to 64</w:t>
            </w:r>
            <w:r w:rsidR="005A081E">
              <w:t>:</w:t>
            </w:r>
            <w:r>
              <w:t xml:space="preserve"> 44.9%</w:t>
            </w:r>
          </w:p>
          <w:p w14:paraId="4981CEF1" w14:textId="0012B280" w:rsidR="00CB78FF" w:rsidRDefault="00CB78FF" w:rsidP="002B61DA">
            <w:pPr>
              <w:spacing w:after="0"/>
            </w:pPr>
            <w:r>
              <w:t>65 to 69</w:t>
            </w:r>
            <w:r w:rsidR="005A081E">
              <w:t>:</w:t>
            </w:r>
            <w:r>
              <w:t xml:space="preserve"> 51.0%</w:t>
            </w:r>
          </w:p>
          <w:p w14:paraId="13ECC407" w14:textId="27C0D29E" w:rsidR="00CB78FF" w:rsidRDefault="00CB78FF" w:rsidP="002B61DA">
            <w:pPr>
              <w:spacing w:after="0"/>
            </w:pPr>
            <w:r>
              <w:t>70 to 74</w:t>
            </w:r>
            <w:r w:rsidR="005A081E">
              <w:t>:</w:t>
            </w:r>
            <w:r>
              <w:t xml:space="preserve"> 54.2%</w:t>
            </w:r>
          </w:p>
        </w:tc>
        <w:tc>
          <w:tcPr>
            <w:tcW w:w="3508" w:type="dxa"/>
          </w:tcPr>
          <w:p w14:paraId="3E2D2BA2" w14:textId="522341F2" w:rsidR="009822A2" w:rsidRDefault="00CB78FF" w:rsidP="00550C74">
            <w:pPr>
              <w:spacing w:after="0"/>
            </w:pPr>
            <w:r>
              <w:t>AIHW</w:t>
            </w:r>
            <w:r w:rsidR="009822A2">
              <w:rPr>
                <w:rStyle w:val="EndnoteReference"/>
              </w:rPr>
              <w:endnoteReference w:id="126"/>
            </w:r>
            <w:r>
              <w:t xml:space="preserve"> </w:t>
            </w:r>
          </w:p>
          <w:p w14:paraId="7D28F72A" w14:textId="22DABF35" w:rsidR="00CB78FF" w:rsidRDefault="00CB78FF" w:rsidP="002B61DA">
            <w:pPr>
              <w:spacing w:after="0"/>
            </w:pPr>
            <w:r>
              <w:t xml:space="preserve">Rate for </w:t>
            </w:r>
            <w:r w:rsidR="003B04B7">
              <w:t xml:space="preserve">40 to </w:t>
            </w:r>
            <w:r>
              <w:t xml:space="preserve">49 years was calculated based on the relationship between age and participation. </w:t>
            </w:r>
          </w:p>
        </w:tc>
      </w:tr>
      <w:tr w:rsidR="00CB78FF" w14:paraId="50A683B4" w14:textId="77777777" w:rsidTr="00064BF3">
        <w:trPr>
          <w:gridAfter w:val="1"/>
          <w:wAfter w:w="8" w:type="dxa"/>
          <w:trHeight w:val="500"/>
        </w:trPr>
        <w:tc>
          <w:tcPr>
            <w:tcW w:w="1985" w:type="dxa"/>
          </w:tcPr>
          <w:p w14:paraId="176C3536" w14:textId="19863995" w:rsidR="00CB78FF" w:rsidRDefault="00CB78FF" w:rsidP="002B61DA">
            <w:pPr>
              <w:spacing w:after="0"/>
            </w:pPr>
            <w:r>
              <w:t xml:space="preserve">GP follow-up costs </w:t>
            </w:r>
          </w:p>
        </w:tc>
        <w:tc>
          <w:tcPr>
            <w:tcW w:w="3544" w:type="dxa"/>
          </w:tcPr>
          <w:p w14:paraId="3D3DC13B" w14:textId="1CCBD125" w:rsidR="00261231" w:rsidRDefault="00261231" w:rsidP="002B61DA">
            <w:pPr>
              <w:spacing w:after="0"/>
            </w:pPr>
            <w:r>
              <w:t>Health care payer:</w:t>
            </w:r>
            <w:r w:rsidR="00DE79BE">
              <w:t xml:space="preserve"> </w:t>
            </w:r>
            <w:r w:rsidR="00CB78FF">
              <w:t xml:space="preserve">$38.75 </w:t>
            </w:r>
          </w:p>
          <w:p w14:paraId="2D421037" w14:textId="4D5BDB66" w:rsidR="00CB78FF" w:rsidRDefault="00261231" w:rsidP="002B61DA">
            <w:pPr>
              <w:spacing w:after="0"/>
            </w:pPr>
            <w:r>
              <w:t xml:space="preserve">Societal: </w:t>
            </w:r>
            <w:r w:rsidR="00CB78FF">
              <w:t>$46.30</w:t>
            </w:r>
          </w:p>
        </w:tc>
        <w:tc>
          <w:tcPr>
            <w:tcW w:w="3508" w:type="dxa"/>
          </w:tcPr>
          <w:p w14:paraId="5A74DF47" w14:textId="2252CF0D" w:rsidR="00CB78FF" w:rsidRDefault="00CB78FF" w:rsidP="00EF06AF">
            <w:pPr>
              <w:spacing w:after="0"/>
            </w:pPr>
            <w:r>
              <w:t>MBS</w:t>
            </w:r>
            <w:r w:rsidR="00023083">
              <w:rPr>
                <w:rStyle w:val="EndnoteReference"/>
              </w:rPr>
              <w:endnoteReference w:id="127"/>
            </w:r>
            <w:r w:rsidR="00611DCC">
              <w:t xml:space="preserve"> and </w:t>
            </w:r>
            <w:r w:rsidRPr="009E06D0">
              <w:t>AIHW</w:t>
            </w:r>
            <w:r w:rsidR="00611DCC">
              <w:rPr>
                <w:rStyle w:val="EndnoteReference"/>
              </w:rPr>
              <w:endnoteReference w:id="128"/>
            </w:r>
          </w:p>
        </w:tc>
      </w:tr>
      <w:tr w:rsidR="00CB78FF" w14:paraId="1B06FF16" w14:textId="77777777" w:rsidTr="00064BF3">
        <w:trPr>
          <w:gridAfter w:val="1"/>
          <w:wAfter w:w="8" w:type="dxa"/>
          <w:trHeight w:val="500"/>
        </w:trPr>
        <w:tc>
          <w:tcPr>
            <w:tcW w:w="1985" w:type="dxa"/>
          </w:tcPr>
          <w:p w14:paraId="1F177339" w14:textId="0DAB4DC2" w:rsidR="00CB78FF" w:rsidRDefault="00CB78FF" w:rsidP="002B61DA">
            <w:pPr>
              <w:spacing w:after="0"/>
            </w:pPr>
            <w:r>
              <w:t>Total annual administrative</w:t>
            </w:r>
            <w:r w:rsidR="007A7353">
              <w:t>, register and</w:t>
            </w:r>
            <w:r>
              <w:t xml:space="preserve"> Program costs for one cohort in a screening year. Costs associated with starting screening at age 50.</w:t>
            </w:r>
          </w:p>
        </w:tc>
        <w:tc>
          <w:tcPr>
            <w:tcW w:w="3544" w:type="dxa"/>
          </w:tcPr>
          <w:p w14:paraId="61AC1B96" w14:textId="77777777" w:rsidR="00CB78FF" w:rsidRDefault="00CB78FF" w:rsidP="002B61DA">
            <w:pPr>
              <w:spacing w:after="0"/>
            </w:pPr>
            <w:r>
              <w:t>$1,878,816</w:t>
            </w:r>
          </w:p>
        </w:tc>
        <w:tc>
          <w:tcPr>
            <w:tcW w:w="3508" w:type="dxa"/>
          </w:tcPr>
          <w:p w14:paraId="22AB2714" w14:textId="5DDDE2DD" w:rsidR="00CB78FF" w:rsidRDefault="00CB78FF" w:rsidP="002B61DA">
            <w:pPr>
              <w:spacing w:after="0"/>
            </w:pPr>
            <w:r>
              <w:t xml:space="preserve">Department of Health program data. Costs per cohort estimated by dividing total costs by number of cohorts. </w:t>
            </w:r>
            <w:r w:rsidR="00614C3B">
              <w:t xml:space="preserve">This value </w:t>
            </w:r>
            <w:r w:rsidR="006228A2">
              <w:t xml:space="preserve">is increased by approximately 15% for the scenario where the commencement age is dropped to 45 years to account for the increase in size of the cohort. </w:t>
            </w:r>
          </w:p>
        </w:tc>
      </w:tr>
      <w:tr w:rsidR="00CB78FF" w14:paraId="6082E7D5" w14:textId="77777777" w:rsidTr="00064BF3">
        <w:trPr>
          <w:gridAfter w:val="1"/>
          <w:wAfter w:w="8" w:type="dxa"/>
          <w:trHeight w:val="500"/>
        </w:trPr>
        <w:tc>
          <w:tcPr>
            <w:tcW w:w="1985" w:type="dxa"/>
          </w:tcPr>
          <w:p w14:paraId="7674BA24" w14:textId="031C38FB" w:rsidR="00CB78FF" w:rsidRDefault="000A2F23" w:rsidP="002B61DA">
            <w:pPr>
              <w:spacing w:after="0"/>
            </w:pPr>
            <w:r>
              <w:t>NCSR</w:t>
            </w:r>
            <w:r w:rsidR="00CB78FF">
              <w:t xml:space="preserve"> build</w:t>
            </w:r>
          </w:p>
        </w:tc>
        <w:tc>
          <w:tcPr>
            <w:tcW w:w="3544" w:type="dxa"/>
          </w:tcPr>
          <w:p w14:paraId="7715FE65" w14:textId="77777777" w:rsidR="00CB78FF" w:rsidRDefault="00CB78FF" w:rsidP="002B61DA">
            <w:pPr>
              <w:spacing w:after="0"/>
            </w:pPr>
            <w:r>
              <w:t>$7,978,798</w:t>
            </w:r>
          </w:p>
        </w:tc>
        <w:tc>
          <w:tcPr>
            <w:tcW w:w="3508" w:type="dxa"/>
          </w:tcPr>
          <w:p w14:paraId="21CD6AB2" w14:textId="44FF3D49" w:rsidR="00CB78FF" w:rsidRDefault="00CB78FF" w:rsidP="002B61DA">
            <w:pPr>
              <w:spacing w:after="0"/>
            </w:pPr>
            <w:r>
              <w:t xml:space="preserve">Department of Health program data. </w:t>
            </w:r>
          </w:p>
        </w:tc>
      </w:tr>
      <w:tr w:rsidR="00CB78FF" w14:paraId="426B5A22" w14:textId="77777777" w:rsidTr="00064BF3">
        <w:trPr>
          <w:gridAfter w:val="1"/>
          <w:wAfter w:w="8" w:type="dxa"/>
          <w:trHeight w:val="500"/>
        </w:trPr>
        <w:tc>
          <w:tcPr>
            <w:tcW w:w="1985" w:type="dxa"/>
          </w:tcPr>
          <w:p w14:paraId="1904C6ED" w14:textId="0BC0292B" w:rsidR="00CB78FF" w:rsidDel="0049581C" w:rsidRDefault="00CB78FF" w:rsidP="002B61DA">
            <w:pPr>
              <w:spacing w:after="0"/>
            </w:pPr>
            <w:r>
              <w:t>Program unit administrative costs per invitee</w:t>
            </w:r>
          </w:p>
        </w:tc>
        <w:tc>
          <w:tcPr>
            <w:tcW w:w="3544" w:type="dxa"/>
          </w:tcPr>
          <w:p w14:paraId="67501ED4" w14:textId="77777777" w:rsidR="00CB78FF" w:rsidRDefault="00CB78FF" w:rsidP="002B61DA">
            <w:pPr>
              <w:spacing w:after="0"/>
            </w:pPr>
            <w:r>
              <w:t>$8.6</w:t>
            </w:r>
          </w:p>
        </w:tc>
        <w:tc>
          <w:tcPr>
            <w:tcW w:w="3508" w:type="dxa"/>
          </w:tcPr>
          <w:p w14:paraId="07BB95B8" w14:textId="77777777" w:rsidR="00CB78FF" w:rsidRDefault="00CB78FF" w:rsidP="002B61DA">
            <w:pPr>
              <w:spacing w:after="0"/>
            </w:pPr>
            <w:r>
              <w:t>Department of Health program data. Sonic commercial workbook.</w:t>
            </w:r>
          </w:p>
        </w:tc>
      </w:tr>
      <w:tr w:rsidR="00CB78FF" w14:paraId="454195B3" w14:textId="77777777" w:rsidTr="00064BF3">
        <w:trPr>
          <w:gridAfter w:val="1"/>
          <w:wAfter w:w="8" w:type="dxa"/>
          <w:trHeight w:val="500"/>
        </w:trPr>
        <w:tc>
          <w:tcPr>
            <w:tcW w:w="1985" w:type="dxa"/>
          </w:tcPr>
          <w:p w14:paraId="2B6D9D39" w14:textId="77777777" w:rsidR="00CB78FF" w:rsidRDefault="00CB78FF" w:rsidP="002B61DA">
            <w:pPr>
              <w:spacing w:after="0"/>
            </w:pPr>
            <w:r>
              <w:t xml:space="preserve">Program unit laboratory costs per participant </w:t>
            </w:r>
          </w:p>
        </w:tc>
        <w:tc>
          <w:tcPr>
            <w:tcW w:w="3544" w:type="dxa"/>
          </w:tcPr>
          <w:p w14:paraId="27356980" w14:textId="77777777" w:rsidR="00CB78FF" w:rsidRDefault="00CB78FF" w:rsidP="002B61DA">
            <w:pPr>
              <w:spacing w:after="0"/>
            </w:pPr>
            <w:r>
              <w:t>$15.1</w:t>
            </w:r>
          </w:p>
        </w:tc>
        <w:tc>
          <w:tcPr>
            <w:tcW w:w="3508" w:type="dxa"/>
          </w:tcPr>
          <w:p w14:paraId="471D2C84" w14:textId="77777777" w:rsidR="00CB78FF" w:rsidRDefault="00CB78FF" w:rsidP="002B61DA">
            <w:pPr>
              <w:spacing w:after="0"/>
            </w:pPr>
            <w:r>
              <w:t>Department of Health program data. Sonic commercial workbook.</w:t>
            </w:r>
          </w:p>
        </w:tc>
      </w:tr>
      <w:tr w:rsidR="00CB78FF" w14:paraId="5398A411" w14:textId="77777777" w:rsidTr="00064BF3">
        <w:trPr>
          <w:gridAfter w:val="1"/>
          <w:wAfter w:w="8" w:type="dxa"/>
          <w:trHeight w:val="326"/>
        </w:trPr>
        <w:tc>
          <w:tcPr>
            <w:tcW w:w="9037" w:type="dxa"/>
            <w:gridSpan w:val="3"/>
            <w:shd w:val="clear" w:color="auto" w:fill="F2F2F2" w:themeFill="background1" w:themeFillShade="F2"/>
          </w:tcPr>
          <w:p w14:paraId="0018D464" w14:textId="77777777" w:rsidR="00CB78FF" w:rsidRDefault="00CB78FF" w:rsidP="002B61DA">
            <w:pPr>
              <w:spacing w:after="0"/>
            </w:pPr>
            <w:r w:rsidRPr="002C56B0">
              <w:rPr>
                <w:b/>
                <w:bCs/>
              </w:rPr>
              <w:t>Productivity costs</w:t>
            </w:r>
            <w:r>
              <w:rPr>
                <w:b/>
                <w:bCs/>
              </w:rPr>
              <w:t xml:space="preserve"> and costs of informal care</w:t>
            </w:r>
          </w:p>
        </w:tc>
      </w:tr>
      <w:tr w:rsidR="00CB78FF" w14:paraId="39305408" w14:textId="77777777" w:rsidTr="00064BF3">
        <w:trPr>
          <w:gridAfter w:val="1"/>
          <w:wAfter w:w="8" w:type="dxa"/>
          <w:trHeight w:val="500"/>
        </w:trPr>
        <w:tc>
          <w:tcPr>
            <w:tcW w:w="1985" w:type="dxa"/>
          </w:tcPr>
          <w:p w14:paraId="21DB12AB" w14:textId="77777777" w:rsidR="00CB78FF" w:rsidRDefault="00CB78FF" w:rsidP="002B61DA">
            <w:pPr>
              <w:spacing w:after="0"/>
            </w:pPr>
            <w:r>
              <w:t xml:space="preserve">Labour force characteristics </w:t>
            </w:r>
          </w:p>
        </w:tc>
        <w:tc>
          <w:tcPr>
            <w:tcW w:w="3544" w:type="dxa"/>
          </w:tcPr>
          <w:p w14:paraId="7735987C" w14:textId="607D938A" w:rsidR="00CB78FF" w:rsidRDefault="00D022F5" w:rsidP="002B61DA">
            <w:pPr>
              <w:spacing w:after="0"/>
            </w:pPr>
            <w:r>
              <w:t>Age dependant</w:t>
            </w:r>
          </w:p>
        </w:tc>
        <w:tc>
          <w:tcPr>
            <w:tcW w:w="3508" w:type="dxa"/>
          </w:tcPr>
          <w:p w14:paraId="5E27D557" w14:textId="74C81A05" w:rsidR="00CB78FF" w:rsidRDefault="00CB78FF" w:rsidP="002B61DA">
            <w:pPr>
              <w:spacing w:after="0"/>
            </w:pPr>
            <w:r>
              <w:t>ABS</w:t>
            </w:r>
            <w:r w:rsidR="00EA4A83">
              <w:rPr>
                <w:rStyle w:val="EndnoteReference"/>
              </w:rPr>
              <w:endnoteReference w:id="129"/>
            </w:r>
          </w:p>
        </w:tc>
      </w:tr>
      <w:tr w:rsidR="00CB78FF" w14:paraId="67C178C3" w14:textId="77777777" w:rsidTr="00064BF3">
        <w:trPr>
          <w:gridAfter w:val="1"/>
          <w:wAfter w:w="8" w:type="dxa"/>
          <w:trHeight w:val="500"/>
        </w:trPr>
        <w:tc>
          <w:tcPr>
            <w:tcW w:w="1985" w:type="dxa"/>
          </w:tcPr>
          <w:p w14:paraId="0E148031" w14:textId="4111923E" w:rsidR="00CB78FF" w:rsidRDefault="00CB78FF" w:rsidP="002B61DA">
            <w:pPr>
              <w:spacing w:after="0"/>
            </w:pPr>
            <w:r>
              <w:lastRenderedPageBreak/>
              <w:t>Median income</w:t>
            </w:r>
            <w:r w:rsidR="008B26AD">
              <w:t xml:space="preserve"> post-tax</w:t>
            </w:r>
            <w:r w:rsidR="00616DD6">
              <w:t>,</w:t>
            </w:r>
            <w:r>
              <w:t xml:space="preserve"> by age</w:t>
            </w:r>
          </w:p>
        </w:tc>
        <w:tc>
          <w:tcPr>
            <w:tcW w:w="3544" w:type="dxa"/>
          </w:tcPr>
          <w:p w14:paraId="3CC010F6" w14:textId="5B984140" w:rsidR="003B04B7" w:rsidRDefault="003B04B7">
            <w:pPr>
              <w:spacing w:after="0"/>
            </w:pPr>
            <w:r>
              <w:t>44 to 44: $44,724</w:t>
            </w:r>
          </w:p>
          <w:p w14:paraId="43867DA4" w14:textId="708F1907" w:rsidR="00CB78FF" w:rsidRDefault="00CB78FF" w:rsidP="002B61DA">
            <w:pPr>
              <w:spacing w:after="0"/>
            </w:pPr>
            <w:r>
              <w:t>45 to 49: $</w:t>
            </w:r>
            <w:r w:rsidR="00892C09">
              <w:t>44,169</w:t>
            </w:r>
          </w:p>
          <w:p w14:paraId="198ECC01" w14:textId="15A94518" w:rsidR="00CB78FF" w:rsidRDefault="00CB78FF" w:rsidP="002B61DA">
            <w:pPr>
              <w:spacing w:after="0"/>
            </w:pPr>
            <w:r>
              <w:t>50 to 54 years: $</w:t>
            </w:r>
            <w:r w:rsidR="00892C09">
              <w:t>43,298</w:t>
            </w:r>
          </w:p>
          <w:p w14:paraId="16350A86" w14:textId="19CC7759" w:rsidR="00CB78FF" w:rsidRDefault="00CB78FF" w:rsidP="002B61DA">
            <w:pPr>
              <w:spacing w:after="0"/>
            </w:pPr>
            <w:r>
              <w:t>55 to 59 years: $</w:t>
            </w:r>
            <w:r w:rsidR="00892C09">
              <w:t>35,447</w:t>
            </w:r>
          </w:p>
          <w:p w14:paraId="73365625" w14:textId="540B4BB3" w:rsidR="00CB78FF" w:rsidRDefault="00CB78FF" w:rsidP="002B61DA">
            <w:pPr>
              <w:spacing w:after="0"/>
            </w:pPr>
            <w:r>
              <w:t>60 to 64 years: $</w:t>
            </w:r>
            <w:r w:rsidR="00BD31A1">
              <w:t>24,994</w:t>
            </w:r>
          </w:p>
          <w:p w14:paraId="3C7865F6" w14:textId="77777777" w:rsidR="00475351" w:rsidRDefault="00475351" w:rsidP="002B61DA">
            <w:pPr>
              <w:spacing w:after="0"/>
            </w:pPr>
            <w:r>
              <w:t>6</w:t>
            </w:r>
            <w:r w:rsidR="00BD31A1">
              <w:t>5</w:t>
            </w:r>
            <w:r>
              <w:t xml:space="preserve"> to 6</w:t>
            </w:r>
            <w:r w:rsidR="00BD31A1">
              <w:t>9</w:t>
            </w:r>
            <w:r>
              <w:t xml:space="preserve"> years: $</w:t>
            </w:r>
            <w:r w:rsidR="00BD31A1">
              <w:t>5,812</w:t>
            </w:r>
          </w:p>
          <w:p w14:paraId="0BE16716" w14:textId="54D55367" w:rsidR="00CB78FF" w:rsidRDefault="0014022F" w:rsidP="002B61DA">
            <w:pPr>
              <w:spacing w:after="0"/>
            </w:pPr>
            <w:r>
              <w:t>70</w:t>
            </w:r>
            <w:r w:rsidR="00BD31A1">
              <w:t xml:space="preserve"> to </w:t>
            </w:r>
            <w:r>
              <w:t>79</w:t>
            </w:r>
            <w:r w:rsidR="00BD31A1">
              <w:t xml:space="preserve"> years: $</w:t>
            </w:r>
            <w:r>
              <w:t>2,906</w:t>
            </w:r>
          </w:p>
        </w:tc>
        <w:tc>
          <w:tcPr>
            <w:tcW w:w="3508" w:type="dxa"/>
          </w:tcPr>
          <w:p w14:paraId="4C59EA0A" w14:textId="3B9B3730" w:rsidR="00CB78FF" w:rsidRDefault="00CB78FF" w:rsidP="002B61DA">
            <w:pPr>
              <w:spacing w:after="0"/>
            </w:pPr>
            <w:r>
              <w:t>ABS</w:t>
            </w:r>
            <w:r w:rsidR="007D2E6F">
              <w:rPr>
                <w:rStyle w:val="EndnoteReference"/>
              </w:rPr>
              <w:endnoteReference w:id="130"/>
            </w:r>
          </w:p>
          <w:p w14:paraId="6121FA75" w14:textId="77777777" w:rsidR="00D809E7" w:rsidRDefault="00D809E7" w:rsidP="002B61DA">
            <w:pPr>
              <w:spacing w:after="0"/>
            </w:pPr>
          </w:p>
          <w:p w14:paraId="613C7781" w14:textId="0598B12E" w:rsidR="00CB78FF" w:rsidRDefault="00D809E7" w:rsidP="002B61DA">
            <w:pPr>
              <w:spacing w:after="0"/>
            </w:pPr>
            <w:r>
              <w:t xml:space="preserve">Income estimates are post-tax estimates. A flat 20% tax rate was used. </w:t>
            </w:r>
          </w:p>
        </w:tc>
      </w:tr>
      <w:tr w:rsidR="00CB78FF" w14:paraId="59AD88D7" w14:textId="77777777" w:rsidTr="00064BF3">
        <w:trPr>
          <w:gridAfter w:val="1"/>
          <w:wAfter w:w="8" w:type="dxa"/>
          <w:trHeight w:val="500"/>
        </w:trPr>
        <w:tc>
          <w:tcPr>
            <w:tcW w:w="1985" w:type="dxa"/>
          </w:tcPr>
          <w:p w14:paraId="0442B612" w14:textId="77777777" w:rsidR="00CB78FF" w:rsidRDefault="00CB78FF" w:rsidP="002B61DA">
            <w:pPr>
              <w:spacing w:after="0"/>
            </w:pPr>
            <w:r>
              <w:t>Costs of informal care</w:t>
            </w:r>
          </w:p>
        </w:tc>
        <w:tc>
          <w:tcPr>
            <w:tcW w:w="3544" w:type="dxa"/>
          </w:tcPr>
          <w:p w14:paraId="0E4F933B" w14:textId="77777777" w:rsidR="00CB78FF" w:rsidRDefault="00CB78FF" w:rsidP="002B61DA">
            <w:pPr>
              <w:spacing w:after="0"/>
            </w:pPr>
            <w:r>
              <w:t>Costed using the human capital method</w:t>
            </w:r>
          </w:p>
          <w:p w14:paraId="1DCFE4E0" w14:textId="77777777" w:rsidR="00CB78FF" w:rsidRDefault="00CB78FF" w:rsidP="002B61DA">
            <w:pPr>
              <w:spacing w:after="0"/>
            </w:pPr>
            <w:r>
              <w:t>Age and stage dependent</w:t>
            </w:r>
          </w:p>
        </w:tc>
        <w:tc>
          <w:tcPr>
            <w:tcW w:w="3508" w:type="dxa"/>
          </w:tcPr>
          <w:p w14:paraId="4B8C1FD2" w14:textId="5A520E41" w:rsidR="00CB78FF" w:rsidRDefault="00CB78FF" w:rsidP="002B61DA">
            <w:pPr>
              <w:spacing w:after="0"/>
            </w:pPr>
            <w:r>
              <w:t>AB</w:t>
            </w:r>
            <w:r w:rsidR="00495A91">
              <w:t>S</w:t>
            </w:r>
            <w:r w:rsidR="008A4D49">
              <w:rPr>
                <w:rStyle w:val="EndnoteReference"/>
              </w:rPr>
              <w:endnoteReference w:id="131"/>
            </w:r>
            <w:r w:rsidR="00307717" w:rsidRPr="00307717">
              <w:rPr>
                <w:vertAlign w:val="superscript"/>
              </w:rPr>
              <w:t>,</w:t>
            </w:r>
            <w:r w:rsidR="004B5086">
              <w:rPr>
                <w:rStyle w:val="EndnoteReference"/>
              </w:rPr>
              <w:endnoteReference w:id="132"/>
            </w:r>
            <w:r>
              <w:t xml:space="preserve"> </w:t>
            </w:r>
          </w:p>
        </w:tc>
      </w:tr>
      <w:tr w:rsidR="00CB78FF" w14:paraId="3BA43CFF" w14:textId="77777777" w:rsidTr="00064BF3">
        <w:trPr>
          <w:gridAfter w:val="1"/>
          <w:wAfter w:w="8" w:type="dxa"/>
          <w:trHeight w:val="500"/>
        </w:trPr>
        <w:tc>
          <w:tcPr>
            <w:tcW w:w="1985" w:type="dxa"/>
          </w:tcPr>
          <w:p w14:paraId="716779DE" w14:textId="77777777" w:rsidR="00CB78FF" w:rsidRDefault="00CB78FF" w:rsidP="002B61DA">
            <w:pPr>
              <w:spacing w:after="0"/>
            </w:pPr>
            <w:r>
              <w:t>Costs of loss of employment</w:t>
            </w:r>
          </w:p>
        </w:tc>
        <w:tc>
          <w:tcPr>
            <w:tcW w:w="3544" w:type="dxa"/>
          </w:tcPr>
          <w:p w14:paraId="29BB2AB8" w14:textId="77777777" w:rsidR="00CB78FF" w:rsidRDefault="00CB78FF" w:rsidP="002B61DA">
            <w:pPr>
              <w:spacing w:after="0"/>
            </w:pPr>
            <w:r>
              <w:t>Age and stage dependent</w:t>
            </w:r>
          </w:p>
        </w:tc>
        <w:tc>
          <w:tcPr>
            <w:tcW w:w="3508" w:type="dxa"/>
          </w:tcPr>
          <w:p w14:paraId="0C628C12" w14:textId="18F9BBB1" w:rsidR="00CB78FF" w:rsidRDefault="007D2E6F" w:rsidP="002B61DA">
            <w:pPr>
              <w:spacing w:after="0"/>
            </w:pPr>
            <w:r>
              <w:t>ABS</w:t>
            </w:r>
            <w:r>
              <w:rPr>
                <w:rStyle w:val="EndnoteReference"/>
              </w:rPr>
              <w:endnoteReference w:id="133"/>
            </w:r>
            <w:r w:rsidRPr="00307717">
              <w:rPr>
                <w:vertAlign w:val="superscript"/>
              </w:rPr>
              <w:t>,</w:t>
            </w:r>
            <w:r>
              <w:rPr>
                <w:rStyle w:val="EndnoteReference"/>
              </w:rPr>
              <w:endnoteReference w:id="134"/>
            </w:r>
          </w:p>
        </w:tc>
      </w:tr>
    </w:tbl>
    <w:p w14:paraId="171F847D" w14:textId="77777777" w:rsidR="00CB78FF" w:rsidRDefault="00CB78FF" w:rsidP="00CB78FF">
      <w:pPr>
        <w:pStyle w:val="Appendixhead2"/>
      </w:pPr>
      <w:r>
        <w:t>Methodology used to estimate costs of lost productivity and informal care</w:t>
      </w:r>
    </w:p>
    <w:p w14:paraId="2F2A6CC7" w14:textId="7D6E0EBC" w:rsidR="00CB78FF" w:rsidRDefault="00E82368" w:rsidP="00CB78FF">
      <w:pPr>
        <w:rPr>
          <w:lang w:eastAsia="en-AU"/>
        </w:rPr>
      </w:pPr>
      <w:r>
        <w:rPr>
          <w:lang w:eastAsia="en-AU"/>
        </w:rPr>
        <w:t>To perform the modelling from a societal perspective, this</w:t>
      </w:r>
      <w:r w:rsidR="00CB78FF">
        <w:rPr>
          <w:lang w:eastAsia="en-AU"/>
        </w:rPr>
        <w:t xml:space="preserve"> study estimates three types of productivity costs associated with cancer treatment and premature death from cancer, including:</w:t>
      </w:r>
    </w:p>
    <w:p w14:paraId="099BDF12" w14:textId="1B3CDD46" w:rsidR="00CB78FF" w:rsidRPr="00D14DEB" w:rsidRDefault="00916DDF" w:rsidP="00875A2F">
      <w:pPr>
        <w:pStyle w:val="ListBullet"/>
      </w:pPr>
      <w:r>
        <w:t>lo</w:t>
      </w:r>
      <w:r w:rsidR="00CB78FF">
        <w:t>ss of income associated with premature death</w:t>
      </w:r>
    </w:p>
    <w:p w14:paraId="3BC961AC" w14:textId="2A8567F8" w:rsidR="00CB78FF" w:rsidRPr="00D14DEB" w:rsidRDefault="00916DDF" w:rsidP="00875A2F">
      <w:pPr>
        <w:pStyle w:val="ListBullet"/>
      </w:pPr>
      <w:r>
        <w:t>l</w:t>
      </w:r>
      <w:r w:rsidR="00CB78FF">
        <w:t xml:space="preserve">oss of income associated with change in employment status due to </w:t>
      </w:r>
      <w:r w:rsidR="00064A13">
        <w:t xml:space="preserve">a </w:t>
      </w:r>
      <w:r w:rsidR="00CB78FF">
        <w:t xml:space="preserve">cancer </w:t>
      </w:r>
      <w:r w:rsidR="00064A13">
        <w:t>diagnosis</w:t>
      </w:r>
    </w:p>
    <w:p w14:paraId="37B4DCCD" w14:textId="581738EF" w:rsidR="00CB78FF" w:rsidRPr="00EB2481" w:rsidRDefault="00CB78FF" w:rsidP="00875A2F">
      <w:pPr>
        <w:pStyle w:val="ListBullet"/>
      </w:pPr>
      <w:r>
        <w:t xml:space="preserve">the economic cost of informal care for those </w:t>
      </w:r>
      <w:r w:rsidR="00064A13">
        <w:t>with a cancer diagnosis</w:t>
      </w:r>
      <w:r w:rsidRPr="00D14DEB">
        <w:t>.</w:t>
      </w:r>
    </w:p>
    <w:p w14:paraId="30876BBB" w14:textId="1483ABC5" w:rsidR="00CB78FF" w:rsidRPr="00E72BF3" w:rsidRDefault="00CB78FF" w:rsidP="00CB78FF">
      <w:pPr>
        <w:spacing w:before="240"/>
        <w:rPr>
          <w:lang w:eastAsia="en-AU"/>
        </w:rPr>
      </w:pPr>
      <w:r>
        <w:rPr>
          <w:lang w:eastAsia="en-AU"/>
        </w:rPr>
        <w:t xml:space="preserve">Data </w:t>
      </w:r>
      <w:r w:rsidR="00875A2F">
        <w:rPr>
          <w:lang w:eastAsia="en-AU"/>
        </w:rPr>
        <w:t xml:space="preserve">sources </w:t>
      </w:r>
      <w:r w:rsidR="007A725E">
        <w:rPr>
          <w:lang w:eastAsia="en-AU"/>
        </w:rPr>
        <w:t>include</w:t>
      </w:r>
      <w:r w:rsidR="00381319">
        <w:rPr>
          <w:lang w:eastAsia="en-AU"/>
        </w:rPr>
        <w:t>d</w:t>
      </w:r>
      <w:r w:rsidR="00875A2F">
        <w:rPr>
          <w:lang w:eastAsia="en-AU"/>
        </w:rPr>
        <w:t xml:space="preserve"> </w:t>
      </w:r>
      <w:r w:rsidR="00ED0292">
        <w:rPr>
          <w:lang w:eastAsia="en-AU"/>
        </w:rPr>
        <w:t xml:space="preserve">the </w:t>
      </w:r>
      <w:r>
        <w:rPr>
          <w:lang w:eastAsia="en-AU"/>
        </w:rPr>
        <w:t>ABS</w:t>
      </w:r>
      <w:r w:rsidR="00916DDF">
        <w:rPr>
          <w:lang w:eastAsia="en-AU"/>
        </w:rPr>
        <w:t>’</w:t>
      </w:r>
      <w:r>
        <w:rPr>
          <w:lang w:eastAsia="en-AU"/>
        </w:rPr>
        <w:t xml:space="preserve"> income and labour force data and the Survey of Disability, Ageing and Carers </w:t>
      </w:r>
      <w:r w:rsidR="0083746A">
        <w:rPr>
          <w:lang w:eastAsia="en-AU"/>
        </w:rPr>
        <w:t>(SDAC)</w:t>
      </w:r>
      <w:r w:rsidR="00CB6990">
        <w:rPr>
          <w:lang w:eastAsia="en-AU"/>
        </w:rPr>
        <w:t xml:space="preserve"> microdata</w:t>
      </w:r>
      <w:r>
        <w:rPr>
          <w:lang w:eastAsia="en-AU"/>
        </w:rPr>
        <w:t xml:space="preserve">. </w:t>
      </w:r>
    </w:p>
    <w:p w14:paraId="65D8B509" w14:textId="77777777" w:rsidR="00CB78FF" w:rsidRPr="006807D9" w:rsidRDefault="00CB78FF" w:rsidP="00EA7630">
      <w:pPr>
        <w:pStyle w:val="Appendixhead3"/>
      </w:pPr>
      <w:r w:rsidRPr="006807D9">
        <w:t>Loss of productivity associated with premature death</w:t>
      </w:r>
    </w:p>
    <w:p w14:paraId="77A4C783" w14:textId="5A04AA6D" w:rsidR="00CB78FF" w:rsidRDefault="00CB78FF" w:rsidP="00403C6F">
      <w:pPr>
        <w:rPr>
          <w:color w:val="75787B" w:themeColor="accent6"/>
          <w:sz w:val="14"/>
          <w:szCs w:val="14"/>
        </w:rPr>
      </w:pPr>
      <w:r>
        <w:t>Death due to bowel cancer prior to retirement causes a loss of economic productivity associated with a person’s forgone labour contribution to the economy</w:t>
      </w:r>
      <w:r w:rsidRPr="00173B72">
        <w:t>.</w:t>
      </w:r>
      <w:r>
        <w:t xml:space="preserve"> The annual loss of income due to premature death </w:t>
      </w:r>
      <w:r w:rsidR="00A77088">
        <w:t>was</w:t>
      </w:r>
      <w:r>
        <w:t xml:space="preserve"> calculated by estimating income earn</w:t>
      </w:r>
      <w:r w:rsidR="00A77088">
        <w:t>ed</w:t>
      </w:r>
      <w:r>
        <w:t xml:space="preserve"> per person per annum during their working life, using ABS income statistics. </w:t>
      </w:r>
      <w:r w:rsidR="00EE58AB">
        <w:t xml:space="preserve">The chance of being employed is accounted </w:t>
      </w:r>
      <w:r>
        <w:t xml:space="preserve">for by taking </w:t>
      </w:r>
      <w:r w:rsidR="00BB77FD">
        <w:t>age-dependant</w:t>
      </w:r>
      <w:r>
        <w:t xml:space="preserve"> unemployment and labour force participation rate</w:t>
      </w:r>
      <w:r w:rsidR="00EE58AB">
        <w:t>s</w:t>
      </w:r>
      <w:r>
        <w:t xml:space="preserve"> from ABS detailed labour force</w:t>
      </w:r>
      <w:r w:rsidR="00127CB2">
        <w:t xml:space="preserve"> statistics</w:t>
      </w:r>
      <w:r>
        <w:t xml:space="preserve">. </w:t>
      </w:r>
    </w:p>
    <w:p w14:paraId="5D5103D6" w14:textId="77777777" w:rsidR="00CB78FF" w:rsidRPr="006807D9" w:rsidRDefault="00CB78FF" w:rsidP="00EA7630">
      <w:pPr>
        <w:pStyle w:val="Appendixhead3"/>
      </w:pPr>
      <w:r w:rsidRPr="006807D9">
        <w:t xml:space="preserve">Loss of productivity due to change in employment status </w:t>
      </w:r>
    </w:p>
    <w:p w14:paraId="080D1FE2" w14:textId="1A61513A" w:rsidR="00CB78FF" w:rsidRDefault="00CB78FF" w:rsidP="00CB78FF">
      <w:r>
        <w:t xml:space="preserve">A cancer diagnosis also impacts a person’s ability to participate in the workforce. This may be due to increased sick-leave and absenteeism to receive treatment, the need for people to take a longer leave of absence, or </w:t>
      </w:r>
      <w:r w:rsidR="006D0B85">
        <w:t xml:space="preserve">to </w:t>
      </w:r>
      <w:r>
        <w:t>retire prematurely</w:t>
      </w:r>
      <w:r w:rsidR="006D0B85">
        <w:t xml:space="preserve"> </w:t>
      </w:r>
      <w:r>
        <w:t xml:space="preserve">due to the debilitating nature of their condition. </w:t>
      </w:r>
    </w:p>
    <w:p w14:paraId="06AA501D" w14:textId="74289552" w:rsidR="00CB78FF" w:rsidRDefault="00CB78FF" w:rsidP="00CB78FF">
      <w:r>
        <w:t xml:space="preserve">The impact of a cancer diagnosis on participation in the workforce </w:t>
      </w:r>
      <w:r w:rsidR="0073228C">
        <w:t>was</w:t>
      </w:r>
      <w:r>
        <w:t xml:space="preserve"> estimated using the ABS’ SDAC. This dataset allows for analysis of the employment status of people with and without cancer. Due to the small sample size of people with bowel cancer at the time of the survey, people with either breast, bowel or prostate cancer </w:t>
      </w:r>
      <w:r w:rsidR="0073228C">
        <w:t>were</w:t>
      </w:r>
      <w:r>
        <w:t xml:space="preserve"> considered in th</w:t>
      </w:r>
      <w:r w:rsidR="006976BB">
        <w:t>e</w:t>
      </w:r>
      <w:r>
        <w:t xml:space="preserve"> analysis. </w:t>
      </w:r>
      <w:r w:rsidR="000158B3">
        <w:t>T</w:t>
      </w:r>
      <w:r>
        <w:t>he impact of cancer on presenteeism</w:t>
      </w:r>
      <w:r w:rsidR="000158B3">
        <w:t xml:space="preserve"> (</w:t>
      </w:r>
      <w:proofErr w:type="gramStart"/>
      <w:r w:rsidR="000158B3">
        <w:t>i.e.</w:t>
      </w:r>
      <w:proofErr w:type="gramEnd"/>
      <w:r>
        <w:t xml:space="preserve"> where a person continues to work but is less productive due to their condition</w:t>
      </w:r>
      <w:r w:rsidR="000158B3">
        <w:t>) was</w:t>
      </w:r>
      <w:r>
        <w:t xml:space="preserve"> not estimated in this analysis</w:t>
      </w:r>
      <w:r w:rsidR="000158B3">
        <w:t xml:space="preserve"> due to absence of reliable data.</w:t>
      </w:r>
      <w:r>
        <w:t xml:space="preserve"> </w:t>
      </w:r>
    </w:p>
    <w:p w14:paraId="23C64E9F" w14:textId="1D8978FF" w:rsidR="00CB78FF" w:rsidRDefault="00CB78FF" w:rsidP="00CB78FF">
      <w:pPr>
        <w:spacing w:before="240"/>
      </w:pPr>
      <w:r>
        <w:t xml:space="preserve">The estimated impact of cancer on a person’s work-status </w:t>
      </w:r>
      <w:r w:rsidR="00A1383C">
        <w:t>was</w:t>
      </w:r>
      <w:r>
        <w:t xml:space="preserve"> estimated from a direct comparison of the work status of people with cancer</w:t>
      </w:r>
      <w:r w:rsidR="00A1383C">
        <w:t xml:space="preserve"> (</w:t>
      </w:r>
      <w:r>
        <w:t>by stage of cancer</w:t>
      </w:r>
      <w:r w:rsidR="00A1383C">
        <w:t>)</w:t>
      </w:r>
      <w:r>
        <w:t xml:space="preserve"> and those without cancer. The impact of cancer on employment status by stage of cancer </w:t>
      </w:r>
      <w:r w:rsidR="00324395">
        <w:t>was</w:t>
      </w:r>
      <w:r>
        <w:t xml:space="preserve"> </w:t>
      </w:r>
      <w:r w:rsidR="00324395">
        <w:t xml:space="preserve">drawn from the </w:t>
      </w:r>
      <w:r>
        <w:t xml:space="preserve">SDAC. While the SDAC does not </w:t>
      </w:r>
      <w:r w:rsidR="005E2791">
        <w:t>identify</w:t>
      </w:r>
      <w:r w:rsidR="00B353E8">
        <w:t xml:space="preserve"> a person’s</w:t>
      </w:r>
      <w:r>
        <w:t xml:space="preserve"> stage of cancer, the survey does ask questions regarding the impact of the condition on their general mobility. This study categorise</w:t>
      </w:r>
      <w:r w:rsidR="00B353E8">
        <w:t>d</w:t>
      </w:r>
      <w:r>
        <w:t xml:space="preserve"> each stage of cancer by their</w:t>
      </w:r>
      <w:r w:rsidR="00A77F8F">
        <w:t xml:space="preserve"> level of</w:t>
      </w:r>
      <w:r>
        <w:t xml:space="preserve"> general mobility, assuming that each cancer stage is associated with decreased mobility. </w:t>
      </w:r>
      <w:bookmarkStart w:id="216" w:name="_Hlk67598580"/>
      <w:r>
        <w:t xml:space="preserve">Further, costs to </w:t>
      </w:r>
      <w:r>
        <w:lastRenderedPageBreak/>
        <w:t xml:space="preserve">employment </w:t>
      </w:r>
      <w:r w:rsidR="008B542F">
        <w:t>were</w:t>
      </w:r>
      <w:r>
        <w:t xml:space="preserve"> assumed to occur in the </w:t>
      </w:r>
      <w:proofErr w:type="gramStart"/>
      <w:r>
        <w:t>first year</w:t>
      </w:r>
      <w:proofErr w:type="gramEnd"/>
      <w:r>
        <w:t xml:space="preserve"> post-diagnosis and reduce linearly over the next </w:t>
      </w:r>
      <w:r w:rsidR="008B542F">
        <w:t>four</w:t>
      </w:r>
      <w:r w:rsidR="00671845">
        <w:t xml:space="preserve"> </w:t>
      </w:r>
      <w:r>
        <w:t xml:space="preserve">years </w:t>
      </w:r>
      <w:bookmarkEnd w:id="216"/>
      <w:r w:rsidR="008B542F">
        <w:t>before re</w:t>
      </w:r>
      <w:r w:rsidR="00671845">
        <w:t>turning to</w:t>
      </w:r>
      <w:r w:rsidR="008B542F">
        <w:t xml:space="preserve"> </w:t>
      </w:r>
      <w:r w:rsidR="00671845">
        <w:t>general population</w:t>
      </w:r>
      <w:r w:rsidR="008B542F">
        <w:t xml:space="preserve"> levels</w:t>
      </w:r>
      <w:r>
        <w:t xml:space="preserve">. </w:t>
      </w:r>
    </w:p>
    <w:p w14:paraId="17242756" w14:textId="0D3650EF" w:rsidR="00A77058" w:rsidRDefault="00A77058" w:rsidP="00A77058">
      <w:pPr>
        <w:spacing w:before="240"/>
      </w:pPr>
      <w:r>
        <w:t xml:space="preserve">Overall, it was estimated that cancer reduced the probability that someone aged between </w:t>
      </w:r>
      <w:r w:rsidR="00FE6F99">
        <w:t xml:space="preserve">age </w:t>
      </w:r>
      <w:r>
        <w:t xml:space="preserve">45 to </w:t>
      </w:r>
      <w:r w:rsidR="001D1F60">
        <w:t>74</w:t>
      </w:r>
      <w:r>
        <w:t xml:space="preserve"> years would be employed, in any capacity</w:t>
      </w:r>
      <w:r w:rsidR="00C170B1">
        <w:t xml:space="preserve">. Specifically, </w:t>
      </w:r>
      <w:r w:rsidR="003B2E57">
        <w:t xml:space="preserve">the probability that someone </w:t>
      </w:r>
      <w:r w:rsidR="00C170B1">
        <w:t xml:space="preserve">aged between 45 and 55 years </w:t>
      </w:r>
      <w:r w:rsidR="00DD2234">
        <w:t xml:space="preserve">with cancer </w:t>
      </w:r>
      <w:r w:rsidR="00A97586">
        <w:t>was employed was</w:t>
      </w:r>
      <w:r w:rsidR="00AE6B79">
        <w:t xml:space="preserve"> approximately </w:t>
      </w:r>
      <w:r w:rsidR="006D0E07">
        <w:t>45%</w:t>
      </w:r>
      <w:r w:rsidR="00086C5D">
        <w:t>, compared</w:t>
      </w:r>
      <w:r w:rsidR="006D0E07">
        <w:t xml:space="preserve"> to approximately </w:t>
      </w:r>
      <w:r w:rsidR="00086C5D">
        <w:t>80% for those that did not have cancer</w:t>
      </w:r>
      <w:r w:rsidR="006D0E07">
        <w:t>.</w:t>
      </w:r>
      <w:r w:rsidR="003E326B">
        <w:t xml:space="preserve"> Further, the probability that someone aged between </w:t>
      </w:r>
      <w:r w:rsidR="00956168">
        <w:t>55</w:t>
      </w:r>
      <w:r w:rsidR="003E326B">
        <w:t xml:space="preserve"> and </w:t>
      </w:r>
      <w:r w:rsidR="00956168">
        <w:t>65</w:t>
      </w:r>
      <w:r w:rsidR="003E326B">
        <w:t xml:space="preserve"> years </w:t>
      </w:r>
      <w:r w:rsidR="00DD2234">
        <w:t xml:space="preserve">with cancer was employed </w:t>
      </w:r>
      <w:r w:rsidR="003E326B">
        <w:t>was</w:t>
      </w:r>
      <w:r>
        <w:t xml:space="preserve"> approximately </w:t>
      </w:r>
      <w:r w:rsidR="00DD2234">
        <w:t>35</w:t>
      </w:r>
      <w:r w:rsidR="003E326B">
        <w:t xml:space="preserve">%, compared to approximately </w:t>
      </w:r>
      <w:r w:rsidR="00DD2234">
        <w:t>65</w:t>
      </w:r>
      <w:r w:rsidR="003E326B">
        <w:t>% for those that did not have cancer</w:t>
      </w:r>
      <w:r w:rsidR="00956168">
        <w:t>.</w:t>
      </w:r>
      <w:r>
        <w:t xml:space="preserve"> </w:t>
      </w:r>
      <w:r w:rsidR="00A23540">
        <w:t xml:space="preserve">This impact was </w:t>
      </w:r>
      <w:r w:rsidR="00E91A74">
        <w:t>monetised</w:t>
      </w:r>
      <w:r w:rsidR="00A23540">
        <w:t xml:space="preserve"> using ABS </w:t>
      </w:r>
      <w:r w:rsidR="00E91A74">
        <w:t>age-sex wage statistics</w:t>
      </w:r>
      <w:r w:rsidR="004303EE">
        <w:t>, less taxable income</w:t>
      </w:r>
      <w:r w:rsidR="00E91A74">
        <w:t xml:space="preserve">. </w:t>
      </w:r>
    </w:p>
    <w:p w14:paraId="6E51BA59" w14:textId="77777777" w:rsidR="00CB78FF" w:rsidRPr="006807D9" w:rsidRDefault="00CB78FF" w:rsidP="00FC433A">
      <w:pPr>
        <w:pStyle w:val="Appendixhead3"/>
      </w:pPr>
      <w:r w:rsidRPr="006807D9">
        <w:t>Informal carer productivity losses</w:t>
      </w:r>
    </w:p>
    <w:p w14:paraId="6E544A8E" w14:textId="5E7A4542" w:rsidR="00CB78FF" w:rsidRPr="00173B72" w:rsidRDefault="00CB78FF" w:rsidP="00CB78FF">
      <w:r w:rsidRPr="00173B72">
        <w:t>Carers are people who provide informal care to others in need of assistance or support. For example, carers may take time off work to accompany people with cancer to medical appointments, stay with them in hospital, or care for them at home. While informal care is provided free of charge, it is not free in an economic sense, as time spent caring is time that cannot be directed to other activities such as paid work, unpaid work or leisure. As such, informal care is a use of economic resources.</w:t>
      </w:r>
    </w:p>
    <w:p w14:paraId="2BD584D7" w14:textId="24F88C5C" w:rsidR="007E0904" w:rsidRDefault="00CB78FF" w:rsidP="007E0904">
      <w:r w:rsidRPr="003A60BA">
        <w:t xml:space="preserve">SDAC provides the most recent and comprehensive profile of Australians with cancer and the people who provide them with assistance and support. </w:t>
      </w:r>
      <w:r w:rsidR="00A3389D">
        <w:t>Only a</w:t>
      </w:r>
      <w:r>
        <w:t xml:space="preserve"> </w:t>
      </w:r>
      <w:r w:rsidR="00B54EFD">
        <w:t xml:space="preserve">proportion of </w:t>
      </w:r>
      <w:r w:rsidR="00993E42">
        <w:t>cancer patients</w:t>
      </w:r>
      <w:r w:rsidR="00B54EFD">
        <w:t xml:space="preserve"> </w:t>
      </w:r>
      <w:r w:rsidR="00A3389D">
        <w:t>were identified to require</w:t>
      </w:r>
      <w:r>
        <w:t xml:space="preserve"> informal care </w:t>
      </w:r>
      <w:r w:rsidR="00A3389D">
        <w:t xml:space="preserve">assistance </w:t>
      </w:r>
      <w:r>
        <w:t>due to cancer</w:t>
      </w:r>
      <w:r w:rsidR="00A3389D">
        <w:t>, which</w:t>
      </w:r>
      <w:r>
        <w:t xml:space="preserve"> </w:t>
      </w:r>
      <w:r w:rsidR="00AD59F3">
        <w:t xml:space="preserve">was estimated </w:t>
      </w:r>
      <w:r w:rsidR="005D1DD7">
        <w:t>from</w:t>
      </w:r>
      <w:r w:rsidR="00A3389D">
        <w:t xml:space="preserve"> the </w:t>
      </w:r>
      <w:r w:rsidR="005D1DD7">
        <w:t>proportion of people with cancer that required some informal care support</w:t>
      </w:r>
      <w:r w:rsidR="005F4D76">
        <w:t xml:space="preserve"> within the SDAC</w:t>
      </w:r>
      <w:r w:rsidR="005D1DD7">
        <w:t>. The number of hours of informal care</w:t>
      </w:r>
      <w:r w:rsidR="00AD59F3">
        <w:t xml:space="preserve"> </w:t>
      </w:r>
      <w:r w:rsidR="00F536A9">
        <w:t xml:space="preserve">provided to each person was estimated </w:t>
      </w:r>
      <w:r w:rsidR="00AD59F3">
        <w:t xml:space="preserve">from a direct comparison of the informal care hours </w:t>
      </w:r>
      <w:r w:rsidR="00993E42">
        <w:t>received by people</w:t>
      </w:r>
      <w:r w:rsidR="00AD59F3">
        <w:t xml:space="preserve"> with cancer (by stage of cancer) and those without cancer</w:t>
      </w:r>
      <w:r>
        <w:t xml:space="preserve">, to control for other possible conditions that may increase the need for informal care, such as age. </w:t>
      </w:r>
      <w:r w:rsidR="007222FB">
        <w:t xml:space="preserve">As above, this study categorised each stage of cancer by </w:t>
      </w:r>
      <w:r w:rsidR="0074205D">
        <w:t xml:space="preserve">the patient’s </w:t>
      </w:r>
      <w:r w:rsidR="007222FB">
        <w:t xml:space="preserve">level of general mobility, assuming that each cancer stage is associated with decreased mobility. Further, costs to employment were assumed to occur in the </w:t>
      </w:r>
      <w:r w:rsidR="001024A7">
        <w:t>first-year</w:t>
      </w:r>
      <w:r w:rsidR="007222FB">
        <w:t xml:space="preserve"> post-diagnosis and reduce linearly over the next four</w:t>
      </w:r>
      <w:r w:rsidR="00AB06F3">
        <w:t xml:space="preserve"> </w:t>
      </w:r>
      <w:r w:rsidR="007222FB">
        <w:t>years before</w:t>
      </w:r>
      <w:r w:rsidR="00143F79">
        <w:t xml:space="preserve"> returning to</w:t>
      </w:r>
      <w:r w:rsidR="007222FB">
        <w:t xml:space="preserve"> </w:t>
      </w:r>
      <w:r w:rsidR="00AB06F3">
        <w:t>general population levels</w:t>
      </w:r>
      <w:r w:rsidR="007222FB">
        <w:t>.</w:t>
      </w:r>
    </w:p>
    <w:p w14:paraId="4B27CEC8" w14:textId="0730FDC4" w:rsidR="002F465E" w:rsidRDefault="00CB78FF" w:rsidP="00EB7E2A">
      <w:r>
        <w:t xml:space="preserve">Overall, it </w:t>
      </w:r>
      <w:r w:rsidR="006E2A55">
        <w:t>was</w:t>
      </w:r>
      <w:r>
        <w:t xml:space="preserve"> estimated that a cancer diagnosis increases the need for informal care by approximately 4</w:t>
      </w:r>
      <w:r w:rsidR="001C1F74">
        <w:t>8</w:t>
      </w:r>
      <w:r w:rsidR="006E2A55">
        <w:t xml:space="preserve"> per cent</w:t>
      </w:r>
      <w:r>
        <w:t>.</w:t>
      </w:r>
      <w:r w:rsidR="003658B4">
        <w:t xml:space="preserve"> Th</w:t>
      </w:r>
      <w:r w:rsidR="00567CB4">
        <w:t>e</w:t>
      </w:r>
      <w:r w:rsidR="00E01845">
        <w:t xml:space="preserve"> value of informal care </w:t>
      </w:r>
      <w:r w:rsidR="003658B4">
        <w:t>w</w:t>
      </w:r>
      <w:r w:rsidR="004303EE">
        <w:t>as</w:t>
      </w:r>
      <w:r w:rsidR="003658B4">
        <w:t xml:space="preserve"> monetised using ABS age-sex wage statistics</w:t>
      </w:r>
      <w:r w:rsidR="00696E3D">
        <w:t>. The value of informal care was only costed at this rate for</w:t>
      </w:r>
      <w:r w:rsidR="00567CB4">
        <w:t xml:space="preserve"> </w:t>
      </w:r>
      <w:r w:rsidR="00062FD8">
        <w:t xml:space="preserve">a proportion of </w:t>
      </w:r>
      <w:r w:rsidR="009F3E55">
        <w:t>persons</w:t>
      </w:r>
      <w:r w:rsidR="00567CB4">
        <w:t>, after accounting for the age-dependant chance of being employed.</w:t>
      </w:r>
      <w:r w:rsidR="00716950">
        <w:t xml:space="preserve"> For others, the value of leisure</w:t>
      </w:r>
      <w:r w:rsidR="007A7789">
        <w:t xml:space="preserve"> time was used (</w:t>
      </w:r>
      <w:proofErr w:type="gramStart"/>
      <w:r w:rsidR="007A7789">
        <w:t>i</w:t>
      </w:r>
      <w:r w:rsidR="006F575C">
        <w:t>.</w:t>
      </w:r>
      <w:r w:rsidR="007A7789">
        <w:t>e.</w:t>
      </w:r>
      <w:proofErr w:type="gramEnd"/>
      <w:r w:rsidR="007A7789">
        <w:t xml:space="preserve"> one-third of the value of the average hourly work wage).</w:t>
      </w:r>
      <w:r w:rsidR="00627986">
        <w:rPr>
          <w:rStyle w:val="EndnoteReference"/>
        </w:rPr>
        <w:endnoteReference w:id="135"/>
      </w:r>
    </w:p>
    <w:p w14:paraId="5E623F1B" w14:textId="2A5DFDD0" w:rsidR="001F4A94" w:rsidRDefault="001F4A94" w:rsidP="001F4A94">
      <w:pPr>
        <w:pStyle w:val="Appendixhead2"/>
      </w:pPr>
      <w:r>
        <w:t>Sensitivity analysis</w:t>
      </w:r>
      <w:r w:rsidR="00BC3A3B">
        <w:t xml:space="preserve"> on discount rate</w:t>
      </w:r>
    </w:p>
    <w:p w14:paraId="7A1BD947" w14:textId="6EC44AE5" w:rsidR="001F4A94" w:rsidRDefault="007F67B3" w:rsidP="001F4A94">
      <w:pPr>
        <w:rPr>
          <w:lang w:eastAsia="en-AU"/>
        </w:rPr>
      </w:pPr>
      <w:r>
        <w:rPr>
          <w:lang w:eastAsia="en-AU"/>
        </w:rPr>
        <w:t xml:space="preserve">Sensitivity analysis was conducted to assess the robustness of the CEA results to variations in the discount rate. The results </w:t>
      </w:r>
      <w:r w:rsidR="00DF41D4">
        <w:rPr>
          <w:lang w:eastAsia="en-AU"/>
        </w:rPr>
        <w:t xml:space="preserve">of the analysis </w:t>
      </w:r>
      <w:r>
        <w:rPr>
          <w:lang w:eastAsia="en-AU"/>
        </w:rPr>
        <w:t xml:space="preserve">are presented below for </w:t>
      </w:r>
      <w:r w:rsidR="00DF41D4">
        <w:rPr>
          <w:lang w:eastAsia="en-AU"/>
        </w:rPr>
        <w:t xml:space="preserve">adjustments in the discount rate of between 0 and 10 per cent. </w:t>
      </w:r>
    </w:p>
    <w:p w14:paraId="06CE53BC" w14:textId="75408433" w:rsidR="00834062" w:rsidRPr="006807D9" w:rsidRDefault="00834062" w:rsidP="00834062">
      <w:pPr>
        <w:pStyle w:val="Appendixhead3"/>
      </w:pPr>
      <w:r>
        <w:t>Societal perspective</w:t>
      </w:r>
    </w:p>
    <w:p w14:paraId="6BBB2D86" w14:textId="34A25E10" w:rsidR="00834062" w:rsidRDefault="00923513" w:rsidP="00834062">
      <w:pPr>
        <w:rPr>
          <w:color w:val="000000" w:themeColor="text1"/>
        </w:rPr>
      </w:pPr>
      <w:r>
        <w:t xml:space="preserve">From the societal perspective, </w:t>
      </w:r>
      <w:r w:rsidR="00DF41D4">
        <w:t xml:space="preserve">all </w:t>
      </w:r>
      <w:r>
        <w:t>configurations of the Program remain cost-effective across</w:t>
      </w:r>
      <w:r w:rsidR="000B1B25">
        <w:t xml:space="preserve"> all variations of the discount rate, when compared to the </w:t>
      </w:r>
      <w:r w:rsidR="000B1B25" w:rsidRPr="00424E30">
        <w:rPr>
          <w:color w:val="000000" w:themeColor="text1"/>
        </w:rPr>
        <w:t>commonly used willingness-to-pay threshold of $50,000 per DALY averted</w:t>
      </w:r>
      <w:r w:rsidR="000B1B25">
        <w:rPr>
          <w:color w:val="000000" w:themeColor="text1"/>
        </w:rPr>
        <w:t xml:space="preserve"> (</w:t>
      </w:r>
      <w:r w:rsidR="0026759D">
        <w:rPr>
          <w:color w:val="000000" w:themeColor="text1"/>
        </w:rPr>
        <w:t>Table B.3.</w:t>
      </w:r>
      <w:r w:rsidR="000B1B25">
        <w:rPr>
          <w:color w:val="000000" w:themeColor="text1"/>
        </w:rPr>
        <w:t>)</w:t>
      </w:r>
      <w:r w:rsidR="000B1B25" w:rsidRPr="00424E30">
        <w:rPr>
          <w:color w:val="000000" w:themeColor="text1"/>
        </w:rPr>
        <w:t>.</w:t>
      </w:r>
      <w:r w:rsidR="00684B74">
        <w:rPr>
          <w:color w:val="000000" w:themeColor="text1"/>
        </w:rPr>
        <w:t xml:space="preserve"> </w:t>
      </w:r>
    </w:p>
    <w:p w14:paraId="46E58D48" w14:textId="2963F16C" w:rsidR="0026759D" w:rsidRDefault="00684B74" w:rsidP="00834062">
      <w:r>
        <w:rPr>
          <w:color w:val="000000" w:themeColor="text1"/>
        </w:rPr>
        <w:t xml:space="preserve">A commencement age of 45 to 74 years remains the most cost-effective configuration of </w:t>
      </w:r>
      <w:r w:rsidR="003D0EC8">
        <w:rPr>
          <w:color w:val="000000" w:themeColor="text1"/>
        </w:rPr>
        <w:t>the Program for all discount rates, except for a 10</w:t>
      </w:r>
      <w:r w:rsidR="00946D17">
        <w:rPr>
          <w:color w:val="000000" w:themeColor="text1"/>
        </w:rPr>
        <w:t xml:space="preserve"> per cent</w:t>
      </w:r>
      <w:r w:rsidR="003D0EC8">
        <w:rPr>
          <w:color w:val="000000" w:themeColor="text1"/>
        </w:rPr>
        <w:t xml:space="preserve"> discount rate. </w:t>
      </w:r>
      <w:r w:rsidR="00DF684D">
        <w:rPr>
          <w:color w:val="000000" w:themeColor="text1"/>
        </w:rPr>
        <w:t>At the 10</w:t>
      </w:r>
      <w:r w:rsidR="00946D17">
        <w:rPr>
          <w:color w:val="000000" w:themeColor="text1"/>
        </w:rPr>
        <w:t xml:space="preserve"> per cent</w:t>
      </w:r>
      <w:r w:rsidR="00DF684D">
        <w:rPr>
          <w:color w:val="000000" w:themeColor="text1"/>
        </w:rPr>
        <w:t xml:space="preserve"> discount rate, </w:t>
      </w:r>
      <w:r w:rsidR="00463E10">
        <w:rPr>
          <w:color w:val="000000" w:themeColor="text1"/>
        </w:rPr>
        <w:t xml:space="preserve">the Program with a commencement age of 50 to 74 years is the most cost-effective configuration. This is because additional benefits due to a </w:t>
      </w:r>
      <w:r w:rsidR="00656ABA">
        <w:rPr>
          <w:color w:val="000000" w:themeColor="text1"/>
        </w:rPr>
        <w:t>commencement age</w:t>
      </w:r>
      <w:r w:rsidR="00463E10">
        <w:rPr>
          <w:color w:val="000000" w:themeColor="text1"/>
        </w:rPr>
        <w:t xml:space="preserve"> tend to occur</w:t>
      </w:r>
      <w:r w:rsidR="00D94227">
        <w:rPr>
          <w:color w:val="000000" w:themeColor="text1"/>
        </w:rPr>
        <w:t xml:space="preserve"> further</w:t>
      </w:r>
      <w:r w:rsidR="00463E10">
        <w:rPr>
          <w:color w:val="000000" w:themeColor="text1"/>
        </w:rPr>
        <w:t xml:space="preserve"> </w:t>
      </w:r>
      <w:r w:rsidR="00D94227">
        <w:rPr>
          <w:color w:val="000000" w:themeColor="text1"/>
        </w:rPr>
        <w:t xml:space="preserve">in the future (such as increased life expectancy), while costs tend to occur </w:t>
      </w:r>
      <w:r w:rsidR="00BB30E6">
        <w:rPr>
          <w:color w:val="000000" w:themeColor="text1"/>
        </w:rPr>
        <w:t xml:space="preserve">in the present </w:t>
      </w:r>
      <w:r w:rsidR="00656ABA">
        <w:rPr>
          <w:color w:val="000000" w:themeColor="text1"/>
        </w:rPr>
        <w:t xml:space="preserve">or near future </w:t>
      </w:r>
      <w:r w:rsidR="00BB30E6">
        <w:rPr>
          <w:color w:val="000000" w:themeColor="text1"/>
        </w:rPr>
        <w:t xml:space="preserve">(associated with </w:t>
      </w:r>
      <w:r w:rsidR="00656ABA">
        <w:rPr>
          <w:color w:val="000000" w:themeColor="text1"/>
        </w:rPr>
        <w:t>greater program</w:t>
      </w:r>
      <w:r w:rsidR="00BB30E6">
        <w:rPr>
          <w:color w:val="000000" w:themeColor="text1"/>
        </w:rPr>
        <w:t xml:space="preserve"> screening </w:t>
      </w:r>
      <w:r w:rsidR="00656ABA">
        <w:rPr>
          <w:color w:val="000000" w:themeColor="text1"/>
        </w:rPr>
        <w:t>costs</w:t>
      </w:r>
      <w:r w:rsidR="00BB30E6">
        <w:rPr>
          <w:color w:val="000000" w:themeColor="text1"/>
        </w:rPr>
        <w:t>)</w:t>
      </w:r>
      <w:r w:rsidR="00656ABA">
        <w:rPr>
          <w:color w:val="000000" w:themeColor="text1"/>
        </w:rPr>
        <w:t xml:space="preserve">. </w:t>
      </w:r>
    </w:p>
    <w:p w14:paraId="4B66A7FB" w14:textId="7C354FD4" w:rsidR="005B06E6" w:rsidRDefault="00656ABA" w:rsidP="00834062">
      <w:r>
        <w:t xml:space="preserve">A discount rate of </w:t>
      </w:r>
      <w:r w:rsidR="00332C9E">
        <w:t xml:space="preserve">between zero and two per cent results in a negative ICER across all Program configurations. </w:t>
      </w:r>
      <w:r w:rsidR="00DB13A4">
        <w:t>A n</w:t>
      </w:r>
      <w:r w:rsidR="00332C9E" w:rsidRPr="00332C9E">
        <w:t>egative ICER</w:t>
      </w:r>
      <w:r w:rsidR="00DB13A4">
        <w:t xml:space="preserve"> </w:t>
      </w:r>
      <w:r w:rsidR="00332C9E" w:rsidRPr="00332C9E">
        <w:t>indicate</w:t>
      </w:r>
      <w:r w:rsidR="00DB13A4">
        <w:t>s</w:t>
      </w:r>
      <w:r w:rsidR="00332C9E" w:rsidRPr="00332C9E">
        <w:t xml:space="preserve"> that the Program results in a negative cost per DALY avoided</w:t>
      </w:r>
      <w:r w:rsidR="005B06E6">
        <w:t xml:space="preserve"> (</w:t>
      </w:r>
      <w:proofErr w:type="gramStart"/>
      <w:r w:rsidR="005B06E6">
        <w:t>i.e.</w:t>
      </w:r>
      <w:proofErr w:type="gramEnd"/>
      <w:r w:rsidR="005B06E6">
        <w:t xml:space="preserve"> it is cost saving)</w:t>
      </w:r>
      <w:r w:rsidR="00332C9E" w:rsidRPr="00332C9E">
        <w:t>. This occurs when total discounted costs and total discounted DALYs are lower in the Program when compared to the base case</w:t>
      </w:r>
      <w:r w:rsidR="00332C9E">
        <w:t xml:space="preserve">. </w:t>
      </w:r>
      <w:r w:rsidR="00332C9E">
        <w:lastRenderedPageBreak/>
        <w:t xml:space="preserve">This indicates that </w:t>
      </w:r>
      <w:r w:rsidR="00DB13A4">
        <w:t xml:space="preserve">a </w:t>
      </w:r>
      <w:r w:rsidR="00821A92">
        <w:t xml:space="preserve">Program </w:t>
      </w:r>
      <w:r w:rsidR="00DB13A4">
        <w:t>is</w:t>
      </w:r>
      <w:r w:rsidR="00821A92">
        <w:t xml:space="preserve"> avoiding DALYs in addition to reducing costs within a system. </w:t>
      </w:r>
    </w:p>
    <w:p w14:paraId="24446005" w14:textId="77777777" w:rsidR="005B06E6" w:rsidRDefault="005B06E6">
      <w:pPr>
        <w:spacing w:after="0"/>
      </w:pPr>
      <w:r>
        <w:br w:type="page"/>
      </w:r>
    </w:p>
    <w:p w14:paraId="4F1D1EA7" w14:textId="2D35BFCB" w:rsidR="00834062" w:rsidRPr="001F0769" w:rsidRDefault="00834062" w:rsidP="00834062">
      <w:pPr>
        <w:pStyle w:val="Caption"/>
      </w:pPr>
      <w:r>
        <w:lastRenderedPageBreak/>
        <w:t>Table B.</w:t>
      </w:r>
      <w:r w:rsidR="0026759D">
        <w:t>3</w:t>
      </w:r>
      <w:r>
        <w:t>: Sensitivity analysis of ICER to discount rates; societal perspective</w:t>
      </w:r>
    </w:p>
    <w:tbl>
      <w:tblPr>
        <w:tblStyle w:val="Deloittetable"/>
        <w:tblW w:w="9263" w:type="dxa"/>
        <w:tblLook w:val="04A0" w:firstRow="1" w:lastRow="0" w:firstColumn="1" w:lastColumn="0" w:noHBand="0" w:noVBand="1"/>
      </w:tblPr>
      <w:tblGrid>
        <w:gridCol w:w="1493"/>
        <w:gridCol w:w="2612"/>
        <w:gridCol w:w="2575"/>
        <w:gridCol w:w="2583"/>
      </w:tblGrid>
      <w:tr w:rsidR="00834062" w14:paraId="596721A4" w14:textId="77777777" w:rsidTr="006547A2">
        <w:trPr>
          <w:cnfStyle w:val="100000000000" w:firstRow="1" w:lastRow="0" w:firstColumn="0" w:lastColumn="0" w:oddVBand="0" w:evenVBand="0" w:oddHBand="0" w:evenHBand="0" w:firstRowFirstColumn="0" w:firstRowLastColumn="0" w:lastRowFirstColumn="0" w:lastRowLastColumn="0"/>
          <w:trHeight w:val="192"/>
        </w:trPr>
        <w:tc>
          <w:tcPr>
            <w:tcW w:w="1493" w:type="dxa"/>
            <w:vMerge w:val="restart"/>
          </w:tcPr>
          <w:p w14:paraId="1586127D" w14:textId="2F512AF9" w:rsidR="00834062" w:rsidRDefault="00834062" w:rsidP="00C9700F">
            <w:pPr>
              <w:spacing w:after="0"/>
              <w:rPr>
                <w:b w:val="0"/>
                <w:color w:val="62B5E5" w:themeColor="accent3"/>
              </w:rPr>
            </w:pPr>
            <w:r>
              <w:rPr>
                <w:color w:val="62B5E5" w:themeColor="accent3"/>
              </w:rPr>
              <w:t>Discount rate</w:t>
            </w:r>
          </w:p>
        </w:tc>
        <w:tc>
          <w:tcPr>
            <w:tcW w:w="7770" w:type="dxa"/>
            <w:gridSpan w:val="3"/>
          </w:tcPr>
          <w:p w14:paraId="13CDCE11" w14:textId="5E70A23D" w:rsidR="00834062" w:rsidRPr="00C961D3" w:rsidRDefault="00834062" w:rsidP="000F06D0">
            <w:pPr>
              <w:spacing w:after="0"/>
              <w:jc w:val="center"/>
              <w:rPr>
                <w:b w:val="0"/>
                <w:color w:val="62B5E5" w:themeColor="accent3"/>
              </w:rPr>
            </w:pPr>
            <w:r>
              <w:rPr>
                <w:color w:val="62B5E5" w:themeColor="accent3"/>
              </w:rPr>
              <w:t>Commencement age</w:t>
            </w:r>
          </w:p>
        </w:tc>
      </w:tr>
      <w:tr w:rsidR="00834062" w14:paraId="55E5B775" w14:textId="77777777" w:rsidTr="006547A2">
        <w:trPr>
          <w:trHeight w:val="192"/>
        </w:trPr>
        <w:tc>
          <w:tcPr>
            <w:tcW w:w="1493" w:type="dxa"/>
            <w:vMerge/>
          </w:tcPr>
          <w:p w14:paraId="2B2DBEDE" w14:textId="73F46655" w:rsidR="00834062" w:rsidRPr="00C961D3" w:rsidRDefault="00834062" w:rsidP="00C9700F">
            <w:pPr>
              <w:spacing w:after="0"/>
              <w:rPr>
                <w:b/>
                <w:color w:val="62B5E5" w:themeColor="accent3"/>
              </w:rPr>
            </w:pPr>
          </w:p>
        </w:tc>
        <w:tc>
          <w:tcPr>
            <w:tcW w:w="2612" w:type="dxa"/>
          </w:tcPr>
          <w:p w14:paraId="15000818" w14:textId="73DD59D7" w:rsidR="00834062" w:rsidRPr="00EB75C0" w:rsidRDefault="00834062" w:rsidP="00C9700F">
            <w:pPr>
              <w:spacing w:after="0"/>
              <w:rPr>
                <w:b/>
                <w:color w:val="62B5E5" w:themeColor="accent3"/>
              </w:rPr>
            </w:pPr>
            <w:r>
              <w:rPr>
                <w:color w:val="62B5E5" w:themeColor="accent3"/>
              </w:rPr>
              <w:t xml:space="preserve">40 </w:t>
            </w:r>
            <w:r w:rsidR="00684B74">
              <w:rPr>
                <w:color w:val="62B5E5" w:themeColor="accent3"/>
              </w:rPr>
              <w:t>to</w:t>
            </w:r>
            <w:r>
              <w:rPr>
                <w:color w:val="62B5E5" w:themeColor="accent3"/>
              </w:rPr>
              <w:t xml:space="preserve"> 7</w:t>
            </w:r>
            <w:r w:rsidR="00684B74">
              <w:rPr>
                <w:color w:val="62B5E5" w:themeColor="accent3"/>
              </w:rPr>
              <w:t>4</w:t>
            </w:r>
            <w:r>
              <w:rPr>
                <w:color w:val="62B5E5" w:themeColor="accent3"/>
              </w:rPr>
              <w:t xml:space="preserve"> years</w:t>
            </w:r>
          </w:p>
        </w:tc>
        <w:tc>
          <w:tcPr>
            <w:tcW w:w="2575" w:type="dxa"/>
          </w:tcPr>
          <w:p w14:paraId="1B635E10" w14:textId="11858961" w:rsidR="00834062" w:rsidRPr="00C961D3" w:rsidRDefault="00834062" w:rsidP="00C9700F">
            <w:pPr>
              <w:spacing w:after="0"/>
              <w:rPr>
                <w:b/>
                <w:color w:val="62B5E5" w:themeColor="accent3"/>
              </w:rPr>
            </w:pPr>
            <w:r>
              <w:rPr>
                <w:color w:val="62B5E5" w:themeColor="accent3"/>
              </w:rPr>
              <w:t xml:space="preserve">45 </w:t>
            </w:r>
            <w:r w:rsidR="00684B74">
              <w:rPr>
                <w:color w:val="62B5E5" w:themeColor="accent3"/>
              </w:rPr>
              <w:t>to</w:t>
            </w:r>
            <w:r>
              <w:rPr>
                <w:color w:val="62B5E5" w:themeColor="accent3"/>
              </w:rPr>
              <w:t xml:space="preserve"> 7</w:t>
            </w:r>
            <w:r w:rsidR="00684B74">
              <w:rPr>
                <w:color w:val="62B5E5" w:themeColor="accent3"/>
              </w:rPr>
              <w:t>4</w:t>
            </w:r>
            <w:r>
              <w:rPr>
                <w:color w:val="62B5E5" w:themeColor="accent3"/>
              </w:rPr>
              <w:t xml:space="preserve"> years</w:t>
            </w:r>
          </w:p>
        </w:tc>
        <w:tc>
          <w:tcPr>
            <w:tcW w:w="2581" w:type="dxa"/>
          </w:tcPr>
          <w:p w14:paraId="3D433219" w14:textId="58DB4D65" w:rsidR="00834062" w:rsidRPr="00C961D3" w:rsidRDefault="00834062" w:rsidP="00C9700F">
            <w:pPr>
              <w:spacing w:after="0"/>
              <w:rPr>
                <w:b/>
                <w:color w:val="62B5E5" w:themeColor="accent3"/>
              </w:rPr>
            </w:pPr>
            <w:r>
              <w:rPr>
                <w:color w:val="62B5E5" w:themeColor="accent3"/>
              </w:rPr>
              <w:t xml:space="preserve">50 </w:t>
            </w:r>
            <w:r w:rsidR="00684B74">
              <w:rPr>
                <w:color w:val="62B5E5" w:themeColor="accent3"/>
              </w:rPr>
              <w:t>to</w:t>
            </w:r>
            <w:r>
              <w:rPr>
                <w:color w:val="62B5E5" w:themeColor="accent3"/>
              </w:rPr>
              <w:t xml:space="preserve"> 7</w:t>
            </w:r>
            <w:r w:rsidR="00684B74">
              <w:rPr>
                <w:color w:val="62B5E5" w:themeColor="accent3"/>
              </w:rPr>
              <w:t>4</w:t>
            </w:r>
            <w:r>
              <w:rPr>
                <w:color w:val="62B5E5" w:themeColor="accent3"/>
              </w:rPr>
              <w:t xml:space="preserve"> years</w:t>
            </w:r>
            <w:r w:rsidRPr="00C961D3">
              <w:rPr>
                <w:color w:val="62B5E5" w:themeColor="accent3"/>
              </w:rPr>
              <w:t xml:space="preserve"> </w:t>
            </w:r>
          </w:p>
        </w:tc>
      </w:tr>
      <w:tr w:rsidR="00834062" w14:paraId="02D7F9AA" w14:textId="77777777" w:rsidTr="006547A2">
        <w:trPr>
          <w:trHeight w:val="307"/>
        </w:trPr>
        <w:tc>
          <w:tcPr>
            <w:tcW w:w="1493" w:type="dxa"/>
          </w:tcPr>
          <w:p w14:paraId="43DA7B30" w14:textId="1A48072D" w:rsidR="00834062" w:rsidRPr="000F06D0" w:rsidRDefault="00834062" w:rsidP="00C9700F">
            <w:pPr>
              <w:spacing w:after="0"/>
              <w:ind w:right="137"/>
              <w:rPr>
                <w:vertAlign w:val="superscript"/>
              </w:rPr>
            </w:pPr>
            <w:r>
              <w:t>0%</w:t>
            </w:r>
            <w:r w:rsidR="00912042">
              <w:rPr>
                <w:vertAlign w:val="superscript"/>
              </w:rPr>
              <w:t>*</w:t>
            </w:r>
          </w:p>
        </w:tc>
        <w:tc>
          <w:tcPr>
            <w:tcW w:w="2612" w:type="dxa"/>
          </w:tcPr>
          <w:p w14:paraId="2FB4ADEA" w14:textId="7A65F83C" w:rsidR="00834062" w:rsidRDefault="00617E8C" w:rsidP="00C9700F">
            <w:pPr>
              <w:spacing w:after="0"/>
            </w:pPr>
            <w:r>
              <w:t>-$3,695</w:t>
            </w:r>
          </w:p>
        </w:tc>
        <w:tc>
          <w:tcPr>
            <w:tcW w:w="2575" w:type="dxa"/>
          </w:tcPr>
          <w:p w14:paraId="38FE7A4C" w14:textId="7000C9A8" w:rsidR="00834062" w:rsidRDefault="00747565" w:rsidP="00C9700F">
            <w:pPr>
              <w:spacing w:after="0"/>
            </w:pPr>
            <w:r>
              <w:t>-$4,868</w:t>
            </w:r>
          </w:p>
        </w:tc>
        <w:tc>
          <w:tcPr>
            <w:tcW w:w="2581" w:type="dxa"/>
          </w:tcPr>
          <w:p w14:paraId="4180BCCE" w14:textId="39EFBC52" w:rsidR="00834062" w:rsidRDefault="000A139D" w:rsidP="00C9700F">
            <w:pPr>
              <w:spacing w:after="0"/>
            </w:pPr>
            <w:r>
              <w:t>-$4,524</w:t>
            </w:r>
          </w:p>
        </w:tc>
      </w:tr>
      <w:tr w:rsidR="00834062" w14:paraId="35C887FE" w14:textId="77777777" w:rsidTr="006547A2">
        <w:trPr>
          <w:trHeight w:val="315"/>
        </w:trPr>
        <w:tc>
          <w:tcPr>
            <w:tcW w:w="1493" w:type="dxa"/>
          </w:tcPr>
          <w:p w14:paraId="3291A588" w14:textId="58481241" w:rsidR="00834062" w:rsidRPr="000F06D0" w:rsidRDefault="00834062" w:rsidP="00C9700F">
            <w:pPr>
              <w:spacing w:after="0"/>
              <w:ind w:right="137"/>
              <w:rPr>
                <w:vertAlign w:val="superscript"/>
              </w:rPr>
            </w:pPr>
            <w:r>
              <w:t>2%</w:t>
            </w:r>
            <w:r w:rsidR="00912042">
              <w:rPr>
                <w:vertAlign w:val="superscript"/>
              </w:rPr>
              <w:t>*</w:t>
            </w:r>
          </w:p>
        </w:tc>
        <w:tc>
          <w:tcPr>
            <w:tcW w:w="2612" w:type="dxa"/>
          </w:tcPr>
          <w:p w14:paraId="188823C9" w14:textId="34B5BDAB" w:rsidR="00834062" w:rsidRDefault="00617E8C" w:rsidP="00C9700F">
            <w:pPr>
              <w:spacing w:after="0"/>
            </w:pPr>
            <w:r>
              <w:t>-$2,277</w:t>
            </w:r>
          </w:p>
        </w:tc>
        <w:tc>
          <w:tcPr>
            <w:tcW w:w="2575" w:type="dxa"/>
          </w:tcPr>
          <w:p w14:paraId="62E49FF6" w14:textId="226760CA" w:rsidR="00834062" w:rsidRDefault="00747565" w:rsidP="00C9700F">
            <w:pPr>
              <w:spacing w:after="0"/>
            </w:pPr>
            <w:r>
              <w:t>-$3,195</w:t>
            </w:r>
          </w:p>
        </w:tc>
        <w:tc>
          <w:tcPr>
            <w:tcW w:w="2581" w:type="dxa"/>
          </w:tcPr>
          <w:p w14:paraId="39D1842D" w14:textId="69E955BA" w:rsidR="00834062" w:rsidRDefault="000A139D" w:rsidP="00C9700F">
            <w:pPr>
              <w:spacing w:after="0"/>
            </w:pPr>
            <w:r>
              <w:t>-$2,703</w:t>
            </w:r>
          </w:p>
        </w:tc>
      </w:tr>
      <w:tr w:rsidR="00834062" w14:paraId="2FD129EF" w14:textId="77777777" w:rsidTr="006547A2">
        <w:trPr>
          <w:trHeight w:val="315"/>
        </w:trPr>
        <w:tc>
          <w:tcPr>
            <w:tcW w:w="1493" w:type="dxa"/>
          </w:tcPr>
          <w:p w14:paraId="237BED2F" w14:textId="7F5CFF6C" w:rsidR="00834062" w:rsidRDefault="00834062" w:rsidP="00C9700F">
            <w:pPr>
              <w:spacing w:after="0"/>
            </w:pPr>
            <w:r>
              <w:t>5%</w:t>
            </w:r>
          </w:p>
        </w:tc>
        <w:tc>
          <w:tcPr>
            <w:tcW w:w="2612" w:type="dxa"/>
          </w:tcPr>
          <w:p w14:paraId="6446F538" w14:textId="07F6A0CF" w:rsidR="00834062" w:rsidRPr="00206E47" w:rsidRDefault="00617E8C" w:rsidP="00C9700F">
            <w:pPr>
              <w:spacing w:after="0"/>
            </w:pPr>
            <w:r>
              <w:t>$2,012</w:t>
            </w:r>
          </w:p>
        </w:tc>
        <w:tc>
          <w:tcPr>
            <w:tcW w:w="2575" w:type="dxa"/>
          </w:tcPr>
          <w:p w14:paraId="57CC0743" w14:textId="6651CB33" w:rsidR="00834062" w:rsidRDefault="00747565" w:rsidP="00C9700F">
            <w:pPr>
              <w:spacing w:after="0"/>
            </w:pPr>
            <w:r>
              <w:t>$1,381</w:t>
            </w:r>
          </w:p>
        </w:tc>
        <w:tc>
          <w:tcPr>
            <w:tcW w:w="2581" w:type="dxa"/>
          </w:tcPr>
          <w:p w14:paraId="0338A9A7" w14:textId="1258A64F" w:rsidR="00834062" w:rsidRDefault="000A139D" w:rsidP="00C9700F">
            <w:pPr>
              <w:spacing w:after="0"/>
            </w:pPr>
            <w:r>
              <w:t>$1,941</w:t>
            </w:r>
          </w:p>
        </w:tc>
      </w:tr>
      <w:tr w:rsidR="00834062" w14:paraId="195A3F20" w14:textId="77777777" w:rsidTr="006547A2">
        <w:trPr>
          <w:trHeight w:val="315"/>
        </w:trPr>
        <w:tc>
          <w:tcPr>
            <w:tcW w:w="1493" w:type="dxa"/>
          </w:tcPr>
          <w:p w14:paraId="06428D7F" w14:textId="4AF672AC" w:rsidR="00834062" w:rsidRDefault="00834062" w:rsidP="00C9700F">
            <w:pPr>
              <w:spacing w:after="0"/>
            </w:pPr>
            <w:r>
              <w:t>7%</w:t>
            </w:r>
          </w:p>
        </w:tc>
        <w:tc>
          <w:tcPr>
            <w:tcW w:w="2612" w:type="dxa"/>
          </w:tcPr>
          <w:p w14:paraId="423AF92F" w14:textId="272EA418" w:rsidR="00834062" w:rsidRPr="00914DC5" w:rsidRDefault="00617E8C" w:rsidP="00C9700F">
            <w:pPr>
              <w:spacing w:after="0"/>
            </w:pPr>
            <w:r>
              <w:t>$7,317</w:t>
            </w:r>
          </w:p>
        </w:tc>
        <w:tc>
          <w:tcPr>
            <w:tcW w:w="2575" w:type="dxa"/>
          </w:tcPr>
          <w:p w14:paraId="29F5EFD5" w14:textId="0B1B1CE3" w:rsidR="00834062" w:rsidRDefault="00F1652A" w:rsidP="00C9700F">
            <w:pPr>
              <w:spacing w:after="0"/>
            </w:pPr>
            <w:r>
              <w:t>$6,</w:t>
            </w:r>
            <w:r w:rsidR="00822D75">
              <w:t>69</w:t>
            </w:r>
            <w:r>
              <w:t>9</w:t>
            </w:r>
          </w:p>
        </w:tc>
        <w:tc>
          <w:tcPr>
            <w:tcW w:w="2581" w:type="dxa"/>
          </w:tcPr>
          <w:p w14:paraId="7304C72F" w14:textId="1D34EE00" w:rsidR="00834062" w:rsidRDefault="000A139D" w:rsidP="00C9700F">
            <w:pPr>
              <w:spacing w:after="0"/>
            </w:pPr>
            <w:r>
              <w:t>$6,938</w:t>
            </w:r>
          </w:p>
        </w:tc>
      </w:tr>
      <w:tr w:rsidR="00834062" w14:paraId="7362BB43" w14:textId="77777777" w:rsidTr="006547A2">
        <w:trPr>
          <w:trHeight w:val="315"/>
        </w:trPr>
        <w:tc>
          <w:tcPr>
            <w:tcW w:w="1493" w:type="dxa"/>
          </w:tcPr>
          <w:p w14:paraId="36347B94" w14:textId="465FB08C" w:rsidR="00834062" w:rsidRDefault="00834062" w:rsidP="00C9700F">
            <w:pPr>
              <w:spacing w:after="0"/>
            </w:pPr>
            <w:r>
              <w:t>10%</w:t>
            </w:r>
          </w:p>
        </w:tc>
        <w:tc>
          <w:tcPr>
            <w:tcW w:w="2612" w:type="dxa"/>
          </w:tcPr>
          <w:p w14:paraId="1675A526" w14:textId="743872A5" w:rsidR="00834062" w:rsidRDefault="00617E8C" w:rsidP="00C9700F">
            <w:pPr>
              <w:spacing w:after="0"/>
            </w:pPr>
            <w:r>
              <w:t>$21,609</w:t>
            </w:r>
          </w:p>
        </w:tc>
        <w:tc>
          <w:tcPr>
            <w:tcW w:w="2575" w:type="dxa"/>
          </w:tcPr>
          <w:p w14:paraId="13CC8D08" w14:textId="36492E8D" w:rsidR="00834062" w:rsidRDefault="00F1652A" w:rsidP="00C9700F">
            <w:pPr>
              <w:spacing w:after="0"/>
            </w:pPr>
            <w:r>
              <w:t>$</w:t>
            </w:r>
            <w:r w:rsidR="00822D75">
              <w:t>20,106</w:t>
            </w:r>
          </w:p>
        </w:tc>
        <w:tc>
          <w:tcPr>
            <w:tcW w:w="2581" w:type="dxa"/>
          </w:tcPr>
          <w:p w14:paraId="026EE563" w14:textId="3E64A196" w:rsidR="00834062" w:rsidRDefault="00AC5888" w:rsidP="00C9700F">
            <w:pPr>
              <w:spacing w:after="0"/>
            </w:pPr>
            <w:r>
              <w:t>$18,803</w:t>
            </w:r>
          </w:p>
        </w:tc>
      </w:tr>
    </w:tbl>
    <w:p w14:paraId="43EE5EE4" w14:textId="125D07DC" w:rsidR="00166F0D" w:rsidRDefault="00166F0D" w:rsidP="00166F0D">
      <w:pPr>
        <w:pStyle w:val="Source"/>
      </w:pPr>
      <w:r>
        <w:t>Notes:</w:t>
      </w:r>
      <w:r w:rsidR="005B06E6">
        <w:t xml:space="preserve"> </w:t>
      </w:r>
      <w:r w:rsidR="00912042" w:rsidRPr="000F06D0">
        <w:rPr>
          <w:vertAlign w:val="superscript"/>
        </w:rPr>
        <w:t>*</w:t>
      </w:r>
      <w:r w:rsidR="00912042">
        <w:t xml:space="preserve">Negative ICER results indicate </w:t>
      </w:r>
      <w:r w:rsidR="00176A7B">
        <w:t xml:space="preserve">that the Program results in </w:t>
      </w:r>
      <w:r w:rsidR="00061FD5">
        <w:t>a negative cost per DALY avoided</w:t>
      </w:r>
      <w:r>
        <w:t>.</w:t>
      </w:r>
      <w:r w:rsidR="00061FD5">
        <w:t xml:space="preserve"> This occurs when total discounted costs and total discounted DALYs are lower in </w:t>
      </w:r>
      <w:r w:rsidR="00DB13A4">
        <w:t>a</w:t>
      </w:r>
      <w:r w:rsidR="00061FD5">
        <w:t xml:space="preserve"> </w:t>
      </w:r>
      <w:r w:rsidR="00C72227">
        <w:t xml:space="preserve">Program when compared to the base case. </w:t>
      </w:r>
      <w:r w:rsidR="00D955BB">
        <w:t xml:space="preserve">Green shading highlights the program configuration that is most ‘cost-effective’ for each discount rate. </w:t>
      </w:r>
    </w:p>
    <w:p w14:paraId="00881669" w14:textId="1C22C28F" w:rsidR="00834062" w:rsidRDefault="00166F0D" w:rsidP="000F06D0">
      <w:pPr>
        <w:pStyle w:val="Source"/>
      </w:pPr>
      <w:r w:rsidRPr="008515D3">
        <w:t xml:space="preserve">Source: </w:t>
      </w:r>
      <w:r>
        <w:t>Deloitte Access Economics analysi</w:t>
      </w:r>
      <w:r w:rsidR="00821A92">
        <w:t>s</w:t>
      </w:r>
    </w:p>
    <w:p w14:paraId="7FD06154" w14:textId="658B5CA7" w:rsidR="00834062" w:rsidRPr="006807D9" w:rsidRDefault="00834062" w:rsidP="00834062">
      <w:pPr>
        <w:pStyle w:val="Appendixhead3"/>
      </w:pPr>
      <w:r>
        <w:t xml:space="preserve">Healthcare </w:t>
      </w:r>
      <w:r w:rsidR="004B5EF0">
        <w:t>system</w:t>
      </w:r>
      <w:r>
        <w:t xml:space="preserve"> perspective</w:t>
      </w:r>
    </w:p>
    <w:p w14:paraId="25871F1F" w14:textId="39899D98" w:rsidR="00821A92" w:rsidRDefault="00821A92" w:rsidP="00821A92">
      <w:pPr>
        <w:rPr>
          <w:color w:val="000000" w:themeColor="text1"/>
        </w:rPr>
      </w:pPr>
      <w:r>
        <w:t xml:space="preserve">From the healthcare system perspective, all configurations of the Program remain cost-effective across all variations of the discount rate, when compared to the </w:t>
      </w:r>
      <w:r w:rsidRPr="00424E30">
        <w:rPr>
          <w:color w:val="000000" w:themeColor="text1"/>
        </w:rPr>
        <w:t>commonly used willingness-to-pay threshold of $50,000 per DALY averted</w:t>
      </w:r>
      <w:r>
        <w:rPr>
          <w:color w:val="000000" w:themeColor="text1"/>
        </w:rPr>
        <w:t xml:space="preserve"> (Table B.4.)</w:t>
      </w:r>
      <w:r w:rsidRPr="00424E30">
        <w:rPr>
          <w:color w:val="000000" w:themeColor="text1"/>
        </w:rPr>
        <w:t>.</w:t>
      </w:r>
      <w:r>
        <w:rPr>
          <w:color w:val="000000" w:themeColor="text1"/>
        </w:rPr>
        <w:t xml:space="preserve"> </w:t>
      </w:r>
    </w:p>
    <w:p w14:paraId="4BC19EF5" w14:textId="1C24EAC7" w:rsidR="00821A92" w:rsidRDefault="00821A92" w:rsidP="00821A92">
      <w:r>
        <w:rPr>
          <w:color w:val="000000" w:themeColor="text1"/>
        </w:rPr>
        <w:t xml:space="preserve">A commencement age of 50 to 74 years remains the most cost-effective configuration of the Program for all discount rates. </w:t>
      </w:r>
    </w:p>
    <w:p w14:paraId="50EE372F" w14:textId="6CA3AB76" w:rsidR="00834062" w:rsidRPr="001F0769" w:rsidRDefault="00834062" w:rsidP="00834062">
      <w:pPr>
        <w:pStyle w:val="Caption"/>
      </w:pPr>
      <w:r>
        <w:t>Table B.</w:t>
      </w:r>
      <w:r w:rsidR="00821A92">
        <w:t>4</w:t>
      </w:r>
      <w:r>
        <w:t>: Sensitivity analysis of ICER to discount rates; healthcare system perspective</w:t>
      </w:r>
    </w:p>
    <w:tbl>
      <w:tblPr>
        <w:tblStyle w:val="Deloittetable"/>
        <w:tblW w:w="9282" w:type="dxa"/>
        <w:tblLook w:val="04A0" w:firstRow="1" w:lastRow="0" w:firstColumn="1" w:lastColumn="0" w:noHBand="0" w:noVBand="1"/>
      </w:tblPr>
      <w:tblGrid>
        <w:gridCol w:w="1496"/>
        <w:gridCol w:w="2617"/>
        <w:gridCol w:w="2581"/>
        <w:gridCol w:w="2588"/>
      </w:tblGrid>
      <w:tr w:rsidR="001008E1" w14:paraId="68684762" w14:textId="77777777" w:rsidTr="005B06E6">
        <w:trPr>
          <w:cnfStyle w:val="100000000000" w:firstRow="1" w:lastRow="0" w:firstColumn="0" w:lastColumn="0" w:oddVBand="0" w:evenVBand="0" w:oddHBand="0" w:evenHBand="0" w:firstRowFirstColumn="0" w:firstRowLastColumn="0" w:lastRowFirstColumn="0" w:lastRowLastColumn="0"/>
          <w:trHeight w:val="200"/>
          <w:tblHeader/>
        </w:trPr>
        <w:tc>
          <w:tcPr>
            <w:tcW w:w="1496" w:type="dxa"/>
            <w:vMerge w:val="restart"/>
          </w:tcPr>
          <w:p w14:paraId="118467FF" w14:textId="77777777" w:rsidR="001008E1" w:rsidRDefault="001008E1" w:rsidP="00C9700F">
            <w:pPr>
              <w:spacing w:after="0"/>
              <w:rPr>
                <w:b w:val="0"/>
                <w:color w:val="62B5E5" w:themeColor="accent3"/>
              </w:rPr>
            </w:pPr>
            <w:r>
              <w:rPr>
                <w:color w:val="62B5E5" w:themeColor="accent3"/>
              </w:rPr>
              <w:t>Discount rate</w:t>
            </w:r>
          </w:p>
        </w:tc>
        <w:tc>
          <w:tcPr>
            <w:tcW w:w="7786" w:type="dxa"/>
            <w:gridSpan w:val="3"/>
          </w:tcPr>
          <w:p w14:paraId="1F9669DF" w14:textId="77777777" w:rsidR="001008E1" w:rsidRPr="00C961D3" w:rsidRDefault="001008E1" w:rsidP="00C9700F">
            <w:pPr>
              <w:spacing w:after="0"/>
              <w:jc w:val="center"/>
              <w:rPr>
                <w:b w:val="0"/>
                <w:color w:val="62B5E5" w:themeColor="accent3"/>
              </w:rPr>
            </w:pPr>
            <w:r>
              <w:rPr>
                <w:color w:val="62B5E5" w:themeColor="accent3"/>
              </w:rPr>
              <w:t>Commencement age</w:t>
            </w:r>
          </w:p>
        </w:tc>
      </w:tr>
      <w:tr w:rsidR="00684B74" w14:paraId="682DD2EF" w14:textId="77777777" w:rsidTr="005B06E6">
        <w:trPr>
          <w:cnfStyle w:val="100000000000" w:firstRow="1" w:lastRow="0" w:firstColumn="0" w:lastColumn="0" w:oddVBand="0" w:evenVBand="0" w:oddHBand="0" w:evenHBand="0" w:firstRowFirstColumn="0" w:firstRowLastColumn="0" w:lastRowFirstColumn="0" w:lastRowLastColumn="0"/>
          <w:trHeight w:val="200"/>
          <w:tblHeader/>
        </w:trPr>
        <w:tc>
          <w:tcPr>
            <w:tcW w:w="1496" w:type="dxa"/>
            <w:vMerge/>
          </w:tcPr>
          <w:p w14:paraId="03875D5C" w14:textId="77777777" w:rsidR="00684B74" w:rsidRPr="00C961D3" w:rsidRDefault="00684B74" w:rsidP="00684B74">
            <w:pPr>
              <w:spacing w:after="0"/>
              <w:rPr>
                <w:b w:val="0"/>
                <w:color w:val="62B5E5" w:themeColor="accent3"/>
              </w:rPr>
            </w:pPr>
          </w:p>
        </w:tc>
        <w:tc>
          <w:tcPr>
            <w:tcW w:w="2617" w:type="dxa"/>
          </w:tcPr>
          <w:p w14:paraId="7B155554" w14:textId="29BE159D" w:rsidR="00684B74" w:rsidRPr="00EB75C0" w:rsidRDefault="00684B74" w:rsidP="00684B74">
            <w:pPr>
              <w:spacing w:after="0"/>
              <w:rPr>
                <w:b w:val="0"/>
                <w:color w:val="62B5E5" w:themeColor="accent3"/>
              </w:rPr>
            </w:pPr>
            <w:r>
              <w:rPr>
                <w:color w:val="62B5E5" w:themeColor="accent3"/>
              </w:rPr>
              <w:t>40 to 74 years</w:t>
            </w:r>
          </w:p>
        </w:tc>
        <w:tc>
          <w:tcPr>
            <w:tcW w:w="2581" w:type="dxa"/>
          </w:tcPr>
          <w:p w14:paraId="7C777F95" w14:textId="2DA8276A" w:rsidR="00684B74" w:rsidRPr="00C961D3" w:rsidRDefault="00684B74" w:rsidP="00684B74">
            <w:pPr>
              <w:spacing w:after="0"/>
              <w:rPr>
                <w:b w:val="0"/>
                <w:color w:val="62B5E5" w:themeColor="accent3"/>
              </w:rPr>
            </w:pPr>
            <w:r>
              <w:rPr>
                <w:color w:val="62B5E5" w:themeColor="accent3"/>
              </w:rPr>
              <w:t>45 to 74 years</w:t>
            </w:r>
          </w:p>
        </w:tc>
        <w:tc>
          <w:tcPr>
            <w:tcW w:w="2587" w:type="dxa"/>
          </w:tcPr>
          <w:p w14:paraId="0F6671F1" w14:textId="03CA843B" w:rsidR="00684B74" w:rsidRPr="00C961D3" w:rsidRDefault="00684B74" w:rsidP="00684B74">
            <w:pPr>
              <w:spacing w:after="0"/>
              <w:rPr>
                <w:b w:val="0"/>
                <w:color w:val="62B5E5" w:themeColor="accent3"/>
              </w:rPr>
            </w:pPr>
            <w:r>
              <w:rPr>
                <w:color w:val="62B5E5" w:themeColor="accent3"/>
              </w:rPr>
              <w:t>50 to 74 years</w:t>
            </w:r>
            <w:r w:rsidRPr="00C961D3">
              <w:rPr>
                <w:color w:val="62B5E5" w:themeColor="accent3"/>
              </w:rPr>
              <w:t xml:space="preserve"> </w:t>
            </w:r>
          </w:p>
        </w:tc>
      </w:tr>
      <w:tr w:rsidR="001008E1" w14:paraId="5382F755" w14:textId="77777777" w:rsidTr="000F06D0">
        <w:trPr>
          <w:trHeight w:val="319"/>
        </w:trPr>
        <w:tc>
          <w:tcPr>
            <w:tcW w:w="1496" w:type="dxa"/>
          </w:tcPr>
          <w:p w14:paraId="4102175B" w14:textId="77777777" w:rsidR="001008E1" w:rsidRDefault="001008E1" w:rsidP="00C9700F">
            <w:pPr>
              <w:spacing w:after="0"/>
              <w:ind w:right="137"/>
            </w:pPr>
            <w:r>
              <w:t>0%</w:t>
            </w:r>
          </w:p>
        </w:tc>
        <w:tc>
          <w:tcPr>
            <w:tcW w:w="2617" w:type="dxa"/>
          </w:tcPr>
          <w:p w14:paraId="0846D38E" w14:textId="5A5A15AF" w:rsidR="001008E1" w:rsidRDefault="001008E1" w:rsidP="00C9700F">
            <w:pPr>
              <w:spacing w:after="0"/>
            </w:pPr>
            <w:r>
              <w:t>$1,3</w:t>
            </w:r>
            <w:r w:rsidR="008F17CD">
              <w:t>55</w:t>
            </w:r>
          </w:p>
        </w:tc>
        <w:tc>
          <w:tcPr>
            <w:tcW w:w="2581" w:type="dxa"/>
            <w:shd w:val="clear" w:color="auto" w:fill="auto"/>
          </w:tcPr>
          <w:p w14:paraId="202EABBB" w14:textId="7BBA2400" w:rsidR="001008E1" w:rsidRDefault="001008E1" w:rsidP="00C9700F">
            <w:pPr>
              <w:spacing w:after="0"/>
            </w:pPr>
            <w:r>
              <w:t>$</w:t>
            </w:r>
            <w:r w:rsidR="008F17CD">
              <w:t>997</w:t>
            </w:r>
          </w:p>
        </w:tc>
        <w:tc>
          <w:tcPr>
            <w:tcW w:w="2587" w:type="dxa"/>
            <w:shd w:val="clear" w:color="auto" w:fill="E7F5CF" w:themeFill="accent1" w:themeFillTint="33"/>
          </w:tcPr>
          <w:p w14:paraId="397EE0CD" w14:textId="222919A1" w:rsidR="001008E1" w:rsidRDefault="001008E1" w:rsidP="00C9700F">
            <w:pPr>
              <w:spacing w:after="0"/>
            </w:pPr>
            <w:r>
              <w:t>$</w:t>
            </w:r>
            <w:r w:rsidR="008F17CD">
              <w:t>453</w:t>
            </w:r>
          </w:p>
        </w:tc>
      </w:tr>
      <w:tr w:rsidR="001008E1" w14:paraId="4CAC8BCC" w14:textId="77777777" w:rsidTr="000F06D0">
        <w:trPr>
          <w:trHeight w:val="327"/>
        </w:trPr>
        <w:tc>
          <w:tcPr>
            <w:tcW w:w="1496" w:type="dxa"/>
          </w:tcPr>
          <w:p w14:paraId="62575011" w14:textId="77777777" w:rsidR="001008E1" w:rsidRDefault="001008E1" w:rsidP="00C9700F">
            <w:pPr>
              <w:spacing w:after="0"/>
              <w:ind w:right="137"/>
            </w:pPr>
            <w:r>
              <w:t>2%</w:t>
            </w:r>
          </w:p>
        </w:tc>
        <w:tc>
          <w:tcPr>
            <w:tcW w:w="2617" w:type="dxa"/>
          </w:tcPr>
          <w:p w14:paraId="4AA7945C" w14:textId="717009E8" w:rsidR="001008E1" w:rsidRDefault="001008E1" w:rsidP="00C9700F">
            <w:pPr>
              <w:spacing w:after="0"/>
            </w:pPr>
            <w:r>
              <w:t>$4,</w:t>
            </w:r>
            <w:r w:rsidR="00771DD6">
              <w:t>307</w:t>
            </w:r>
          </w:p>
        </w:tc>
        <w:tc>
          <w:tcPr>
            <w:tcW w:w="2581" w:type="dxa"/>
            <w:shd w:val="clear" w:color="auto" w:fill="auto"/>
          </w:tcPr>
          <w:p w14:paraId="19F374C0" w14:textId="75147024" w:rsidR="001008E1" w:rsidRDefault="001008E1" w:rsidP="00C9700F">
            <w:pPr>
              <w:spacing w:after="0"/>
            </w:pPr>
            <w:r>
              <w:t>$</w:t>
            </w:r>
            <w:r w:rsidR="003C2FFB">
              <w:t>3,</w:t>
            </w:r>
            <w:r w:rsidR="008F17CD">
              <w:t>579</w:t>
            </w:r>
          </w:p>
        </w:tc>
        <w:tc>
          <w:tcPr>
            <w:tcW w:w="2587" w:type="dxa"/>
            <w:shd w:val="clear" w:color="auto" w:fill="E7F5CF" w:themeFill="accent1" w:themeFillTint="33"/>
          </w:tcPr>
          <w:p w14:paraId="2BD2AFBC" w14:textId="3F8EBDDD" w:rsidR="001008E1" w:rsidRDefault="001008E1" w:rsidP="00C9700F">
            <w:pPr>
              <w:spacing w:after="0"/>
            </w:pPr>
            <w:r>
              <w:t>$</w:t>
            </w:r>
            <w:r w:rsidR="008F17CD">
              <w:t>3,070</w:t>
            </w:r>
          </w:p>
        </w:tc>
      </w:tr>
      <w:tr w:rsidR="001008E1" w14:paraId="3B4AE910" w14:textId="77777777" w:rsidTr="000F06D0">
        <w:trPr>
          <w:trHeight w:val="327"/>
        </w:trPr>
        <w:tc>
          <w:tcPr>
            <w:tcW w:w="1496" w:type="dxa"/>
          </w:tcPr>
          <w:p w14:paraId="127BFC69" w14:textId="77777777" w:rsidR="001008E1" w:rsidRDefault="001008E1" w:rsidP="00C9700F">
            <w:pPr>
              <w:spacing w:after="0"/>
            </w:pPr>
            <w:r>
              <w:t>5%</w:t>
            </w:r>
          </w:p>
        </w:tc>
        <w:tc>
          <w:tcPr>
            <w:tcW w:w="2617" w:type="dxa"/>
          </w:tcPr>
          <w:p w14:paraId="398EFFD1" w14:textId="711E23CE" w:rsidR="001008E1" w:rsidRPr="00206E47" w:rsidRDefault="001008E1" w:rsidP="00C9700F">
            <w:pPr>
              <w:spacing w:after="0"/>
            </w:pPr>
            <w:r>
              <w:t>$12,</w:t>
            </w:r>
            <w:r w:rsidR="00771DD6">
              <w:t>021</w:t>
            </w:r>
          </w:p>
        </w:tc>
        <w:tc>
          <w:tcPr>
            <w:tcW w:w="2581" w:type="dxa"/>
            <w:shd w:val="clear" w:color="auto" w:fill="auto"/>
          </w:tcPr>
          <w:p w14:paraId="3DF8CD31" w14:textId="3A2AD6AA" w:rsidR="001008E1" w:rsidRDefault="001008E1" w:rsidP="00C9700F">
            <w:pPr>
              <w:spacing w:after="0"/>
            </w:pPr>
            <w:r>
              <w:t>$</w:t>
            </w:r>
            <w:r w:rsidR="00DB4EBD">
              <w:t>9,9</w:t>
            </w:r>
            <w:r w:rsidR="008F17CD">
              <w:t>36</w:t>
            </w:r>
          </w:p>
        </w:tc>
        <w:tc>
          <w:tcPr>
            <w:tcW w:w="2587" w:type="dxa"/>
            <w:shd w:val="clear" w:color="auto" w:fill="E7F5CF" w:themeFill="accent1" w:themeFillTint="33"/>
          </w:tcPr>
          <w:p w14:paraId="0CE4A998" w14:textId="40755743" w:rsidR="001008E1" w:rsidRDefault="001008E1" w:rsidP="00C9700F">
            <w:pPr>
              <w:spacing w:after="0"/>
            </w:pPr>
            <w:r>
              <w:t>$</w:t>
            </w:r>
            <w:r w:rsidR="008F17CD">
              <w:t>8,992</w:t>
            </w:r>
          </w:p>
        </w:tc>
      </w:tr>
      <w:tr w:rsidR="001008E1" w14:paraId="54DE7019" w14:textId="77777777" w:rsidTr="000F06D0">
        <w:trPr>
          <w:trHeight w:val="327"/>
        </w:trPr>
        <w:tc>
          <w:tcPr>
            <w:tcW w:w="1496" w:type="dxa"/>
          </w:tcPr>
          <w:p w14:paraId="43DBD12C" w14:textId="77777777" w:rsidR="001008E1" w:rsidRDefault="001008E1" w:rsidP="00C9700F">
            <w:pPr>
              <w:spacing w:after="0"/>
            </w:pPr>
            <w:r>
              <w:t>7%</w:t>
            </w:r>
          </w:p>
        </w:tc>
        <w:tc>
          <w:tcPr>
            <w:tcW w:w="2617" w:type="dxa"/>
          </w:tcPr>
          <w:p w14:paraId="62F44DF6" w14:textId="1806F89E" w:rsidR="001008E1" w:rsidRPr="00914DC5" w:rsidRDefault="001008E1" w:rsidP="00C9700F">
            <w:pPr>
              <w:spacing w:after="0"/>
            </w:pPr>
            <w:r>
              <w:t>$2</w:t>
            </w:r>
            <w:r w:rsidR="00771DD6">
              <w:t>0,653</w:t>
            </w:r>
          </w:p>
        </w:tc>
        <w:tc>
          <w:tcPr>
            <w:tcW w:w="2581" w:type="dxa"/>
            <w:shd w:val="clear" w:color="auto" w:fill="auto"/>
          </w:tcPr>
          <w:p w14:paraId="515FD36C" w14:textId="425B6BB9" w:rsidR="001008E1" w:rsidRDefault="001008E1" w:rsidP="00C9700F">
            <w:pPr>
              <w:spacing w:after="0"/>
            </w:pPr>
            <w:r>
              <w:t>$</w:t>
            </w:r>
            <w:r w:rsidR="00DB4EBD">
              <w:t>16,</w:t>
            </w:r>
            <w:r w:rsidR="008F17CD">
              <w:t>656</w:t>
            </w:r>
          </w:p>
        </w:tc>
        <w:tc>
          <w:tcPr>
            <w:tcW w:w="2587" w:type="dxa"/>
            <w:shd w:val="clear" w:color="auto" w:fill="E7F5CF" w:themeFill="accent1" w:themeFillTint="33"/>
          </w:tcPr>
          <w:p w14:paraId="643EB624" w14:textId="2BD01B08" w:rsidR="001008E1" w:rsidRDefault="001008E1" w:rsidP="00C9700F">
            <w:pPr>
              <w:spacing w:after="0"/>
            </w:pPr>
            <w:r>
              <w:t>$</w:t>
            </w:r>
            <w:r w:rsidR="008F17CD">
              <w:t>14,729</w:t>
            </w:r>
          </w:p>
        </w:tc>
      </w:tr>
      <w:tr w:rsidR="001008E1" w14:paraId="62B7E080" w14:textId="77777777" w:rsidTr="000F06D0">
        <w:trPr>
          <w:trHeight w:val="327"/>
        </w:trPr>
        <w:tc>
          <w:tcPr>
            <w:tcW w:w="1496" w:type="dxa"/>
          </w:tcPr>
          <w:p w14:paraId="747F53EF" w14:textId="77777777" w:rsidR="001008E1" w:rsidRDefault="001008E1" w:rsidP="00C9700F">
            <w:pPr>
              <w:spacing w:after="0"/>
            </w:pPr>
            <w:r>
              <w:t>10%</w:t>
            </w:r>
          </w:p>
        </w:tc>
        <w:tc>
          <w:tcPr>
            <w:tcW w:w="2617" w:type="dxa"/>
          </w:tcPr>
          <w:p w14:paraId="53C3E465" w14:textId="04DB1516" w:rsidR="001008E1" w:rsidRDefault="001008E1" w:rsidP="00C9700F">
            <w:pPr>
              <w:spacing w:after="0"/>
            </w:pPr>
            <w:r>
              <w:t>$4</w:t>
            </w:r>
            <w:r w:rsidR="00771DD6">
              <w:t>2,190</w:t>
            </w:r>
          </w:p>
        </w:tc>
        <w:tc>
          <w:tcPr>
            <w:tcW w:w="2581" w:type="dxa"/>
            <w:shd w:val="clear" w:color="auto" w:fill="auto"/>
          </w:tcPr>
          <w:p w14:paraId="1D1DD82D" w14:textId="190D388A" w:rsidR="001008E1" w:rsidRDefault="001008E1" w:rsidP="00C9700F">
            <w:pPr>
              <w:spacing w:after="0"/>
            </w:pPr>
            <w:r>
              <w:t>$</w:t>
            </w:r>
            <w:r w:rsidR="00DB4EBD">
              <w:t>32,</w:t>
            </w:r>
            <w:r w:rsidR="008F17CD">
              <w:t>493</w:t>
            </w:r>
          </w:p>
        </w:tc>
        <w:tc>
          <w:tcPr>
            <w:tcW w:w="2587" w:type="dxa"/>
            <w:shd w:val="clear" w:color="auto" w:fill="E7F5CF" w:themeFill="accent1" w:themeFillTint="33"/>
          </w:tcPr>
          <w:p w14:paraId="1CFAF5E4" w14:textId="2154EB7C" w:rsidR="001008E1" w:rsidRDefault="001008E1" w:rsidP="00C9700F">
            <w:pPr>
              <w:spacing w:after="0"/>
            </w:pPr>
            <w:r>
              <w:t>$</w:t>
            </w:r>
            <w:r w:rsidR="008F17CD">
              <w:t>26,986</w:t>
            </w:r>
          </w:p>
        </w:tc>
      </w:tr>
    </w:tbl>
    <w:p w14:paraId="526EEF7D" w14:textId="0577E3E6" w:rsidR="00D955BB" w:rsidRDefault="00D955BB" w:rsidP="00821A92">
      <w:pPr>
        <w:pStyle w:val="Source"/>
      </w:pPr>
      <w:r>
        <w:t xml:space="preserve">Notes: Green shading highlights the program configuration that is most ‘cost-effective’ for each discount rate. </w:t>
      </w:r>
    </w:p>
    <w:p w14:paraId="0DF93945" w14:textId="65E9B919" w:rsidR="00834062" w:rsidRDefault="00821A92" w:rsidP="000F06D0">
      <w:pPr>
        <w:pStyle w:val="Source"/>
      </w:pPr>
      <w:r w:rsidRPr="008515D3">
        <w:t xml:space="preserve">Source: </w:t>
      </w:r>
      <w:r>
        <w:t>Deloitte Access Economics analysis</w:t>
      </w:r>
    </w:p>
    <w:p w14:paraId="223F7980" w14:textId="7C8EA2D7" w:rsidR="009F2D50" w:rsidRDefault="009F2D50" w:rsidP="00426F04">
      <w:pPr>
        <w:pStyle w:val="Appendixhead2"/>
        <w:numPr>
          <w:ilvl w:val="0"/>
          <w:numId w:val="0"/>
        </w:numPr>
        <w:ind w:left="792" w:hanging="792"/>
      </w:pPr>
    </w:p>
    <w:p w14:paraId="0CA6438C" w14:textId="30650C7B" w:rsidR="002F465E" w:rsidRDefault="009F2D50" w:rsidP="006D389F">
      <w:pPr>
        <w:pStyle w:val="Appendixhead1"/>
      </w:pPr>
      <w:bookmarkStart w:id="217" w:name="_Ref69402856"/>
      <w:r w:rsidRPr="009F2D50">
        <w:lastRenderedPageBreak/>
        <w:t>Other bowel cancer screening program</w:t>
      </w:r>
      <w:r>
        <w:t>s</w:t>
      </w:r>
      <w:bookmarkEnd w:id="217"/>
    </w:p>
    <w:p w14:paraId="44A171B1" w14:textId="49EF3258" w:rsidR="00D12D57" w:rsidRDefault="00D12D57" w:rsidP="00D12D57">
      <w:pPr>
        <w:pStyle w:val="Appendixhead2"/>
        <w:rPr>
          <w:rFonts w:eastAsiaTheme="minorHAnsi"/>
        </w:rPr>
      </w:pPr>
      <w:r>
        <w:rPr>
          <w:rFonts w:eastAsiaTheme="minorHAnsi"/>
        </w:rPr>
        <w:t>Characteristics of other bowel cancer screening programs</w:t>
      </w:r>
    </w:p>
    <w:p w14:paraId="52B7CDCB" w14:textId="08521AF8" w:rsidR="00CF22CC" w:rsidRPr="006C20E2" w:rsidRDefault="006C20E2" w:rsidP="00CF22CC">
      <w:pPr>
        <w:pStyle w:val="CaptionTable"/>
        <w:numPr>
          <w:ilvl w:val="0"/>
          <w:numId w:val="0"/>
        </w:numPr>
        <w:rPr>
          <w:rFonts w:eastAsiaTheme="minorHAnsi" w:cstheme="minorBidi"/>
          <w:color w:val="auto"/>
          <w:sz w:val="18"/>
          <w:szCs w:val="18"/>
        </w:rPr>
      </w:pPr>
      <w:r w:rsidRPr="006C20E2">
        <w:rPr>
          <w:rFonts w:eastAsiaTheme="minorHAnsi" w:cstheme="minorBidi"/>
          <w:color w:val="auto"/>
          <w:sz w:val="18"/>
          <w:szCs w:val="18"/>
        </w:rPr>
        <w:fldChar w:fldCharType="begin"/>
      </w:r>
      <w:r w:rsidRPr="006C20E2">
        <w:rPr>
          <w:rFonts w:eastAsiaTheme="minorHAnsi" w:cstheme="minorBidi"/>
          <w:color w:val="auto"/>
          <w:sz w:val="18"/>
          <w:szCs w:val="18"/>
        </w:rPr>
        <w:instrText xml:space="preserve"> REF _Ref67579940 \r \h </w:instrText>
      </w:r>
      <w:r>
        <w:rPr>
          <w:rFonts w:eastAsiaTheme="minorHAnsi" w:cstheme="minorBidi"/>
          <w:color w:val="auto"/>
          <w:sz w:val="18"/>
          <w:szCs w:val="18"/>
        </w:rPr>
        <w:instrText xml:space="preserve"> \* MERGEFORMAT </w:instrText>
      </w:r>
      <w:r w:rsidRPr="006C20E2">
        <w:rPr>
          <w:rFonts w:eastAsiaTheme="minorHAnsi" w:cstheme="minorBidi"/>
          <w:color w:val="auto"/>
          <w:sz w:val="18"/>
          <w:szCs w:val="18"/>
        </w:rPr>
      </w:r>
      <w:r w:rsidRPr="006C20E2">
        <w:rPr>
          <w:rFonts w:eastAsiaTheme="minorHAnsi" w:cstheme="minorBidi"/>
          <w:color w:val="auto"/>
          <w:sz w:val="18"/>
          <w:szCs w:val="18"/>
        </w:rPr>
        <w:fldChar w:fldCharType="separate"/>
      </w:r>
      <w:r w:rsidR="00F27525">
        <w:rPr>
          <w:rFonts w:eastAsiaTheme="minorHAnsi" w:cstheme="minorBidi"/>
          <w:color w:val="auto"/>
          <w:sz w:val="18"/>
          <w:szCs w:val="18"/>
        </w:rPr>
        <w:t>Chart 4.5</w:t>
      </w:r>
      <w:r w:rsidRPr="006C20E2">
        <w:rPr>
          <w:rFonts w:eastAsiaTheme="minorHAnsi" w:cstheme="minorBidi"/>
          <w:color w:val="auto"/>
          <w:sz w:val="18"/>
          <w:szCs w:val="18"/>
        </w:rPr>
        <w:fldChar w:fldCharType="end"/>
      </w:r>
      <w:r w:rsidRPr="006C20E2">
        <w:rPr>
          <w:rFonts w:eastAsiaTheme="minorHAnsi" w:cstheme="minorBidi"/>
          <w:color w:val="auto"/>
          <w:sz w:val="18"/>
          <w:szCs w:val="18"/>
        </w:rPr>
        <w:t xml:space="preserve"> is presented below in table format with references.</w:t>
      </w:r>
    </w:p>
    <w:p w14:paraId="27047E7E" w14:textId="7F935884" w:rsidR="009F2D50" w:rsidRPr="009F2D50" w:rsidRDefault="00CF22CC" w:rsidP="00F65111">
      <w:pPr>
        <w:pStyle w:val="AppendixTableCaption"/>
      </w:pPr>
      <w:bookmarkStart w:id="218" w:name="_Ref69404058"/>
      <w:r>
        <w:t>: Characteristics of other screening programs</w:t>
      </w:r>
      <w:bookmarkEnd w:id="218"/>
    </w:p>
    <w:tbl>
      <w:tblPr>
        <w:tblStyle w:val="Deloittetable"/>
        <w:tblW w:w="0" w:type="auto"/>
        <w:tblLook w:val="04A0" w:firstRow="1" w:lastRow="0" w:firstColumn="1" w:lastColumn="0" w:noHBand="0" w:noVBand="1"/>
      </w:tblPr>
      <w:tblGrid>
        <w:gridCol w:w="1276"/>
        <w:gridCol w:w="7740"/>
      </w:tblGrid>
      <w:tr w:rsidR="009F2D50" w14:paraId="1B3CD285" w14:textId="77777777" w:rsidTr="00934237">
        <w:trPr>
          <w:cnfStyle w:val="100000000000" w:firstRow="1" w:lastRow="0" w:firstColumn="0" w:lastColumn="0" w:oddVBand="0" w:evenVBand="0" w:oddHBand="0" w:evenHBand="0" w:firstRowFirstColumn="0" w:firstRowLastColumn="0" w:lastRowFirstColumn="0" w:lastRowLastColumn="0"/>
          <w:tblHeader/>
        </w:trPr>
        <w:tc>
          <w:tcPr>
            <w:tcW w:w="1276" w:type="dxa"/>
          </w:tcPr>
          <w:p w14:paraId="3DB0FA33" w14:textId="77777777" w:rsidR="009F2D50" w:rsidRPr="00325A2B" w:rsidRDefault="009F2D50" w:rsidP="00934237">
            <w:pPr>
              <w:spacing w:after="0"/>
              <w:rPr>
                <w:b w:val="0"/>
                <w:bCs/>
                <w:color w:val="62B5E5" w:themeColor="accent3"/>
              </w:rPr>
            </w:pPr>
            <w:r w:rsidRPr="00325A2B">
              <w:rPr>
                <w:bCs/>
                <w:color w:val="62B5E5" w:themeColor="accent3"/>
              </w:rPr>
              <w:t>Country</w:t>
            </w:r>
          </w:p>
        </w:tc>
        <w:tc>
          <w:tcPr>
            <w:tcW w:w="7750" w:type="dxa"/>
          </w:tcPr>
          <w:p w14:paraId="497B5370" w14:textId="77777777" w:rsidR="009F2D50" w:rsidRPr="00325A2B" w:rsidRDefault="009F2D50" w:rsidP="00934237">
            <w:pPr>
              <w:spacing w:after="0"/>
              <w:rPr>
                <w:b w:val="0"/>
                <w:bCs/>
                <w:color w:val="62B5E5" w:themeColor="accent3"/>
              </w:rPr>
            </w:pPr>
            <w:r w:rsidRPr="00325A2B">
              <w:rPr>
                <w:bCs/>
                <w:color w:val="62B5E5" w:themeColor="accent3"/>
              </w:rPr>
              <w:t>Characteristics of</w:t>
            </w:r>
            <w:r>
              <w:rPr>
                <w:bCs/>
                <w:color w:val="62B5E5" w:themeColor="accent3"/>
              </w:rPr>
              <w:t xml:space="preserve"> overseas</w:t>
            </w:r>
            <w:r w:rsidRPr="00325A2B">
              <w:rPr>
                <w:bCs/>
                <w:color w:val="62B5E5" w:themeColor="accent3"/>
              </w:rPr>
              <w:t xml:space="preserve"> </w:t>
            </w:r>
            <w:r>
              <w:rPr>
                <w:bCs/>
                <w:color w:val="62B5E5" w:themeColor="accent3"/>
              </w:rPr>
              <w:t xml:space="preserve">mail-out </w:t>
            </w:r>
            <w:r w:rsidRPr="00325A2B">
              <w:rPr>
                <w:bCs/>
                <w:color w:val="62B5E5" w:themeColor="accent3"/>
              </w:rPr>
              <w:t xml:space="preserve">bowel cancer screening </w:t>
            </w:r>
            <w:r>
              <w:rPr>
                <w:bCs/>
                <w:color w:val="62B5E5" w:themeColor="accent3"/>
              </w:rPr>
              <w:t>P</w:t>
            </w:r>
            <w:r w:rsidRPr="00325A2B">
              <w:rPr>
                <w:bCs/>
                <w:color w:val="62B5E5" w:themeColor="accent3"/>
              </w:rPr>
              <w:t>rogram</w:t>
            </w:r>
            <w:r>
              <w:rPr>
                <w:bCs/>
                <w:color w:val="62B5E5" w:themeColor="accent3"/>
              </w:rPr>
              <w:t>s</w:t>
            </w:r>
          </w:p>
        </w:tc>
      </w:tr>
      <w:tr w:rsidR="009F2D50" w14:paraId="2DCA2211" w14:textId="77777777" w:rsidTr="00934237">
        <w:tc>
          <w:tcPr>
            <w:tcW w:w="1276" w:type="dxa"/>
          </w:tcPr>
          <w:p w14:paraId="07650233" w14:textId="77777777" w:rsidR="009F2D50" w:rsidRDefault="009F2D50" w:rsidP="00934237">
            <w:r>
              <w:t>England</w:t>
            </w:r>
          </w:p>
        </w:tc>
        <w:tc>
          <w:tcPr>
            <w:tcW w:w="7750" w:type="dxa"/>
          </w:tcPr>
          <w:p w14:paraId="491215C0" w14:textId="77777777" w:rsidR="009F2D50" w:rsidRPr="00051E26" w:rsidRDefault="009F2D50" w:rsidP="00934237">
            <w:pPr>
              <w:pStyle w:val="ListBullet"/>
            </w:pPr>
            <w:r>
              <w:t xml:space="preserve">Since 2018, has started to roll out one-sample </w:t>
            </w:r>
            <w:proofErr w:type="spellStart"/>
            <w:r>
              <w:t>iFOBT</w:t>
            </w:r>
            <w:proofErr w:type="spellEnd"/>
            <w:r>
              <w:t>, improving ease of participation.</w:t>
            </w:r>
          </w:p>
          <w:p w14:paraId="55D93B91" w14:textId="6E99A700" w:rsidR="009F2D50" w:rsidRPr="00541BE0" w:rsidRDefault="009F2D50" w:rsidP="00934237">
            <w:pPr>
              <w:pStyle w:val="ListBullet"/>
            </w:pPr>
            <w:r>
              <w:t>Older</w:t>
            </w:r>
            <w:r w:rsidRPr="00C31143">
              <w:t xml:space="preserve"> age bracket </w:t>
            </w:r>
            <w:r>
              <w:t>(60 to 74 years), however this is in the</w:t>
            </w:r>
            <w:r w:rsidRPr="00C31143">
              <w:t xml:space="preserve"> process of being lowered to 50</w:t>
            </w:r>
            <w:r>
              <w:t xml:space="preserve"> years. As noted in </w:t>
            </w:r>
            <w:r>
              <w:fldChar w:fldCharType="begin"/>
            </w:r>
            <w:r>
              <w:instrText xml:space="preserve"> REF _Ref67574765 \r \h </w:instrText>
            </w:r>
            <w:r>
              <w:fldChar w:fldCharType="separate"/>
            </w:r>
            <w:r w:rsidR="00F27525">
              <w:t>Chart 4.3</w:t>
            </w:r>
            <w:r>
              <w:fldChar w:fldCharType="end"/>
            </w:r>
            <w:r>
              <w:t>, there is a positive correlation between age and participation.</w:t>
            </w:r>
          </w:p>
          <w:p w14:paraId="09CF1B32" w14:textId="77777777" w:rsidR="009F2D50" w:rsidRDefault="009F2D50" w:rsidP="00934237">
            <w:pPr>
              <w:pStyle w:val="ListBullet"/>
            </w:pPr>
            <w:r>
              <w:t xml:space="preserve">A participant is not eligible to receive an </w:t>
            </w:r>
            <w:proofErr w:type="spellStart"/>
            <w:r>
              <w:t>iFOBT</w:t>
            </w:r>
            <w:proofErr w:type="spellEnd"/>
            <w:r>
              <w:t xml:space="preserve"> kit unless they are registered with a GP. This makes it easier for Program administrators to promote the role of the GP in educating patients about the Program and reminding them to complete the </w:t>
            </w:r>
            <w:proofErr w:type="spellStart"/>
            <w:r>
              <w:t>iFOBT</w:t>
            </w:r>
            <w:proofErr w:type="spellEnd"/>
            <w:r>
              <w:t>.</w:t>
            </w:r>
          </w:p>
          <w:p w14:paraId="695307C1" w14:textId="77777777" w:rsidR="009F2D50" w:rsidRDefault="009F2D50" w:rsidP="00934237">
            <w:pPr>
              <w:pStyle w:val="ListBullet"/>
            </w:pPr>
            <w:r>
              <w:t xml:space="preserve">The </w:t>
            </w:r>
            <w:r w:rsidRPr="00C31143">
              <w:t>whole</w:t>
            </w:r>
            <w:r>
              <w:t xml:space="preserve"> screening</w:t>
            </w:r>
            <w:r w:rsidRPr="00C31143">
              <w:t xml:space="preserve"> pathway is within the remit of the national healthcare provider</w:t>
            </w:r>
            <w:r>
              <w:t>. Program administrators therefore have more control over processes and initiatives to promote GP and colonoscopy follow-up.</w:t>
            </w:r>
          </w:p>
          <w:p w14:paraId="315D78F7" w14:textId="77777777" w:rsidR="009F2D50" w:rsidRDefault="009F2D50" w:rsidP="00934237">
            <w:pPr>
              <w:pStyle w:val="ListBullet"/>
            </w:pPr>
            <w:r>
              <w:t>Utilises dedicated accredited Program colonoscopy clinics for participants of the screening Program, which expedites diagnostic waiting times and ensures minimum colonoscopy quality standards are met.</w:t>
            </w:r>
          </w:p>
          <w:p w14:paraId="69F66D40" w14:textId="77777777" w:rsidR="009F2D50" w:rsidRPr="00713E06" w:rsidRDefault="009F2D50" w:rsidP="00934237">
            <w:pPr>
              <w:pStyle w:val="ListBullet"/>
            </w:pPr>
            <w:r>
              <w:t xml:space="preserve">Dedicated Program </w:t>
            </w:r>
            <w:r w:rsidRPr="00C31143">
              <w:t xml:space="preserve">nurse coordinators </w:t>
            </w:r>
            <w:r>
              <w:t xml:space="preserve">call participants with a positive </w:t>
            </w:r>
            <w:proofErr w:type="spellStart"/>
            <w:r>
              <w:t>iFOBT</w:t>
            </w:r>
            <w:proofErr w:type="spellEnd"/>
            <w:r>
              <w:t xml:space="preserve"> and directly schedule GP and colonoscopy appointments.</w:t>
            </w:r>
          </w:p>
        </w:tc>
      </w:tr>
      <w:tr w:rsidR="009F2D50" w:rsidRPr="0071798A" w14:paraId="5345D25C" w14:textId="77777777" w:rsidTr="00934237">
        <w:tc>
          <w:tcPr>
            <w:tcW w:w="1276" w:type="dxa"/>
          </w:tcPr>
          <w:p w14:paraId="3E89BCA5" w14:textId="77777777" w:rsidR="009F2D50" w:rsidRDefault="009F2D50" w:rsidP="00934237">
            <w:r>
              <w:t>Sweden</w:t>
            </w:r>
          </w:p>
        </w:tc>
        <w:tc>
          <w:tcPr>
            <w:tcW w:w="7750" w:type="dxa"/>
          </w:tcPr>
          <w:p w14:paraId="4516D0F2" w14:textId="77777777" w:rsidR="009F2D50" w:rsidRPr="0071798A" w:rsidRDefault="009F2D50" w:rsidP="00934237">
            <w:pPr>
              <w:pStyle w:val="ListBullet"/>
            </w:pPr>
            <w:r w:rsidRPr="0071798A">
              <w:t>Utilises</w:t>
            </w:r>
            <w:r>
              <w:t xml:space="preserve"> a</w:t>
            </w:r>
            <w:r w:rsidRPr="0071798A">
              <w:t xml:space="preserve"> </w:t>
            </w:r>
            <w:r>
              <w:t xml:space="preserve">three-sample </w:t>
            </w:r>
            <w:proofErr w:type="spellStart"/>
            <w:r w:rsidRPr="0071798A">
              <w:t>gFOBT</w:t>
            </w:r>
            <w:proofErr w:type="spellEnd"/>
            <w:r>
              <w:rPr>
                <w:rStyle w:val="EndnoteReference"/>
              </w:rPr>
              <w:t xml:space="preserve"> </w:t>
            </w:r>
            <w:r>
              <w:rPr>
                <w:rStyle w:val="EndnoteReference"/>
              </w:rPr>
              <w:endnoteReference w:id="136"/>
            </w:r>
          </w:p>
          <w:p w14:paraId="175AA6F0" w14:textId="3D18B780" w:rsidR="009F2D50" w:rsidRPr="00470E87" w:rsidRDefault="009F2D50" w:rsidP="00934237">
            <w:pPr>
              <w:pStyle w:val="ListBullet"/>
            </w:pPr>
            <w:r w:rsidRPr="0071798A">
              <w:t xml:space="preserve">Older age bracket </w:t>
            </w:r>
            <w:r>
              <w:t>(</w:t>
            </w:r>
            <w:r w:rsidRPr="0071798A">
              <w:t>60</w:t>
            </w:r>
            <w:r>
              <w:t xml:space="preserve"> to </w:t>
            </w:r>
            <w:r w:rsidRPr="0071798A">
              <w:t>69</w:t>
            </w:r>
            <w:r>
              <w:t xml:space="preserve"> years). As noted in </w:t>
            </w:r>
            <w:r>
              <w:fldChar w:fldCharType="begin"/>
            </w:r>
            <w:r>
              <w:instrText xml:space="preserve"> REF _Ref67574765 \r \h </w:instrText>
            </w:r>
            <w:r>
              <w:fldChar w:fldCharType="separate"/>
            </w:r>
            <w:r w:rsidR="00F27525">
              <w:t>Chart 4.3</w:t>
            </w:r>
            <w:r>
              <w:fldChar w:fldCharType="end"/>
            </w:r>
            <w:r>
              <w:t>, there is a positive correlation between age and participation.</w:t>
            </w:r>
          </w:p>
          <w:p w14:paraId="0BC3028F" w14:textId="75E5A3FE" w:rsidR="009F2D50" w:rsidRPr="008C23FB" w:rsidRDefault="009F2D50" w:rsidP="00934237">
            <w:pPr>
              <w:pStyle w:val="ListBullet"/>
            </w:pPr>
            <w:r w:rsidRPr="0071798A">
              <w:t>The program currently only operates in Stockholm county and Gotland county</w:t>
            </w:r>
            <w:r>
              <w:t xml:space="preserve">, both metropolitan regions. As noted in </w:t>
            </w:r>
            <w:r>
              <w:fldChar w:fldCharType="begin"/>
            </w:r>
            <w:r>
              <w:instrText xml:space="preserve"> REF _Ref67835083 \r \h </w:instrText>
            </w:r>
            <w:r>
              <w:fldChar w:fldCharType="separate"/>
            </w:r>
            <w:r w:rsidR="00F27525">
              <w:t>Table 4.2</w:t>
            </w:r>
            <w:r>
              <w:fldChar w:fldCharType="end"/>
            </w:r>
            <w:r>
              <w:t xml:space="preserve"> below, invitees based on metropolitan regions are more likely to participate.</w:t>
            </w:r>
          </w:p>
        </w:tc>
      </w:tr>
      <w:tr w:rsidR="009F2D50" w14:paraId="1B335AD9" w14:textId="77777777" w:rsidTr="00934237">
        <w:tc>
          <w:tcPr>
            <w:tcW w:w="1276" w:type="dxa"/>
          </w:tcPr>
          <w:p w14:paraId="38A3E5EB" w14:textId="77777777" w:rsidR="009F2D50" w:rsidRDefault="009F2D50" w:rsidP="00934237">
            <w:r>
              <w:t>Denmark</w:t>
            </w:r>
          </w:p>
        </w:tc>
        <w:tc>
          <w:tcPr>
            <w:tcW w:w="7750" w:type="dxa"/>
          </w:tcPr>
          <w:p w14:paraId="02B841B1" w14:textId="77777777" w:rsidR="009F2D50" w:rsidRPr="001D377E" w:rsidRDefault="009F2D50" w:rsidP="00934237">
            <w:pPr>
              <w:pStyle w:val="ListBullet"/>
            </w:pPr>
            <w:r>
              <w:t>Utilises a one sample</w:t>
            </w:r>
            <w:r w:rsidRPr="00C31143">
              <w:t xml:space="preserve"> </w:t>
            </w:r>
            <w:proofErr w:type="spellStart"/>
            <w:r>
              <w:t>iFOBT</w:t>
            </w:r>
            <w:proofErr w:type="spellEnd"/>
            <w:r>
              <w:t>.</w:t>
            </w:r>
            <w:r>
              <w:rPr>
                <w:rStyle w:val="EndnoteReference"/>
              </w:rPr>
              <w:endnoteReference w:id="137"/>
            </w:r>
          </w:p>
          <w:p w14:paraId="71BCC431" w14:textId="77777777" w:rsidR="009F2D50" w:rsidRDefault="009F2D50" w:rsidP="00934237">
            <w:pPr>
              <w:pStyle w:val="ListBullet"/>
            </w:pPr>
            <w:r>
              <w:t>Same age-bracket (50 to 74 years).</w:t>
            </w:r>
          </w:p>
          <w:p w14:paraId="71BF820A" w14:textId="77777777" w:rsidR="009F2D50" w:rsidRDefault="009F2D50" w:rsidP="00934237">
            <w:pPr>
              <w:pStyle w:val="ListBullet"/>
            </w:pPr>
            <w:r>
              <w:t xml:space="preserve">The </w:t>
            </w:r>
            <w:r w:rsidRPr="00C31143">
              <w:t>whole</w:t>
            </w:r>
            <w:r>
              <w:t xml:space="preserve"> screening</w:t>
            </w:r>
            <w:r w:rsidRPr="00C31143">
              <w:t xml:space="preserve"> pathway is within the remit of the national healthcare provider</w:t>
            </w:r>
            <w:r>
              <w:t>, Program administrators therefore have more control over processes and initiatives to promote GP and colonoscopy follow-up.</w:t>
            </w:r>
          </w:p>
          <w:p w14:paraId="5AEC9C50" w14:textId="77777777" w:rsidR="009F2D50" w:rsidRDefault="009F2D50" w:rsidP="00934237">
            <w:pPr>
              <w:pStyle w:val="ListBullet"/>
            </w:pPr>
            <w:r>
              <w:t>Various direct engagements with primary care providers in promoting the screening pathway.</w:t>
            </w:r>
            <w:r>
              <w:rPr>
                <w:rStyle w:val="EndnoteReference"/>
              </w:rPr>
              <w:endnoteReference w:id="138"/>
            </w:r>
          </w:p>
          <w:p w14:paraId="42358B72" w14:textId="77777777" w:rsidR="009F2D50" w:rsidRPr="00F84E5E" w:rsidRDefault="009F2D50" w:rsidP="00934237">
            <w:pPr>
              <w:pStyle w:val="ListBullet"/>
            </w:pPr>
            <w:r>
              <w:rPr>
                <w:bCs/>
              </w:rPr>
              <w:t>Colonoscopies are directly scheduled by the screening Program by a mandated date.</w:t>
            </w:r>
            <w:r>
              <w:rPr>
                <w:rStyle w:val="EndnoteReference"/>
                <w:bCs/>
              </w:rPr>
              <w:endnoteReference w:id="139"/>
            </w:r>
          </w:p>
        </w:tc>
      </w:tr>
      <w:tr w:rsidR="009F2D50" w14:paraId="2B343497" w14:textId="77777777" w:rsidTr="00934237">
        <w:tc>
          <w:tcPr>
            <w:tcW w:w="1276" w:type="dxa"/>
          </w:tcPr>
          <w:p w14:paraId="1C3106C8" w14:textId="77777777" w:rsidR="009F2D50" w:rsidRDefault="009F2D50" w:rsidP="00934237">
            <w:r>
              <w:t>Netherlands</w:t>
            </w:r>
          </w:p>
        </w:tc>
        <w:tc>
          <w:tcPr>
            <w:tcW w:w="7750" w:type="dxa"/>
          </w:tcPr>
          <w:p w14:paraId="1FDDF93B" w14:textId="77777777" w:rsidR="009F2D50" w:rsidRDefault="009F2D50" w:rsidP="00934237">
            <w:pPr>
              <w:pStyle w:val="ListBullet"/>
            </w:pPr>
            <w:r>
              <w:t xml:space="preserve">Utilises a one sample </w:t>
            </w:r>
            <w:proofErr w:type="spellStart"/>
            <w:r>
              <w:t>iFOBT</w:t>
            </w:r>
            <w:proofErr w:type="spellEnd"/>
            <w:r>
              <w:t>.</w:t>
            </w:r>
            <w:r>
              <w:rPr>
                <w:rStyle w:val="EndnoteReference"/>
              </w:rPr>
              <w:endnoteReference w:id="140"/>
            </w:r>
            <w:r>
              <w:t xml:space="preserve"> </w:t>
            </w:r>
          </w:p>
          <w:p w14:paraId="21AF065B" w14:textId="77777777" w:rsidR="009F2D50" w:rsidRPr="0071798A" w:rsidRDefault="009F2D50" w:rsidP="00934237">
            <w:pPr>
              <w:pStyle w:val="ListBullet"/>
            </w:pPr>
            <w:r w:rsidRPr="0071798A">
              <w:t xml:space="preserve">Older age bracket </w:t>
            </w:r>
            <w:r>
              <w:t>(</w:t>
            </w:r>
            <w:r w:rsidRPr="0071798A">
              <w:t>60</w:t>
            </w:r>
            <w:r>
              <w:t xml:space="preserve"> to </w:t>
            </w:r>
            <w:r w:rsidRPr="0071798A">
              <w:t>69</w:t>
            </w:r>
            <w:r>
              <w:t xml:space="preserve"> years). As noted below, there is a positive correlation between age and participation.</w:t>
            </w:r>
          </w:p>
          <w:p w14:paraId="52939432" w14:textId="77777777" w:rsidR="009F2D50" w:rsidRDefault="009F2D50" w:rsidP="00934237">
            <w:pPr>
              <w:pStyle w:val="ListBullet"/>
            </w:pPr>
            <w:r>
              <w:lastRenderedPageBreak/>
              <w:t>Various direct engagements with primary care providers in promoting the screening pathway.</w:t>
            </w:r>
            <w:r>
              <w:rPr>
                <w:rStyle w:val="EndnoteReference"/>
              </w:rPr>
              <w:endnoteReference w:id="141"/>
            </w:r>
          </w:p>
          <w:p w14:paraId="02A9126B" w14:textId="77777777" w:rsidR="009F2D50" w:rsidRDefault="009F2D50" w:rsidP="00934237">
            <w:pPr>
              <w:pStyle w:val="ListBullet"/>
            </w:pPr>
            <w:r>
              <w:rPr>
                <w:bCs/>
              </w:rPr>
              <w:t>Colonoscopies are directly scheduled in collaboration with primary care providers.</w:t>
            </w:r>
            <w:r>
              <w:rPr>
                <w:rStyle w:val="EndnoteReference"/>
                <w:bCs/>
              </w:rPr>
              <w:endnoteReference w:id="142"/>
            </w:r>
          </w:p>
        </w:tc>
      </w:tr>
      <w:tr w:rsidR="009F2D50" w14:paraId="17C66E91" w14:textId="77777777" w:rsidTr="00934237">
        <w:tc>
          <w:tcPr>
            <w:tcW w:w="1276" w:type="dxa"/>
          </w:tcPr>
          <w:p w14:paraId="0CD254A9" w14:textId="77777777" w:rsidR="009F2D50" w:rsidRDefault="009F2D50" w:rsidP="00934237">
            <w:r>
              <w:lastRenderedPageBreak/>
              <w:t>New Zealand</w:t>
            </w:r>
          </w:p>
        </w:tc>
        <w:tc>
          <w:tcPr>
            <w:tcW w:w="7750" w:type="dxa"/>
          </w:tcPr>
          <w:p w14:paraId="7C068CAA" w14:textId="77777777" w:rsidR="009F2D50" w:rsidRDefault="009F2D50" w:rsidP="00934237">
            <w:pPr>
              <w:pStyle w:val="ListBullet"/>
            </w:pPr>
            <w:r w:rsidRPr="00A92EC9">
              <w:t>Utilise</w:t>
            </w:r>
            <w:r>
              <w:t>s</w:t>
            </w:r>
            <w:r w:rsidRPr="00A92EC9">
              <w:t xml:space="preserve"> </w:t>
            </w:r>
            <w:r>
              <w:t xml:space="preserve">a one sample </w:t>
            </w:r>
            <w:proofErr w:type="spellStart"/>
            <w:r w:rsidRPr="00A92EC9">
              <w:t>iFOBT</w:t>
            </w:r>
            <w:proofErr w:type="spellEnd"/>
            <w:r>
              <w:t>.</w:t>
            </w:r>
            <w:r>
              <w:rPr>
                <w:rStyle w:val="EndnoteReference"/>
              </w:rPr>
              <w:endnoteReference w:id="143"/>
            </w:r>
          </w:p>
          <w:p w14:paraId="224F5B95" w14:textId="77777777" w:rsidR="009F2D50" w:rsidRPr="00EE3B24" w:rsidRDefault="009F2D50" w:rsidP="00934237">
            <w:pPr>
              <w:pStyle w:val="ListBullet"/>
            </w:pPr>
            <w:r>
              <w:rPr>
                <w:bCs/>
              </w:rPr>
              <w:t>Older age bracket (</w:t>
            </w:r>
            <w:r w:rsidRPr="00280FA3">
              <w:rPr>
                <w:bCs/>
              </w:rPr>
              <w:t>60</w:t>
            </w:r>
            <w:r>
              <w:rPr>
                <w:bCs/>
              </w:rPr>
              <w:t xml:space="preserve"> to </w:t>
            </w:r>
            <w:r w:rsidRPr="00280FA3">
              <w:rPr>
                <w:bCs/>
              </w:rPr>
              <w:t>74</w:t>
            </w:r>
            <w:r>
              <w:rPr>
                <w:bCs/>
              </w:rPr>
              <w:t xml:space="preserve"> years). </w:t>
            </w:r>
            <w:r>
              <w:t>As noted below, there is a positive correlation between age and participation.</w:t>
            </w:r>
          </w:p>
          <w:p w14:paraId="5979267D" w14:textId="77777777" w:rsidR="009F2D50" w:rsidRPr="00EE3B24" w:rsidRDefault="009F2D50" w:rsidP="00934237">
            <w:pPr>
              <w:pStyle w:val="ListBullet"/>
            </w:pPr>
            <w:r>
              <w:t xml:space="preserve">The </w:t>
            </w:r>
            <w:r w:rsidRPr="00C31143">
              <w:t>whole</w:t>
            </w:r>
            <w:r>
              <w:t xml:space="preserve"> screening</w:t>
            </w:r>
            <w:r w:rsidRPr="00C31143">
              <w:t xml:space="preserve"> pathway is within the remit of the national healthcare provider</w:t>
            </w:r>
            <w:r>
              <w:t>, Program administrators therefore have more control over processes and initiatives to promote GP and colonoscopy follow-up.</w:t>
            </w:r>
          </w:p>
        </w:tc>
      </w:tr>
    </w:tbl>
    <w:p w14:paraId="7139A70B" w14:textId="77777777" w:rsidR="00A603BB" w:rsidRDefault="00A603BB">
      <w:pPr>
        <w:spacing w:after="0"/>
        <w:rPr>
          <w:lang w:val="en-US" w:eastAsia="en-AU"/>
        </w:rPr>
      </w:pPr>
      <w:r>
        <w:rPr>
          <w:lang w:val="en-US" w:eastAsia="en-AU"/>
        </w:rPr>
        <w:br w:type="page"/>
      </w:r>
    </w:p>
    <w:p w14:paraId="7CD3E201" w14:textId="01884830" w:rsidR="009F2D50" w:rsidRDefault="00A603BB" w:rsidP="00A603BB">
      <w:pPr>
        <w:pStyle w:val="Appendixhead1"/>
        <w:rPr>
          <w:lang w:val="en-US" w:eastAsia="en-AU"/>
        </w:rPr>
      </w:pPr>
      <w:r>
        <w:rPr>
          <w:lang w:val="en-US" w:eastAsia="en-AU"/>
        </w:rPr>
        <w:lastRenderedPageBreak/>
        <w:t xml:space="preserve">Findings related to Indigenous cohorts </w:t>
      </w:r>
    </w:p>
    <w:p w14:paraId="2568EDEB" w14:textId="1EA2B6A9" w:rsidR="00102D6F" w:rsidRDefault="001D46B5" w:rsidP="00EE277F">
      <w:pPr>
        <w:pStyle w:val="Appendixhead2"/>
        <w:rPr>
          <w:lang w:val="en-US"/>
        </w:rPr>
      </w:pPr>
      <w:r>
        <w:rPr>
          <w:lang w:val="en-US"/>
        </w:rPr>
        <w:t>Findings related to Indigenous cohorts</w:t>
      </w:r>
    </w:p>
    <w:p w14:paraId="157FCAFF" w14:textId="4D6A5223" w:rsidR="001D46B5" w:rsidRDefault="00EE7B51" w:rsidP="001D46B5">
      <w:pPr>
        <w:rPr>
          <w:lang w:val="en-US" w:eastAsia="en-AU"/>
        </w:rPr>
      </w:pPr>
      <w:r>
        <w:rPr>
          <w:lang w:val="en-US" w:eastAsia="en-AU"/>
        </w:rPr>
        <w:t>A summary of findings that emerged through the review for people from Aboriginal and Torres strait Islander backgrounds is presented below.</w:t>
      </w:r>
    </w:p>
    <w:p w14:paraId="22AFBFB0" w14:textId="33DFD320" w:rsidR="00D37BAB" w:rsidRDefault="00D37BAB" w:rsidP="00D37BAB">
      <w:pPr>
        <w:pStyle w:val="AppendixTableCaption"/>
        <w:rPr>
          <w:lang w:val="en-US"/>
        </w:rPr>
      </w:pPr>
      <w:r>
        <w:rPr>
          <w:lang w:val="en-US"/>
        </w:rPr>
        <w:t>: Summary of findings related to Indigenous cohorts</w:t>
      </w:r>
    </w:p>
    <w:tbl>
      <w:tblPr>
        <w:tblStyle w:val="Deloittetable"/>
        <w:tblW w:w="0" w:type="auto"/>
        <w:tblLook w:val="04A0" w:firstRow="1" w:lastRow="0" w:firstColumn="1" w:lastColumn="0" w:noHBand="0" w:noVBand="1"/>
      </w:tblPr>
      <w:tblGrid>
        <w:gridCol w:w="1640"/>
        <w:gridCol w:w="7271"/>
        <w:gridCol w:w="105"/>
      </w:tblGrid>
      <w:tr w:rsidR="00D37BAB" w14:paraId="26C9FB65" w14:textId="77777777" w:rsidTr="008B4C0B">
        <w:trPr>
          <w:gridAfter w:val="1"/>
          <w:cnfStyle w:val="100000000000" w:firstRow="1" w:lastRow="0" w:firstColumn="0" w:lastColumn="0" w:oddVBand="0" w:evenVBand="0" w:oddHBand="0" w:evenHBand="0" w:firstRowFirstColumn="0" w:firstRowLastColumn="0" w:lastRowFirstColumn="0" w:lastRowLastColumn="0"/>
          <w:wAfter w:w="106" w:type="dxa"/>
        </w:trPr>
        <w:tc>
          <w:tcPr>
            <w:tcW w:w="1560" w:type="dxa"/>
          </w:tcPr>
          <w:p w14:paraId="402D3838" w14:textId="3339FE36" w:rsidR="00D37BAB" w:rsidRPr="00554B9A" w:rsidRDefault="00554B9A" w:rsidP="001D46B5">
            <w:pPr>
              <w:rPr>
                <w:b w:val="0"/>
                <w:bCs/>
                <w:color w:val="62B5E5" w:themeColor="accent3"/>
                <w:lang w:val="en-US" w:eastAsia="en-AU"/>
              </w:rPr>
            </w:pPr>
            <w:r w:rsidRPr="00554B9A">
              <w:rPr>
                <w:bCs/>
                <w:color w:val="62B5E5" w:themeColor="accent3"/>
                <w:lang w:val="en-US" w:eastAsia="en-AU"/>
              </w:rPr>
              <w:t>Chapter</w:t>
            </w:r>
          </w:p>
        </w:tc>
        <w:tc>
          <w:tcPr>
            <w:tcW w:w="7360" w:type="dxa"/>
          </w:tcPr>
          <w:p w14:paraId="21D295CF" w14:textId="203B2A25" w:rsidR="00D37BAB" w:rsidRPr="00554B9A" w:rsidRDefault="00554B9A" w:rsidP="001D46B5">
            <w:pPr>
              <w:rPr>
                <w:b w:val="0"/>
                <w:bCs/>
                <w:color w:val="62B5E5" w:themeColor="accent3"/>
                <w:lang w:val="en-US" w:eastAsia="en-AU"/>
              </w:rPr>
            </w:pPr>
            <w:r w:rsidRPr="00554B9A">
              <w:rPr>
                <w:bCs/>
                <w:color w:val="62B5E5" w:themeColor="accent3"/>
                <w:lang w:val="en-US" w:eastAsia="en-AU"/>
              </w:rPr>
              <w:t>Relevant findings</w:t>
            </w:r>
          </w:p>
        </w:tc>
      </w:tr>
      <w:tr w:rsidR="00D37BAB" w14:paraId="1BE99F3A" w14:textId="77777777" w:rsidTr="008B4C0B">
        <w:tc>
          <w:tcPr>
            <w:tcW w:w="1560" w:type="dxa"/>
          </w:tcPr>
          <w:p w14:paraId="2DBE1953" w14:textId="1C62FCE1" w:rsidR="00D37BAB" w:rsidRPr="00E1554B" w:rsidRDefault="00F33FE6" w:rsidP="001D46B5">
            <w:pPr>
              <w:rPr>
                <w:color w:val="000000" w:themeColor="text1"/>
                <w:lang w:val="en-US" w:eastAsia="en-AU"/>
              </w:rPr>
            </w:pPr>
            <w:r w:rsidRPr="00E1554B">
              <w:rPr>
                <w:color w:val="000000" w:themeColor="text1"/>
                <w:lang w:val="en-US" w:eastAsia="en-AU"/>
              </w:rPr>
              <w:t>Appropriateness</w:t>
            </w:r>
          </w:p>
        </w:tc>
        <w:tc>
          <w:tcPr>
            <w:tcW w:w="7466" w:type="dxa"/>
            <w:gridSpan w:val="2"/>
          </w:tcPr>
          <w:p w14:paraId="34172678" w14:textId="26B97129" w:rsidR="006605AE" w:rsidRPr="00E1554B" w:rsidRDefault="00DA7F3A" w:rsidP="00B11357">
            <w:r w:rsidRPr="00E1554B">
              <w:t xml:space="preserve">Bowel cancer incidence rates are lower for Aboriginal and Torres Strait Islander people relative to non-Aboriginal and Torres Strait Islander </w:t>
            </w:r>
            <w:r w:rsidR="00A93770" w:rsidRPr="00E1554B">
              <w:t>people;</w:t>
            </w:r>
            <w:r w:rsidRPr="00E1554B">
              <w:t xml:space="preserve"> </w:t>
            </w:r>
            <w:r w:rsidR="00A93770" w:rsidRPr="00E1554B">
              <w:t>however,</w:t>
            </w:r>
            <w:r w:rsidRPr="00E1554B">
              <w:t xml:space="preserve"> survival rates are poorer. </w:t>
            </w:r>
          </w:p>
          <w:p w14:paraId="63C18FEE" w14:textId="23B9C4BF" w:rsidR="00E1554B" w:rsidRPr="00E1554B" w:rsidRDefault="006605AE" w:rsidP="00B11357">
            <w:pPr>
              <w:rPr>
                <w:vertAlign w:val="superscript"/>
              </w:rPr>
            </w:pPr>
            <w:r w:rsidRPr="00E1554B">
              <w:t>Alternative distribution and completion pathways for Aboriginal and Torres Strait Islander people have shown to be highly effective.</w:t>
            </w:r>
            <w:r w:rsidR="00E1554B" w:rsidRPr="00E1554B">
              <w:t xml:space="preserve"> </w:t>
            </w:r>
            <w:r w:rsidRPr="00E1554B">
              <w:t>The</w:t>
            </w:r>
            <w:r w:rsidR="00FA72EA" w:rsidRPr="00E1554B">
              <w:t xml:space="preserve"> Alternative Pathway</w:t>
            </w:r>
            <w:r w:rsidRPr="00E1554B">
              <w:t xml:space="preserve"> pilot resulted in an Indigenous participation rate of 40 per cent (</w:t>
            </w:r>
            <w:proofErr w:type="gramStart"/>
            <w:r w:rsidRPr="00E1554B">
              <w:t>similar to</w:t>
            </w:r>
            <w:proofErr w:type="gramEnd"/>
            <w:r w:rsidRPr="00E1554B">
              <w:t xml:space="preserve"> the rate for all Australians) compared to 23 per cent in the traditional pathway. In addition, the median number of days in which kits were returned was 13 days for the Alternative Pathway compared to 34 days in the traditional pathway.</w:t>
            </w:r>
            <w:r w:rsidRPr="00E1554B">
              <w:rPr>
                <w:rStyle w:val="EndnoteReference"/>
                <w:color w:val="000000" w:themeColor="text1"/>
              </w:rPr>
              <w:endnoteReference w:id="144"/>
            </w:r>
            <w:r w:rsidRPr="00E1554B">
              <w:rPr>
                <w:vertAlign w:val="superscript"/>
              </w:rPr>
              <w:t>,</w:t>
            </w:r>
            <w:r w:rsidRPr="00E1554B">
              <w:rPr>
                <w:rStyle w:val="EndnoteReference"/>
                <w:color w:val="000000" w:themeColor="text1"/>
              </w:rPr>
              <w:endnoteReference w:id="145"/>
            </w:r>
            <w:r w:rsidRPr="00E1554B">
              <w:rPr>
                <w:vertAlign w:val="superscript"/>
              </w:rPr>
              <w:t xml:space="preserve"> </w:t>
            </w:r>
          </w:p>
          <w:p w14:paraId="3F0B132E" w14:textId="77777777" w:rsidR="00A93770" w:rsidRDefault="006605AE" w:rsidP="00B11357">
            <w:r w:rsidRPr="00E1554B">
              <w:t xml:space="preserve">Insights gleaned from consultations supported these findings, with strong sentiment that the model is an appropriate method for reaching people from Aboriginal and Torres Strait Islander backgrounds. There was consensus that the model could be scaled to other Aboriginal and Torres Strait Islander communities and/or other groups such as people from CALD backgrounds. This was noted with the caveat that, in any decision to scale, the target population’s unique access barriers should be considered, and approaches and resources from the Alterative Pathway tailored, as appropriate. </w:t>
            </w:r>
          </w:p>
          <w:p w14:paraId="25617964" w14:textId="5A0E3A1C" w:rsidR="005943AC" w:rsidRDefault="005943AC" w:rsidP="005F4326">
            <w:r w:rsidRPr="00495E4C">
              <w:t>Based on</w:t>
            </w:r>
            <w:r>
              <w:t xml:space="preserve"> a review of</w:t>
            </w:r>
            <w:r w:rsidRPr="00495E4C">
              <w:t xml:space="preserve"> Lew</w:t>
            </w:r>
            <w:r>
              <w:t xml:space="preserve"> et al.’s</w:t>
            </w:r>
            <w:r w:rsidRPr="00495E4C">
              <w:t xml:space="preserve"> </w:t>
            </w:r>
            <w:r w:rsidR="00C93D4F">
              <w:t>(pre-published)</w:t>
            </w:r>
            <w:r w:rsidRPr="00495E4C">
              <w:t xml:space="preserve"> findings and conclusions, it is </w:t>
            </w:r>
            <w:r>
              <w:t xml:space="preserve">also </w:t>
            </w:r>
            <w:r w:rsidRPr="00495E4C">
              <w:t>worthwhile to consider lowering the starting screening age for Aboriginal and Torres Strait Islander people</w:t>
            </w:r>
            <w:r>
              <w:t xml:space="preserve">. Changes to Program policy require a consideration of </w:t>
            </w:r>
            <w:r w:rsidRPr="00495E4C">
              <w:t xml:space="preserve">both value for money </w:t>
            </w:r>
            <w:r w:rsidRPr="00495E4C">
              <w:rPr>
                <w:i/>
                <w:iCs/>
              </w:rPr>
              <w:t>and</w:t>
            </w:r>
            <w:r w:rsidRPr="00495E4C">
              <w:t xml:space="preserve"> equity of access considerations</w:t>
            </w:r>
            <w:r>
              <w:t xml:space="preserve">, </w:t>
            </w:r>
            <w:r w:rsidRPr="00495E4C">
              <w:t>with a</w:t>
            </w:r>
            <w:r>
              <w:t xml:space="preserve">n overall </w:t>
            </w:r>
            <w:r w:rsidRPr="00495E4C">
              <w:t>view to closing gaps in health disparities for certain population sub-groups. It is on this basis the review supports Lew’s conclusion that there is an opportunity to consider lowering the starting screening age for Aboriginal and Torres Strait Islander people</w:t>
            </w:r>
            <w:r>
              <w:t>,</w:t>
            </w:r>
            <w:r w:rsidRPr="00495E4C">
              <w:t xml:space="preserve"> but not the general population.</w:t>
            </w:r>
            <w:r w:rsidRPr="006D0265">
              <w:rPr>
                <w:lang w:val="en-US"/>
              </w:rPr>
              <w:t xml:space="preserve"> This decision should consider </w:t>
            </w:r>
            <w:r w:rsidRPr="006D0265">
              <w:t>the existing barriers to participation in this cohort, and associated investment in alternative pathways to optimise participation across the screening pathway.</w:t>
            </w:r>
          </w:p>
          <w:p w14:paraId="70DE5180" w14:textId="257BDE7A" w:rsidR="00BC72B6" w:rsidRPr="00373707" w:rsidRDefault="00BC72B6" w:rsidP="00815EA5">
            <w:r w:rsidRPr="006547A2">
              <w:t>Opportunity:</w:t>
            </w:r>
            <w:r w:rsidRPr="00560681">
              <w:t xml:space="preserve"> </w:t>
            </w:r>
            <w:r w:rsidR="005943AC" w:rsidRPr="009D7EDA">
              <w:rPr>
                <w:bCs/>
                <w:lang w:val="en-US"/>
              </w:rPr>
              <w:t xml:space="preserve">Consider </w:t>
            </w:r>
            <w:r w:rsidR="00606AD4">
              <w:rPr>
                <w:bCs/>
                <w:lang w:val="en-US"/>
              </w:rPr>
              <w:t xml:space="preserve">the </w:t>
            </w:r>
            <w:r w:rsidR="005943AC" w:rsidRPr="009D7EDA">
              <w:rPr>
                <w:bCs/>
                <w:lang w:val="en-US"/>
              </w:rPr>
              <w:t xml:space="preserve">feasibility of lowering </w:t>
            </w:r>
            <w:r w:rsidR="005943AC" w:rsidRPr="00815EA5">
              <w:rPr>
                <w:lang w:val="en-US"/>
              </w:rPr>
              <w:t>screening entry age to 40 or 45 for Aboriginal and Torres Strait Islander people, coupled with scale up of the Alternative Pathway pilot for this group.</w:t>
            </w:r>
          </w:p>
        </w:tc>
      </w:tr>
      <w:tr w:rsidR="00D37BAB" w14:paraId="204D7394" w14:textId="77777777" w:rsidTr="008B4C0B">
        <w:tc>
          <w:tcPr>
            <w:tcW w:w="1560" w:type="dxa"/>
          </w:tcPr>
          <w:p w14:paraId="6C8E3422" w14:textId="624BD961" w:rsidR="00D37BAB" w:rsidRDefault="0017529A" w:rsidP="001D46B5">
            <w:pPr>
              <w:rPr>
                <w:lang w:val="en-US" w:eastAsia="en-AU"/>
              </w:rPr>
            </w:pPr>
            <w:r>
              <w:rPr>
                <w:lang w:val="en-US" w:eastAsia="en-AU"/>
              </w:rPr>
              <w:t>Fidelity</w:t>
            </w:r>
          </w:p>
        </w:tc>
        <w:tc>
          <w:tcPr>
            <w:tcW w:w="7466" w:type="dxa"/>
            <w:gridSpan w:val="2"/>
          </w:tcPr>
          <w:p w14:paraId="2672E1CE" w14:textId="5DD639F5" w:rsidR="00D37BAB" w:rsidRDefault="007F66AB" w:rsidP="001D46B5">
            <w:pPr>
              <w:rPr>
                <w:lang w:val="en-US" w:eastAsia="en-AU"/>
              </w:rPr>
            </w:pPr>
            <w:r>
              <w:rPr>
                <w:lang w:val="en-US" w:eastAsia="en-AU"/>
              </w:rPr>
              <w:t>As intended, as part of Phase Four, the</w:t>
            </w:r>
            <w:r w:rsidR="00BC72B6">
              <w:rPr>
                <w:lang w:val="en-US" w:eastAsia="en-AU"/>
              </w:rPr>
              <w:t xml:space="preserve"> Department </w:t>
            </w:r>
            <w:r>
              <w:rPr>
                <w:lang w:val="en-US" w:eastAsia="en-AU"/>
              </w:rPr>
              <w:t xml:space="preserve">successfully </w:t>
            </w:r>
            <w:r w:rsidR="00BC72B6">
              <w:rPr>
                <w:lang w:val="en-US" w:eastAsia="en-AU"/>
              </w:rPr>
              <w:t>impl</w:t>
            </w:r>
            <w:r>
              <w:rPr>
                <w:lang w:val="en-US" w:eastAsia="en-AU"/>
              </w:rPr>
              <w:t>emented</w:t>
            </w:r>
            <w:r w:rsidR="00BC72B6">
              <w:rPr>
                <w:lang w:val="en-US" w:eastAsia="en-AU"/>
              </w:rPr>
              <w:t xml:space="preserve"> the Alternative Pathway </w:t>
            </w:r>
            <w:r>
              <w:rPr>
                <w:lang w:val="en-US" w:eastAsia="en-AU"/>
              </w:rPr>
              <w:t>program to enhance access to the Program for Aboriginal and Torres Strait Islander people.</w:t>
            </w:r>
          </w:p>
        </w:tc>
      </w:tr>
      <w:tr w:rsidR="00D37BAB" w14:paraId="38DDEA4D" w14:textId="77777777" w:rsidTr="008B4C0B">
        <w:tc>
          <w:tcPr>
            <w:tcW w:w="1560" w:type="dxa"/>
          </w:tcPr>
          <w:p w14:paraId="5657C324" w14:textId="72766CD2" w:rsidR="00D37BAB" w:rsidRDefault="0017529A" w:rsidP="001D46B5">
            <w:pPr>
              <w:rPr>
                <w:lang w:val="en-US" w:eastAsia="en-AU"/>
              </w:rPr>
            </w:pPr>
            <w:r>
              <w:rPr>
                <w:lang w:val="en-US" w:eastAsia="en-AU"/>
              </w:rPr>
              <w:lastRenderedPageBreak/>
              <w:t>Awareness and adoption</w:t>
            </w:r>
            <w:r w:rsidR="00476DED">
              <w:rPr>
                <w:lang w:val="en-US" w:eastAsia="en-AU"/>
              </w:rPr>
              <w:t xml:space="preserve"> </w:t>
            </w:r>
          </w:p>
        </w:tc>
        <w:tc>
          <w:tcPr>
            <w:tcW w:w="7466" w:type="dxa"/>
            <w:gridSpan w:val="2"/>
          </w:tcPr>
          <w:p w14:paraId="18BA36F6" w14:textId="77777777" w:rsidR="00601B73" w:rsidRDefault="00D050AC" w:rsidP="00601B73">
            <w:pPr>
              <w:rPr>
                <w:lang w:val="en-US" w:eastAsia="en-AU"/>
              </w:rPr>
            </w:pPr>
            <w:r>
              <w:rPr>
                <w:lang w:val="en-US" w:eastAsia="en-AU"/>
              </w:rPr>
              <w:t xml:space="preserve">Program participation rates are comparatively low for Aboriginal and Torres Islander backgrounds </w:t>
            </w:r>
            <w:r w:rsidR="008B4C0B">
              <w:rPr>
                <w:lang w:val="en-US" w:eastAsia="en-AU"/>
              </w:rPr>
              <w:t>(23 per cent, compared to 44 per cent overall, in 2018).</w:t>
            </w:r>
          </w:p>
          <w:p w14:paraId="7FE615C4" w14:textId="4B02D332" w:rsidR="00601B73" w:rsidRPr="004653D3" w:rsidRDefault="00601B73" w:rsidP="004653D3">
            <w:pPr>
              <w:rPr>
                <w:bCs/>
                <w:lang w:val="en-US" w:eastAsia="en-AU"/>
              </w:rPr>
            </w:pPr>
            <w:r w:rsidRPr="006547A2">
              <w:t>Opportunity:</w:t>
            </w:r>
            <w:r>
              <w:rPr>
                <w:bCs/>
                <w:lang w:val="en-US"/>
              </w:rPr>
              <w:t xml:space="preserve"> </w:t>
            </w:r>
            <w:r w:rsidRPr="00601B73">
              <w:rPr>
                <w:bCs/>
                <w:lang w:val="en-US"/>
              </w:rPr>
              <w:t>Scale up the Alternative Pathway pilot, as appropriate in other population groups.</w:t>
            </w:r>
            <w:r w:rsidR="004653D3">
              <w:rPr>
                <w:bCs/>
                <w:lang w:val="en-US"/>
              </w:rPr>
              <w:t xml:space="preserve"> </w:t>
            </w:r>
            <w:r w:rsidRPr="00CA049E">
              <w:rPr>
                <w:color w:val="000000" w:themeColor="text1"/>
              </w:rPr>
              <w:t xml:space="preserve">The </w:t>
            </w:r>
            <w:r>
              <w:rPr>
                <w:color w:val="000000" w:themeColor="text1"/>
              </w:rPr>
              <w:t>A</w:t>
            </w:r>
            <w:r w:rsidRPr="00CA049E">
              <w:rPr>
                <w:color w:val="000000" w:themeColor="text1"/>
              </w:rPr>
              <w:t xml:space="preserve">lternative </w:t>
            </w:r>
            <w:r>
              <w:rPr>
                <w:color w:val="000000" w:themeColor="text1"/>
              </w:rPr>
              <w:t>P</w:t>
            </w:r>
            <w:r w:rsidRPr="00CA049E">
              <w:rPr>
                <w:color w:val="000000" w:themeColor="text1"/>
              </w:rPr>
              <w:t>athway pilot demonstrated success in increasing participation in Aboriginal and Torres Strait Islander communities. Feasibility of scaling the pilot to other Aboriginal and Torres Strait Islander communities should be explored. In addition, consideration should be given to how the pilot could be tailored and adapted to meet the unique needs and access barriers for people from CALD backgrounds.</w:t>
            </w:r>
          </w:p>
        </w:tc>
      </w:tr>
    </w:tbl>
    <w:p w14:paraId="684FC9B6" w14:textId="6989C25D" w:rsidR="008B2106" w:rsidRPr="005C64D7" w:rsidRDefault="00F244EA" w:rsidP="00DF4155">
      <w:pPr>
        <w:spacing w:after="0"/>
        <w:rPr>
          <w:lang w:val="en-US" w:eastAsia="en-AU"/>
        </w:rPr>
      </w:pPr>
      <w:r>
        <w:rPr>
          <w:lang w:val="en-US" w:eastAsia="en-AU"/>
        </w:rPr>
        <w:br w:type="page"/>
      </w:r>
    </w:p>
    <w:p w14:paraId="442F31A7" w14:textId="4584DD98" w:rsidR="00C86D1B" w:rsidRPr="009E06D0" w:rsidRDefault="002F465E" w:rsidP="009E06D0">
      <w:pPr>
        <w:pStyle w:val="Heading1un-numbered"/>
        <w:sectPr w:rsidR="00C86D1B" w:rsidRPr="009E06D0" w:rsidSect="009B7473">
          <w:footerReference w:type="default" r:id="rId59"/>
          <w:footnotePr>
            <w:numFmt w:val="lowerRoman"/>
          </w:footnotePr>
          <w:endnotePr>
            <w:numFmt w:val="decimal"/>
          </w:endnotePr>
          <w:pgSz w:w="11906" w:h="16838" w:code="9"/>
          <w:pgMar w:top="1440" w:right="1440" w:bottom="709" w:left="1440" w:header="680" w:footer="425" w:gutter="0"/>
          <w:cols w:space="284"/>
          <w:docGrid w:linePitch="360"/>
        </w:sectPr>
      </w:pPr>
      <w:bookmarkStart w:id="219" w:name="_Toc107837528"/>
      <w:r>
        <w:lastRenderedPageBreak/>
        <w:t>Endnote</w:t>
      </w:r>
      <w:bookmarkEnd w:id="219"/>
    </w:p>
    <w:p w14:paraId="58674331" w14:textId="77777777" w:rsidR="00F60B32" w:rsidRDefault="008C63A9" w:rsidP="008C63A9">
      <w:pPr>
        <w:pStyle w:val="Heading1un-numbered"/>
        <w:rPr>
          <w:lang w:eastAsia="en-AU"/>
        </w:rPr>
      </w:pPr>
      <w:bookmarkStart w:id="220" w:name="_Toc107837529"/>
      <w:bookmarkStart w:id="221" w:name="_Toc463002439"/>
      <w:bookmarkStart w:id="222" w:name="_Toc472586353"/>
      <w:bookmarkStart w:id="223" w:name="_Toc482168131"/>
      <w:bookmarkStart w:id="224" w:name="_Toc482174916"/>
      <w:r>
        <w:rPr>
          <w:lang w:eastAsia="en-AU"/>
        </w:rPr>
        <w:lastRenderedPageBreak/>
        <w:t xml:space="preserve">Supplementary Program participant personae </w:t>
      </w:r>
      <w:r w:rsidR="00716DFF">
        <w:rPr>
          <w:lang w:eastAsia="en-AU"/>
        </w:rPr>
        <w:t>information</w:t>
      </w:r>
      <w:bookmarkEnd w:id="220"/>
    </w:p>
    <w:p w14:paraId="2AD17873" w14:textId="77777777" w:rsidR="00024576" w:rsidRDefault="001143B1" w:rsidP="00716DFF">
      <w:pPr>
        <w:rPr>
          <w:lang w:eastAsia="en-AU"/>
        </w:rPr>
      </w:pPr>
      <w:r>
        <w:rPr>
          <w:lang w:eastAsia="en-AU"/>
        </w:rPr>
        <w:t xml:space="preserve">The following </w:t>
      </w:r>
      <w:r w:rsidR="00653C43">
        <w:rPr>
          <w:lang w:eastAsia="en-AU"/>
        </w:rPr>
        <w:t xml:space="preserve">infographics were designed to offer further insights into the </w:t>
      </w:r>
      <w:r w:rsidR="00CA2095">
        <w:rPr>
          <w:lang w:eastAsia="en-AU"/>
        </w:rPr>
        <w:t xml:space="preserve">attitudes and behaviours of the Program’s target population, alongside the development of </w:t>
      </w:r>
      <w:r w:rsidR="00024576">
        <w:rPr>
          <w:lang w:eastAsia="en-AU"/>
        </w:rPr>
        <w:t xml:space="preserve">participant and non-participant personas. </w:t>
      </w:r>
    </w:p>
    <w:p w14:paraId="0078DE20" w14:textId="77777777" w:rsidR="00806A8A" w:rsidRPr="00806A8A" w:rsidRDefault="00806A8A" w:rsidP="00716DFF">
      <w:pPr>
        <w:rPr>
          <w:b/>
          <w:bCs/>
          <w:lang w:eastAsia="en-AU"/>
        </w:rPr>
      </w:pPr>
      <w:r w:rsidRPr="00806A8A">
        <w:rPr>
          <w:b/>
          <w:bCs/>
          <w:lang w:eastAsia="en-AU"/>
        </w:rPr>
        <w:t>Infographic 1</w:t>
      </w:r>
    </w:p>
    <w:p w14:paraId="5BD0BC9D" w14:textId="652B0470" w:rsidR="008647D2" w:rsidRDefault="00A65B19" w:rsidP="00716DFF">
      <w:pPr>
        <w:rPr>
          <w:lang w:eastAsia="en-AU"/>
        </w:rPr>
      </w:pPr>
      <w:r>
        <w:rPr>
          <w:lang w:eastAsia="en-AU"/>
        </w:rPr>
        <w:t>For the attitude and behaviour segments</w:t>
      </w:r>
      <w:r w:rsidR="0056045B">
        <w:rPr>
          <w:lang w:eastAsia="en-AU"/>
        </w:rPr>
        <w:t xml:space="preserve">, consumer survey respondents were </w:t>
      </w:r>
      <w:r w:rsidR="003A0447">
        <w:rPr>
          <w:lang w:eastAsia="en-AU"/>
        </w:rPr>
        <w:t>sorted</w:t>
      </w:r>
      <w:r w:rsidR="0056045B">
        <w:rPr>
          <w:lang w:eastAsia="en-AU"/>
        </w:rPr>
        <w:t xml:space="preserve"> according to whether they participated</w:t>
      </w:r>
      <w:r w:rsidR="00EF3B8D">
        <w:rPr>
          <w:lang w:eastAsia="en-AU"/>
        </w:rPr>
        <w:t xml:space="preserve"> in the Program</w:t>
      </w:r>
      <w:r w:rsidR="0056045B">
        <w:rPr>
          <w:lang w:eastAsia="en-AU"/>
        </w:rPr>
        <w:t xml:space="preserve"> (behaviour) </w:t>
      </w:r>
      <w:r w:rsidR="00EF3B8D">
        <w:rPr>
          <w:lang w:eastAsia="en-AU"/>
        </w:rPr>
        <w:t>and whether they believed that healthy people should screen (attitude).</w:t>
      </w:r>
      <w:r w:rsidR="00E87136">
        <w:rPr>
          <w:rStyle w:val="FootnoteReference"/>
          <w:lang w:eastAsia="en-AU"/>
        </w:rPr>
        <w:footnoteReference w:id="24"/>
      </w:r>
      <w:r w:rsidR="00EF3B8D">
        <w:rPr>
          <w:lang w:eastAsia="en-AU"/>
        </w:rPr>
        <w:t xml:space="preserve"> </w:t>
      </w:r>
      <w:r w:rsidR="00C52228">
        <w:rPr>
          <w:lang w:eastAsia="en-AU"/>
        </w:rPr>
        <w:t xml:space="preserve">Given the Program’s aim of screening asymptomatic </w:t>
      </w:r>
      <w:r w:rsidR="006E6F78">
        <w:rPr>
          <w:lang w:eastAsia="en-AU"/>
        </w:rPr>
        <w:t xml:space="preserve">eligible Australians, the extent to which </w:t>
      </w:r>
      <w:r w:rsidR="005C7CC4">
        <w:rPr>
          <w:lang w:eastAsia="en-AU"/>
        </w:rPr>
        <w:t>the target population</w:t>
      </w:r>
      <w:r w:rsidR="006E6F78">
        <w:rPr>
          <w:lang w:eastAsia="en-AU"/>
        </w:rPr>
        <w:t xml:space="preserve"> believe that healthy people should screen is meaningful in underst</w:t>
      </w:r>
      <w:r w:rsidR="008A7555">
        <w:rPr>
          <w:lang w:eastAsia="en-AU"/>
        </w:rPr>
        <w:t xml:space="preserve">anding </w:t>
      </w:r>
      <w:r w:rsidR="005C7CC4">
        <w:rPr>
          <w:lang w:eastAsia="en-AU"/>
        </w:rPr>
        <w:t>ways to encourage (or retain) participation in the Program</w:t>
      </w:r>
      <w:r w:rsidR="008A7555">
        <w:rPr>
          <w:lang w:eastAsia="en-AU"/>
        </w:rPr>
        <w:t>.</w:t>
      </w:r>
      <w:r w:rsidR="00256FF9">
        <w:rPr>
          <w:lang w:eastAsia="en-AU"/>
        </w:rPr>
        <w:t xml:space="preserve"> Consumers </w:t>
      </w:r>
      <w:r w:rsidR="00D306A6">
        <w:rPr>
          <w:lang w:eastAsia="en-AU"/>
        </w:rPr>
        <w:t>that</w:t>
      </w:r>
      <w:r w:rsidR="00256FF9">
        <w:rPr>
          <w:lang w:eastAsia="en-AU"/>
        </w:rPr>
        <w:t xml:space="preserve"> understand that healthy people should screen, but do not currently participate</w:t>
      </w:r>
      <w:r w:rsidR="0069002D">
        <w:rPr>
          <w:lang w:eastAsia="en-AU"/>
        </w:rPr>
        <w:t>,</w:t>
      </w:r>
      <w:r w:rsidR="008647D2">
        <w:rPr>
          <w:lang w:eastAsia="en-AU"/>
        </w:rPr>
        <w:t xml:space="preserve"> are considered the easiest segment to target to improve participation.</w:t>
      </w:r>
    </w:p>
    <w:p w14:paraId="12463906" w14:textId="17D405CF" w:rsidR="00716DFF" w:rsidRDefault="008A7555" w:rsidP="00716DFF">
      <w:pPr>
        <w:rPr>
          <w:b/>
          <w:bCs/>
          <w:lang w:eastAsia="en-AU"/>
        </w:rPr>
      </w:pPr>
      <w:r w:rsidRPr="00806A8A">
        <w:rPr>
          <w:b/>
          <w:bCs/>
          <w:lang w:eastAsia="en-AU"/>
        </w:rPr>
        <w:t xml:space="preserve"> </w:t>
      </w:r>
      <w:r w:rsidR="00806A8A" w:rsidRPr="00806A8A">
        <w:rPr>
          <w:b/>
          <w:bCs/>
          <w:lang w:eastAsia="en-AU"/>
        </w:rPr>
        <w:t>Infographic 2</w:t>
      </w:r>
    </w:p>
    <w:p w14:paraId="71A96AB0" w14:textId="235C4491" w:rsidR="0044080B" w:rsidRDefault="00D72D86" w:rsidP="00716DFF">
      <w:pPr>
        <w:rPr>
          <w:lang w:eastAsia="en-AU"/>
        </w:rPr>
      </w:pPr>
      <w:r>
        <w:rPr>
          <w:lang w:eastAsia="en-AU"/>
        </w:rPr>
        <w:t xml:space="preserve">For </w:t>
      </w:r>
      <w:r w:rsidR="00AC024F">
        <w:rPr>
          <w:lang w:eastAsia="en-AU"/>
        </w:rPr>
        <w:t xml:space="preserve">consumers, the </w:t>
      </w:r>
      <w:r w:rsidR="00637C67">
        <w:rPr>
          <w:lang w:eastAsia="en-AU"/>
        </w:rPr>
        <w:t>value of the kit is an outcome of the recipient of benefit (</w:t>
      </w:r>
      <w:r w:rsidR="00AF680B">
        <w:rPr>
          <w:lang w:eastAsia="en-AU"/>
        </w:rPr>
        <w:t>self</w:t>
      </w:r>
      <w:r w:rsidR="00637C67">
        <w:rPr>
          <w:lang w:eastAsia="en-AU"/>
        </w:rPr>
        <w:t xml:space="preserve"> or others) and </w:t>
      </w:r>
      <w:r w:rsidR="009141BA">
        <w:rPr>
          <w:lang w:eastAsia="en-AU"/>
        </w:rPr>
        <w:t xml:space="preserve">whether the motivation to complete is intrinsic or extrinsic. </w:t>
      </w:r>
      <w:r w:rsidR="00F741BF">
        <w:rPr>
          <w:lang w:eastAsia="en-AU"/>
        </w:rPr>
        <w:t xml:space="preserve">The </w:t>
      </w:r>
      <w:r w:rsidR="008F0F94">
        <w:rPr>
          <w:lang w:eastAsia="en-AU"/>
        </w:rPr>
        <w:t xml:space="preserve">most important value driver </w:t>
      </w:r>
      <w:r w:rsidR="00734494">
        <w:rPr>
          <w:lang w:eastAsia="en-AU"/>
        </w:rPr>
        <w:t>o</w:t>
      </w:r>
      <w:r w:rsidR="003E397E">
        <w:rPr>
          <w:lang w:eastAsia="en-AU"/>
        </w:rPr>
        <w:t>f</w:t>
      </w:r>
      <w:r w:rsidR="00734494">
        <w:rPr>
          <w:lang w:eastAsia="en-AU"/>
        </w:rPr>
        <w:t xml:space="preserve"> </w:t>
      </w:r>
      <w:r w:rsidR="00953848">
        <w:rPr>
          <w:lang w:eastAsia="en-AU"/>
        </w:rPr>
        <w:t xml:space="preserve">Program </w:t>
      </w:r>
      <w:r w:rsidR="00734494">
        <w:rPr>
          <w:lang w:eastAsia="en-AU"/>
        </w:rPr>
        <w:t>participation</w:t>
      </w:r>
      <w:r w:rsidR="00F97807">
        <w:rPr>
          <w:lang w:eastAsia="en-AU"/>
        </w:rPr>
        <w:t xml:space="preserve"> found</w:t>
      </w:r>
      <w:r w:rsidR="00734494">
        <w:rPr>
          <w:lang w:eastAsia="en-AU"/>
        </w:rPr>
        <w:t xml:space="preserve"> </w:t>
      </w:r>
      <w:r w:rsidR="00E76CB6">
        <w:rPr>
          <w:lang w:eastAsia="en-AU"/>
        </w:rPr>
        <w:t xml:space="preserve">in the consumer survey </w:t>
      </w:r>
      <w:r w:rsidR="008F0F94">
        <w:rPr>
          <w:lang w:eastAsia="en-AU"/>
        </w:rPr>
        <w:t>was emotional (</w:t>
      </w:r>
      <w:r w:rsidR="00895011">
        <w:rPr>
          <w:lang w:eastAsia="en-AU"/>
        </w:rPr>
        <w:t>pride, relief, protection, saf</w:t>
      </w:r>
      <w:r w:rsidR="00F41B2E">
        <w:rPr>
          <w:lang w:eastAsia="en-AU"/>
        </w:rPr>
        <w:t xml:space="preserve">e). </w:t>
      </w:r>
      <w:r w:rsidR="003E397E">
        <w:rPr>
          <w:lang w:eastAsia="en-AU"/>
        </w:rPr>
        <w:t>This persona is</w:t>
      </w:r>
      <w:r w:rsidR="00BB7AD6">
        <w:rPr>
          <w:lang w:eastAsia="en-AU"/>
        </w:rPr>
        <w:t xml:space="preserve"> characterised by intrinsic motivation and </w:t>
      </w:r>
      <w:r w:rsidR="00A8624D">
        <w:rPr>
          <w:lang w:eastAsia="en-AU"/>
        </w:rPr>
        <w:t xml:space="preserve">seeking benefits for </w:t>
      </w:r>
      <w:r w:rsidR="00AF680B">
        <w:rPr>
          <w:lang w:eastAsia="en-AU"/>
        </w:rPr>
        <w:t xml:space="preserve">self. </w:t>
      </w:r>
      <w:r w:rsidR="008D4B11">
        <w:rPr>
          <w:lang w:eastAsia="en-AU"/>
        </w:rPr>
        <w:t>Consequently, e</w:t>
      </w:r>
      <w:r w:rsidR="0070512D">
        <w:rPr>
          <w:lang w:eastAsia="en-AU"/>
        </w:rPr>
        <w:t>nsuring that</w:t>
      </w:r>
      <w:r w:rsidR="008D506F">
        <w:rPr>
          <w:lang w:eastAsia="en-AU"/>
        </w:rPr>
        <w:t xml:space="preserve"> the</w:t>
      </w:r>
      <w:r w:rsidR="0070512D">
        <w:rPr>
          <w:lang w:eastAsia="en-AU"/>
        </w:rPr>
        <w:t xml:space="preserve"> benefits of screening are clear on Program materials may </w:t>
      </w:r>
      <w:r w:rsidR="004E4549">
        <w:rPr>
          <w:lang w:eastAsia="en-AU"/>
        </w:rPr>
        <w:t>encourage participation among those who are reluctant.</w:t>
      </w:r>
    </w:p>
    <w:p w14:paraId="65F9605E" w14:textId="67392674" w:rsidR="0044080B" w:rsidRPr="0044080B" w:rsidRDefault="0044080B" w:rsidP="00716DFF">
      <w:pPr>
        <w:rPr>
          <w:b/>
          <w:bCs/>
          <w:lang w:eastAsia="en-AU"/>
        </w:rPr>
      </w:pPr>
      <w:r w:rsidRPr="0044080B">
        <w:rPr>
          <w:b/>
          <w:bCs/>
          <w:lang w:eastAsia="en-AU"/>
        </w:rPr>
        <w:t>Infographic 3</w:t>
      </w:r>
    </w:p>
    <w:p w14:paraId="520527DD" w14:textId="20264484" w:rsidR="00E203DC" w:rsidRDefault="00D06D1C" w:rsidP="00716DFF">
      <w:pPr>
        <w:rPr>
          <w:lang w:eastAsia="en-AU"/>
        </w:rPr>
      </w:pPr>
      <w:r>
        <w:rPr>
          <w:lang w:eastAsia="en-AU"/>
        </w:rPr>
        <w:t xml:space="preserve">From the consumer survey, </w:t>
      </w:r>
      <w:r w:rsidR="00413C7D">
        <w:rPr>
          <w:lang w:eastAsia="en-AU"/>
        </w:rPr>
        <w:t xml:space="preserve">non-participants were able to be </w:t>
      </w:r>
      <w:r w:rsidR="00430D6A">
        <w:rPr>
          <w:lang w:eastAsia="en-AU"/>
        </w:rPr>
        <w:t xml:space="preserve">characterised as </w:t>
      </w:r>
      <w:r w:rsidR="00087376">
        <w:rPr>
          <w:lang w:eastAsia="en-AU"/>
        </w:rPr>
        <w:t>‘</w:t>
      </w:r>
      <w:r w:rsidR="0037235C">
        <w:rPr>
          <w:lang w:eastAsia="en-AU"/>
        </w:rPr>
        <w:t>a</w:t>
      </w:r>
      <w:r w:rsidR="00087376">
        <w:rPr>
          <w:lang w:eastAsia="en-AU"/>
        </w:rPr>
        <w:t xml:space="preserve">spirer non-screeners’ (who </w:t>
      </w:r>
      <w:r w:rsidR="00166E19">
        <w:rPr>
          <w:lang w:eastAsia="en-AU"/>
        </w:rPr>
        <w:t xml:space="preserve">believe that healthy people should screen) and </w:t>
      </w:r>
      <w:r w:rsidR="00EA3ABA">
        <w:rPr>
          <w:lang w:eastAsia="en-AU"/>
        </w:rPr>
        <w:t>‘</w:t>
      </w:r>
      <w:r w:rsidR="0037235C">
        <w:rPr>
          <w:lang w:eastAsia="en-AU"/>
        </w:rPr>
        <w:t>r</w:t>
      </w:r>
      <w:r w:rsidR="00EA3ABA">
        <w:rPr>
          <w:lang w:eastAsia="en-AU"/>
        </w:rPr>
        <w:t>esistant non-screeners’ (who do not believe that healthy people should screen). Resistant non-screeners may be further segmented into</w:t>
      </w:r>
      <w:r w:rsidR="00E203DC">
        <w:rPr>
          <w:lang w:eastAsia="en-AU"/>
        </w:rPr>
        <w:t>:</w:t>
      </w:r>
    </w:p>
    <w:p w14:paraId="36C091D1" w14:textId="07EAEDE5" w:rsidR="0044080B" w:rsidRDefault="003E20F5" w:rsidP="00A861BA">
      <w:pPr>
        <w:pStyle w:val="ListParagraph"/>
        <w:numPr>
          <w:ilvl w:val="0"/>
          <w:numId w:val="47"/>
        </w:numPr>
        <w:rPr>
          <w:lang w:eastAsia="en-AU"/>
        </w:rPr>
      </w:pPr>
      <w:r w:rsidRPr="003E20F5">
        <w:rPr>
          <w:b/>
          <w:bCs/>
          <w:lang w:eastAsia="en-AU"/>
        </w:rPr>
        <w:t>apprehensive resistant</w:t>
      </w:r>
      <w:r>
        <w:rPr>
          <w:lang w:eastAsia="en-AU"/>
        </w:rPr>
        <w:t>:</w:t>
      </w:r>
      <w:r w:rsidR="00986EA9">
        <w:rPr>
          <w:lang w:eastAsia="en-AU"/>
        </w:rPr>
        <w:t xml:space="preserve"> </w:t>
      </w:r>
      <w:r w:rsidR="00E203DC">
        <w:rPr>
          <w:lang w:eastAsia="en-AU"/>
        </w:rPr>
        <w:t>perceives the process as unhygienic/embarrassing</w:t>
      </w:r>
      <w:r w:rsidR="001D7825">
        <w:rPr>
          <w:lang w:eastAsia="en-AU"/>
        </w:rPr>
        <w:t>,</w:t>
      </w:r>
      <w:r w:rsidR="005F329D">
        <w:rPr>
          <w:lang w:eastAsia="en-AU"/>
        </w:rPr>
        <w:t xml:space="preserve"> and/or</w:t>
      </w:r>
      <w:r w:rsidR="00E203DC">
        <w:rPr>
          <w:lang w:eastAsia="en-AU"/>
        </w:rPr>
        <w:t xml:space="preserve"> does not trust</w:t>
      </w:r>
      <w:r w:rsidR="001D7825">
        <w:rPr>
          <w:lang w:eastAsia="en-AU"/>
        </w:rPr>
        <w:t xml:space="preserve"> the</w:t>
      </w:r>
      <w:r w:rsidR="00E203DC">
        <w:rPr>
          <w:lang w:eastAsia="en-AU"/>
        </w:rPr>
        <w:t xml:space="preserve"> result</w:t>
      </w:r>
      <w:r w:rsidR="001D7825">
        <w:rPr>
          <w:lang w:eastAsia="en-AU"/>
        </w:rPr>
        <w:t xml:space="preserve">, </w:t>
      </w:r>
      <w:r w:rsidR="00E203DC">
        <w:rPr>
          <w:lang w:eastAsia="en-AU"/>
        </w:rPr>
        <w:t>and</w:t>
      </w:r>
      <w:r w:rsidR="00594F89">
        <w:rPr>
          <w:lang w:eastAsia="en-AU"/>
        </w:rPr>
        <w:t>/</w:t>
      </w:r>
      <w:r w:rsidR="00E203DC">
        <w:rPr>
          <w:lang w:eastAsia="en-AU"/>
        </w:rPr>
        <w:t>or has anxiety of a diagnosis</w:t>
      </w:r>
      <w:r w:rsidR="001D7825">
        <w:rPr>
          <w:lang w:eastAsia="en-AU"/>
        </w:rPr>
        <w:t>.</w:t>
      </w:r>
    </w:p>
    <w:p w14:paraId="64E215AE" w14:textId="627436B5" w:rsidR="00E203DC" w:rsidRDefault="003E20F5" w:rsidP="00A861BA">
      <w:pPr>
        <w:pStyle w:val="ListParagraph"/>
        <w:numPr>
          <w:ilvl w:val="0"/>
          <w:numId w:val="47"/>
        </w:numPr>
        <w:rPr>
          <w:lang w:eastAsia="en-AU"/>
        </w:rPr>
      </w:pPr>
      <w:r w:rsidRPr="003E20F5">
        <w:rPr>
          <w:b/>
          <w:bCs/>
          <w:lang w:eastAsia="en-AU"/>
        </w:rPr>
        <w:t>indifferent resistant</w:t>
      </w:r>
      <w:r>
        <w:rPr>
          <w:lang w:eastAsia="en-AU"/>
        </w:rPr>
        <w:t>: does not see the need</w:t>
      </w:r>
      <w:r w:rsidR="00F16D7E">
        <w:rPr>
          <w:lang w:eastAsia="en-AU"/>
        </w:rPr>
        <w:t>,</w:t>
      </w:r>
      <w:r>
        <w:rPr>
          <w:lang w:eastAsia="en-AU"/>
        </w:rPr>
        <w:t xml:space="preserve"> </w:t>
      </w:r>
      <w:r w:rsidR="00F16D7E">
        <w:rPr>
          <w:lang w:eastAsia="en-AU"/>
        </w:rPr>
        <w:t>and/</w:t>
      </w:r>
      <w:r>
        <w:rPr>
          <w:lang w:eastAsia="en-AU"/>
        </w:rPr>
        <w:t xml:space="preserve">or doesn’t have symptoms. </w:t>
      </w:r>
    </w:p>
    <w:p w14:paraId="4AE521FA" w14:textId="16B70A4F" w:rsidR="00E20B4B" w:rsidRPr="00806A8A" w:rsidRDefault="004506EF" w:rsidP="00E20B4B">
      <w:pPr>
        <w:rPr>
          <w:lang w:eastAsia="en-AU"/>
        </w:rPr>
      </w:pPr>
      <w:r>
        <w:rPr>
          <w:lang w:eastAsia="en-AU"/>
        </w:rPr>
        <w:t xml:space="preserve">These personas </w:t>
      </w:r>
      <w:r w:rsidR="000B303B">
        <w:rPr>
          <w:lang w:eastAsia="en-AU"/>
        </w:rPr>
        <w:t>may be motivated to</w:t>
      </w:r>
      <w:r w:rsidR="0077774E">
        <w:rPr>
          <w:lang w:eastAsia="en-AU"/>
        </w:rPr>
        <w:t xml:space="preserve"> participate </w:t>
      </w:r>
      <w:r w:rsidR="000A0477">
        <w:rPr>
          <w:lang w:eastAsia="en-AU"/>
        </w:rPr>
        <w:t>using different strategies</w:t>
      </w:r>
      <w:r w:rsidR="00B06133">
        <w:rPr>
          <w:lang w:eastAsia="en-AU"/>
        </w:rPr>
        <w:t>, as shown in Infographic 3.</w:t>
      </w:r>
    </w:p>
    <w:p w14:paraId="2AA8845A" w14:textId="77777777" w:rsidR="00716DFF" w:rsidRDefault="00716DFF" w:rsidP="00716DFF">
      <w:pPr>
        <w:rPr>
          <w:lang w:eastAsia="en-AU"/>
        </w:rPr>
      </w:pPr>
    </w:p>
    <w:p w14:paraId="3ED495A9" w14:textId="2B064597" w:rsidR="00716DFF" w:rsidRPr="00716DFF" w:rsidRDefault="00716DFF" w:rsidP="00716DFF">
      <w:pPr>
        <w:rPr>
          <w:lang w:eastAsia="en-AU"/>
        </w:rPr>
        <w:sectPr w:rsidR="00716DFF" w:rsidRPr="00716DFF" w:rsidSect="005F043A">
          <w:pgSz w:w="11906" w:h="16838" w:code="9"/>
          <w:pgMar w:top="1440" w:right="1440" w:bottom="1440" w:left="1440" w:header="680" w:footer="425" w:gutter="0"/>
          <w:cols w:space="284"/>
          <w:docGrid w:linePitch="360"/>
        </w:sectPr>
      </w:pPr>
    </w:p>
    <w:p w14:paraId="219F7320" w14:textId="5C6B53A5" w:rsidR="00284FF0" w:rsidRDefault="00284FF0" w:rsidP="00284FF0">
      <w:pPr>
        <w:pStyle w:val="Caption"/>
      </w:pPr>
      <w:r>
        <w:lastRenderedPageBreak/>
        <w:t>Infographic 1: Attitudes and behaviour</w:t>
      </w:r>
    </w:p>
    <w:p w14:paraId="4665DBB5" w14:textId="202DC61A" w:rsidR="00284FF0" w:rsidRDefault="00A6170E" w:rsidP="00284FF0">
      <w:pPr>
        <w:pStyle w:val="Charttitle"/>
        <w:keepNext/>
      </w:pPr>
      <w:r w:rsidRPr="00A6170E">
        <w:rPr>
          <w:noProof/>
        </w:rPr>
        <w:drawing>
          <wp:inline distT="0" distB="0" distL="0" distR="0" wp14:anchorId="12BD8468" wp14:editId="55626D19">
            <wp:extent cx="9055060" cy="4781550"/>
            <wp:effectExtent l="0" t="0" r="0" b="0"/>
            <wp:docPr id="1489793610" name="Picture 1489793610" descr="Infographic showing attitudes and behaviours towards Bowel Cancer Scre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793610" name="Picture 1489793610" descr="Infographic showing attitudes and behaviours towards Bowel Cancer Screenin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r="2314" b="8280"/>
                    <a:stretch/>
                  </pic:blipFill>
                  <pic:spPr bwMode="auto">
                    <a:xfrm>
                      <a:off x="0" y="0"/>
                      <a:ext cx="9059381" cy="4783832"/>
                    </a:xfrm>
                    <a:prstGeom prst="rect">
                      <a:avLst/>
                    </a:prstGeom>
                    <a:noFill/>
                    <a:ln>
                      <a:noFill/>
                    </a:ln>
                    <a:extLst>
                      <a:ext uri="{53640926-AAD7-44D8-BBD7-CCE9431645EC}">
                        <a14:shadowObscured xmlns:a14="http://schemas.microsoft.com/office/drawing/2010/main"/>
                      </a:ext>
                    </a:extLst>
                  </pic:spPr>
                </pic:pic>
              </a:graphicData>
            </a:graphic>
          </wp:inline>
        </w:drawing>
      </w:r>
    </w:p>
    <w:p w14:paraId="5FB74B7B" w14:textId="35260DAF" w:rsidR="00284FF0" w:rsidRPr="006547A2" w:rsidRDefault="00284FF0" w:rsidP="006547A2">
      <w:pPr>
        <w:pStyle w:val="Caption"/>
        <w:pageBreakBefore/>
      </w:pPr>
      <w:r>
        <w:lastRenderedPageBreak/>
        <w:t xml:space="preserve">Infographic 2: Participant personas </w:t>
      </w:r>
    </w:p>
    <w:p w14:paraId="51577F84" w14:textId="77777777" w:rsidR="00284FF0" w:rsidRDefault="00934DD8" w:rsidP="00284FF0">
      <w:pPr>
        <w:keepNext/>
      </w:pPr>
      <w:r w:rsidRPr="00934DD8">
        <w:rPr>
          <w:noProof/>
        </w:rPr>
        <w:drawing>
          <wp:inline distT="0" distB="0" distL="0" distR="0" wp14:anchorId="66246A32" wp14:editId="4FD20B41">
            <wp:extent cx="8565569" cy="5104263"/>
            <wp:effectExtent l="0" t="0" r="6985" b="1270"/>
            <wp:docPr id="1489793608" name="Picture 1489793608" descr="Infographic 2 is a image of the participant personas.  Details of the personas can be read under the chapter titled Supplementary Program participant persona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793608" name="Picture 1489793608" descr="Infographic 2 is a image of the participant personas.  Details of the personas can be read under the chapter titled Supplementary Program participant personae information"/>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r="5611"/>
                    <a:stretch/>
                  </pic:blipFill>
                  <pic:spPr bwMode="auto">
                    <a:xfrm>
                      <a:off x="0" y="0"/>
                      <a:ext cx="8567064" cy="5105154"/>
                    </a:xfrm>
                    <a:prstGeom prst="rect">
                      <a:avLst/>
                    </a:prstGeom>
                    <a:noFill/>
                    <a:ln>
                      <a:noFill/>
                    </a:ln>
                    <a:extLst>
                      <a:ext uri="{53640926-AAD7-44D8-BBD7-CCE9431645EC}">
                        <a14:shadowObscured xmlns:a14="http://schemas.microsoft.com/office/drawing/2010/main"/>
                      </a:ext>
                    </a:extLst>
                  </pic:spPr>
                </pic:pic>
              </a:graphicData>
            </a:graphic>
          </wp:inline>
        </w:drawing>
      </w:r>
    </w:p>
    <w:p w14:paraId="5FDA8A70" w14:textId="2EDE5640" w:rsidR="00934DD8" w:rsidRDefault="00934DD8" w:rsidP="00284FF0">
      <w:pPr>
        <w:pStyle w:val="Caption"/>
        <w:rPr>
          <w:lang w:eastAsia="en-AU"/>
        </w:rPr>
        <w:sectPr w:rsidR="00934DD8" w:rsidSect="00F60B32">
          <w:pgSz w:w="16838" w:h="11906" w:orient="landscape" w:code="9"/>
          <w:pgMar w:top="1440" w:right="1440" w:bottom="1440" w:left="1440" w:header="680" w:footer="425" w:gutter="0"/>
          <w:cols w:space="284"/>
          <w:docGrid w:linePitch="360"/>
        </w:sectPr>
      </w:pPr>
    </w:p>
    <w:p w14:paraId="25ABEA11" w14:textId="625D8CBD" w:rsidR="00284FF0" w:rsidRDefault="00284FF0" w:rsidP="00284FF0">
      <w:pPr>
        <w:pStyle w:val="Caption"/>
      </w:pPr>
      <w:r>
        <w:lastRenderedPageBreak/>
        <w:t>Infographic 3: Non-participant personas</w:t>
      </w:r>
    </w:p>
    <w:p w14:paraId="593FE617" w14:textId="1B2E86AB" w:rsidR="00284FF0" w:rsidRDefault="003841CB" w:rsidP="00E1713A">
      <w:pPr>
        <w:rPr>
          <w:lang w:eastAsia="en-AU"/>
        </w:rPr>
        <w:sectPr w:rsidR="00284FF0" w:rsidSect="00F60B32">
          <w:pgSz w:w="16838" w:h="11906" w:orient="landscape" w:code="9"/>
          <w:pgMar w:top="1440" w:right="1440" w:bottom="1440" w:left="1440" w:header="680" w:footer="425" w:gutter="0"/>
          <w:cols w:space="284"/>
          <w:docGrid w:linePitch="360"/>
        </w:sectPr>
      </w:pPr>
      <w:r w:rsidRPr="003841CB">
        <w:rPr>
          <w:noProof/>
        </w:rPr>
        <w:drawing>
          <wp:inline distT="0" distB="0" distL="0" distR="0" wp14:anchorId="1ECD668B" wp14:editId="1DD3DBFB">
            <wp:extent cx="8003203" cy="4722125"/>
            <wp:effectExtent l="0" t="0" r="0" b="2540"/>
            <wp:docPr id="58" name="Picture 58" descr="Infographic showing reasons for non participation in Bowel Cancer Screening Pro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Infographic showing reasons for non participation in Bowel Cancer Screening Programs"/>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r="4840"/>
                    <a:stretch/>
                  </pic:blipFill>
                  <pic:spPr bwMode="auto">
                    <a:xfrm>
                      <a:off x="0" y="0"/>
                      <a:ext cx="8009254" cy="4725695"/>
                    </a:xfrm>
                    <a:prstGeom prst="rect">
                      <a:avLst/>
                    </a:prstGeom>
                    <a:noFill/>
                    <a:ln>
                      <a:noFill/>
                    </a:ln>
                    <a:extLst>
                      <a:ext uri="{53640926-AAD7-44D8-BBD7-CCE9431645EC}">
                        <a14:shadowObscured xmlns:a14="http://schemas.microsoft.com/office/drawing/2010/main"/>
                      </a:ext>
                    </a:extLst>
                  </pic:spPr>
                </pic:pic>
              </a:graphicData>
            </a:graphic>
          </wp:inline>
        </w:drawing>
      </w:r>
    </w:p>
    <w:p w14:paraId="1D490F4A" w14:textId="732B7562" w:rsidR="00F70D35" w:rsidRDefault="00F70D35" w:rsidP="00F70D35">
      <w:pPr>
        <w:pStyle w:val="Heading1un-numbered"/>
        <w:rPr>
          <w:lang w:eastAsia="en-AU"/>
        </w:rPr>
      </w:pPr>
      <w:bookmarkStart w:id="225" w:name="_Toc107837530"/>
      <w:bookmarkEnd w:id="221"/>
      <w:bookmarkEnd w:id="222"/>
      <w:bookmarkEnd w:id="223"/>
      <w:bookmarkEnd w:id="224"/>
      <w:r w:rsidRPr="00BF4216">
        <w:rPr>
          <w:lang w:eastAsia="en-AU"/>
        </w:rPr>
        <w:lastRenderedPageBreak/>
        <w:t>Limitation of our work</w:t>
      </w:r>
      <w:bookmarkEnd w:id="225"/>
    </w:p>
    <w:p w14:paraId="16DC4873" w14:textId="77777777" w:rsidR="00F70D35" w:rsidRDefault="00F70D35" w:rsidP="00F70D35">
      <w:pPr>
        <w:pStyle w:val="Heading2un-numbered"/>
      </w:pPr>
      <w:bookmarkStart w:id="226" w:name="_Toc463002440"/>
      <w:bookmarkStart w:id="227" w:name="_Toc472586354"/>
      <w:bookmarkStart w:id="228" w:name="_Toc482168132"/>
      <w:bookmarkStart w:id="229" w:name="_Toc482174917"/>
      <w:bookmarkStart w:id="230" w:name="_Toc107837531"/>
      <w:r w:rsidRPr="006345F9">
        <w:t>General use restriction</w:t>
      </w:r>
      <w:bookmarkEnd w:id="226"/>
      <w:bookmarkEnd w:id="227"/>
      <w:bookmarkEnd w:id="228"/>
      <w:bookmarkEnd w:id="229"/>
      <w:bookmarkEnd w:id="230"/>
    </w:p>
    <w:p w14:paraId="3666DDED" w14:textId="65A2D21B" w:rsidR="00F70D35" w:rsidRPr="009232DC" w:rsidRDefault="00F70D35" w:rsidP="00F70D35">
      <w:r>
        <w:t>This report is prepared solely for the internal use of the Department of Health. This report is not intended to and should not be used or relied upon by anyone else and we accept no duty of care to any other person or entity. The report has been prepared for the purpose of the Review of the National Bowel Cancer Screening Program. You should not refer to or use our name or the advice for any other purpose.</w:t>
      </w:r>
    </w:p>
    <w:p w14:paraId="02136D81" w14:textId="77777777" w:rsidR="00F70D35" w:rsidRPr="000F05E4" w:rsidRDefault="00F70D35" w:rsidP="009B139F"/>
    <w:sectPr w:rsidR="00F70D35" w:rsidRPr="000F05E4" w:rsidSect="005F043A">
      <w:pgSz w:w="11906" w:h="16838" w:code="9"/>
      <w:pgMar w:top="1440" w:right="1440" w:bottom="1440" w:left="1440" w:header="680" w:footer="425"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C4949B" w14:textId="77777777" w:rsidR="00FA304B" w:rsidRDefault="00FA304B" w:rsidP="00C702C7"/>
  </w:endnote>
  <w:endnote w:type="continuationSeparator" w:id="0">
    <w:p w14:paraId="17C86943" w14:textId="77777777" w:rsidR="00FA304B" w:rsidRDefault="00FA304B" w:rsidP="00C702C7">
      <w:r>
        <w:continuationSeparator/>
      </w:r>
    </w:p>
  </w:endnote>
  <w:endnote w:type="continuationNotice" w:id="1">
    <w:p w14:paraId="4B733C90" w14:textId="77777777" w:rsidR="00FA304B" w:rsidRDefault="00FA304B">
      <w:pPr>
        <w:spacing w:after="0"/>
      </w:pPr>
    </w:p>
  </w:endnote>
  <w:endnote w:id="2">
    <w:p w14:paraId="4B41307F" w14:textId="77777777" w:rsidR="00F26BA2" w:rsidRPr="00BB6DD6" w:rsidRDefault="00F26BA2" w:rsidP="00887779">
      <w:pPr>
        <w:pStyle w:val="EndnoteText"/>
      </w:pPr>
      <w:r>
        <w:rPr>
          <w:rStyle w:val="EndnoteReference"/>
        </w:rPr>
        <w:endnoteRef/>
      </w:r>
      <w:r>
        <w:t xml:space="preserve"> Department of Health, </w:t>
      </w:r>
      <w:r>
        <w:rPr>
          <w:i/>
          <w:iCs/>
        </w:rPr>
        <w:t>National Bowel Cancer Screening Program- Participant Screening Pathway</w:t>
      </w:r>
      <w:r>
        <w:t>, (2019)</w:t>
      </w:r>
    </w:p>
  </w:endnote>
  <w:endnote w:id="3">
    <w:p w14:paraId="578870DF" w14:textId="77777777" w:rsidR="00F26BA2" w:rsidRPr="00A45B6A" w:rsidRDefault="00F26BA2" w:rsidP="00EE19CC">
      <w:pPr>
        <w:rPr>
          <w:rFonts w:asciiTheme="majorHAnsi" w:hAnsiTheme="majorHAnsi"/>
        </w:rPr>
      </w:pPr>
      <w:r w:rsidRPr="00A45B6A">
        <w:rPr>
          <w:rStyle w:val="EndnoteReference"/>
          <w:rFonts w:asciiTheme="majorHAnsi" w:hAnsiTheme="majorHAnsi"/>
        </w:rPr>
        <w:endnoteRef/>
      </w:r>
      <w:r w:rsidRPr="00A45B6A">
        <w:rPr>
          <w:rFonts w:asciiTheme="majorHAnsi" w:hAnsiTheme="majorHAnsi"/>
        </w:rPr>
        <w:t xml:space="preserve"> Senore C, Zappa M, Campari C </w:t>
      </w:r>
      <w:r w:rsidRPr="000154FA">
        <w:rPr>
          <w:rFonts w:asciiTheme="majorHAnsi" w:hAnsiTheme="majorHAnsi"/>
        </w:rPr>
        <w:t>et al</w:t>
      </w:r>
      <w:r w:rsidRPr="00A45B6A">
        <w:rPr>
          <w:rFonts w:asciiTheme="majorHAnsi" w:hAnsiTheme="majorHAnsi"/>
        </w:rPr>
        <w:t xml:space="preserve"> ‘Faecal haemoglobin concentration among subjects with negative FIT results is associated with the detection rate of neoplasia at subsequent rounds: a prospective study in the context of population based screening programmes in Italy’</w:t>
      </w:r>
      <w:r>
        <w:rPr>
          <w:rFonts w:asciiTheme="majorHAnsi" w:hAnsiTheme="majorHAnsi"/>
        </w:rPr>
        <w:t xml:space="preserve"> (2019) 69</w:t>
      </w:r>
      <w:r w:rsidRPr="00A45B6A">
        <w:rPr>
          <w:rFonts w:asciiTheme="majorHAnsi" w:hAnsiTheme="majorHAnsi"/>
        </w:rPr>
        <w:t xml:space="preserve"> </w:t>
      </w:r>
      <w:r w:rsidRPr="00A45B6A">
        <w:rPr>
          <w:rFonts w:asciiTheme="majorHAnsi" w:hAnsiTheme="majorHAnsi"/>
          <w:i/>
          <w:iCs/>
        </w:rPr>
        <w:t xml:space="preserve">Gut </w:t>
      </w:r>
      <w:r>
        <w:rPr>
          <w:rFonts w:asciiTheme="majorHAnsi" w:hAnsiTheme="majorHAnsi"/>
        </w:rPr>
        <w:t>523</w:t>
      </w:r>
      <w:r w:rsidRPr="00A45B6A">
        <w:rPr>
          <w:rFonts w:asciiTheme="majorHAnsi" w:hAnsiTheme="majorHAnsi"/>
        </w:rPr>
        <w:t xml:space="preserve"> </w:t>
      </w:r>
    </w:p>
  </w:endnote>
  <w:endnote w:id="4">
    <w:p w14:paraId="285EFAFF" w14:textId="77777777" w:rsidR="00F26BA2" w:rsidRPr="00A45B6A" w:rsidRDefault="00F26BA2" w:rsidP="00EE19CC">
      <w:pPr>
        <w:rPr>
          <w:rFonts w:asciiTheme="majorHAnsi" w:hAnsiTheme="majorHAnsi"/>
        </w:rPr>
      </w:pPr>
      <w:r w:rsidRPr="00A45B6A">
        <w:rPr>
          <w:rStyle w:val="EndnoteReference"/>
          <w:rFonts w:asciiTheme="majorHAnsi" w:hAnsiTheme="majorHAnsi"/>
        </w:rPr>
        <w:endnoteRef/>
      </w:r>
      <w:r w:rsidRPr="00A45B6A">
        <w:rPr>
          <w:rFonts w:asciiTheme="majorHAnsi" w:hAnsiTheme="majorHAnsi"/>
        </w:rPr>
        <w:t xml:space="preserve"> Buron A, Roman M, Auge JM </w:t>
      </w:r>
      <w:r w:rsidRPr="000154FA">
        <w:rPr>
          <w:rFonts w:asciiTheme="majorHAnsi" w:hAnsiTheme="majorHAnsi"/>
        </w:rPr>
        <w:t>et al</w:t>
      </w:r>
      <w:r w:rsidRPr="00A45B6A">
        <w:rPr>
          <w:rFonts w:asciiTheme="majorHAnsi" w:hAnsiTheme="majorHAnsi"/>
        </w:rPr>
        <w:t xml:space="preserve"> ‘Changes in FIT values below the threshold of positivity and short-term risk of advanced colorectal neoplasia: Results from a population-based cancer screening program’</w:t>
      </w:r>
      <w:r>
        <w:rPr>
          <w:rFonts w:asciiTheme="majorHAnsi" w:hAnsiTheme="majorHAnsi"/>
        </w:rPr>
        <w:t xml:space="preserve">(2019) 107 </w:t>
      </w:r>
      <w:r w:rsidRPr="00A45B6A">
        <w:rPr>
          <w:rFonts w:asciiTheme="majorHAnsi" w:hAnsiTheme="majorHAnsi"/>
          <w:i/>
          <w:iCs/>
        </w:rPr>
        <w:t>European Journal of Cancer</w:t>
      </w:r>
      <w:r w:rsidRPr="00A45B6A">
        <w:rPr>
          <w:rFonts w:asciiTheme="majorHAnsi" w:hAnsiTheme="majorHAnsi"/>
        </w:rPr>
        <w:t xml:space="preserve"> </w:t>
      </w:r>
      <w:r>
        <w:rPr>
          <w:rFonts w:asciiTheme="majorHAnsi" w:hAnsiTheme="majorHAnsi"/>
        </w:rPr>
        <w:t>53.</w:t>
      </w:r>
    </w:p>
  </w:endnote>
  <w:endnote w:id="5">
    <w:p w14:paraId="195196B9" w14:textId="77777777" w:rsidR="00F26BA2" w:rsidRPr="009C4ECD" w:rsidRDefault="00F26BA2" w:rsidP="004724B5">
      <w:pPr>
        <w:pStyle w:val="EndnoteText"/>
      </w:pPr>
      <w:r>
        <w:rPr>
          <w:rStyle w:val="EndnoteReference"/>
        </w:rPr>
        <w:endnoteRef/>
      </w:r>
      <w:r>
        <w:t xml:space="preserve"> Department of Health, </w:t>
      </w:r>
      <w:r>
        <w:rPr>
          <w:i/>
          <w:iCs/>
        </w:rPr>
        <w:t>National Bowel Cancer Screening Program Key Performance Indicator Review</w:t>
      </w:r>
      <w:r>
        <w:t>, (2019)</w:t>
      </w:r>
    </w:p>
  </w:endnote>
  <w:endnote w:id="6">
    <w:p w14:paraId="5A688231" w14:textId="77777777" w:rsidR="00F26BA2" w:rsidRPr="00FE4373" w:rsidRDefault="00F26BA2" w:rsidP="003771B5">
      <w:pPr>
        <w:pStyle w:val="EndnoteText"/>
      </w:pPr>
      <w:r>
        <w:rPr>
          <w:rStyle w:val="EndnoteReference"/>
        </w:rPr>
        <w:endnoteRef/>
      </w:r>
      <w:r>
        <w:t xml:space="preserve"> Martini A, Morris J, Preen D. ‘</w:t>
      </w:r>
      <w:r w:rsidRPr="00FE4373">
        <w:t>Impact of non-clinical community-based promotional campaigns on bowel cancer screening engagement: An integrative literature review</w:t>
      </w:r>
      <w:r>
        <w:t xml:space="preserve">’ (2016) 99(10), </w:t>
      </w:r>
      <w:r>
        <w:rPr>
          <w:i/>
          <w:iCs/>
        </w:rPr>
        <w:t>Patient Education and Counselling</w:t>
      </w:r>
      <w:r>
        <w:t>, 1549</w:t>
      </w:r>
    </w:p>
  </w:endnote>
  <w:endnote w:id="7">
    <w:p w14:paraId="76577E85" w14:textId="77777777" w:rsidR="00F26BA2" w:rsidRDefault="00F26BA2" w:rsidP="003771B5">
      <w:pPr>
        <w:pStyle w:val="EndnoteText"/>
      </w:pPr>
      <w:r>
        <w:rPr>
          <w:rStyle w:val="EndnoteReference"/>
        </w:rPr>
        <w:endnoteRef/>
      </w:r>
      <w:r>
        <w:t xml:space="preserve"> Wakefield, Loken B, Hornik R. ‘Use of mass media campaigns to change health behaviour’ (2014), 376(9748), </w:t>
      </w:r>
      <w:r>
        <w:rPr>
          <w:i/>
          <w:iCs/>
        </w:rPr>
        <w:t>Lancet</w:t>
      </w:r>
      <w:r>
        <w:t>, 1261.</w:t>
      </w:r>
    </w:p>
  </w:endnote>
  <w:endnote w:id="8">
    <w:p w14:paraId="30B1763D" w14:textId="75299D9D" w:rsidR="00F26BA2" w:rsidRPr="00270DDB" w:rsidRDefault="00F26BA2" w:rsidP="00270DDB">
      <w:pPr>
        <w:rPr>
          <w:rFonts w:asciiTheme="majorHAnsi" w:hAnsiTheme="majorHAnsi"/>
        </w:rPr>
      </w:pPr>
      <w:r>
        <w:rPr>
          <w:rStyle w:val="EndnoteReference"/>
        </w:rPr>
        <w:endnoteRef/>
      </w:r>
      <w:r>
        <w:t xml:space="preserve"> </w:t>
      </w:r>
      <w:r w:rsidRPr="00A45B6A">
        <w:rPr>
          <w:rFonts w:asciiTheme="majorHAnsi" w:hAnsiTheme="majorHAnsi"/>
        </w:rPr>
        <w:t>Lew J-B</w:t>
      </w:r>
      <w:r>
        <w:rPr>
          <w:rFonts w:asciiTheme="majorHAnsi" w:hAnsiTheme="majorHAnsi"/>
        </w:rPr>
        <w:t>,</w:t>
      </w:r>
      <w:r w:rsidRPr="00A45B6A">
        <w:rPr>
          <w:rFonts w:asciiTheme="majorHAnsi" w:hAnsiTheme="majorHAnsi"/>
        </w:rPr>
        <w:t xml:space="preserve"> St John J</w:t>
      </w:r>
      <w:r>
        <w:rPr>
          <w:rFonts w:asciiTheme="majorHAnsi" w:hAnsiTheme="majorHAnsi"/>
        </w:rPr>
        <w:t>,</w:t>
      </w:r>
      <w:r w:rsidRPr="00A45B6A">
        <w:rPr>
          <w:rFonts w:asciiTheme="majorHAnsi" w:hAnsiTheme="majorHAnsi"/>
        </w:rPr>
        <w:t xml:space="preserve"> Macrae</w:t>
      </w:r>
      <w:r>
        <w:rPr>
          <w:rFonts w:asciiTheme="majorHAnsi" w:hAnsiTheme="majorHAnsi"/>
        </w:rPr>
        <w:t xml:space="preserve"> F</w:t>
      </w:r>
      <w:r w:rsidRPr="00A45B6A">
        <w:rPr>
          <w:rFonts w:asciiTheme="majorHAnsi" w:hAnsiTheme="majorHAnsi"/>
        </w:rPr>
        <w:t xml:space="preserve"> </w:t>
      </w:r>
      <w:r>
        <w:rPr>
          <w:rFonts w:asciiTheme="majorHAnsi" w:hAnsiTheme="majorHAnsi"/>
        </w:rPr>
        <w:t>e</w:t>
      </w:r>
      <w:r w:rsidRPr="00A45B6A">
        <w:rPr>
          <w:rFonts w:asciiTheme="majorHAnsi" w:hAnsiTheme="majorHAnsi"/>
        </w:rPr>
        <w:t>t al ‘Evaluation of the benefits, harms and cost-effectiveness of potential alternatives to iFOBT testing for colorectal cancer screening in Australia’</w:t>
      </w:r>
      <w:r>
        <w:rPr>
          <w:rFonts w:asciiTheme="majorHAnsi" w:hAnsiTheme="majorHAnsi"/>
        </w:rPr>
        <w:t xml:space="preserve"> (2018) 143(2) </w:t>
      </w:r>
      <w:r w:rsidRPr="00A45B6A">
        <w:rPr>
          <w:rFonts w:asciiTheme="majorHAnsi" w:hAnsiTheme="majorHAnsi"/>
          <w:i/>
        </w:rPr>
        <w:t>International Journal of Cancer,</w:t>
      </w:r>
      <w:r w:rsidRPr="00A45B6A">
        <w:rPr>
          <w:rFonts w:asciiTheme="majorHAnsi" w:hAnsiTheme="majorHAnsi"/>
        </w:rPr>
        <w:t xml:space="preserve"> </w:t>
      </w:r>
      <w:r>
        <w:rPr>
          <w:rFonts w:asciiTheme="majorHAnsi" w:hAnsiTheme="majorHAnsi"/>
        </w:rPr>
        <w:t>269.</w:t>
      </w:r>
    </w:p>
  </w:endnote>
  <w:endnote w:id="9">
    <w:p w14:paraId="412FE84A" w14:textId="77777777" w:rsidR="00F26BA2" w:rsidRDefault="00F26BA2" w:rsidP="004254B6">
      <w:pPr>
        <w:pStyle w:val="EndnoteText"/>
      </w:pPr>
      <w:r>
        <w:rPr>
          <w:rStyle w:val="EndnoteReference"/>
        </w:rPr>
        <w:endnoteRef/>
      </w:r>
      <w:r>
        <w:t xml:space="preserve"> Lew et al. (pre-published) </w:t>
      </w:r>
      <w:r w:rsidRPr="0009791A">
        <w:rPr>
          <w:i/>
          <w:iCs/>
        </w:rPr>
        <w:t>The potential for tailored screening to reduce bowel cancer mortality for Aboriginal and Torres Strait Islander peoples in Australia: modelling study</w:t>
      </w:r>
      <w:r>
        <w:t xml:space="preserve">.  </w:t>
      </w:r>
    </w:p>
  </w:endnote>
  <w:endnote w:id="10">
    <w:p w14:paraId="7BF456C4" w14:textId="0966C8A3" w:rsidR="00F26BA2" w:rsidRDefault="00F26BA2">
      <w:pPr>
        <w:pStyle w:val="EndnoteText"/>
      </w:pPr>
      <w:r>
        <w:rPr>
          <w:rStyle w:val="EndnoteReference"/>
        </w:rPr>
        <w:endnoteRef/>
      </w:r>
      <w:r>
        <w:t xml:space="preserve"> </w:t>
      </w:r>
      <w:r w:rsidRPr="00CE4EDF">
        <w:t xml:space="preserve">Australian Institute of Health and Welfare, </w:t>
      </w:r>
      <w:r w:rsidRPr="008D0B23">
        <w:rPr>
          <w:i/>
        </w:rPr>
        <w:t xml:space="preserve">Cancer data in </w:t>
      </w:r>
      <w:r w:rsidRPr="008D0B23">
        <w:rPr>
          <w:i/>
          <w:iCs/>
        </w:rPr>
        <w:t>Australia</w:t>
      </w:r>
      <w:r w:rsidRPr="00CE4EDF">
        <w:t>, (202</w:t>
      </w:r>
      <w:r>
        <w:t>1</w:t>
      </w:r>
      <w:r w:rsidRPr="00CE4EDF">
        <w:t>).</w:t>
      </w:r>
    </w:p>
  </w:endnote>
  <w:endnote w:id="11">
    <w:p w14:paraId="7E9F333B" w14:textId="77777777" w:rsidR="00F26BA2" w:rsidRDefault="00F26BA2" w:rsidP="00790077">
      <w:r w:rsidRPr="00A45B6A">
        <w:rPr>
          <w:rStyle w:val="EndnoteReference"/>
        </w:rPr>
        <w:endnoteRef/>
      </w:r>
      <w:r w:rsidRPr="00CE4EDF">
        <w:t xml:space="preserve"> Australian Institute of Health and Welfare, </w:t>
      </w:r>
      <w:r w:rsidRPr="008D0B23">
        <w:rPr>
          <w:i/>
        </w:rPr>
        <w:t xml:space="preserve">Cancer data in </w:t>
      </w:r>
      <w:r w:rsidRPr="008D0B23">
        <w:rPr>
          <w:i/>
          <w:iCs/>
        </w:rPr>
        <w:t>Australia</w:t>
      </w:r>
      <w:r w:rsidRPr="00CE4EDF">
        <w:t>, (2020).</w:t>
      </w:r>
    </w:p>
  </w:endnote>
  <w:endnote w:id="12">
    <w:p w14:paraId="7D83E6A5" w14:textId="77777777" w:rsidR="00F26BA2" w:rsidRPr="00BB6DD6" w:rsidRDefault="00F26BA2" w:rsidP="00EA5AC5">
      <w:pPr>
        <w:pStyle w:val="EndnoteText"/>
      </w:pPr>
      <w:r>
        <w:rPr>
          <w:rStyle w:val="EndnoteReference"/>
        </w:rPr>
        <w:endnoteRef/>
      </w:r>
      <w:r>
        <w:t xml:space="preserve"> Department of Health, </w:t>
      </w:r>
      <w:r>
        <w:rPr>
          <w:i/>
          <w:iCs/>
        </w:rPr>
        <w:t>National Bowel Cancer Screening Program- Participant Screening Pathway</w:t>
      </w:r>
      <w:r>
        <w:t>, (2019)</w:t>
      </w:r>
    </w:p>
  </w:endnote>
  <w:endnote w:id="13">
    <w:p w14:paraId="69366C30" w14:textId="0D3A0C13" w:rsidR="00F26BA2" w:rsidRPr="00BB6DD6" w:rsidRDefault="00F26BA2" w:rsidP="00823702">
      <w:pPr>
        <w:pStyle w:val="EndnoteText"/>
      </w:pPr>
      <w:r>
        <w:rPr>
          <w:rStyle w:val="EndnoteReference"/>
        </w:rPr>
        <w:endnoteRef/>
      </w:r>
      <w:r>
        <w:t xml:space="preserve"> Ibid.</w:t>
      </w:r>
    </w:p>
  </w:endnote>
  <w:endnote w:id="14">
    <w:p w14:paraId="51188D4F" w14:textId="77777777" w:rsidR="00F26BA2" w:rsidRPr="00A45B6A" w:rsidRDefault="00F26BA2" w:rsidP="00340D74">
      <w:pPr>
        <w:rPr>
          <w:rFonts w:asciiTheme="majorHAnsi" w:hAnsiTheme="majorHAnsi"/>
        </w:rPr>
      </w:pPr>
      <w:r w:rsidRPr="00A45B6A">
        <w:rPr>
          <w:rStyle w:val="EndnoteReference"/>
          <w:rFonts w:asciiTheme="majorHAnsi" w:hAnsiTheme="majorHAnsi"/>
        </w:rPr>
        <w:endnoteRef/>
      </w:r>
      <w:r w:rsidRPr="00A45B6A">
        <w:rPr>
          <w:rFonts w:asciiTheme="majorHAnsi" w:hAnsiTheme="majorHAnsi"/>
        </w:rPr>
        <w:t xml:space="preserve"> National Health and Medical Research Council,</w:t>
      </w:r>
      <w:r w:rsidRPr="00A45B6A">
        <w:rPr>
          <w:rFonts w:asciiTheme="majorHAnsi" w:hAnsiTheme="majorHAnsi"/>
          <w:i/>
        </w:rPr>
        <w:t xml:space="preserve"> Clinical practice guidelines for the prevention, early detection</w:t>
      </w:r>
      <w:r w:rsidRPr="00A45B6A">
        <w:rPr>
          <w:rFonts w:asciiTheme="majorHAnsi" w:hAnsiTheme="majorHAnsi"/>
          <w:i/>
          <w:iCs/>
        </w:rPr>
        <w:t>,</w:t>
      </w:r>
      <w:r w:rsidRPr="00A45B6A">
        <w:rPr>
          <w:rFonts w:asciiTheme="majorHAnsi" w:hAnsiTheme="majorHAnsi"/>
          <w:i/>
        </w:rPr>
        <w:t xml:space="preserve"> and management of colorectal cancer</w:t>
      </w:r>
      <w:r w:rsidRPr="00A45B6A">
        <w:rPr>
          <w:rFonts w:asciiTheme="majorHAnsi" w:hAnsiTheme="majorHAnsi"/>
        </w:rPr>
        <w:t xml:space="preserve"> (2017)</w:t>
      </w:r>
    </w:p>
  </w:endnote>
  <w:endnote w:id="15">
    <w:p w14:paraId="35F1FDB2" w14:textId="096912B0" w:rsidR="00F26BA2" w:rsidRPr="00A45B6A" w:rsidRDefault="00F26BA2" w:rsidP="00340D74">
      <w:pPr>
        <w:rPr>
          <w:rFonts w:asciiTheme="majorHAnsi" w:hAnsiTheme="majorHAnsi"/>
        </w:rPr>
      </w:pPr>
      <w:r w:rsidRPr="00A45B6A">
        <w:rPr>
          <w:rStyle w:val="EndnoteReference"/>
          <w:rFonts w:asciiTheme="majorHAnsi" w:hAnsiTheme="majorHAnsi"/>
        </w:rPr>
        <w:endnoteRef/>
      </w:r>
      <w:r w:rsidRPr="00A45B6A">
        <w:rPr>
          <w:rFonts w:asciiTheme="majorHAnsi" w:hAnsiTheme="majorHAnsi"/>
        </w:rPr>
        <w:t xml:space="preserve"> Lew J-B</w:t>
      </w:r>
      <w:r>
        <w:rPr>
          <w:rFonts w:asciiTheme="majorHAnsi" w:hAnsiTheme="majorHAnsi"/>
        </w:rPr>
        <w:t>,</w:t>
      </w:r>
      <w:r w:rsidRPr="00A45B6A">
        <w:rPr>
          <w:rFonts w:asciiTheme="majorHAnsi" w:hAnsiTheme="majorHAnsi"/>
        </w:rPr>
        <w:t xml:space="preserve"> St John J</w:t>
      </w:r>
      <w:r>
        <w:rPr>
          <w:rFonts w:asciiTheme="majorHAnsi" w:hAnsiTheme="majorHAnsi"/>
        </w:rPr>
        <w:t>,</w:t>
      </w:r>
      <w:r w:rsidRPr="00A45B6A">
        <w:rPr>
          <w:rFonts w:asciiTheme="majorHAnsi" w:hAnsiTheme="majorHAnsi"/>
        </w:rPr>
        <w:t xml:space="preserve"> Macrae F et al ‘Benefits, Harms, and Cost-Effectiveness of Potential Age Extensions to the National Bowel Cancer Screening Program in Australia’ (2018) 29(12), </w:t>
      </w:r>
      <w:r w:rsidRPr="00A45B6A">
        <w:rPr>
          <w:rFonts w:asciiTheme="majorHAnsi" w:hAnsiTheme="majorHAnsi"/>
          <w:i/>
        </w:rPr>
        <w:t>Cancer Epidemiology, Biomarkers &amp; Prevention</w:t>
      </w:r>
      <w:r w:rsidRPr="00A45B6A">
        <w:rPr>
          <w:rFonts w:asciiTheme="majorHAnsi" w:hAnsiTheme="majorHAnsi"/>
        </w:rPr>
        <w:t xml:space="preserve"> 1450.</w:t>
      </w:r>
    </w:p>
  </w:endnote>
  <w:endnote w:id="16">
    <w:p w14:paraId="5EA742BB" w14:textId="77777777" w:rsidR="00F26BA2" w:rsidRPr="00A45B6A" w:rsidRDefault="00F26BA2" w:rsidP="009B7473">
      <w:pPr>
        <w:rPr>
          <w:rFonts w:asciiTheme="majorHAnsi" w:hAnsiTheme="majorHAnsi"/>
        </w:rPr>
      </w:pPr>
      <w:r w:rsidRPr="00A45B6A">
        <w:rPr>
          <w:rStyle w:val="EndnoteReference"/>
          <w:rFonts w:asciiTheme="majorHAnsi" w:hAnsiTheme="majorHAnsi"/>
        </w:rPr>
        <w:endnoteRef/>
      </w:r>
      <w:r w:rsidRPr="00A45B6A">
        <w:rPr>
          <w:rFonts w:asciiTheme="majorHAnsi" w:hAnsiTheme="majorHAnsi"/>
        </w:rPr>
        <w:t xml:space="preserve"> US Preventatives Services Task Force, </w:t>
      </w:r>
      <w:r w:rsidRPr="00A45B6A">
        <w:rPr>
          <w:rFonts w:asciiTheme="majorHAnsi" w:hAnsiTheme="majorHAnsi"/>
          <w:i/>
        </w:rPr>
        <w:t>Draft Recommendation Statement: Colorectal Cancer Screening</w:t>
      </w:r>
      <w:r w:rsidRPr="00A45B6A">
        <w:rPr>
          <w:rFonts w:asciiTheme="majorHAnsi" w:hAnsiTheme="majorHAnsi"/>
          <w:i/>
          <w:iCs/>
        </w:rPr>
        <w:t xml:space="preserve"> </w:t>
      </w:r>
      <w:r w:rsidRPr="00A45B6A">
        <w:rPr>
          <w:rFonts w:asciiTheme="majorHAnsi" w:hAnsiTheme="majorHAnsi"/>
        </w:rPr>
        <w:t>(2020)</w:t>
      </w:r>
    </w:p>
  </w:endnote>
  <w:endnote w:id="17">
    <w:p w14:paraId="3BD1DDDE" w14:textId="430F1FB5" w:rsidR="00F26BA2" w:rsidRPr="00A45B6A" w:rsidRDefault="00F26BA2" w:rsidP="00340D74">
      <w:pPr>
        <w:rPr>
          <w:rFonts w:asciiTheme="majorHAnsi" w:hAnsiTheme="majorHAnsi"/>
        </w:rPr>
      </w:pPr>
      <w:r w:rsidRPr="00A45B6A">
        <w:rPr>
          <w:rStyle w:val="EndnoteReference"/>
          <w:rFonts w:asciiTheme="majorHAnsi" w:hAnsiTheme="majorHAnsi"/>
        </w:rPr>
        <w:endnoteRef/>
      </w:r>
      <w:r w:rsidRPr="00A45B6A">
        <w:rPr>
          <w:rFonts w:asciiTheme="majorHAnsi" w:hAnsiTheme="majorHAnsi"/>
        </w:rPr>
        <w:t xml:space="preserve"> </w:t>
      </w:r>
      <w:r>
        <w:rPr>
          <w:rFonts w:asciiTheme="majorHAnsi" w:hAnsiTheme="majorHAnsi"/>
        </w:rPr>
        <w:t xml:space="preserve">Ibid. </w:t>
      </w:r>
    </w:p>
  </w:endnote>
  <w:endnote w:id="18">
    <w:p w14:paraId="1C74D3D9" w14:textId="504D3942" w:rsidR="00F26BA2" w:rsidRDefault="00F26BA2">
      <w:pPr>
        <w:pStyle w:val="EndnoteText"/>
      </w:pPr>
      <w:r>
        <w:rPr>
          <w:rStyle w:val="EndnoteReference"/>
        </w:rPr>
        <w:endnoteRef/>
      </w:r>
      <w:r>
        <w:t xml:space="preserve"> Cancer Australia, </w:t>
      </w:r>
      <w:r w:rsidRPr="00815EA5">
        <w:rPr>
          <w:i/>
        </w:rPr>
        <w:t>Stage at diagnosis by type (breast, prostate, colorectal, lung)</w:t>
      </w:r>
      <w:r>
        <w:t xml:space="preserve"> (2021), </w:t>
      </w:r>
      <w:r w:rsidRPr="00815EA5">
        <w:t>https://ncci.canceraustralia.gov.au/stage-diagnosis/stage-diagnosis-type</w:t>
      </w:r>
      <w:r>
        <w:t xml:space="preserve">.  </w:t>
      </w:r>
    </w:p>
  </w:endnote>
  <w:endnote w:id="19">
    <w:p w14:paraId="3CB483BD" w14:textId="646A85AD" w:rsidR="00F26BA2" w:rsidRPr="00584385" w:rsidRDefault="00F26BA2">
      <w:pPr>
        <w:pStyle w:val="EndnoteText"/>
      </w:pPr>
      <w:r>
        <w:rPr>
          <w:rStyle w:val="EndnoteReference"/>
        </w:rPr>
        <w:endnoteRef/>
      </w:r>
      <w:r>
        <w:t xml:space="preserve"> Cancer Council Australia, </w:t>
      </w:r>
      <w:r>
        <w:rPr>
          <w:i/>
          <w:iCs/>
        </w:rPr>
        <w:t>Colonoscopy outcomes in Aboriginal and Torres Strait Islander peoples</w:t>
      </w:r>
      <w:r>
        <w:t xml:space="preserve"> (2019), </w:t>
      </w:r>
      <w:r w:rsidRPr="000F06D0">
        <w:t>https://wiki.cancer.org.au/australia/Clinical_question:What_colonoscopic_surveillance_is_available_to_indigenous_people_for_CRC_resection,_polyp_removal,_IBD%3F</w:t>
      </w:r>
      <w:r>
        <w:t>.</w:t>
      </w:r>
    </w:p>
  </w:endnote>
  <w:endnote w:id="20">
    <w:p w14:paraId="7BEDBDA0" w14:textId="1EFEAA87" w:rsidR="00F26BA2" w:rsidRPr="00601B98" w:rsidRDefault="00F26BA2" w:rsidP="00342C56">
      <w:pPr>
        <w:pStyle w:val="EndnoteText"/>
      </w:pPr>
      <w:r>
        <w:rPr>
          <w:rStyle w:val="EndnoteReference"/>
        </w:rPr>
        <w:endnoteRef/>
      </w:r>
      <w:r>
        <w:t xml:space="preserve"> Libby G, Bray J, Champion J et al ‘</w:t>
      </w:r>
      <w:r w:rsidRPr="00FC5887">
        <w:t>Pre-notification increases uptake of colorectal cancer screening in all demographic groups: a randomized controlled trial</w:t>
      </w:r>
      <w:r>
        <w:t xml:space="preserve">’ (2011) 18(1), </w:t>
      </w:r>
      <w:r>
        <w:rPr>
          <w:i/>
          <w:iCs/>
        </w:rPr>
        <w:t>Journal of Medical Screening</w:t>
      </w:r>
      <w:r>
        <w:t xml:space="preserve">, 24. </w:t>
      </w:r>
    </w:p>
  </w:endnote>
  <w:endnote w:id="21">
    <w:p w14:paraId="337F8CB7" w14:textId="6B4FAF56" w:rsidR="00F26BA2" w:rsidRPr="00A2019A" w:rsidRDefault="00F26BA2">
      <w:pPr>
        <w:pStyle w:val="EndnoteText"/>
      </w:pPr>
      <w:r>
        <w:rPr>
          <w:rStyle w:val="EndnoteReference"/>
        </w:rPr>
        <w:endnoteRef/>
      </w:r>
      <w:r>
        <w:t xml:space="preserve"> Eiken Chemical Co., Ltd, </w:t>
      </w:r>
      <w:r>
        <w:rPr>
          <w:i/>
          <w:iCs/>
        </w:rPr>
        <w:t xml:space="preserve">Instructions for use </w:t>
      </w:r>
      <w:r>
        <w:t xml:space="preserve">(2019), </w:t>
      </w:r>
      <w:r w:rsidRPr="00F678D8">
        <w:t>https://www.eiken.co.jp/uploads/380094E_OC-Auto3_V-PH18%20V-PH33.pdf</w:t>
      </w:r>
      <w:r>
        <w:t xml:space="preserve">. </w:t>
      </w:r>
    </w:p>
  </w:endnote>
  <w:endnote w:id="22">
    <w:p w14:paraId="7570A50E" w14:textId="77777777" w:rsidR="00F26BA2" w:rsidRPr="00A45B6A" w:rsidRDefault="00F26BA2" w:rsidP="00D07A28">
      <w:pPr>
        <w:pStyle w:val="EndnoteText"/>
        <w:rPr>
          <w:rFonts w:asciiTheme="majorHAnsi" w:hAnsiTheme="majorHAnsi"/>
          <w:szCs w:val="18"/>
        </w:rPr>
      </w:pPr>
      <w:r w:rsidRPr="00A45B6A">
        <w:rPr>
          <w:rStyle w:val="EndnoteReference"/>
          <w:rFonts w:asciiTheme="majorHAnsi" w:hAnsiTheme="majorHAnsi"/>
          <w:szCs w:val="18"/>
        </w:rPr>
        <w:endnoteRef/>
      </w:r>
      <w:r w:rsidRPr="00A45B6A">
        <w:rPr>
          <w:rFonts w:asciiTheme="majorHAnsi" w:hAnsiTheme="majorHAnsi"/>
          <w:szCs w:val="18"/>
        </w:rPr>
        <w:t xml:space="preserve"> Menzies School of Health Research, </w:t>
      </w:r>
      <w:r w:rsidRPr="00A45B6A">
        <w:rPr>
          <w:rFonts w:asciiTheme="majorHAnsi" w:hAnsiTheme="majorHAnsi"/>
          <w:i/>
          <w:szCs w:val="18"/>
        </w:rPr>
        <w:t>National Indigenous Bowel Screening Pilot Final Report</w:t>
      </w:r>
      <w:r w:rsidRPr="00A45B6A">
        <w:rPr>
          <w:rFonts w:asciiTheme="majorHAnsi" w:hAnsiTheme="majorHAnsi"/>
          <w:szCs w:val="18"/>
        </w:rPr>
        <w:t xml:space="preserve"> (September 2020)</w:t>
      </w:r>
    </w:p>
  </w:endnote>
  <w:endnote w:id="23">
    <w:p w14:paraId="7D791021" w14:textId="77777777" w:rsidR="00F26BA2" w:rsidRPr="00A45B6A" w:rsidRDefault="00F26BA2" w:rsidP="00D07A28">
      <w:pPr>
        <w:pStyle w:val="EndnoteText"/>
        <w:rPr>
          <w:rFonts w:asciiTheme="majorHAnsi" w:hAnsiTheme="majorHAnsi"/>
          <w:szCs w:val="18"/>
        </w:rPr>
      </w:pPr>
      <w:r w:rsidRPr="00A45B6A">
        <w:rPr>
          <w:rStyle w:val="EndnoteReference"/>
          <w:rFonts w:asciiTheme="majorHAnsi" w:hAnsiTheme="majorHAnsi"/>
          <w:szCs w:val="18"/>
        </w:rPr>
        <w:endnoteRef/>
      </w:r>
      <w:r w:rsidRPr="00A45B6A">
        <w:rPr>
          <w:rFonts w:asciiTheme="majorHAnsi" w:hAnsiTheme="majorHAnsi"/>
          <w:szCs w:val="18"/>
        </w:rPr>
        <w:t xml:space="preserve"> AIHW, </w:t>
      </w:r>
      <w:r w:rsidRPr="00A45B6A">
        <w:rPr>
          <w:rFonts w:asciiTheme="majorHAnsi" w:hAnsiTheme="majorHAnsi"/>
          <w:i/>
          <w:szCs w:val="18"/>
        </w:rPr>
        <w:t>National Bowel Cancer Screening Program Monitoring Report</w:t>
      </w:r>
      <w:r w:rsidRPr="00A45B6A">
        <w:rPr>
          <w:rFonts w:asciiTheme="majorHAnsi" w:hAnsiTheme="majorHAnsi"/>
          <w:szCs w:val="18"/>
        </w:rPr>
        <w:t xml:space="preserve"> (June 2020)</w:t>
      </w:r>
    </w:p>
  </w:endnote>
  <w:endnote w:id="24">
    <w:p w14:paraId="00896A48" w14:textId="77777777" w:rsidR="00F26BA2" w:rsidRPr="0054066B" w:rsidRDefault="00F26BA2" w:rsidP="005F187D">
      <w:pPr>
        <w:rPr>
          <w:rFonts w:asciiTheme="majorHAnsi" w:hAnsiTheme="majorHAnsi"/>
        </w:rPr>
      </w:pPr>
      <w:r w:rsidRPr="00A45B6A">
        <w:rPr>
          <w:rStyle w:val="EndnoteReference"/>
          <w:rFonts w:asciiTheme="majorHAnsi" w:hAnsiTheme="majorHAnsi"/>
        </w:rPr>
        <w:endnoteRef/>
      </w:r>
      <w:r w:rsidRPr="00A45B6A">
        <w:rPr>
          <w:rFonts w:asciiTheme="majorHAnsi" w:hAnsiTheme="majorHAnsi"/>
        </w:rPr>
        <w:t xml:space="preserve"> Barry M. ‘Faecal occult blood testing for colorectal cancer: a perspective’</w:t>
      </w:r>
      <w:r>
        <w:rPr>
          <w:rFonts w:asciiTheme="majorHAnsi" w:hAnsiTheme="majorHAnsi"/>
        </w:rPr>
        <w:t xml:space="preserve"> (2002) 13(1), </w:t>
      </w:r>
      <w:r w:rsidRPr="0054066B">
        <w:rPr>
          <w:rFonts w:asciiTheme="majorHAnsi" w:hAnsiTheme="majorHAnsi"/>
          <w:i/>
        </w:rPr>
        <w:t>ANNALS of Oncology</w:t>
      </w:r>
      <w:r>
        <w:rPr>
          <w:rFonts w:asciiTheme="majorHAnsi" w:hAnsiTheme="majorHAnsi"/>
          <w:i/>
          <w:iCs/>
        </w:rPr>
        <w:t xml:space="preserve"> </w:t>
      </w:r>
      <w:r>
        <w:rPr>
          <w:rFonts w:asciiTheme="majorHAnsi" w:hAnsiTheme="majorHAnsi"/>
        </w:rPr>
        <w:t>61.</w:t>
      </w:r>
    </w:p>
  </w:endnote>
  <w:endnote w:id="25">
    <w:p w14:paraId="32BF016E" w14:textId="2AE0C68D" w:rsidR="00F26BA2" w:rsidRPr="00A45B6A" w:rsidRDefault="00F26BA2" w:rsidP="005F187D">
      <w:pPr>
        <w:rPr>
          <w:rFonts w:asciiTheme="majorHAnsi" w:hAnsiTheme="majorHAnsi"/>
        </w:rPr>
      </w:pPr>
      <w:r w:rsidRPr="00A45B6A">
        <w:rPr>
          <w:rStyle w:val="EndnoteReference"/>
          <w:rFonts w:asciiTheme="majorHAnsi" w:hAnsiTheme="majorHAnsi"/>
        </w:rPr>
        <w:endnoteRef/>
      </w:r>
      <w:r w:rsidRPr="00A45B6A">
        <w:rPr>
          <w:rFonts w:asciiTheme="majorHAnsi" w:hAnsiTheme="majorHAnsi"/>
        </w:rPr>
        <w:t xml:space="preserve"> Lu M</w:t>
      </w:r>
      <w:r>
        <w:rPr>
          <w:rFonts w:asciiTheme="majorHAnsi" w:hAnsiTheme="majorHAnsi"/>
        </w:rPr>
        <w:t>,</w:t>
      </w:r>
      <w:r w:rsidRPr="00A45B6A">
        <w:rPr>
          <w:rFonts w:asciiTheme="majorHAnsi" w:hAnsiTheme="majorHAnsi"/>
        </w:rPr>
        <w:t xml:space="preserve"> Luo X</w:t>
      </w:r>
      <w:r>
        <w:rPr>
          <w:rFonts w:asciiTheme="majorHAnsi" w:hAnsiTheme="majorHAnsi"/>
        </w:rPr>
        <w:t>,</w:t>
      </w:r>
      <w:r w:rsidRPr="00A45B6A">
        <w:rPr>
          <w:rFonts w:asciiTheme="majorHAnsi" w:hAnsiTheme="majorHAnsi"/>
        </w:rPr>
        <w:t xml:space="preserve"> Chen H </w:t>
      </w:r>
      <w:r>
        <w:rPr>
          <w:rFonts w:asciiTheme="majorHAnsi" w:hAnsiTheme="majorHAnsi"/>
        </w:rPr>
        <w:t xml:space="preserve">et al </w:t>
      </w:r>
      <w:r w:rsidRPr="00A45B6A">
        <w:rPr>
          <w:rFonts w:asciiTheme="majorHAnsi" w:hAnsiTheme="majorHAnsi"/>
        </w:rPr>
        <w:t xml:space="preserve"> ‘Diagnostic Accuracy </w:t>
      </w:r>
      <w:r>
        <w:rPr>
          <w:rFonts w:asciiTheme="majorHAnsi" w:hAnsiTheme="majorHAnsi"/>
        </w:rPr>
        <w:t>of</w:t>
      </w:r>
      <w:r w:rsidRPr="00A45B6A">
        <w:rPr>
          <w:rFonts w:asciiTheme="majorHAnsi" w:hAnsiTheme="majorHAnsi"/>
        </w:rPr>
        <w:t xml:space="preserve"> Faecal Occult Blood Tests For Detecting Proximal Versus Distal Colorectal Neoplasia: A Systematic Review And Meta-Analysis’</w:t>
      </w:r>
      <w:r>
        <w:rPr>
          <w:rFonts w:asciiTheme="majorHAnsi" w:hAnsiTheme="majorHAnsi"/>
        </w:rPr>
        <w:t xml:space="preserve"> (2019) 11</w:t>
      </w:r>
      <w:r w:rsidRPr="00A45B6A">
        <w:rPr>
          <w:rFonts w:asciiTheme="majorHAnsi" w:hAnsiTheme="majorHAnsi"/>
        </w:rPr>
        <w:t xml:space="preserve"> </w:t>
      </w:r>
      <w:r w:rsidRPr="00A45B6A">
        <w:rPr>
          <w:rFonts w:asciiTheme="majorHAnsi" w:hAnsiTheme="majorHAnsi"/>
          <w:i/>
        </w:rPr>
        <w:t xml:space="preserve">Clinical Epidemiology, </w:t>
      </w:r>
      <w:r>
        <w:rPr>
          <w:rFonts w:asciiTheme="majorHAnsi" w:hAnsiTheme="majorHAnsi"/>
        </w:rPr>
        <w:t>943.</w:t>
      </w:r>
    </w:p>
  </w:endnote>
  <w:endnote w:id="26">
    <w:p w14:paraId="64A6B86B" w14:textId="1E99C608" w:rsidR="00F26BA2" w:rsidRPr="00A45B6A" w:rsidRDefault="00F26BA2" w:rsidP="005F187D">
      <w:pPr>
        <w:rPr>
          <w:rFonts w:asciiTheme="majorHAnsi" w:hAnsiTheme="majorHAnsi"/>
        </w:rPr>
      </w:pPr>
      <w:r w:rsidRPr="00A45B6A">
        <w:rPr>
          <w:rStyle w:val="EndnoteReference"/>
          <w:rFonts w:asciiTheme="majorHAnsi" w:hAnsiTheme="majorHAnsi"/>
        </w:rPr>
        <w:endnoteRef/>
      </w:r>
      <w:r w:rsidRPr="00A45B6A">
        <w:rPr>
          <w:rFonts w:asciiTheme="majorHAnsi" w:hAnsiTheme="majorHAnsi"/>
        </w:rPr>
        <w:t xml:space="preserve"> Lew J-B</w:t>
      </w:r>
      <w:r>
        <w:rPr>
          <w:rFonts w:asciiTheme="majorHAnsi" w:hAnsiTheme="majorHAnsi"/>
        </w:rPr>
        <w:t>,</w:t>
      </w:r>
      <w:r w:rsidRPr="00A45B6A">
        <w:rPr>
          <w:rFonts w:asciiTheme="majorHAnsi" w:hAnsiTheme="majorHAnsi"/>
        </w:rPr>
        <w:t xml:space="preserve"> St John J</w:t>
      </w:r>
      <w:r>
        <w:rPr>
          <w:rFonts w:asciiTheme="majorHAnsi" w:hAnsiTheme="majorHAnsi"/>
        </w:rPr>
        <w:t>,</w:t>
      </w:r>
      <w:r w:rsidRPr="00A45B6A">
        <w:rPr>
          <w:rFonts w:asciiTheme="majorHAnsi" w:hAnsiTheme="majorHAnsi"/>
        </w:rPr>
        <w:t xml:space="preserve"> Macrae</w:t>
      </w:r>
      <w:r>
        <w:rPr>
          <w:rFonts w:asciiTheme="majorHAnsi" w:hAnsiTheme="majorHAnsi"/>
        </w:rPr>
        <w:t xml:space="preserve"> F</w:t>
      </w:r>
      <w:r w:rsidRPr="00A45B6A">
        <w:rPr>
          <w:rFonts w:asciiTheme="majorHAnsi" w:hAnsiTheme="majorHAnsi"/>
        </w:rPr>
        <w:t xml:space="preserve"> </w:t>
      </w:r>
      <w:r>
        <w:rPr>
          <w:rFonts w:asciiTheme="majorHAnsi" w:hAnsiTheme="majorHAnsi"/>
        </w:rPr>
        <w:t>e</w:t>
      </w:r>
      <w:r w:rsidRPr="00A45B6A">
        <w:rPr>
          <w:rFonts w:asciiTheme="majorHAnsi" w:hAnsiTheme="majorHAnsi"/>
        </w:rPr>
        <w:t xml:space="preserve">t al </w:t>
      </w:r>
      <w:r>
        <w:rPr>
          <w:rFonts w:asciiTheme="majorHAnsi" w:hAnsiTheme="majorHAnsi"/>
        </w:rPr>
        <w:t>above n 4.</w:t>
      </w:r>
    </w:p>
  </w:endnote>
  <w:endnote w:id="27">
    <w:p w14:paraId="6AFDD5F2" w14:textId="77777777" w:rsidR="00F26BA2" w:rsidRPr="00A45B6A" w:rsidRDefault="00F26BA2" w:rsidP="005F187D">
      <w:pPr>
        <w:rPr>
          <w:rFonts w:asciiTheme="majorHAnsi" w:hAnsiTheme="majorHAnsi"/>
        </w:rPr>
      </w:pPr>
      <w:r w:rsidRPr="00A45B6A">
        <w:rPr>
          <w:rStyle w:val="EndnoteReference"/>
          <w:rFonts w:asciiTheme="majorHAnsi" w:hAnsiTheme="majorHAnsi"/>
        </w:rPr>
        <w:endnoteRef/>
      </w:r>
      <w:r w:rsidRPr="00A45B6A">
        <w:rPr>
          <w:rFonts w:asciiTheme="majorHAnsi" w:hAnsiTheme="majorHAnsi"/>
        </w:rPr>
        <w:t xml:space="preserve"> Parkin C</w:t>
      </w:r>
      <w:r>
        <w:rPr>
          <w:rFonts w:asciiTheme="majorHAnsi" w:hAnsiTheme="majorHAnsi"/>
        </w:rPr>
        <w:t>,</w:t>
      </w:r>
      <w:r w:rsidRPr="00A45B6A">
        <w:rPr>
          <w:rFonts w:asciiTheme="majorHAnsi" w:hAnsiTheme="majorHAnsi"/>
        </w:rPr>
        <w:t xml:space="preserve"> Bell S</w:t>
      </w:r>
      <w:r>
        <w:rPr>
          <w:rFonts w:asciiTheme="majorHAnsi" w:hAnsiTheme="majorHAnsi"/>
        </w:rPr>
        <w:t>,</w:t>
      </w:r>
      <w:r w:rsidRPr="00A45B6A">
        <w:rPr>
          <w:rFonts w:asciiTheme="majorHAnsi" w:hAnsiTheme="majorHAnsi"/>
        </w:rPr>
        <w:t xml:space="preserve"> Mirbagheri N. ‘Colorectal Cancer Screening in Australia’</w:t>
      </w:r>
      <w:r>
        <w:rPr>
          <w:rFonts w:asciiTheme="majorHAnsi" w:hAnsiTheme="majorHAnsi"/>
        </w:rPr>
        <w:t xml:space="preserve"> (2018) 47(12)</w:t>
      </w:r>
      <w:r w:rsidRPr="00A45B6A">
        <w:rPr>
          <w:rFonts w:asciiTheme="majorHAnsi" w:hAnsiTheme="majorHAnsi"/>
        </w:rPr>
        <w:t xml:space="preserve"> </w:t>
      </w:r>
      <w:r w:rsidRPr="00A45B6A">
        <w:rPr>
          <w:rFonts w:asciiTheme="majorHAnsi" w:hAnsiTheme="majorHAnsi"/>
          <w:i/>
        </w:rPr>
        <w:t>Australian Journal of General Practice</w:t>
      </w:r>
      <w:r>
        <w:rPr>
          <w:rFonts w:asciiTheme="majorHAnsi" w:hAnsiTheme="majorHAnsi"/>
        </w:rPr>
        <w:t>.</w:t>
      </w:r>
    </w:p>
  </w:endnote>
  <w:endnote w:id="28">
    <w:p w14:paraId="27058AD2" w14:textId="53A9F227" w:rsidR="00F26BA2" w:rsidRPr="00A45B6A" w:rsidRDefault="00F26BA2" w:rsidP="005F187D">
      <w:pPr>
        <w:rPr>
          <w:rFonts w:asciiTheme="majorHAnsi" w:hAnsiTheme="majorHAnsi"/>
        </w:rPr>
      </w:pPr>
      <w:r w:rsidRPr="00A45B6A">
        <w:rPr>
          <w:rStyle w:val="EndnoteReference"/>
          <w:rFonts w:asciiTheme="majorHAnsi" w:hAnsiTheme="majorHAnsi"/>
        </w:rPr>
        <w:endnoteRef/>
      </w:r>
      <w:r w:rsidRPr="00A45B6A">
        <w:rPr>
          <w:rFonts w:asciiTheme="majorHAnsi" w:hAnsiTheme="majorHAnsi"/>
        </w:rPr>
        <w:t xml:space="preserve"> Rabeneck L</w:t>
      </w:r>
      <w:r>
        <w:rPr>
          <w:rFonts w:asciiTheme="majorHAnsi" w:hAnsiTheme="majorHAnsi"/>
        </w:rPr>
        <w:t>,</w:t>
      </w:r>
      <w:r w:rsidRPr="00A45B6A">
        <w:rPr>
          <w:rFonts w:asciiTheme="majorHAnsi" w:hAnsiTheme="majorHAnsi"/>
        </w:rPr>
        <w:t xml:space="preserve"> Rumble RB</w:t>
      </w:r>
      <w:r>
        <w:rPr>
          <w:rFonts w:asciiTheme="majorHAnsi" w:hAnsiTheme="majorHAnsi"/>
        </w:rPr>
        <w:t>,</w:t>
      </w:r>
      <w:r w:rsidRPr="00A45B6A">
        <w:rPr>
          <w:rFonts w:asciiTheme="majorHAnsi" w:hAnsiTheme="majorHAnsi"/>
        </w:rPr>
        <w:t xml:space="preserve"> Thompson F et al ‘F</w:t>
      </w:r>
      <w:r>
        <w:rPr>
          <w:rFonts w:asciiTheme="majorHAnsi" w:hAnsiTheme="majorHAnsi"/>
        </w:rPr>
        <w:t>a</w:t>
      </w:r>
      <w:r w:rsidRPr="00A45B6A">
        <w:rPr>
          <w:rFonts w:asciiTheme="majorHAnsi" w:hAnsiTheme="majorHAnsi"/>
        </w:rPr>
        <w:t>ecal immunochemical tests compared with guaiac fecal occult blood tests for population-based colorectal cancer screening’</w:t>
      </w:r>
      <w:r>
        <w:rPr>
          <w:rFonts w:asciiTheme="majorHAnsi" w:hAnsiTheme="majorHAnsi"/>
        </w:rPr>
        <w:t xml:space="preserve"> (2012) 26(3) </w:t>
      </w:r>
      <w:r w:rsidRPr="00BE4D40">
        <w:rPr>
          <w:rFonts w:asciiTheme="majorHAnsi" w:hAnsiTheme="majorHAnsi"/>
          <w:i/>
        </w:rPr>
        <w:t>Canadian Journal of Gastroenterology and Hepatology</w:t>
      </w:r>
      <w:r>
        <w:rPr>
          <w:rFonts w:asciiTheme="majorHAnsi" w:hAnsiTheme="majorHAnsi"/>
        </w:rPr>
        <w:t xml:space="preserve"> 131.</w:t>
      </w:r>
      <w:r w:rsidRPr="00A45B6A">
        <w:rPr>
          <w:rFonts w:asciiTheme="majorHAnsi" w:hAnsiTheme="majorHAnsi"/>
        </w:rPr>
        <w:t xml:space="preserve">   </w:t>
      </w:r>
    </w:p>
  </w:endnote>
  <w:endnote w:id="29">
    <w:p w14:paraId="1AAB4EF7" w14:textId="39BBB1D0" w:rsidR="00F26BA2" w:rsidRPr="00A45B6A" w:rsidRDefault="00F26BA2" w:rsidP="005F187D">
      <w:pPr>
        <w:spacing w:after="0"/>
        <w:rPr>
          <w:rFonts w:asciiTheme="majorHAnsi" w:hAnsiTheme="majorHAnsi"/>
        </w:rPr>
      </w:pPr>
      <w:r w:rsidRPr="00A45B6A">
        <w:rPr>
          <w:rStyle w:val="EndnoteReference"/>
          <w:rFonts w:asciiTheme="majorHAnsi" w:hAnsiTheme="majorHAnsi"/>
        </w:rPr>
        <w:endnoteRef/>
      </w:r>
      <w:r w:rsidRPr="00A45B6A">
        <w:rPr>
          <w:rFonts w:asciiTheme="majorHAnsi" w:hAnsiTheme="majorHAnsi"/>
        </w:rPr>
        <w:t xml:space="preserve"> Schreuders E</w:t>
      </w:r>
      <w:r>
        <w:rPr>
          <w:rFonts w:asciiTheme="majorHAnsi" w:hAnsiTheme="majorHAnsi"/>
        </w:rPr>
        <w:t>,</w:t>
      </w:r>
      <w:r w:rsidRPr="00A45B6A">
        <w:rPr>
          <w:rFonts w:asciiTheme="majorHAnsi" w:hAnsiTheme="majorHAnsi"/>
        </w:rPr>
        <w:t xml:space="preserve"> Ruco A</w:t>
      </w:r>
      <w:r>
        <w:rPr>
          <w:rFonts w:asciiTheme="majorHAnsi" w:hAnsiTheme="majorHAnsi"/>
        </w:rPr>
        <w:t>,</w:t>
      </w:r>
      <w:r w:rsidRPr="00A45B6A">
        <w:rPr>
          <w:rFonts w:asciiTheme="majorHAnsi" w:hAnsiTheme="majorHAnsi"/>
        </w:rPr>
        <w:t xml:space="preserve"> Rabeneck L et al ‘Colorectal cancer screening: a global overview</w:t>
      </w:r>
    </w:p>
    <w:p w14:paraId="390127CE" w14:textId="77777777" w:rsidR="00F26BA2" w:rsidRPr="00A45B6A" w:rsidRDefault="00F26BA2" w:rsidP="005F187D">
      <w:pPr>
        <w:rPr>
          <w:rFonts w:asciiTheme="majorHAnsi" w:hAnsiTheme="majorHAnsi"/>
        </w:rPr>
      </w:pPr>
      <w:r w:rsidRPr="00A45B6A">
        <w:rPr>
          <w:rFonts w:asciiTheme="majorHAnsi" w:hAnsiTheme="majorHAnsi"/>
        </w:rPr>
        <w:t>of existing programmes’</w:t>
      </w:r>
      <w:r>
        <w:rPr>
          <w:rFonts w:asciiTheme="majorHAnsi" w:hAnsiTheme="majorHAnsi"/>
        </w:rPr>
        <w:t xml:space="preserve"> (2015) 64</w:t>
      </w:r>
      <w:r w:rsidRPr="00A45B6A">
        <w:rPr>
          <w:rFonts w:asciiTheme="majorHAnsi" w:hAnsiTheme="majorHAnsi"/>
        </w:rPr>
        <w:t xml:space="preserve"> </w:t>
      </w:r>
      <w:r w:rsidRPr="00A45B6A">
        <w:rPr>
          <w:rFonts w:asciiTheme="majorHAnsi" w:hAnsiTheme="majorHAnsi"/>
          <w:i/>
          <w:iCs/>
        </w:rPr>
        <w:t>Gut</w:t>
      </w:r>
      <w:r>
        <w:rPr>
          <w:rFonts w:asciiTheme="majorHAnsi" w:hAnsiTheme="majorHAnsi"/>
        </w:rPr>
        <w:t xml:space="preserve"> 1637.</w:t>
      </w:r>
      <w:r w:rsidRPr="00A45B6A">
        <w:rPr>
          <w:rFonts w:asciiTheme="majorHAnsi" w:hAnsiTheme="majorHAnsi"/>
        </w:rPr>
        <w:t xml:space="preserve"> </w:t>
      </w:r>
    </w:p>
  </w:endnote>
  <w:endnote w:id="30">
    <w:p w14:paraId="7C60EE03" w14:textId="36404A15" w:rsidR="00F26BA2" w:rsidRPr="00A45B6A" w:rsidRDefault="00F26BA2" w:rsidP="005F187D">
      <w:pPr>
        <w:rPr>
          <w:rFonts w:asciiTheme="majorHAnsi" w:hAnsiTheme="majorHAnsi"/>
        </w:rPr>
      </w:pPr>
      <w:r w:rsidRPr="00A45B6A">
        <w:rPr>
          <w:rStyle w:val="EndnoteReference"/>
          <w:rFonts w:asciiTheme="majorHAnsi" w:hAnsiTheme="majorHAnsi"/>
        </w:rPr>
        <w:endnoteRef/>
      </w:r>
      <w:r w:rsidRPr="00A45B6A">
        <w:rPr>
          <w:rFonts w:asciiTheme="majorHAnsi" w:hAnsiTheme="majorHAnsi"/>
        </w:rPr>
        <w:t xml:space="preserve"> Young G</w:t>
      </w:r>
      <w:r>
        <w:rPr>
          <w:rFonts w:asciiTheme="majorHAnsi" w:hAnsiTheme="majorHAnsi"/>
        </w:rPr>
        <w:t>,</w:t>
      </w:r>
      <w:r w:rsidRPr="00A45B6A">
        <w:rPr>
          <w:rFonts w:asciiTheme="majorHAnsi" w:hAnsiTheme="majorHAnsi"/>
        </w:rPr>
        <w:t xml:space="preserve"> Woodman R</w:t>
      </w:r>
      <w:r>
        <w:rPr>
          <w:rFonts w:asciiTheme="majorHAnsi" w:hAnsiTheme="majorHAnsi"/>
        </w:rPr>
        <w:t>,</w:t>
      </w:r>
      <w:r w:rsidRPr="00A45B6A">
        <w:rPr>
          <w:rFonts w:asciiTheme="majorHAnsi" w:hAnsiTheme="majorHAnsi"/>
        </w:rPr>
        <w:t xml:space="preserve"> Ang F</w:t>
      </w:r>
      <w:r>
        <w:rPr>
          <w:rFonts w:asciiTheme="majorHAnsi" w:hAnsiTheme="majorHAnsi"/>
        </w:rPr>
        <w:t>,</w:t>
      </w:r>
      <w:r w:rsidRPr="00A45B6A">
        <w:rPr>
          <w:rFonts w:asciiTheme="majorHAnsi" w:hAnsiTheme="majorHAnsi"/>
        </w:rPr>
        <w:t xml:space="preserve"> Symonds</w:t>
      </w:r>
      <w:r>
        <w:rPr>
          <w:rFonts w:asciiTheme="majorHAnsi" w:hAnsiTheme="majorHAnsi"/>
        </w:rPr>
        <w:t xml:space="preserve"> E</w:t>
      </w:r>
      <w:r w:rsidRPr="00A45B6A">
        <w:rPr>
          <w:rFonts w:asciiTheme="majorHAnsi" w:hAnsiTheme="majorHAnsi"/>
        </w:rPr>
        <w:t xml:space="preserve"> </w:t>
      </w:r>
      <w:r>
        <w:rPr>
          <w:rFonts w:asciiTheme="majorHAnsi" w:hAnsiTheme="majorHAnsi"/>
        </w:rPr>
        <w:t>‘</w:t>
      </w:r>
      <w:r w:rsidRPr="00A45B6A">
        <w:rPr>
          <w:rFonts w:asciiTheme="majorHAnsi" w:hAnsiTheme="majorHAnsi"/>
        </w:rPr>
        <w:t>Both sample number and test positivity threshold determine colonoscopy efficiency in detection of colorectal cancer with quantitative faecal immunochemical tests</w:t>
      </w:r>
      <w:r>
        <w:rPr>
          <w:rFonts w:asciiTheme="majorHAnsi" w:hAnsiTheme="majorHAnsi"/>
        </w:rPr>
        <w:t>’ (2020) 159(4)</w:t>
      </w:r>
      <w:r w:rsidRPr="00A45B6A">
        <w:rPr>
          <w:rFonts w:asciiTheme="majorHAnsi" w:hAnsiTheme="majorHAnsi"/>
        </w:rPr>
        <w:t xml:space="preserve"> </w:t>
      </w:r>
      <w:r w:rsidRPr="00A45B6A">
        <w:rPr>
          <w:rFonts w:asciiTheme="majorHAnsi" w:hAnsiTheme="majorHAnsi"/>
          <w:i/>
        </w:rPr>
        <w:t>Gastroenterology</w:t>
      </w:r>
      <w:r>
        <w:rPr>
          <w:rFonts w:asciiTheme="majorHAnsi" w:hAnsiTheme="majorHAnsi"/>
        </w:rPr>
        <w:t xml:space="preserve"> 1561</w:t>
      </w:r>
    </w:p>
  </w:endnote>
  <w:endnote w:id="31">
    <w:p w14:paraId="2D97E3AD" w14:textId="77777777" w:rsidR="00F26BA2" w:rsidRPr="00A45B6A" w:rsidRDefault="00F26BA2" w:rsidP="005F187D">
      <w:pPr>
        <w:rPr>
          <w:rFonts w:asciiTheme="majorHAnsi" w:hAnsiTheme="majorHAnsi"/>
        </w:rPr>
      </w:pPr>
      <w:r w:rsidRPr="00A45B6A">
        <w:rPr>
          <w:rStyle w:val="EndnoteReference"/>
          <w:rFonts w:asciiTheme="majorHAnsi" w:hAnsiTheme="majorHAnsi"/>
        </w:rPr>
        <w:endnoteRef/>
      </w:r>
      <w:r w:rsidRPr="00A45B6A">
        <w:rPr>
          <w:rFonts w:asciiTheme="majorHAnsi" w:hAnsiTheme="majorHAnsi"/>
        </w:rPr>
        <w:t xml:space="preserve"> Young G</w:t>
      </w:r>
      <w:r>
        <w:rPr>
          <w:rFonts w:asciiTheme="majorHAnsi" w:hAnsiTheme="majorHAnsi"/>
        </w:rPr>
        <w:t>, Woodman R, Symonds E,</w:t>
      </w:r>
      <w:r w:rsidRPr="00A45B6A">
        <w:rPr>
          <w:rFonts w:asciiTheme="majorHAnsi" w:hAnsiTheme="majorHAnsi"/>
        </w:rPr>
        <w:t xml:space="preserve"> </w:t>
      </w:r>
      <w:r>
        <w:rPr>
          <w:rFonts w:asciiTheme="majorHAnsi" w:hAnsiTheme="majorHAnsi"/>
        </w:rPr>
        <w:t>‘</w:t>
      </w:r>
      <w:r w:rsidRPr="00A45B6A">
        <w:rPr>
          <w:rFonts w:asciiTheme="majorHAnsi" w:hAnsiTheme="majorHAnsi"/>
        </w:rPr>
        <w:t>Detection of advanced colorectal neoplasia and relative colonoscopy workloads using quantitative faecal immunochemical tests: An observational study exploring the effects of simultaneous adjustment of both sample number and test positivity threshold</w:t>
      </w:r>
      <w:r>
        <w:rPr>
          <w:rFonts w:asciiTheme="majorHAnsi" w:hAnsiTheme="majorHAnsi"/>
        </w:rPr>
        <w:t>’ (2020), 7(1)</w:t>
      </w:r>
      <w:r w:rsidRPr="00A45B6A">
        <w:rPr>
          <w:rFonts w:asciiTheme="majorHAnsi" w:hAnsiTheme="majorHAnsi"/>
        </w:rPr>
        <w:t xml:space="preserve"> </w:t>
      </w:r>
      <w:r w:rsidRPr="00BC11CE">
        <w:rPr>
          <w:rFonts w:asciiTheme="majorHAnsi" w:hAnsiTheme="majorHAnsi"/>
          <w:i/>
        </w:rPr>
        <w:t>BMJ Open Gastroenterology</w:t>
      </w:r>
    </w:p>
  </w:endnote>
  <w:endnote w:id="32">
    <w:p w14:paraId="37061D9E" w14:textId="77777777" w:rsidR="00F26BA2" w:rsidRPr="000154FA" w:rsidRDefault="00F26BA2" w:rsidP="005F187D">
      <w:pPr>
        <w:rPr>
          <w:rFonts w:asciiTheme="majorHAnsi" w:hAnsiTheme="majorHAnsi"/>
        </w:rPr>
      </w:pPr>
      <w:r w:rsidRPr="00A45B6A">
        <w:rPr>
          <w:rStyle w:val="EndnoteReference"/>
          <w:rFonts w:asciiTheme="majorHAnsi" w:hAnsiTheme="majorHAnsi"/>
        </w:rPr>
        <w:endnoteRef/>
      </w:r>
      <w:r w:rsidRPr="00A45B6A">
        <w:rPr>
          <w:rFonts w:asciiTheme="majorHAnsi" w:hAnsiTheme="majorHAnsi"/>
        </w:rPr>
        <w:t xml:space="preserve"> Liu MC</w:t>
      </w:r>
      <w:r>
        <w:rPr>
          <w:rFonts w:asciiTheme="majorHAnsi" w:hAnsiTheme="majorHAnsi"/>
        </w:rPr>
        <w:t>,</w:t>
      </w:r>
      <w:r w:rsidRPr="00A45B6A">
        <w:rPr>
          <w:rFonts w:asciiTheme="majorHAnsi" w:hAnsiTheme="majorHAnsi"/>
        </w:rPr>
        <w:t xml:space="preserve"> Oxnard GR</w:t>
      </w:r>
      <w:r>
        <w:rPr>
          <w:rFonts w:asciiTheme="majorHAnsi" w:hAnsiTheme="majorHAnsi"/>
        </w:rPr>
        <w:t>,</w:t>
      </w:r>
      <w:r w:rsidRPr="00A45B6A">
        <w:rPr>
          <w:rFonts w:asciiTheme="majorHAnsi" w:hAnsiTheme="majorHAnsi"/>
        </w:rPr>
        <w:t xml:space="preserve"> Klein EA</w:t>
      </w:r>
      <w:r>
        <w:rPr>
          <w:rFonts w:asciiTheme="majorHAnsi" w:hAnsiTheme="majorHAnsi"/>
        </w:rPr>
        <w:t xml:space="preserve"> </w:t>
      </w:r>
      <w:r w:rsidRPr="00A45B6A">
        <w:rPr>
          <w:rFonts w:asciiTheme="majorHAnsi" w:hAnsiTheme="majorHAnsi"/>
        </w:rPr>
        <w:t>et al ‘Sensitivity and Specificity of Multi Cancer Detection and localisation using methylation signatures in cell fee DNA’</w:t>
      </w:r>
      <w:r>
        <w:rPr>
          <w:rFonts w:asciiTheme="majorHAnsi" w:hAnsiTheme="majorHAnsi"/>
        </w:rPr>
        <w:t xml:space="preserve"> (2020) 31(6)</w:t>
      </w:r>
      <w:r w:rsidRPr="00A45B6A">
        <w:rPr>
          <w:rFonts w:asciiTheme="majorHAnsi" w:hAnsiTheme="majorHAnsi"/>
        </w:rPr>
        <w:t xml:space="preserve"> </w:t>
      </w:r>
      <w:r w:rsidRPr="00A45B6A">
        <w:rPr>
          <w:rFonts w:asciiTheme="majorHAnsi" w:hAnsiTheme="majorHAnsi"/>
          <w:i/>
        </w:rPr>
        <w:t>Annals of Oncology</w:t>
      </w:r>
      <w:r>
        <w:rPr>
          <w:rFonts w:asciiTheme="majorHAnsi" w:hAnsiTheme="majorHAnsi"/>
          <w:i/>
        </w:rPr>
        <w:t xml:space="preserve"> </w:t>
      </w:r>
      <w:r>
        <w:rPr>
          <w:rFonts w:asciiTheme="majorHAnsi" w:hAnsiTheme="majorHAnsi"/>
        </w:rPr>
        <w:t>745.</w:t>
      </w:r>
    </w:p>
  </w:endnote>
  <w:endnote w:id="33">
    <w:p w14:paraId="00AB11F7" w14:textId="77777777" w:rsidR="00F26BA2" w:rsidRPr="00A45B6A" w:rsidRDefault="00F26BA2" w:rsidP="005F187D">
      <w:pPr>
        <w:rPr>
          <w:rFonts w:asciiTheme="majorHAnsi" w:hAnsiTheme="majorHAnsi"/>
        </w:rPr>
      </w:pPr>
      <w:r w:rsidRPr="00A45B6A">
        <w:rPr>
          <w:rStyle w:val="EndnoteReference"/>
          <w:rFonts w:asciiTheme="majorHAnsi" w:hAnsiTheme="majorHAnsi"/>
        </w:rPr>
        <w:endnoteRef/>
      </w:r>
      <w:r w:rsidRPr="00A45B6A">
        <w:rPr>
          <w:rFonts w:asciiTheme="majorHAnsi" w:hAnsiTheme="majorHAnsi"/>
        </w:rPr>
        <w:t xml:space="preserve"> Rhythmn Biosciences, </w:t>
      </w:r>
      <w:r w:rsidRPr="00A45B6A">
        <w:rPr>
          <w:rFonts w:asciiTheme="majorHAnsi" w:hAnsiTheme="majorHAnsi"/>
          <w:i/>
        </w:rPr>
        <w:t>ColoSTAT</w:t>
      </w:r>
      <w:r w:rsidRPr="00A45B6A">
        <w:rPr>
          <w:rFonts w:asciiTheme="majorHAnsi" w:hAnsiTheme="majorHAnsi"/>
        </w:rPr>
        <w:t>, 2020</w:t>
      </w:r>
    </w:p>
  </w:endnote>
  <w:endnote w:id="34">
    <w:p w14:paraId="3DDCE2DC" w14:textId="70A144C3" w:rsidR="00F26BA2" w:rsidRPr="00A45B6A" w:rsidRDefault="00F26BA2" w:rsidP="005F187D">
      <w:pPr>
        <w:rPr>
          <w:rFonts w:asciiTheme="majorHAnsi" w:hAnsiTheme="majorHAnsi"/>
        </w:rPr>
      </w:pPr>
      <w:r w:rsidRPr="00A45B6A">
        <w:rPr>
          <w:rStyle w:val="EndnoteReference"/>
          <w:rFonts w:asciiTheme="majorHAnsi" w:hAnsiTheme="majorHAnsi"/>
        </w:rPr>
        <w:endnoteRef/>
      </w:r>
      <w:r w:rsidRPr="00A45B6A">
        <w:rPr>
          <w:rFonts w:asciiTheme="majorHAnsi" w:hAnsiTheme="majorHAnsi"/>
        </w:rPr>
        <w:t xml:space="preserve"> Senore C, Zappa M, Campari C </w:t>
      </w:r>
      <w:r w:rsidRPr="000154FA">
        <w:rPr>
          <w:rFonts w:asciiTheme="majorHAnsi" w:hAnsiTheme="majorHAnsi"/>
        </w:rPr>
        <w:t>et al</w:t>
      </w:r>
      <w:r w:rsidRPr="00A45B6A">
        <w:rPr>
          <w:rFonts w:asciiTheme="majorHAnsi" w:hAnsiTheme="majorHAnsi"/>
        </w:rPr>
        <w:t xml:space="preserve"> ‘Faecal haemoglobin concentration among subjects with negative FIT results is associated with the detection rate of neoplasia at subsequent rounds: a prospective study in the context of population based screening programmes in Italy’</w:t>
      </w:r>
      <w:r>
        <w:rPr>
          <w:rFonts w:asciiTheme="majorHAnsi" w:hAnsiTheme="majorHAnsi"/>
        </w:rPr>
        <w:t xml:space="preserve"> (2019) 69</w:t>
      </w:r>
      <w:r w:rsidRPr="00A45B6A">
        <w:rPr>
          <w:rFonts w:asciiTheme="majorHAnsi" w:hAnsiTheme="majorHAnsi"/>
        </w:rPr>
        <w:t xml:space="preserve"> </w:t>
      </w:r>
      <w:r w:rsidRPr="00A45B6A">
        <w:rPr>
          <w:rFonts w:asciiTheme="majorHAnsi" w:hAnsiTheme="majorHAnsi"/>
          <w:i/>
          <w:iCs/>
        </w:rPr>
        <w:t xml:space="preserve">Gut </w:t>
      </w:r>
      <w:r>
        <w:rPr>
          <w:rFonts w:asciiTheme="majorHAnsi" w:hAnsiTheme="majorHAnsi"/>
        </w:rPr>
        <w:t>523</w:t>
      </w:r>
      <w:r w:rsidRPr="00A45B6A">
        <w:rPr>
          <w:rFonts w:asciiTheme="majorHAnsi" w:hAnsiTheme="majorHAnsi"/>
        </w:rPr>
        <w:t xml:space="preserve"> </w:t>
      </w:r>
    </w:p>
  </w:endnote>
  <w:endnote w:id="35">
    <w:p w14:paraId="5DF7D941" w14:textId="75D7E2A0" w:rsidR="00F26BA2" w:rsidRPr="00A45B6A" w:rsidRDefault="00F26BA2" w:rsidP="005F187D">
      <w:pPr>
        <w:rPr>
          <w:rFonts w:asciiTheme="majorHAnsi" w:hAnsiTheme="majorHAnsi"/>
        </w:rPr>
      </w:pPr>
      <w:r w:rsidRPr="00A45B6A">
        <w:rPr>
          <w:rStyle w:val="EndnoteReference"/>
          <w:rFonts w:asciiTheme="majorHAnsi" w:hAnsiTheme="majorHAnsi"/>
        </w:rPr>
        <w:endnoteRef/>
      </w:r>
      <w:r w:rsidRPr="00A45B6A">
        <w:rPr>
          <w:rFonts w:asciiTheme="majorHAnsi" w:hAnsiTheme="majorHAnsi"/>
        </w:rPr>
        <w:t xml:space="preserve"> Buron A, Roman M, Auge JM </w:t>
      </w:r>
      <w:r w:rsidRPr="000154FA">
        <w:rPr>
          <w:rFonts w:asciiTheme="majorHAnsi" w:hAnsiTheme="majorHAnsi"/>
        </w:rPr>
        <w:t>et al</w:t>
      </w:r>
      <w:r w:rsidRPr="00A45B6A">
        <w:rPr>
          <w:rFonts w:asciiTheme="majorHAnsi" w:hAnsiTheme="majorHAnsi"/>
        </w:rPr>
        <w:t xml:space="preserve"> ‘Changes in FIT values below the threshold of positivity and short-term risk of advanced colorectal neoplasia: Results from a population-based cancer screening program’</w:t>
      </w:r>
      <w:r>
        <w:rPr>
          <w:rFonts w:asciiTheme="majorHAnsi" w:hAnsiTheme="majorHAnsi"/>
        </w:rPr>
        <w:t xml:space="preserve">(2019) 107 </w:t>
      </w:r>
      <w:r w:rsidRPr="00A45B6A">
        <w:rPr>
          <w:rFonts w:asciiTheme="majorHAnsi" w:hAnsiTheme="majorHAnsi"/>
          <w:i/>
          <w:iCs/>
        </w:rPr>
        <w:t>European Journal of Cancer</w:t>
      </w:r>
      <w:r w:rsidRPr="00A45B6A">
        <w:rPr>
          <w:rFonts w:asciiTheme="majorHAnsi" w:hAnsiTheme="majorHAnsi"/>
        </w:rPr>
        <w:t xml:space="preserve"> </w:t>
      </w:r>
      <w:r>
        <w:rPr>
          <w:rFonts w:asciiTheme="majorHAnsi" w:hAnsiTheme="majorHAnsi"/>
        </w:rPr>
        <w:t>53.</w:t>
      </w:r>
    </w:p>
  </w:endnote>
  <w:endnote w:id="36">
    <w:p w14:paraId="085674EC" w14:textId="77777777" w:rsidR="00F26BA2" w:rsidRPr="00A45B6A" w:rsidRDefault="00F26BA2" w:rsidP="005F187D">
      <w:pPr>
        <w:rPr>
          <w:rFonts w:asciiTheme="majorHAnsi" w:hAnsiTheme="majorHAnsi"/>
        </w:rPr>
      </w:pPr>
      <w:r w:rsidRPr="00A45B6A">
        <w:rPr>
          <w:rStyle w:val="EndnoteReference"/>
          <w:rFonts w:asciiTheme="majorHAnsi" w:hAnsiTheme="majorHAnsi"/>
        </w:rPr>
        <w:endnoteRef/>
      </w:r>
      <w:r w:rsidRPr="00A45B6A">
        <w:rPr>
          <w:rFonts w:asciiTheme="majorHAnsi" w:hAnsiTheme="majorHAnsi"/>
        </w:rPr>
        <w:t xml:space="preserve"> Chen L</w:t>
      </w:r>
      <w:r>
        <w:rPr>
          <w:rFonts w:asciiTheme="majorHAnsi" w:hAnsiTheme="majorHAnsi"/>
        </w:rPr>
        <w:t>,</w:t>
      </w:r>
      <w:r w:rsidRPr="00A45B6A">
        <w:rPr>
          <w:rFonts w:asciiTheme="majorHAnsi" w:hAnsiTheme="majorHAnsi"/>
        </w:rPr>
        <w:t xml:space="preserve"> Yen A, Chiu SY</w:t>
      </w:r>
      <w:r>
        <w:rPr>
          <w:rFonts w:asciiTheme="majorHAnsi" w:hAnsiTheme="majorHAnsi"/>
        </w:rPr>
        <w:t>.</w:t>
      </w:r>
      <w:r w:rsidRPr="00A45B6A">
        <w:rPr>
          <w:rFonts w:asciiTheme="majorHAnsi" w:hAnsiTheme="majorHAnsi"/>
        </w:rPr>
        <w:t xml:space="preserve"> ‘Baseline faecal occult blood concentration as a predictor of incident colorectal neoplasia: longitudinal follow-up of a Taiwanese population-based colorectal cancer screening cohort’</w:t>
      </w:r>
      <w:r>
        <w:rPr>
          <w:rFonts w:asciiTheme="majorHAnsi" w:hAnsiTheme="majorHAnsi"/>
        </w:rPr>
        <w:t xml:space="preserve"> (2011) 12(6)</w:t>
      </w:r>
      <w:r w:rsidRPr="00A45B6A">
        <w:rPr>
          <w:rFonts w:asciiTheme="majorHAnsi" w:hAnsiTheme="majorHAnsi"/>
        </w:rPr>
        <w:t xml:space="preserve"> </w:t>
      </w:r>
      <w:r w:rsidRPr="00A45B6A">
        <w:rPr>
          <w:rFonts w:asciiTheme="majorHAnsi" w:hAnsiTheme="majorHAnsi"/>
          <w:i/>
          <w:iCs/>
        </w:rPr>
        <w:t>Europe PMC</w:t>
      </w:r>
      <w:r w:rsidRPr="00A45B6A">
        <w:rPr>
          <w:rFonts w:asciiTheme="majorHAnsi" w:hAnsiTheme="majorHAnsi"/>
        </w:rPr>
        <w:t xml:space="preserve">, </w:t>
      </w:r>
      <w:r>
        <w:rPr>
          <w:rFonts w:asciiTheme="majorHAnsi" w:hAnsiTheme="majorHAnsi"/>
        </w:rPr>
        <w:t>551</w:t>
      </w:r>
    </w:p>
  </w:endnote>
  <w:endnote w:id="37">
    <w:p w14:paraId="77D04132" w14:textId="4AEF9A60" w:rsidR="00F26BA2" w:rsidRPr="00A45B6A" w:rsidRDefault="00F26BA2" w:rsidP="005F187D">
      <w:pPr>
        <w:rPr>
          <w:rFonts w:asciiTheme="majorHAnsi" w:hAnsiTheme="majorHAnsi"/>
        </w:rPr>
      </w:pPr>
      <w:r w:rsidRPr="00A45B6A">
        <w:rPr>
          <w:rStyle w:val="EndnoteReference"/>
          <w:rFonts w:asciiTheme="majorHAnsi" w:hAnsiTheme="majorHAnsi"/>
        </w:rPr>
        <w:endnoteRef/>
      </w:r>
      <w:r w:rsidRPr="00A45B6A">
        <w:rPr>
          <w:rFonts w:asciiTheme="majorHAnsi" w:hAnsiTheme="majorHAnsi"/>
        </w:rPr>
        <w:t xml:space="preserve"> Buron A</w:t>
      </w:r>
      <w:r>
        <w:rPr>
          <w:rFonts w:asciiTheme="majorHAnsi" w:hAnsiTheme="majorHAnsi"/>
        </w:rPr>
        <w:t>,</w:t>
      </w:r>
      <w:r w:rsidRPr="00A45B6A">
        <w:rPr>
          <w:rFonts w:asciiTheme="majorHAnsi" w:hAnsiTheme="majorHAnsi"/>
        </w:rPr>
        <w:t xml:space="preserve"> Roman M</w:t>
      </w:r>
      <w:r>
        <w:rPr>
          <w:rFonts w:asciiTheme="majorHAnsi" w:hAnsiTheme="majorHAnsi"/>
        </w:rPr>
        <w:t>,</w:t>
      </w:r>
      <w:r w:rsidRPr="00A45B6A">
        <w:rPr>
          <w:rFonts w:asciiTheme="majorHAnsi" w:hAnsiTheme="majorHAnsi"/>
        </w:rPr>
        <w:t xml:space="preserve"> Augue JM et al </w:t>
      </w:r>
      <w:r>
        <w:rPr>
          <w:rFonts w:asciiTheme="majorHAnsi" w:hAnsiTheme="majorHAnsi"/>
        </w:rPr>
        <w:t xml:space="preserve">above </w:t>
      </w:r>
      <w:r w:rsidRPr="00A45B6A">
        <w:rPr>
          <w:rFonts w:asciiTheme="majorHAnsi" w:hAnsiTheme="majorHAnsi"/>
        </w:rPr>
        <w:t xml:space="preserve">n </w:t>
      </w:r>
      <w:r>
        <w:rPr>
          <w:rFonts w:asciiTheme="majorHAnsi" w:hAnsiTheme="majorHAnsi"/>
        </w:rPr>
        <w:t>29</w:t>
      </w:r>
    </w:p>
  </w:endnote>
  <w:endnote w:id="38">
    <w:p w14:paraId="0B62159A" w14:textId="2264B606" w:rsidR="00F26BA2" w:rsidRPr="00A45B6A" w:rsidRDefault="00F26BA2" w:rsidP="005F187D">
      <w:pPr>
        <w:rPr>
          <w:rFonts w:asciiTheme="majorHAnsi" w:hAnsiTheme="majorHAnsi"/>
        </w:rPr>
      </w:pPr>
      <w:r w:rsidRPr="00A45B6A">
        <w:rPr>
          <w:rStyle w:val="EndnoteReference"/>
          <w:rFonts w:asciiTheme="majorHAnsi" w:hAnsiTheme="majorHAnsi"/>
        </w:rPr>
        <w:endnoteRef/>
      </w:r>
      <w:r w:rsidRPr="00A45B6A">
        <w:rPr>
          <w:rFonts w:asciiTheme="majorHAnsi" w:hAnsiTheme="majorHAnsi"/>
        </w:rPr>
        <w:t xml:space="preserve"> Senore C</w:t>
      </w:r>
      <w:r>
        <w:rPr>
          <w:rFonts w:asciiTheme="majorHAnsi" w:hAnsiTheme="majorHAnsi"/>
        </w:rPr>
        <w:t>,</w:t>
      </w:r>
      <w:r w:rsidRPr="00A45B6A">
        <w:rPr>
          <w:rFonts w:asciiTheme="majorHAnsi" w:hAnsiTheme="majorHAnsi"/>
        </w:rPr>
        <w:t xml:space="preserve"> Zappa M</w:t>
      </w:r>
      <w:r>
        <w:rPr>
          <w:rFonts w:asciiTheme="majorHAnsi" w:hAnsiTheme="majorHAnsi"/>
        </w:rPr>
        <w:t>,</w:t>
      </w:r>
      <w:r w:rsidRPr="00A45B6A">
        <w:rPr>
          <w:rFonts w:asciiTheme="majorHAnsi" w:hAnsiTheme="majorHAnsi"/>
        </w:rPr>
        <w:t xml:space="preserve"> Capmari C, et al </w:t>
      </w:r>
      <w:r>
        <w:rPr>
          <w:rFonts w:asciiTheme="majorHAnsi" w:hAnsiTheme="majorHAnsi"/>
        </w:rPr>
        <w:t xml:space="preserve">above </w:t>
      </w:r>
      <w:r w:rsidRPr="00A45B6A">
        <w:rPr>
          <w:rFonts w:asciiTheme="majorHAnsi" w:hAnsiTheme="majorHAnsi"/>
        </w:rPr>
        <w:t>n</w:t>
      </w:r>
      <w:r>
        <w:rPr>
          <w:rFonts w:asciiTheme="majorHAnsi" w:hAnsiTheme="majorHAnsi"/>
        </w:rPr>
        <w:t xml:space="preserve"> 28</w:t>
      </w:r>
    </w:p>
  </w:endnote>
  <w:endnote w:id="39">
    <w:p w14:paraId="1E627189" w14:textId="7F0A0C32" w:rsidR="00F26BA2" w:rsidRPr="004C358A" w:rsidRDefault="00F26BA2" w:rsidP="00FB0C90">
      <w:pPr>
        <w:pStyle w:val="EndnoteText"/>
      </w:pPr>
      <w:r>
        <w:rPr>
          <w:rStyle w:val="EndnoteReference"/>
        </w:rPr>
        <w:endnoteRef/>
      </w:r>
      <w:r>
        <w:t xml:space="preserve"> Department of Health</w:t>
      </w:r>
      <w:r w:rsidRPr="004C358A">
        <w:t xml:space="preserve"> </w:t>
      </w:r>
      <w:r w:rsidRPr="009C4ECD">
        <w:t xml:space="preserve">above n </w:t>
      </w:r>
      <w:r>
        <w:t>8</w:t>
      </w:r>
    </w:p>
  </w:endnote>
  <w:endnote w:id="40">
    <w:p w14:paraId="6D05758B" w14:textId="77777777" w:rsidR="00F26BA2" w:rsidRPr="00A45B6A" w:rsidRDefault="00F26BA2" w:rsidP="00C37F76">
      <w:pPr>
        <w:rPr>
          <w:rFonts w:asciiTheme="majorHAnsi" w:hAnsiTheme="majorHAnsi"/>
        </w:rPr>
      </w:pPr>
      <w:r w:rsidRPr="00A45B6A">
        <w:rPr>
          <w:rStyle w:val="EndnoteReference"/>
          <w:rFonts w:asciiTheme="majorHAnsi" w:hAnsiTheme="majorHAnsi"/>
        </w:rPr>
        <w:endnoteRef/>
      </w:r>
      <w:r w:rsidRPr="00A45B6A">
        <w:rPr>
          <w:rFonts w:asciiTheme="majorHAnsi" w:hAnsiTheme="majorHAnsi"/>
        </w:rPr>
        <w:t xml:space="preserve"> AIHW, </w:t>
      </w:r>
      <w:r w:rsidRPr="00A45B6A">
        <w:rPr>
          <w:rFonts w:asciiTheme="majorHAnsi" w:hAnsiTheme="majorHAnsi"/>
          <w:i/>
        </w:rPr>
        <w:t>National Bowel Cancer Screening Program: monitoring report 2020</w:t>
      </w:r>
      <w:r w:rsidRPr="00A45B6A">
        <w:rPr>
          <w:rFonts w:asciiTheme="majorHAnsi" w:hAnsiTheme="majorHAnsi"/>
        </w:rPr>
        <w:t xml:space="preserve"> </w:t>
      </w:r>
      <w:r>
        <w:rPr>
          <w:rFonts w:asciiTheme="majorHAnsi" w:hAnsiTheme="majorHAnsi"/>
        </w:rPr>
        <w:t>(</w:t>
      </w:r>
      <w:r w:rsidRPr="00A45B6A">
        <w:rPr>
          <w:rFonts w:asciiTheme="majorHAnsi" w:hAnsiTheme="majorHAnsi"/>
        </w:rPr>
        <w:t>July 2020</w:t>
      </w:r>
      <w:r>
        <w:rPr>
          <w:rFonts w:asciiTheme="majorHAnsi" w:hAnsiTheme="majorHAnsi"/>
        </w:rPr>
        <w:t>)</w:t>
      </w:r>
    </w:p>
  </w:endnote>
  <w:endnote w:id="41">
    <w:p w14:paraId="63106664" w14:textId="6E39C893" w:rsidR="00F26BA2" w:rsidRPr="000154FA" w:rsidRDefault="00F26BA2" w:rsidP="00347B9E">
      <w:pPr>
        <w:rPr>
          <w:rFonts w:asciiTheme="majorHAnsi" w:hAnsiTheme="majorHAnsi"/>
        </w:rPr>
      </w:pPr>
      <w:r w:rsidRPr="00A45B6A">
        <w:rPr>
          <w:rStyle w:val="EndnoteReference"/>
          <w:rFonts w:asciiTheme="majorHAnsi" w:hAnsiTheme="majorHAnsi"/>
        </w:rPr>
        <w:endnoteRef/>
      </w:r>
      <w:r w:rsidRPr="00A45B6A">
        <w:rPr>
          <w:rFonts w:asciiTheme="majorHAnsi" w:hAnsiTheme="majorHAnsi"/>
        </w:rPr>
        <w:t xml:space="preserve"> Javanparast S</w:t>
      </w:r>
      <w:r>
        <w:rPr>
          <w:rFonts w:asciiTheme="majorHAnsi" w:hAnsiTheme="majorHAnsi"/>
        </w:rPr>
        <w:t xml:space="preserve">, </w:t>
      </w:r>
      <w:r w:rsidRPr="00A45B6A">
        <w:rPr>
          <w:rFonts w:asciiTheme="majorHAnsi" w:hAnsiTheme="majorHAnsi"/>
        </w:rPr>
        <w:t>Ward P</w:t>
      </w:r>
      <w:r>
        <w:rPr>
          <w:rFonts w:asciiTheme="majorHAnsi" w:hAnsiTheme="majorHAnsi"/>
        </w:rPr>
        <w:t>,</w:t>
      </w:r>
      <w:r w:rsidRPr="00A45B6A">
        <w:rPr>
          <w:rFonts w:asciiTheme="majorHAnsi" w:hAnsiTheme="majorHAnsi"/>
        </w:rPr>
        <w:t xml:space="preserve"> Young G et al ‘How equitable are colorectal cancer screening programs which include FOBTs? A review of qualitative and quantitative studies’</w:t>
      </w:r>
      <w:r>
        <w:rPr>
          <w:rFonts w:asciiTheme="majorHAnsi" w:hAnsiTheme="majorHAnsi"/>
        </w:rPr>
        <w:t xml:space="preserve"> (2010) 50(4)</w:t>
      </w:r>
      <w:r w:rsidRPr="00A45B6A">
        <w:rPr>
          <w:rFonts w:asciiTheme="majorHAnsi" w:hAnsiTheme="majorHAnsi"/>
        </w:rPr>
        <w:t xml:space="preserve"> </w:t>
      </w:r>
      <w:r w:rsidRPr="00A45B6A">
        <w:rPr>
          <w:rFonts w:asciiTheme="majorHAnsi" w:hAnsiTheme="majorHAnsi"/>
          <w:i/>
        </w:rPr>
        <w:t>Preventative Medicine</w:t>
      </w:r>
      <w:r>
        <w:rPr>
          <w:rFonts w:asciiTheme="majorHAnsi" w:hAnsiTheme="majorHAnsi"/>
          <w:i/>
        </w:rPr>
        <w:t xml:space="preserve"> </w:t>
      </w:r>
      <w:r>
        <w:rPr>
          <w:rFonts w:asciiTheme="majorHAnsi" w:hAnsiTheme="majorHAnsi"/>
        </w:rPr>
        <w:t>165.</w:t>
      </w:r>
    </w:p>
  </w:endnote>
  <w:endnote w:id="42">
    <w:p w14:paraId="07350776" w14:textId="12DFC23C" w:rsidR="00F26BA2" w:rsidRPr="00A45B6A" w:rsidRDefault="00F26BA2" w:rsidP="00347B9E">
      <w:pPr>
        <w:rPr>
          <w:rFonts w:asciiTheme="majorHAnsi" w:hAnsiTheme="majorHAnsi"/>
        </w:rPr>
      </w:pPr>
      <w:r w:rsidRPr="00A45B6A">
        <w:rPr>
          <w:rStyle w:val="EndnoteReference"/>
          <w:rFonts w:asciiTheme="majorHAnsi" w:hAnsiTheme="majorHAnsi"/>
        </w:rPr>
        <w:endnoteRef/>
      </w:r>
      <w:r w:rsidRPr="00A45B6A">
        <w:rPr>
          <w:rFonts w:asciiTheme="majorHAnsi" w:hAnsiTheme="majorHAnsi"/>
        </w:rPr>
        <w:t xml:space="preserve"> Molina- Barceló A</w:t>
      </w:r>
      <w:r>
        <w:rPr>
          <w:rFonts w:asciiTheme="majorHAnsi" w:hAnsiTheme="majorHAnsi"/>
        </w:rPr>
        <w:t>,</w:t>
      </w:r>
      <w:r w:rsidRPr="00A45B6A">
        <w:rPr>
          <w:rFonts w:asciiTheme="majorHAnsi" w:hAnsiTheme="majorHAnsi"/>
        </w:rPr>
        <w:t xml:space="preserve"> Salas Trejo D</w:t>
      </w:r>
      <w:r>
        <w:rPr>
          <w:rFonts w:asciiTheme="majorHAnsi" w:hAnsiTheme="majorHAnsi"/>
        </w:rPr>
        <w:t>,</w:t>
      </w:r>
      <w:r w:rsidRPr="00A45B6A">
        <w:rPr>
          <w:rFonts w:asciiTheme="majorHAnsi" w:hAnsiTheme="majorHAnsi"/>
        </w:rPr>
        <w:t xml:space="preserve"> Peiró-Perez R </w:t>
      </w:r>
      <w:r>
        <w:rPr>
          <w:rFonts w:asciiTheme="majorHAnsi" w:hAnsiTheme="majorHAnsi"/>
        </w:rPr>
        <w:t>et al</w:t>
      </w:r>
      <w:r w:rsidRPr="00A45B6A">
        <w:rPr>
          <w:rFonts w:asciiTheme="majorHAnsi" w:hAnsiTheme="majorHAnsi"/>
        </w:rPr>
        <w:t xml:space="preserve"> ‘To participate or not? Giving voice to gender and socio- economic differences in colorectal c</w:t>
      </w:r>
      <w:r>
        <w:rPr>
          <w:rFonts w:asciiTheme="majorHAnsi" w:hAnsiTheme="majorHAnsi"/>
        </w:rPr>
        <w:t>a</w:t>
      </w:r>
      <w:r w:rsidRPr="00A45B6A">
        <w:rPr>
          <w:rFonts w:asciiTheme="majorHAnsi" w:hAnsiTheme="majorHAnsi"/>
        </w:rPr>
        <w:t>ncer screening programmes’</w:t>
      </w:r>
      <w:r>
        <w:rPr>
          <w:rFonts w:asciiTheme="majorHAnsi" w:hAnsiTheme="majorHAnsi"/>
        </w:rPr>
        <w:t xml:space="preserve"> (2011)</w:t>
      </w:r>
      <w:r w:rsidRPr="00A45B6A">
        <w:rPr>
          <w:rFonts w:asciiTheme="majorHAnsi" w:hAnsiTheme="majorHAnsi"/>
        </w:rPr>
        <w:t xml:space="preserve"> </w:t>
      </w:r>
      <w:r w:rsidRPr="00A45B6A">
        <w:rPr>
          <w:rFonts w:asciiTheme="majorHAnsi" w:hAnsiTheme="majorHAnsi"/>
          <w:i/>
        </w:rPr>
        <w:t>European Journal of Cancer Care</w:t>
      </w:r>
      <w:r w:rsidRPr="00A45B6A">
        <w:rPr>
          <w:rFonts w:asciiTheme="majorHAnsi" w:hAnsiTheme="majorHAnsi"/>
        </w:rPr>
        <w:t xml:space="preserve">, </w:t>
      </w:r>
      <w:r>
        <w:rPr>
          <w:rFonts w:asciiTheme="majorHAnsi" w:hAnsiTheme="majorHAnsi"/>
        </w:rPr>
        <w:t>669.</w:t>
      </w:r>
    </w:p>
  </w:endnote>
  <w:endnote w:id="43">
    <w:p w14:paraId="186BFA62" w14:textId="6E63F45D" w:rsidR="00F26BA2" w:rsidRPr="00A45B6A" w:rsidRDefault="00F26BA2" w:rsidP="00347B9E">
      <w:pPr>
        <w:rPr>
          <w:rFonts w:asciiTheme="majorHAnsi" w:hAnsiTheme="majorHAnsi"/>
        </w:rPr>
      </w:pPr>
      <w:r w:rsidRPr="00A45B6A">
        <w:rPr>
          <w:rStyle w:val="EndnoteReference"/>
          <w:rFonts w:asciiTheme="majorHAnsi" w:hAnsiTheme="majorHAnsi"/>
        </w:rPr>
        <w:endnoteRef/>
      </w:r>
      <w:r w:rsidRPr="00A45B6A">
        <w:rPr>
          <w:rFonts w:asciiTheme="majorHAnsi" w:hAnsiTheme="majorHAnsi"/>
        </w:rPr>
        <w:t xml:space="preserve"> Frederiksen BL</w:t>
      </w:r>
      <w:r>
        <w:rPr>
          <w:rFonts w:asciiTheme="majorHAnsi" w:hAnsiTheme="majorHAnsi"/>
        </w:rPr>
        <w:t>,</w:t>
      </w:r>
      <w:r w:rsidRPr="00A45B6A">
        <w:rPr>
          <w:rFonts w:asciiTheme="majorHAnsi" w:hAnsiTheme="majorHAnsi"/>
        </w:rPr>
        <w:t xml:space="preserve"> Jørgensen T</w:t>
      </w:r>
      <w:r>
        <w:rPr>
          <w:rFonts w:asciiTheme="majorHAnsi" w:hAnsiTheme="majorHAnsi"/>
        </w:rPr>
        <w:t>,</w:t>
      </w:r>
      <w:r w:rsidRPr="00A45B6A">
        <w:rPr>
          <w:rFonts w:asciiTheme="majorHAnsi" w:hAnsiTheme="majorHAnsi"/>
        </w:rPr>
        <w:t xml:space="preserve"> Brasso K</w:t>
      </w:r>
      <w:r>
        <w:rPr>
          <w:rFonts w:asciiTheme="majorHAnsi" w:hAnsiTheme="majorHAnsi"/>
        </w:rPr>
        <w:t xml:space="preserve"> et al</w:t>
      </w:r>
      <w:r w:rsidRPr="00A45B6A">
        <w:rPr>
          <w:rFonts w:asciiTheme="majorHAnsi" w:hAnsiTheme="majorHAnsi"/>
        </w:rPr>
        <w:t xml:space="preserve"> ‘Socioeconomic position and participation in colorectal cancer screening’</w:t>
      </w:r>
      <w:r>
        <w:rPr>
          <w:rFonts w:asciiTheme="majorHAnsi" w:hAnsiTheme="majorHAnsi"/>
        </w:rPr>
        <w:t xml:space="preserve"> (2010) 103</w:t>
      </w:r>
      <w:r w:rsidRPr="00A45B6A">
        <w:rPr>
          <w:rFonts w:asciiTheme="majorHAnsi" w:hAnsiTheme="majorHAnsi"/>
        </w:rPr>
        <w:t xml:space="preserve"> </w:t>
      </w:r>
      <w:r w:rsidRPr="00A45B6A">
        <w:rPr>
          <w:rFonts w:asciiTheme="majorHAnsi" w:hAnsiTheme="majorHAnsi"/>
          <w:i/>
        </w:rPr>
        <w:t>British Journal of Cancer</w:t>
      </w:r>
      <w:r w:rsidRPr="00A45B6A">
        <w:rPr>
          <w:rFonts w:asciiTheme="majorHAnsi" w:hAnsiTheme="majorHAnsi"/>
        </w:rPr>
        <w:t xml:space="preserve"> </w:t>
      </w:r>
      <w:r>
        <w:rPr>
          <w:rFonts w:asciiTheme="majorHAnsi" w:hAnsiTheme="majorHAnsi"/>
        </w:rPr>
        <w:t>1496</w:t>
      </w:r>
    </w:p>
  </w:endnote>
  <w:endnote w:id="44">
    <w:p w14:paraId="01714424" w14:textId="0BA28515" w:rsidR="00F26BA2" w:rsidRPr="00A45B6A" w:rsidRDefault="00F26BA2" w:rsidP="00347B9E">
      <w:pPr>
        <w:rPr>
          <w:rFonts w:asciiTheme="majorHAnsi" w:hAnsiTheme="majorHAnsi"/>
        </w:rPr>
      </w:pPr>
      <w:r w:rsidRPr="00A45B6A">
        <w:rPr>
          <w:rStyle w:val="EndnoteReference"/>
          <w:rFonts w:asciiTheme="majorHAnsi" w:hAnsiTheme="majorHAnsi"/>
        </w:rPr>
        <w:endnoteRef/>
      </w:r>
      <w:r w:rsidRPr="00A45B6A">
        <w:rPr>
          <w:rFonts w:asciiTheme="majorHAnsi" w:hAnsiTheme="majorHAnsi"/>
        </w:rPr>
        <w:t xml:space="preserve"> Von Wagner C</w:t>
      </w:r>
      <w:r>
        <w:rPr>
          <w:rFonts w:asciiTheme="majorHAnsi" w:hAnsiTheme="majorHAnsi"/>
        </w:rPr>
        <w:t>,</w:t>
      </w:r>
      <w:r w:rsidRPr="00A45B6A">
        <w:rPr>
          <w:rFonts w:asciiTheme="majorHAnsi" w:hAnsiTheme="majorHAnsi"/>
        </w:rPr>
        <w:t xml:space="preserve"> Good A</w:t>
      </w:r>
      <w:r>
        <w:rPr>
          <w:rFonts w:asciiTheme="majorHAnsi" w:hAnsiTheme="majorHAnsi"/>
        </w:rPr>
        <w:t>,</w:t>
      </w:r>
      <w:r w:rsidRPr="00A45B6A">
        <w:rPr>
          <w:rFonts w:asciiTheme="majorHAnsi" w:hAnsiTheme="majorHAnsi"/>
        </w:rPr>
        <w:t xml:space="preserve"> Wright D et al ‘Inequalities in colorectal cancer screening participation in the first round of the national screening programme in England’</w:t>
      </w:r>
      <w:r>
        <w:rPr>
          <w:rFonts w:asciiTheme="majorHAnsi" w:hAnsiTheme="majorHAnsi"/>
        </w:rPr>
        <w:t xml:space="preserve"> (2009) 101(2)</w:t>
      </w:r>
      <w:r w:rsidRPr="00A45B6A">
        <w:rPr>
          <w:rFonts w:asciiTheme="majorHAnsi" w:hAnsiTheme="majorHAnsi"/>
        </w:rPr>
        <w:t xml:space="preserve"> </w:t>
      </w:r>
      <w:r w:rsidRPr="00A45B6A">
        <w:rPr>
          <w:rFonts w:asciiTheme="majorHAnsi" w:hAnsiTheme="majorHAnsi"/>
          <w:i/>
        </w:rPr>
        <w:t>British Journal of Cancer</w:t>
      </w:r>
      <w:r>
        <w:rPr>
          <w:rFonts w:asciiTheme="majorHAnsi" w:hAnsiTheme="majorHAnsi"/>
          <w:i/>
        </w:rPr>
        <w:t xml:space="preserve"> </w:t>
      </w:r>
      <w:r w:rsidRPr="00A45B6A">
        <w:rPr>
          <w:rFonts w:asciiTheme="majorHAnsi" w:hAnsiTheme="majorHAnsi"/>
        </w:rPr>
        <w:t>60</w:t>
      </w:r>
    </w:p>
  </w:endnote>
  <w:endnote w:id="45">
    <w:p w14:paraId="16E6BD58" w14:textId="21C33747" w:rsidR="00F26BA2" w:rsidRPr="00A45B6A" w:rsidRDefault="00F26BA2" w:rsidP="00347B9E">
      <w:pPr>
        <w:rPr>
          <w:rFonts w:asciiTheme="majorHAnsi" w:hAnsiTheme="majorHAnsi"/>
        </w:rPr>
      </w:pPr>
      <w:r w:rsidRPr="00A45B6A">
        <w:rPr>
          <w:rStyle w:val="EndnoteReference"/>
          <w:rFonts w:asciiTheme="majorHAnsi" w:hAnsiTheme="majorHAnsi"/>
        </w:rPr>
        <w:endnoteRef/>
      </w:r>
      <w:r w:rsidRPr="00A45B6A">
        <w:rPr>
          <w:rFonts w:asciiTheme="majorHAnsi" w:hAnsiTheme="majorHAnsi"/>
        </w:rPr>
        <w:t xml:space="preserve"> Tørring ML, Frydenberg M, Hamilton W, </w:t>
      </w:r>
      <w:r>
        <w:rPr>
          <w:rFonts w:asciiTheme="majorHAnsi" w:hAnsiTheme="majorHAnsi"/>
        </w:rPr>
        <w:t>et al</w:t>
      </w:r>
      <w:r w:rsidRPr="00A45B6A">
        <w:rPr>
          <w:rFonts w:asciiTheme="majorHAnsi" w:hAnsiTheme="majorHAnsi"/>
        </w:rPr>
        <w:t xml:space="preserve"> </w:t>
      </w:r>
      <w:r>
        <w:rPr>
          <w:rFonts w:asciiTheme="majorHAnsi" w:hAnsiTheme="majorHAnsi"/>
        </w:rPr>
        <w:t>‘</w:t>
      </w:r>
      <w:r w:rsidRPr="00A45B6A">
        <w:rPr>
          <w:rFonts w:asciiTheme="majorHAnsi" w:hAnsiTheme="majorHAnsi"/>
        </w:rPr>
        <w:t>Diagnostic interval and mortality in colorectal cancer: U-shaped association demonstrated for three different datasets</w:t>
      </w:r>
      <w:r>
        <w:rPr>
          <w:rFonts w:asciiTheme="majorHAnsi" w:hAnsiTheme="majorHAnsi"/>
        </w:rPr>
        <w:t xml:space="preserve">’, (2012) 65(6) </w:t>
      </w:r>
      <w:r>
        <w:rPr>
          <w:rFonts w:asciiTheme="majorHAnsi" w:hAnsiTheme="majorHAnsi"/>
          <w:i/>
          <w:iCs/>
        </w:rPr>
        <w:t>Journal of Clinical Epidemiology</w:t>
      </w:r>
      <w:r>
        <w:rPr>
          <w:rFonts w:asciiTheme="majorHAnsi" w:hAnsiTheme="majorHAnsi"/>
        </w:rPr>
        <w:t xml:space="preserve"> 669.</w:t>
      </w:r>
    </w:p>
  </w:endnote>
  <w:endnote w:id="46">
    <w:p w14:paraId="2CFAA971" w14:textId="592C6F57" w:rsidR="00F26BA2" w:rsidRPr="00A45B6A" w:rsidRDefault="00F26BA2" w:rsidP="00347B9E">
      <w:pPr>
        <w:rPr>
          <w:rFonts w:asciiTheme="majorHAnsi" w:hAnsiTheme="majorHAnsi"/>
        </w:rPr>
      </w:pPr>
      <w:r w:rsidRPr="00A45B6A">
        <w:rPr>
          <w:rStyle w:val="EndnoteReference"/>
          <w:rFonts w:asciiTheme="majorHAnsi" w:hAnsiTheme="majorHAnsi"/>
        </w:rPr>
        <w:endnoteRef/>
      </w:r>
      <w:r w:rsidRPr="00A45B6A">
        <w:rPr>
          <w:rFonts w:asciiTheme="majorHAnsi" w:hAnsiTheme="majorHAnsi"/>
        </w:rPr>
        <w:t xml:space="preserve"> Pruitt SL, Harzke AJ, Davidson NO, </w:t>
      </w:r>
      <w:r>
        <w:rPr>
          <w:rFonts w:asciiTheme="majorHAnsi" w:hAnsiTheme="majorHAnsi"/>
        </w:rPr>
        <w:t>et al</w:t>
      </w:r>
      <w:r w:rsidRPr="00A45B6A">
        <w:rPr>
          <w:rFonts w:asciiTheme="majorHAnsi" w:hAnsiTheme="majorHAnsi"/>
        </w:rPr>
        <w:t xml:space="preserve"> </w:t>
      </w:r>
      <w:r>
        <w:rPr>
          <w:rFonts w:asciiTheme="majorHAnsi" w:hAnsiTheme="majorHAnsi"/>
        </w:rPr>
        <w:t>‘</w:t>
      </w:r>
      <w:r w:rsidRPr="00A45B6A">
        <w:rPr>
          <w:rFonts w:asciiTheme="majorHAnsi" w:hAnsiTheme="majorHAnsi"/>
        </w:rPr>
        <w:t>Do diagnostic and treatment delays for colorectal cancer increase risk of death?</w:t>
      </w:r>
      <w:r>
        <w:rPr>
          <w:rFonts w:asciiTheme="majorHAnsi" w:hAnsiTheme="majorHAnsi"/>
        </w:rPr>
        <w:t>’ (2013) 24(5)</w:t>
      </w:r>
      <w:r w:rsidRPr="00A45B6A">
        <w:rPr>
          <w:rFonts w:asciiTheme="majorHAnsi" w:hAnsiTheme="majorHAnsi"/>
        </w:rPr>
        <w:t xml:space="preserve"> </w:t>
      </w:r>
      <w:r w:rsidRPr="008103FD">
        <w:rPr>
          <w:rFonts w:asciiTheme="majorHAnsi" w:hAnsiTheme="majorHAnsi"/>
          <w:i/>
        </w:rPr>
        <w:t>Cancer Causes Control</w:t>
      </w:r>
      <w:r w:rsidRPr="00A45B6A">
        <w:rPr>
          <w:rFonts w:asciiTheme="majorHAnsi" w:hAnsiTheme="majorHAnsi"/>
        </w:rPr>
        <w:t xml:space="preserve"> </w:t>
      </w:r>
      <w:r>
        <w:rPr>
          <w:rFonts w:asciiTheme="majorHAnsi" w:hAnsiTheme="majorHAnsi"/>
        </w:rPr>
        <w:t>961.</w:t>
      </w:r>
    </w:p>
  </w:endnote>
  <w:endnote w:id="47">
    <w:p w14:paraId="2743310A" w14:textId="6F9193A0" w:rsidR="00F26BA2" w:rsidRPr="000D414F" w:rsidRDefault="00F26BA2" w:rsidP="00347B9E">
      <w:pPr>
        <w:rPr>
          <w:rFonts w:asciiTheme="majorHAnsi" w:hAnsiTheme="majorHAnsi"/>
        </w:rPr>
      </w:pPr>
      <w:r w:rsidRPr="00A45B6A">
        <w:rPr>
          <w:rStyle w:val="EndnoteReference"/>
          <w:rFonts w:asciiTheme="majorHAnsi" w:hAnsiTheme="majorHAnsi"/>
        </w:rPr>
        <w:endnoteRef/>
      </w:r>
      <w:r w:rsidRPr="00A45B6A">
        <w:rPr>
          <w:rFonts w:asciiTheme="majorHAnsi" w:hAnsiTheme="majorHAnsi"/>
        </w:rPr>
        <w:t xml:space="preserve"> Singh H, Shu E, Demers A</w:t>
      </w:r>
      <w:r>
        <w:rPr>
          <w:rFonts w:asciiTheme="majorHAnsi" w:hAnsiTheme="majorHAnsi"/>
        </w:rPr>
        <w:t xml:space="preserve"> et al</w:t>
      </w:r>
      <w:r w:rsidRPr="00A45B6A">
        <w:rPr>
          <w:rFonts w:asciiTheme="majorHAnsi" w:hAnsiTheme="majorHAnsi"/>
        </w:rPr>
        <w:t xml:space="preserve"> </w:t>
      </w:r>
      <w:r>
        <w:rPr>
          <w:rFonts w:asciiTheme="majorHAnsi" w:hAnsiTheme="majorHAnsi"/>
        </w:rPr>
        <w:t>‘</w:t>
      </w:r>
      <w:r w:rsidRPr="00A45B6A">
        <w:rPr>
          <w:rFonts w:asciiTheme="majorHAnsi" w:hAnsiTheme="majorHAnsi"/>
        </w:rPr>
        <w:t>Trends in time to diagnosis of colon cancer and impact on clinical outcomes</w:t>
      </w:r>
      <w:r>
        <w:rPr>
          <w:rFonts w:asciiTheme="majorHAnsi" w:hAnsiTheme="majorHAnsi"/>
        </w:rPr>
        <w:t xml:space="preserve">’ (2012) 26(12) </w:t>
      </w:r>
      <w:r>
        <w:rPr>
          <w:rFonts w:asciiTheme="majorHAnsi" w:hAnsiTheme="majorHAnsi"/>
          <w:i/>
          <w:iCs/>
        </w:rPr>
        <w:t xml:space="preserve">Cancer Journal of Gastroenterology </w:t>
      </w:r>
      <w:r>
        <w:rPr>
          <w:rFonts w:asciiTheme="majorHAnsi" w:hAnsiTheme="majorHAnsi"/>
        </w:rPr>
        <w:t>877.</w:t>
      </w:r>
    </w:p>
  </w:endnote>
  <w:endnote w:id="48">
    <w:p w14:paraId="57BD1011" w14:textId="77777777" w:rsidR="00F26BA2" w:rsidRPr="00A45B6A" w:rsidRDefault="00F26BA2" w:rsidP="00347B9E">
      <w:pPr>
        <w:rPr>
          <w:rFonts w:asciiTheme="majorHAnsi" w:hAnsiTheme="majorHAnsi"/>
        </w:rPr>
      </w:pPr>
      <w:r w:rsidRPr="00A45B6A">
        <w:rPr>
          <w:rStyle w:val="EndnoteReference"/>
          <w:rFonts w:asciiTheme="majorHAnsi" w:hAnsiTheme="majorHAnsi"/>
        </w:rPr>
        <w:endnoteRef/>
      </w:r>
      <w:r w:rsidRPr="00A45B6A">
        <w:rPr>
          <w:rFonts w:asciiTheme="majorHAnsi" w:hAnsiTheme="majorHAnsi"/>
        </w:rPr>
        <w:t xml:space="preserve"> Australia Department of Health, </w:t>
      </w:r>
      <w:r w:rsidRPr="000D414F">
        <w:rPr>
          <w:rFonts w:asciiTheme="majorHAnsi" w:hAnsiTheme="majorHAnsi"/>
          <w:i/>
          <w:iCs/>
        </w:rPr>
        <w:t>National Bowel Cancer Screening Program- Quality Framework</w:t>
      </w:r>
      <w:r>
        <w:rPr>
          <w:rFonts w:asciiTheme="majorHAnsi" w:hAnsiTheme="majorHAnsi"/>
        </w:rPr>
        <w:t xml:space="preserve"> (</w:t>
      </w:r>
      <w:r w:rsidRPr="00A45B6A">
        <w:rPr>
          <w:rFonts w:asciiTheme="majorHAnsi" w:hAnsiTheme="majorHAnsi"/>
        </w:rPr>
        <w:t>October 2016</w:t>
      </w:r>
      <w:r>
        <w:rPr>
          <w:rFonts w:asciiTheme="majorHAnsi" w:hAnsiTheme="majorHAnsi"/>
        </w:rPr>
        <w:t>)</w:t>
      </w:r>
    </w:p>
  </w:endnote>
  <w:endnote w:id="49">
    <w:p w14:paraId="27B81DAA" w14:textId="63226121" w:rsidR="00F26BA2" w:rsidRDefault="00F26BA2">
      <w:pPr>
        <w:pStyle w:val="EndnoteText"/>
      </w:pPr>
      <w:r>
        <w:rPr>
          <w:rStyle w:val="EndnoteReference"/>
        </w:rPr>
        <w:endnoteRef/>
      </w:r>
      <w:r>
        <w:t xml:space="preserve"> Australian Government Department of Health (2016), </w:t>
      </w:r>
      <w:r>
        <w:rPr>
          <w:i/>
          <w:iCs/>
        </w:rPr>
        <w:t>Gastroenterology &amp; Hepatology 2016 Factsheet</w:t>
      </w:r>
      <w:r>
        <w:t>.</w:t>
      </w:r>
    </w:p>
  </w:endnote>
  <w:endnote w:id="50">
    <w:p w14:paraId="299B0422" w14:textId="7EA9C9D4" w:rsidR="00F26BA2" w:rsidRDefault="00F26BA2">
      <w:pPr>
        <w:pStyle w:val="EndnoteText"/>
      </w:pPr>
      <w:r>
        <w:rPr>
          <w:rStyle w:val="EndnoteReference"/>
        </w:rPr>
        <w:endnoteRef/>
      </w:r>
      <w:r>
        <w:t xml:space="preserve"> Northern Territory, ‘Bowel Cancer’, </w:t>
      </w:r>
      <w:r>
        <w:rPr>
          <w:i/>
          <w:iCs/>
        </w:rPr>
        <w:t>Northern Territory Government</w:t>
      </w:r>
      <w:r>
        <w:t xml:space="preserve"> (2021), &lt;</w:t>
      </w:r>
      <w:r w:rsidRPr="00CF6835">
        <w:t xml:space="preserve"> https://nt.gov.au/wellbeing/cancer-services/bowel-cancer</w:t>
      </w:r>
      <w:r>
        <w:t>&gt;</w:t>
      </w:r>
    </w:p>
  </w:endnote>
  <w:endnote w:id="51">
    <w:p w14:paraId="0B1E484D" w14:textId="77777777" w:rsidR="00F26BA2" w:rsidRPr="00A45B6A" w:rsidRDefault="00F26BA2" w:rsidP="00347B9E">
      <w:pPr>
        <w:rPr>
          <w:rFonts w:asciiTheme="majorHAnsi" w:hAnsiTheme="majorHAnsi"/>
        </w:rPr>
      </w:pPr>
      <w:r w:rsidRPr="00A45B6A">
        <w:rPr>
          <w:rStyle w:val="EndnoteReference"/>
          <w:rFonts w:asciiTheme="majorHAnsi" w:hAnsiTheme="majorHAnsi"/>
        </w:rPr>
        <w:endnoteRef/>
      </w:r>
      <w:r w:rsidRPr="00A45B6A">
        <w:rPr>
          <w:rFonts w:asciiTheme="majorHAnsi" w:hAnsiTheme="majorHAnsi"/>
        </w:rPr>
        <w:t xml:space="preserve"> AIHW, </w:t>
      </w:r>
      <w:r w:rsidRPr="000D414F">
        <w:rPr>
          <w:rFonts w:asciiTheme="majorHAnsi" w:hAnsiTheme="majorHAnsi"/>
          <w:i/>
        </w:rPr>
        <w:t>Private Health Insurance</w:t>
      </w:r>
      <w:r w:rsidRPr="00A45B6A">
        <w:rPr>
          <w:rFonts w:asciiTheme="majorHAnsi" w:hAnsiTheme="majorHAnsi"/>
        </w:rPr>
        <w:t xml:space="preserve"> </w:t>
      </w:r>
      <w:r>
        <w:rPr>
          <w:rFonts w:asciiTheme="majorHAnsi" w:hAnsiTheme="majorHAnsi"/>
        </w:rPr>
        <w:t>(</w:t>
      </w:r>
      <w:r w:rsidRPr="00A45B6A">
        <w:rPr>
          <w:rFonts w:asciiTheme="majorHAnsi" w:hAnsiTheme="majorHAnsi"/>
        </w:rPr>
        <w:t>July 2020</w:t>
      </w:r>
      <w:r>
        <w:rPr>
          <w:rFonts w:asciiTheme="majorHAnsi" w:hAnsiTheme="majorHAnsi"/>
        </w:rPr>
        <w:t>)</w:t>
      </w:r>
    </w:p>
  </w:endnote>
  <w:endnote w:id="52">
    <w:p w14:paraId="23C86992" w14:textId="77777777" w:rsidR="00F26BA2" w:rsidRPr="00A45B6A" w:rsidRDefault="00F26BA2" w:rsidP="00347B9E">
      <w:pPr>
        <w:rPr>
          <w:rFonts w:asciiTheme="majorHAnsi" w:hAnsiTheme="majorHAnsi"/>
        </w:rPr>
      </w:pPr>
      <w:r w:rsidRPr="00A45B6A">
        <w:rPr>
          <w:rStyle w:val="EndnoteReference"/>
          <w:rFonts w:asciiTheme="majorHAnsi" w:hAnsiTheme="majorHAnsi"/>
        </w:rPr>
        <w:endnoteRef/>
      </w:r>
      <w:r w:rsidRPr="00A45B6A">
        <w:rPr>
          <w:rFonts w:asciiTheme="majorHAnsi" w:hAnsiTheme="majorHAnsi"/>
        </w:rPr>
        <w:t xml:space="preserve"> ACSQHC, </w:t>
      </w:r>
      <w:r w:rsidRPr="000D414F">
        <w:rPr>
          <w:rFonts w:asciiTheme="majorHAnsi" w:hAnsiTheme="majorHAnsi"/>
          <w:i/>
        </w:rPr>
        <w:t>Colonoscopy Clinical Care Standard</w:t>
      </w:r>
      <w:r>
        <w:rPr>
          <w:rFonts w:asciiTheme="majorHAnsi" w:hAnsiTheme="majorHAnsi"/>
        </w:rPr>
        <w:t xml:space="preserve"> (</w:t>
      </w:r>
      <w:r w:rsidRPr="00A45B6A">
        <w:rPr>
          <w:rFonts w:asciiTheme="majorHAnsi" w:hAnsiTheme="majorHAnsi"/>
        </w:rPr>
        <w:t>2018</w:t>
      </w:r>
      <w:r>
        <w:rPr>
          <w:rFonts w:asciiTheme="majorHAnsi" w:hAnsiTheme="majorHAnsi"/>
        </w:rPr>
        <w:t>)</w:t>
      </w:r>
    </w:p>
  </w:endnote>
  <w:endnote w:id="53">
    <w:p w14:paraId="5A86D756" w14:textId="77777777" w:rsidR="00F26BA2" w:rsidRPr="00884C88" w:rsidRDefault="00F26BA2" w:rsidP="00347B9E">
      <w:pPr>
        <w:spacing w:after="0"/>
        <w:rPr>
          <w:rFonts w:asciiTheme="majorHAnsi" w:hAnsiTheme="majorHAnsi"/>
          <w:i/>
        </w:rPr>
      </w:pPr>
      <w:r w:rsidRPr="00A45B6A">
        <w:rPr>
          <w:rStyle w:val="EndnoteReference"/>
          <w:rFonts w:asciiTheme="majorHAnsi" w:hAnsiTheme="majorHAnsi"/>
        </w:rPr>
        <w:endnoteRef/>
      </w:r>
      <w:r w:rsidRPr="00A45B6A">
        <w:rPr>
          <w:rFonts w:asciiTheme="majorHAnsi" w:hAnsiTheme="majorHAnsi"/>
        </w:rPr>
        <w:t xml:space="preserve"> </w:t>
      </w:r>
      <w:r w:rsidRPr="00884C88">
        <w:rPr>
          <w:rFonts w:asciiTheme="majorHAnsi" w:hAnsiTheme="majorHAnsi"/>
          <w:i/>
        </w:rPr>
        <w:t>Improving Colonoscopy Services in Australia Report from the National Bowel Cancer Screening</w:t>
      </w:r>
    </w:p>
    <w:p w14:paraId="01FFDB28" w14:textId="77777777" w:rsidR="00F26BA2" w:rsidRPr="00A45B6A" w:rsidRDefault="00F26BA2" w:rsidP="00347B9E">
      <w:pPr>
        <w:rPr>
          <w:rFonts w:asciiTheme="majorHAnsi" w:hAnsiTheme="majorHAnsi"/>
        </w:rPr>
      </w:pPr>
      <w:r w:rsidRPr="00884C88">
        <w:rPr>
          <w:rFonts w:asciiTheme="majorHAnsi" w:hAnsiTheme="majorHAnsi"/>
          <w:i/>
        </w:rPr>
        <w:t>Program Quality Working Group</w:t>
      </w:r>
      <w:r>
        <w:rPr>
          <w:rFonts w:asciiTheme="majorHAnsi" w:hAnsiTheme="majorHAnsi"/>
        </w:rPr>
        <w:t xml:space="preserve"> (</w:t>
      </w:r>
      <w:r w:rsidRPr="00A45B6A">
        <w:rPr>
          <w:rFonts w:asciiTheme="majorHAnsi" w:hAnsiTheme="majorHAnsi"/>
        </w:rPr>
        <w:t>July 2009</w:t>
      </w:r>
      <w:r>
        <w:rPr>
          <w:rFonts w:asciiTheme="majorHAnsi" w:hAnsiTheme="majorHAnsi"/>
        </w:rPr>
        <w:t>)</w:t>
      </w:r>
    </w:p>
  </w:endnote>
  <w:endnote w:id="54">
    <w:p w14:paraId="280284E9" w14:textId="77777777" w:rsidR="00F26BA2" w:rsidRDefault="00F26BA2" w:rsidP="00C26269">
      <w:pPr>
        <w:pStyle w:val="EndnoteText"/>
      </w:pPr>
      <w:r>
        <w:rPr>
          <w:rStyle w:val="EndnoteReference"/>
        </w:rPr>
        <w:endnoteRef/>
      </w:r>
      <w:r>
        <w:t xml:space="preserve"> Commonwealth of Australia, </w:t>
      </w:r>
      <w:r w:rsidRPr="00F816DC">
        <w:rPr>
          <w:i/>
          <w:iCs/>
        </w:rPr>
        <w:t>The National Bowel Cancer Screening Program – Participant Follow-up Function: National Partnership Agreement on Specified Projects</w:t>
      </w:r>
      <w:r>
        <w:t>, (2018)</w:t>
      </w:r>
    </w:p>
  </w:endnote>
  <w:endnote w:id="55">
    <w:p w14:paraId="03B1B903" w14:textId="77777777" w:rsidR="00F26BA2" w:rsidRPr="00647EEE" w:rsidRDefault="00F26BA2" w:rsidP="00C26269">
      <w:pPr>
        <w:pStyle w:val="EndnoteText"/>
      </w:pPr>
      <w:r>
        <w:rPr>
          <w:rStyle w:val="EndnoteReference"/>
        </w:rPr>
        <w:endnoteRef/>
      </w:r>
      <w:r>
        <w:t xml:space="preserve"> AIHW, </w:t>
      </w:r>
      <w:r>
        <w:rPr>
          <w:i/>
          <w:iCs/>
        </w:rPr>
        <w:t>National Bowel Cancer Screening Program Monitoring report</w:t>
      </w:r>
      <w:r>
        <w:t>, (2020)</w:t>
      </w:r>
    </w:p>
  </w:endnote>
  <w:endnote w:id="56">
    <w:p w14:paraId="4E4D0F41" w14:textId="77777777" w:rsidR="00F26BA2" w:rsidRPr="00A45B6A" w:rsidRDefault="00F26BA2" w:rsidP="006B2754">
      <w:pPr>
        <w:rPr>
          <w:rFonts w:asciiTheme="majorHAnsi" w:hAnsiTheme="majorHAnsi"/>
        </w:rPr>
      </w:pPr>
      <w:r w:rsidRPr="00A45B6A">
        <w:rPr>
          <w:rStyle w:val="EndnoteReference"/>
          <w:rFonts w:asciiTheme="majorHAnsi" w:hAnsiTheme="majorHAnsi"/>
        </w:rPr>
        <w:endnoteRef/>
      </w:r>
      <w:r w:rsidRPr="00A45B6A">
        <w:rPr>
          <w:rFonts w:asciiTheme="majorHAnsi" w:hAnsiTheme="majorHAnsi"/>
        </w:rPr>
        <w:t xml:space="preserve"> Cancer Institute NSW, </w:t>
      </w:r>
      <w:r w:rsidRPr="00A45B6A">
        <w:rPr>
          <w:rFonts w:asciiTheme="majorHAnsi" w:hAnsiTheme="majorHAnsi"/>
          <w:i/>
        </w:rPr>
        <w:t>Direct access colonoscopy model of care</w:t>
      </w:r>
      <w:r w:rsidRPr="00A45B6A">
        <w:rPr>
          <w:rFonts w:asciiTheme="majorHAnsi" w:hAnsiTheme="majorHAnsi"/>
        </w:rPr>
        <w:t>, 2020</w:t>
      </w:r>
    </w:p>
  </w:endnote>
  <w:endnote w:id="57">
    <w:p w14:paraId="7D4F06DA" w14:textId="77777777" w:rsidR="00F26BA2" w:rsidRPr="00A45B6A" w:rsidRDefault="00F26BA2" w:rsidP="006B2754">
      <w:pPr>
        <w:rPr>
          <w:rFonts w:asciiTheme="majorHAnsi" w:hAnsiTheme="majorHAnsi"/>
        </w:rPr>
      </w:pPr>
      <w:r w:rsidRPr="00A45B6A">
        <w:rPr>
          <w:rStyle w:val="EndnoteReference"/>
          <w:rFonts w:asciiTheme="majorHAnsi" w:hAnsiTheme="majorHAnsi"/>
        </w:rPr>
        <w:endnoteRef/>
      </w:r>
      <w:r w:rsidRPr="00A45B6A">
        <w:rPr>
          <w:rFonts w:asciiTheme="majorHAnsi" w:hAnsiTheme="majorHAnsi"/>
        </w:rPr>
        <w:t xml:space="preserve"> Ibid.</w:t>
      </w:r>
    </w:p>
  </w:endnote>
  <w:endnote w:id="58">
    <w:p w14:paraId="5BC6DC05" w14:textId="77777777" w:rsidR="00F26BA2" w:rsidRPr="00A45B6A" w:rsidRDefault="00F26BA2" w:rsidP="006B2754">
      <w:pPr>
        <w:rPr>
          <w:rFonts w:asciiTheme="majorHAnsi" w:hAnsiTheme="majorHAnsi"/>
        </w:rPr>
      </w:pPr>
      <w:r w:rsidRPr="00A45B6A">
        <w:rPr>
          <w:rStyle w:val="EndnoteReference"/>
          <w:rFonts w:asciiTheme="majorHAnsi" w:hAnsiTheme="majorHAnsi"/>
        </w:rPr>
        <w:endnoteRef/>
      </w:r>
      <w:r w:rsidRPr="00A45B6A">
        <w:rPr>
          <w:rFonts w:asciiTheme="majorHAnsi" w:hAnsiTheme="majorHAnsi"/>
        </w:rPr>
        <w:t xml:space="preserve"> Beggs A</w:t>
      </w:r>
      <w:r>
        <w:rPr>
          <w:rFonts w:asciiTheme="majorHAnsi" w:hAnsiTheme="majorHAnsi"/>
        </w:rPr>
        <w:t>,</w:t>
      </w:r>
      <w:r w:rsidRPr="00A45B6A">
        <w:rPr>
          <w:rFonts w:asciiTheme="majorHAnsi" w:hAnsiTheme="majorHAnsi"/>
        </w:rPr>
        <w:t xml:space="preserve"> Bhate R</w:t>
      </w:r>
      <w:r>
        <w:rPr>
          <w:rFonts w:asciiTheme="majorHAnsi" w:hAnsiTheme="majorHAnsi"/>
        </w:rPr>
        <w:t>,</w:t>
      </w:r>
      <w:r w:rsidRPr="00A45B6A">
        <w:rPr>
          <w:rFonts w:asciiTheme="majorHAnsi" w:hAnsiTheme="majorHAnsi"/>
        </w:rPr>
        <w:t xml:space="preserve"> Irukulla S</w:t>
      </w:r>
      <w:r>
        <w:rPr>
          <w:rFonts w:asciiTheme="majorHAnsi" w:hAnsiTheme="majorHAnsi"/>
        </w:rPr>
        <w:t xml:space="preserve"> et al</w:t>
      </w:r>
      <w:r w:rsidRPr="00A45B6A">
        <w:rPr>
          <w:rFonts w:asciiTheme="majorHAnsi" w:hAnsiTheme="majorHAnsi"/>
        </w:rPr>
        <w:t xml:space="preserve"> ‘Straight to colonoscopy: the ideal patient pathway for the 2-week suspected cancer referrals?’, </w:t>
      </w:r>
      <w:r>
        <w:rPr>
          <w:rFonts w:asciiTheme="majorHAnsi" w:hAnsiTheme="majorHAnsi"/>
        </w:rPr>
        <w:t xml:space="preserve">(2011) 93(2) </w:t>
      </w:r>
      <w:r w:rsidRPr="00A45B6A">
        <w:rPr>
          <w:rFonts w:asciiTheme="majorHAnsi" w:hAnsiTheme="majorHAnsi"/>
          <w:i/>
        </w:rPr>
        <w:t>Annals of the Royal College of Surgeons of England</w:t>
      </w:r>
      <w:r w:rsidRPr="00A45B6A">
        <w:rPr>
          <w:rFonts w:asciiTheme="majorHAnsi" w:hAnsiTheme="majorHAnsi"/>
        </w:rPr>
        <w:t xml:space="preserve"> </w:t>
      </w:r>
      <w:r>
        <w:rPr>
          <w:rFonts w:asciiTheme="majorHAnsi" w:hAnsiTheme="majorHAnsi"/>
        </w:rPr>
        <w:t>114</w:t>
      </w:r>
    </w:p>
  </w:endnote>
  <w:endnote w:id="59">
    <w:p w14:paraId="76F38B59" w14:textId="77777777" w:rsidR="00F26BA2" w:rsidRPr="00A45B6A" w:rsidRDefault="00F26BA2" w:rsidP="006B2754">
      <w:pPr>
        <w:rPr>
          <w:rFonts w:asciiTheme="majorHAnsi" w:hAnsiTheme="majorHAnsi"/>
        </w:rPr>
      </w:pPr>
      <w:r w:rsidRPr="00A45B6A">
        <w:rPr>
          <w:rStyle w:val="EndnoteReference"/>
          <w:rFonts w:asciiTheme="majorHAnsi" w:hAnsiTheme="majorHAnsi"/>
        </w:rPr>
        <w:endnoteRef/>
      </w:r>
      <w:r w:rsidRPr="00A45B6A">
        <w:rPr>
          <w:rFonts w:asciiTheme="majorHAnsi" w:hAnsiTheme="majorHAnsi"/>
        </w:rPr>
        <w:t xml:space="preserve"> Ahmed J</w:t>
      </w:r>
      <w:r>
        <w:rPr>
          <w:rFonts w:asciiTheme="majorHAnsi" w:hAnsiTheme="majorHAnsi"/>
        </w:rPr>
        <w:t>,</w:t>
      </w:r>
      <w:r w:rsidRPr="00A45B6A">
        <w:rPr>
          <w:rFonts w:asciiTheme="majorHAnsi" w:hAnsiTheme="majorHAnsi"/>
        </w:rPr>
        <w:t xml:space="preserve"> Mehmood S</w:t>
      </w:r>
      <w:r>
        <w:rPr>
          <w:rFonts w:asciiTheme="majorHAnsi" w:hAnsiTheme="majorHAnsi"/>
        </w:rPr>
        <w:t>,</w:t>
      </w:r>
      <w:r w:rsidRPr="00A45B6A">
        <w:rPr>
          <w:rFonts w:asciiTheme="majorHAnsi" w:hAnsiTheme="majorHAnsi"/>
        </w:rPr>
        <w:t xml:space="preserve"> Khan, S </w:t>
      </w:r>
      <w:r>
        <w:rPr>
          <w:rFonts w:asciiTheme="majorHAnsi" w:hAnsiTheme="majorHAnsi"/>
        </w:rPr>
        <w:t>et al</w:t>
      </w:r>
      <w:r w:rsidRPr="00A45B6A">
        <w:rPr>
          <w:rFonts w:asciiTheme="majorHAnsi" w:hAnsiTheme="majorHAnsi"/>
        </w:rPr>
        <w:t xml:space="preserve"> ‘Direct access colonoscopy in primary care: is it a safe and practical approach?’</w:t>
      </w:r>
      <w:r>
        <w:rPr>
          <w:rFonts w:asciiTheme="majorHAnsi" w:hAnsiTheme="majorHAnsi"/>
        </w:rPr>
        <w:t xml:space="preserve"> (2013) 58(3) </w:t>
      </w:r>
      <w:r w:rsidRPr="00A45B6A">
        <w:rPr>
          <w:rFonts w:asciiTheme="majorHAnsi" w:hAnsiTheme="majorHAnsi"/>
          <w:i/>
        </w:rPr>
        <w:t>Scottish Medical Journal</w:t>
      </w:r>
      <w:r w:rsidRPr="00A45B6A">
        <w:rPr>
          <w:rFonts w:asciiTheme="majorHAnsi" w:hAnsiTheme="majorHAnsi"/>
        </w:rPr>
        <w:t xml:space="preserve">, </w:t>
      </w:r>
      <w:r>
        <w:rPr>
          <w:rFonts w:asciiTheme="majorHAnsi" w:hAnsiTheme="majorHAnsi"/>
        </w:rPr>
        <w:t>168.</w:t>
      </w:r>
    </w:p>
  </w:endnote>
  <w:endnote w:id="60">
    <w:p w14:paraId="7835C5DF" w14:textId="77777777" w:rsidR="00F26BA2" w:rsidRPr="00A45B6A" w:rsidRDefault="00F26BA2" w:rsidP="006B2754">
      <w:pPr>
        <w:rPr>
          <w:rFonts w:asciiTheme="majorHAnsi" w:hAnsiTheme="majorHAnsi"/>
          <w:i/>
        </w:rPr>
      </w:pPr>
      <w:r w:rsidRPr="00A45B6A">
        <w:rPr>
          <w:rStyle w:val="EndnoteReference"/>
          <w:rFonts w:asciiTheme="majorHAnsi" w:hAnsiTheme="majorHAnsi"/>
        </w:rPr>
        <w:endnoteRef/>
      </w:r>
      <w:r w:rsidRPr="00A45B6A">
        <w:rPr>
          <w:rFonts w:asciiTheme="majorHAnsi" w:hAnsiTheme="majorHAnsi"/>
        </w:rPr>
        <w:t xml:space="preserve"> </w:t>
      </w:r>
      <w:r w:rsidRPr="000E334F">
        <w:rPr>
          <w:rFonts w:asciiTheme="majorHAnsi" w:hAnsiTheme="majorHAnsi"/>
        </w:rPr>
        <w:t>Verdon</w:t>
      </w:r>
      <w:r w:rsidRPr="00250BF5">
        <w:rPr>
          <w:rFonts w:asciiTheme="majorHAnsi" w:hAnsiTheme="majorHAnsi"/>
        </w:rPr>
        <w:t>, C,</w:t>
      </w:r>
      <w:r w:rsidRPr="00A45B6A">
        <w:rPr>
          <w:rFonts w:asciiTheme="majorHAnsi" w:hAnsiTheme="majorHAnsi"/>
          <w:i/>
        </w:rPr>
        <w:t xml:space="preserve"> ‘</w:t>
      </w:r>
      <w:r w:rsidRPr="00BD289D">
        <w:rPr>
          <w:rFonts w:asciiTheme="majorHAnsi" w:hAnsiTheme="majorHAnsi"/>
        </w:rPr>
        <w:t>Improving access to colonoscopy in South Western Sydney public hospital for patients with positive faecal test’</w:t>
      </w:r>
      <w:r w:rsidRPr="00A45B6A">
        <w:rPr>
          <w:rFonts w:asciiTheme="majorHAnsi" w:hAnsiTheme="majorHAnsi"/>
          <w:i/>
          <w:iCs/>
        </w:rPr>
        <w:t>,</w:t>
      </w:r>
      <w:r>
        <w:rPr>
          <w:rFonts w:asciiTheme="majorHAnsi" w:hAnsiTheme="majorHAnsi"/>
          <w:i/>
          <w:iCs/>
        </w:rPr>
        <w:t xml:space="preserve"> </w:t>
      </w:r>
      <w:r>
        <w:rPr>
          <w:rFonts w:asciiTheme="majorHAnsi" w:hAnsiTheme="majorHAnsi"/>
        </w:rPr>
        <w:t>(2018)</w:t>
      </w:r>
      <w:r w:rsidRPr="00A45B6A">
        <w:rPr>
          <w:rFonts w:asciiTheme="majorHAnsi" w:hAnsiTheme="majorHAnsi"/>
          <w:i/>
        </w:rPr>
        <w:t xml:space="preserve"> Cancer </w:t>
      </w:r>
      <w:r w:rsidRPr="00A45B6A">
        <w:rPr>
          <w:rFonts w:asciiTheme="majorHAnsi" w:hAnsiTheme="majorHAnsi"/>
          <w:i/>
          <w:iCs/>
        </w:rPr>
        <w:t>Ins</w:t>
      </w:r>
      <w:r>
        <w:rPr>
          <w:rFonts w:asciiTheme="majorHAnsi" w:hAnsiTheme="majorHAnsi"/>
          <w:i/>
          <w:iCs/>
        </w:rPr>
        <w:t>ti</w:t>
      </w:r>
      <w:r w:rsidRPr="00A45B6A">
        <w:rPr>
          <w:rFonts w:asciiTheme="majorHAnsi" w:hAnsiTheme="majorHAnsi"/>
          <w:i/>
          <w:iCs/>
        </w:rPr>
        <w:t>tute</w:t>
      </w:r>
    </w:p>
  </w:endnote>
  <w:endnote w:id="61">
    <w:p w14:paraId="41F4F59F" w14:textId="77777777" w:rsidR="00F26BA2" w:rsidRPr="00A45B6A" w:rsidRDefault="00F26BA2" w:rsidP="006B2754">
      <w:pPr>
        <w:rPr>
          <w:rFonts w:asciiTheme="majorHAnsi" w:hAnsiTheme="majorHAnsi"/>
        </w:rPr>
      </w:pPr>
      <w:r w:rsidRPr="00A45B6A">
        <w:rPr>
          <w:rStyle w:val="EndnoteReference"/>
          <w:rFonts w:asciiTheme="majorHAnsi" w:hAnsiTheme="majorHAnsi"/>
        </w:rPr>
        <w:endnoteRef/>
      </w:r>
      <w:r w:rsidRPr="00A45B6A">
        <w:rPr>
          <w:rFonts w:asciiTheme="majorHAnsi" w:hAnsiTheme="majorHAnsi"/>
        </w:rPr>
        <w:t xml:space="preserve"> Far West Local Health District, </w:t>
      </w:r>
      <w:r w:rsidRPr="00BD289D">
        <w:rPr>
          <w:rFonts w:asciiTheme="majorHAnsi" w:hAnsiTheme="majorHAnsi"/>
          <w:i/>
        </w:rPr>
        <w:t>Innovation in Colonoscopy Services: Direct Access Colonoscopy Clinic</w:t>
      </w:r>
      <w:r>
        <w:rPr>
          <w:rFonts w:asciiTheme="majorHAnsi" w:hAnsiTheme="majorHAnsi"/>
        </w:rPr>
        <w:t xml:space="preserve"> (</w:t>
      </w:r>
      <w:r w:rsidRPr="00A45B6A">
        <w:rPr>
          <w:rFonts w:asciiTheme="majorHAnsi" w:hAnsiTheme="majorHAnsi"/>
        </w:rPr>
        <w:t>2019</w:t>
      </w:r>
      <w:r>
        <w:rPr>
          <w:rFonts w:asciiTheme="majorHAnsi" w:hAnsiTheme="majorHAnsi"/>
        </w:rPr>
        <w:t>)</w:t>
      </w:r>
      <w:r w:rsidRPr="00A45B6A">
        <w:rPr>
          <w:rFonts w:asciiTheme="majorHAnsi" w:hAnsiTheme="majorHAnsi"/>
        </w:rPr>
        <w:t xml:space="preserve"> </w:t>
      </w:r>
    </w:p>
  </w:endnote>
  <w:endnote w:id="62">
    <w:p w14:paraId="6D7FA71B" w14:textId="77777777" w:rsidR="00F26BA2" w:rsidRPr="00A45B6A" w:rsidRDefault="00F26BA2" w:rsidP="006B2754">
      <w:pPr>
        <w:rPr>
          <w:rFonts w:asciiTheme="majorHAnsi" w:hAnsiTheme="majorHAnsi"/>
        </w:rPr>
      </w:pPr>
      <w:r w:rsidRPr="00A45B6A">
        <w:rPr>
          <w:rStyle w:val="EndnoteReference"/>
          <w:rFonts w:asciiTheme="majorHAnsi" w:hAnsiTheme="majorHAnsi"/>
        </w:rPr>
        <w:endnoteRef/>
      </w:r>
      <w:r w:rsidRPr="00A45B6A">
        <w:rPr>
          <w:rFonts w:asciiTheme="majorHAnsi" w:hAnsiTheme="majorHAnsi"/>
        </w:rPr>
        <w:t xml:space="preserve"> Australian Department of Health and Ageing, </w:t>
      </w:r>
      <w:r w:rsidRPr="00BD289D">
        <w:rPr>
          <w:rFonts w:asciiTheme="majorHAnsi" w:hAnsiTheme="majorHAnsi"/>
          <w:i/>
        </w:rPr>
        <w:t>The Australian Bowel Cancer. Screening Pilot Program and Beyond: Final Evaluation Report</w:t>
      </w:r>
      <w:r>
        <w:rPr>
          <w:rFonts w:asciiTheme="majorHAnsi" w:hAnsiTheme="majorHAnsi"/>
        </w:rPr>
        <w:t xml:space="preserve"> (2005)</w:t>
      </w:r>
    </w:p>
  </w:endnote>
  <w:endnote w:id="63">
    <w:p w14:paraId="0BA67A5B" w14:textId="1F2C2E6C" w:rsidR="00F26BA2" w:rsidRPr="004C358A" w:rsidRDefault="00F26BA2" w:rsidP="00FB0C90">
      <w:pPr>
        <w:pStyle w:val="EndnoteText"/>
      </w:pPr>
      <w:r>
        <w:rPr>
          <w:rStyle w:val="EndnoteReference"/>
        </w:rPr>
        <w:endnoteRef/>
      </w:r>
      <w:r>
        <w:t xml:space="preserve"> Department of Health above n 8</w:t>
      </w:r>
    </w:p>
  </w:endnote>
  <w:endnote w:id="64">
    <w:p w14:paraId="5E6B94A2" w14:textId="4A1E0360" w:rsidR="00F26BA2" w:rsidRPr="003A0F6D" w:rsidRDefault="00F26BA2">
      <w:pPr>
        <w:pStyle w:val="EndnoteText"/>
      </w:pPr>
      <w:r>
        <w:rPr>
          <w:rStyle w:val="EndnoteReference"/>
        </w:rPr>
        <w:endnoteRef/>
      </w:r>
      <w:r>
        <w:t xml:space="preserve"> Leaper M, Johnston MJ, Barclay M et al ‘</w:t>
      </w:r>
      <w:r w:rsidRPr="003A0F6D">
        <w:t>Reasons for failure to diagnose colorectal carcinoma at colonoscopy</w:t>
      </w:r>
      <w:r>
        <w:t xml:space="preserve">’, (2004) 36(6), </w:t>
      </w:r>
      <w:r>
        <w:rPr>
          <w:i/>
          <w:iCs/>
        </w:rPr>
        <w:t>Endoscopy</w:t>
      </w:r>
      <w:r>
        <w:t xml:space="preserve"> 499. </w:t>
      </w:r>
    </w:p>
  </w:endnote>
  <w:endnote w:id="65">
    <w:p w14:paraId="500619E9" w14:textId="17B36E86" w:rsidR="00F26BA2" w:rsidRPr="009A71A9" w:rsidRDefault="00F26BA2">
      <w:pPr>
        <w:pStyle w:val="EndnoteText"/>
      </w:pPr>
      <w:r>
        <w:rPr>
          <w:rStyle w:val="EndnoteReference"/>
        </w:rPr>
        <w:endnoteRef/>
      </w:r>
      <w:r>
        <w:t xml:space="preserve"> Robertson DJ, Greenberg ER, Beach M, et al ‘</w:t>
      </w:r>
      <w:r w:rsidRPr="009A71A9">
        <w:t xml:space="preserve">Colorectal cancer in patients under close </w:t>
      </w:r>
      <w:r>
        <w:t>colonoscopic</w:t>
      </w:r>
      <w:r w:rsidRPr="009A71A9">
        <w:t xml:space="preserve"> surveillance</w:t>
      </w:r>
      <w:r>
        <w:t xml:space="preserve">’ (2005) 129(1), </w:t>
      </w:r>
      <w:r>
        <w:rPr>
          <w:i/>
          <w:iCs/>
        </w:rPr>
        <w:t>Gastroenterology</w:t>
      </w:r>
      <w:r>
        <w:t xml:space="preserve">, 34. </w:t>
      </w:r>
    </w:p>
  </w:endnote>
  <w:endnote w:id="66">
    <w:p w14:paraId="6B19B54C" w14:textId="59A3C57F" w:rsidR="00F26BA2" w:rsidRDefault="00F26BA2">
      <w:pPr>
        <w:pStyle w:val="EndnoteText"/>
      </w:pPr>
      <w:r>
        <w:rPr>
          <w:rStyle w:val="EndnoteReference"/>
        </w:rPr>
        <w:endnoteRef/>
      </w:r>
      <w:r>
        <w:t xml:space="preserve"> Singh H, Turner D, Xue L et al ‘Risk of developing colorectal cancer following a negative colonoscopy examination: evidence for a 10-year interval between colonoscopies’ (2006) 295(20), </w:t>
      </w:r>
      <w:r>
        <w:rPr>
          <w:i/>
          <w:iCs/>
        </w:rPr>
        <w:t>JAMA</w:t>
      </w:r>
      <w:r>
        <w:t xml:space="preserve">, 2366.  </w:t>
      </w:r>
    </w:p>
  </w:endnote>
  <w:endnote w:id="67">
    <w:p w14:paraId="43CF6942" w14:textId="7EBA5777" w:rsidR="00F26BA2" w:rsidRPr="00B01F82" w:rsidRDefault="00F26BA2">
      <w:pPr>
        <w:pStyle w:val="EndnoteText"/>
      </w:pPr>
      <w:r>
        <w:rPr>
          <w:rStyle w:val="EndnoteReference"/>
        </w:rPr>
        <w:endnoteRef/>
      </w:r>
      <w:r>
        <w:t xml:space="preserve"> Kelly N, Moorehead J, Tham T ‘</w:t>
      </w:r>
      <w:r w:rsidRPr="00B01F82">
        <w:t>Is the ‘driving test’ a robust quality indicator of colonoscopy performance?</w:t>
      </w:r>
      <w:r>
        <w:t xml:space="preserve">’ (2010) 2(4), </w:t>
      </w:r>
      <w:r>
        <w:rPr>
          <w:i/>
          <w:iCs/>
        </w:rPr>
        <w:t>World Journal of Gastrointestinal Endoscopy</w:t>
      </w:r>
      <w:r>
        <w:t xml:space="preserve">, 112. </w:t>
      </w:r>
    </w:p>
  </w:endnote>
  <w:endnote w:id="68">
    <w:p w14:paraId="23D4C9CD" w14:textId="77777777" w:rsidR="00F26BA2" w:rsidRPr="009C4ECD" w:rsidRDefault="00F26BA2" w:rsidP="00233751">
      <w:pPr>
        <w:pStyle w:val="EndnoteText"/>
      </w:pPr>
      <w:r>
        <w:rPr>
          <w:rStyle w:val="EndnoteReference"/>
        </w:rPr>
        <w:endnoteRef/>
      </w:r>
      <w:r>
        <w:t xml:space="preserve"> Department of Health, </w:t>
      </w:r>
      <w:r>
        <w:rPr>
          <w:i/>
          <w:iCs/>
        </w:rPr>
        <w:t>National Bowel Cancer Screening Program Key Performance Indicator Review</w:t>
      </w:r>
      <w:r>
        <w:t>, (2019)</w:t>
      </w:r>
    </w:p>
  </w:endnote>
  <w:endnote w:id="69">
    <w:p w14:paraId="2793397F" w14:textId="7841E1E7" w:rsidR="00F26BA2" w:rsidRPr="004C358A" w:rsidRDefault="00F26BA2">
      <w:pPr>
        <w:pStyle w:val="EndnoteText"/>
      </w:pPr>
      <w:r>
        <w:rPr>
          <w:rStyle w:val="EndnoteReference"/>
        </w:rPr>
        <w:endnoteRef/>
      </w:r>
      <w:r>
        <w:t xml:space="preserve"> Department of Health, </w:t>
      </w:r>
      <w:r>
        <w:rPr>
          <w:i/>
          <w:iCs/>
        </w:rPr>
        <w:t>National Bowel Cancer Screening Program Policy Framework Phase Four (2015-2020)</w:t>
      </w:r>
      <w:r>
        <w:t>, (2017)</w:t>
      </w:r>
    </w:p>
  </w:endnote>
  <w:endnote w:id="70">
    <w:p w14:paraId="12281B23" w14:textId="77777777" w:rsidR="00F26BA2" w:rsidRDefault="00F26BA2" w:rsidP="005D78E4">
      <w:pPr>
        <w:pStyle w:val="EndnoteText"/>
      </w:pPr>
      <w:r>
        <w:rPr>
          <w:rStyle w:val="EndnoteReference"/>
        </w:rPr>
        <w:endnoteRef/>
      </w:r>
      <w:r>
        <w:t xml:space="preserve"> Atkinson, T., Salz, T., Touza, K., Li, Y., Hay, J.</w:t>
      </w:r>
      <w:r w:rsidDel="00DC021F">
        <w:t xml:space="preserve"> </w:t>
      </w:r>
      <w:r>
        <w:t xml:space="preserve">Does corectal cancer risk perception predict screening behavior? A systematic review and meta-analysis. (2015) 38(6). </w:t>
      </w:r>
      <w:r>
        <w:rPr>
          <w:i/>
          <w:iCs/>
        </w:rPr>
        <w:t>Journal of Behavioural Medicine</w:t>
      </w:r>
      <w:r>
        <w:t>.</w:t>
      </w:r>
    </w:p>
  </w:endnote>
  <w:endnote w:id="71">
    <w:p w14:paraId="25AA04E5" w14:textId="77777777" w:rsidR="00F26BA2" w:rsidRPr="00201C0E" w:rsidRDefault="00F26BA2" w:rsidP="00BB66C9">
      <w:pPr>
        <w:pStyle w:val="EndnoteText"/>
      </w:pPr>
      <w:r>
        <w:rPr>
          <w:rStyle w:val="EndnoteReference"/>
        </w:rPr>
        <w:endnoteRef/>
      </w:r>
      <w:r>
        <w:t xml:space="preserve"> NHRMC, </w:t>
      </w:r>
      <w:r>
        <w:rPr>
          <w:i/>
          <w:iCs/>
        </w:rPr>
        <w:t xml:space="preserve">Clinical Practice Guidelines For the Prevention, Early Detection and Management of Colorectal Cancer, </w:t>
      </w:r>
      <w:r>
        <w:t>2017</w:t>
      </w:r>
    </w:p>
  </w:endnote>
  <w:endnote w:id="72">
    <w:p w14:paraId="51A79164" w14:textId="11EACC8A" w:rsidR="00F26BA2" w:rsidRPr="00834E47" w:rsidRDefault="00F26BA2" w:rsidP="009F147B">
      <w:pPr>
        <w:pStyle w:val="EndnoteText"/>
      </w:pPr>
      <w:r>
        <w:rPr>
          <w:rStyle w:val="EndnoteReference"/>
        </w:rPr>
        <w:endnoteRef/>
      </w:r>
      <w:r>
        <w:t xml:space="preserve"> Davis J, Buchanan K, Katz R, et al ‘</w:t>
      </w:r>
      <w:r w:rsidRPr="008F490A">
        <w:t>Gender differences in cancer sc</w:t>
      </w:r>
      <w:r>
        <w:t>re</w:t>
      </w:r>
      <w:r w:rsidRPr="008F490A">
        <w:t>ening beliefs, behaviors, and willingness to participate: Implications for health promotion</w:t>
      </w:r>
      <w:r>
        <w:t>’ (2012) 6(3), American</w:t>
      </w:r>
      <w:r>
        <w:rPr>
          <w:i/>
          <w:iCs/>
        </w:rPr>
        <w:t xml:space="preserve"> Journal of Mens Health</w:t>
      </w:r>
      <w:r>
        <w:t>, 211.</w:t>
      </w:r>
    </w:p>
  </w:endnote>
  <w:endnote w:id="73">
    <w:p w14:paraId="22C2ADDA" w14:textId="77777777" w:rsidR="00F26BA2" w:rsidRPr="00D074B9" w:rsidRDefault="00F26BA2" w:rsidP="00881737">
      <w:pPr>
        <w:pStyle w:val="EndnoteText"/>
        <w:rPr>
          <w:szCs w:val="18"/>
        </w:rPr>
      </w:pPr>
      <w:r>
        <w:rPr>
          <w:rStyle w:val="EndnoteReference"/>
        </w:rPr>
        <w:endnoteRef/>
      </w:r>
      <w:r>
        <w:t xml:space="preserve"> </w:t>
      </w:r>
      <w:r w:rsidRPr="00D074B9">
        <w:rPr>
          <w:szCs w:val="18"/>
        </w:rPr>
        <w:t xml:space="preserve">Cole, S; Smith, A; Wilson, C; Turnbull, D; Esterman, A; Young G. ‘An advance notification letter increases participation in colorectal cancer screening’, 2007, 14(2) </w:t>
      </w:r>
      <w:r w:rsidRPr="00D074B9">
        <w:rPr>
          <w:i/>
          <w:iCs/>
          <w:szCs w:val="18"/>
        </w:rPr>
        <w:t>Journal of Medical Screening</w:t>
      </w:r>
      <w:r w:rsidRPr="00D074B9">
        <w:rPr>
          <w:szCs w:val="18"/>
        </w:rPr>
        <w:t>, p.73-75</w:t>
      </w:r>
    </w:p>
  </w:endnote>
  <w:endnote w:id="74">
    <w:p w14:paraId="219457F8" w14:textId="15507A38" w:rsidR="00F26BA2" w:rsidRPr="00D074B9" w:rsidRDefault="00F26BA2" w:rsidP="00881737">
      <w:pPr>
        <w:pStyle w:val="EndnoteText"/>
        <w:rPr>
          <w:szCs w:val="18"/>
        </w:rPr>
      </w:pPr>
      <w:r>
        <w:rPr>
          <w:rStyle w:val="EndnoteReference"/>
        </w:rPr>
        <w:endnoteRef/>
      </w:r>
      <w:r>
        <w:t xml:space="preserve"> </w:t>
      </w:r>
      <w:r w:rsidRPr="00D074B9">
        <w:rPr>
          <w:szCs w:val="18"/>
        </w:rPr>
        <w:t>Goodwin B</w:t>
      </w:r>
      <w:r>
        <w:rPr>
          <w:szCs w:val="18"/>
        </w:rPr>
        <w:t>, Ireland M,</w:t>
      </w:r>
      <w:r w:rsidRPr="00D074B9">
        <w:rPr>
          <w:szCs w:val="18"/>
        </w:rPr>
        <w:t xml:space="preserve"> March S</w:t>
      </w:r>
      <w:r>
        <w:rPr>
          <w:szCs w:val="18"/>
        </w:rPr>
        <w:t xml:space="preserve"> et al</w:t>
      </w:r>
      <w:r w:rsidRPr="00D074B9">
        <w:rPr>
          <w:szCs w:val="18"/>
        </w:rPr>
        <w:t>. ‘</w:t>
      </w:r>
      <w:r>
        <w:rPr>
          <w:szCs w:val="18"/>
        </w:rPr>
        <w:t>Strategies for increasing</w:t>
      </w:r>
      <w:r w:rsidRPr="00D074B9">
        <w:rPr>
          <w:szCs w:val="18"/>
        </w:rPr>
        <w:t xml:space="preserve"> participation in mail-out </w:t>
      </w:r>
      <w:r>
        <w:rPr>
          <w:szCs w:val="18"/>
        </w:rPr>
        <w:t>colorectal cancer</w:t>
      </w:r>
      <w:r w:rsidRPr="00D074B9">
        <w:rPr>
          <w:szCs w:val="18"/>
        </w:rPr>
        <w:t xml:space="preserve"> screening</w:t>
      </w:r>
      <w:r>
        <w:rPr>
          <w:szCs w:val="18"/>
        </w:rPr>
        <w:t xml:space="preserve"> programs</w:t>
      </w:r>
      <w:r w:rsidRPr="00D074B9">
        <w:rPr>
          <w:szCs w:val="18"/>
        </w:rPr>
        <w:t>: a systematic review and meta</w:t>
      </w:r>
      <w:r>
        <w:rPr>
          <w:szCs w:val="18"/>
        </w:rPr>
        <w:t xml:space="preserve"> anlaysis</w:t>
      </w:r>
      <w:r w:rsidRPr="00D074B9">
        <w:rPr>
          <w:szCs w:val="18"/>
        </w:rPr>
        <w:t>.’(</w:t>
      </w:r>
      <w:r>
        <w:rPr>
          <w:szCs w:val="18"/>
        </w:rPr>
        <w:t>2019</w:t>
      </w:r>
      <w:r w:rsidRPr="00D074B9">
        <w:rPr>
          <w:szCs w:val="18"/>
        </w:rPr>
        <w:t xml:space="preserve">), </w:t>
      </w:r>
      <w:r>
        <w:rPr>
          <w:szCs w:val="18"/>
        </w:rPr>
        <w:t>8</w:t>
      </w:r>
      <w:r w:rsidRPr="00D074B9">
        <w:rPr>
          <w:szCs w:val="18"/>
        </w:rPr>
        <w:t>(</w:t>
      </w:r>
      <w:r>
        <w:rPr>
          <w:szCs w:val="18"/>
        </w:rPr>
        <w:t>257</w:t>
      </w:r>
      <w:r w:rsidRPr="00D074B9">
        <w:rPr>
          <w:szCs w:val="18"/>
        </w:rPr>
        <w:t xml:space="preserve">) </w:t>
      </w:r>
      <w:r>
        <w:rPr>
          <w:i/>
          <w:iCs/>
          <w:szCs w:val="18"/>
        </w:rPr>
        <w:t xml:space="preserve">Systematic Reviews. </w:t>
      </w:r>
    </w:p>
  </w:endnote>
  <w:endnote w:id="75">
    <w:p w14:paraId="52FF86EB" w14:textId="5B5137EF" w:rsidR="00F26BA2" w:rsidRPr="00A45B6A" w:rsidRDefault="00F26BA2" w:rsidP="00881737">
      <w:pPr>
        <w:pStyle w:val="EndnoteText"/>
        <w:rPr>
          <w:rFonts w:asciiTheme="majorHAnsi" w:hAnsiTheme="majorHAnsi"/>
          <w:szCs w:val="18"/>
        </w:rPr>
      </w:pPr>
      <w:r w:rsidRPr="00A45B6A">
        <w:rPr>
          <w:rStyle w:val="EndnoteReference"/>
          <w:rFonts w:asciiTheme="majorHAnsi" w:hAnsiTheme="majorHAnsi"/>
          <w:szCs w:val="18"/>
        </w:rPr>
        <w:endnoteRef/>
      </w:r>
      <w:r w:rsidRPr="00A45B6A">
        <w:rPr>
          <w:rFonts w:asciiTheme="majorHAnsi" w:hAnsiTheme="majorHAnsi"/>
          <w:szCs w:val="18"/>
        </w:rPr>
        <w:t xml:space="preserve"> Zajac</w:t>
      </w:r>
      <w:r>
        <w:rPr>
          <w:rFonts w:asciiTheme="majorHAnsi" w:hAnsiTheme="majorHAnsi"/>
          <w:szCs w:val="18"/>
        </w:rPr>
        <w:t xml:space="preserve"> </w:t>
      </w:r>
      <w:r w:rsidRPr="00A45B6A">
        <w:rPr>
          <w:rFonts w:asciiTheme="majorHAnsi" w:hAnsiTheme="majorHAnsi"/>
          <w:szCs w:val="18"/>
        </w:rPr>
        <w:t>I</w:t>
      </w:r>
      <w:r>
        <w:rPr>
          <w:rFonts w:asciiTheme="majorHAnsi" w:hAnsiTheme="majorHAnsi"/>
          <w:szCs w:val="18"/>
        </w:rPr>
        <w:t>,</w:t>
      </w:r>
      <w:r w:rsidRPr="00A45B6A">
        <w:rPr>
          <w:rFonts w:asciiTheme="majorHAnsi" w:hAnsiTheme="majorHAnsi"/>
          <w:szCs w:val="18"/>
        </w:rPr>
        <w:t xml:space="preserve"> Whible</w:t>
      </w:r>
      <w:r>
        <w:rPr>
          <w:rFonts w:asciiTheme="majorHAnsi" w:hAnsiTheme="majorHAnsi"/>
          <w:szCs w:val="18"/>
        </w:rPr>
        <w:t>y</w:t>
      </w:r>
      <w:r w:rsidRPr="00A45B6A">
        <w:rPr>
          <w:rFonts w:asciiTheme="majorHAnsi" w:hAnsiTheme="majorHAnsi"/>
          <w:szCs w:val="18"/>
        </w:rPr>
        <w:t xml:space="preserve"> A</w:t>
      </w:r>
      <w:r>
        <w:rPr>
          <w:rFonts w:asciiTheme="majorHAnsi" w:hAnsiTheme="majorHAnsi"/>
          <w:szCs w:val="18"/>
        </w:rPr>
        <w:t>,</w:t>
      </w:r>
      <w:r w:rsidRPr="00A45B6A">
        <w:rPr>
          <w:rFonts w:asciiTheme="majorHAnsi" w:hAnsiTheme="majorHAnsi"/>
          <w:szCs w:val="18"/>
        </w:rPr>
        <w:t xml:space="preserve"> Cole S et al ‘Endorsement by the Primary Care Practitioner Consistently Improves Participation in Screening for Colorectal Cancer: A Longitudinal Analysis’, (2010) 18(1), </w:t>
      </w:r>
      <w:r w:rsidRPr="00A45B6A">
        <w:rPr>
          <w:rFonts w:asciiTheme="majorHAnsi" w:hAnsiTheme="majorHAnsi"/>
          <w:i/>
          <w:iCs/>
          <w:szCs w:val="18"/>
        </w:rPr>
        <w:t>Journal of Medical Screening</w:t>
      </w:r>
      <w:r w:rsidRPr="00A45B6A">
        <w:rPr>
          <w:rFonts w:asciiTheme="majorHAnsi" w:hAnsiTheme="majorHAnsi"/>
          <w:szCs w:val="18"/>
        </w:rPr>
        <w:t xml:space="preserve"> 19.</w:t>
      </w:r>
    </w:p>
  </w:endnote>
  <w:endnote w:id="76">
    <w:p w14:paraId="0270A5C5" w14:textId="2D3CD29D" w:rsidR="00F26BA2" w:rsidRPr="00F74C31" w:rsidRDefault="00F26BA2">
      <w:pPr>
        <w:pStyle w:val="EndnoteText"/>
      </w:pPr>
      <w:r>
        <w:rPr>
          <w:rStyle w:val="EndnoteReference"/>
        </w:rPr>
        <w:endnoteRef/>
      </w:r>
      <w:r>
        <w:t xml:space="preserve"> Curry SJ, </w:t>
      </w:r>
      <w:r>
        <w:rPr>
          <w:i/>
          <w:iCs/>
        </w:rPr>
        <w:t>Fulfilling the Potential of Cancer Prevention and Early Detection</w:t>
      </w:r>
      <w:r>
        <w:t xml:space="preserve">, (2003) 6. </w:t>
      </w:r>
    </w:p>
  </w:endnote>
  <w:endnote w:id="77">
    <w:p w14:paraId="26A3E395" w14:textId="77777777" w:rsidR="00F26BA2" w:rsidRPr="00A45B6A" w:rsidRDefault="00F26BA2" w:rsidP="00AD10DC">
      <w:pPr>
        <w:rPr>
          <w:rFonts w:asciiTheme="majorHAnsi" w:hAnsiTheme="majorHAnsi"/>
        </w:rPr>
      </w:pPr>
      <w:r w:rsidRPr="00A45B6A">
        <w:rPr>
          <w:rFonts w:asciiTheme="majorHAnsi" w:hAnsiTheme="majorHAnsi"/>
          <w:vertAlign w:val="superscript"/>
        </w:rPr>
        <w:endnoteRef/>
      </w:r>
      <w:r w:rsidRPr="00A45B6A">
        <w:rPr>
          <w:rFonts w:asciiTheme="majorHAnsi" w:hAnsiTheme="majorHAnsi"/>
          <w:vertAlign w:val="superscript"/>
        </w:rPr>
        <w:t xml:space="preserve"> </w:t>
      </w:r>
      <w:r w:rsidRPr="00A45B6A">
        <w:rPr>
          <w:rFonts w:asciiTheme="majorHAnsi" w:hAnsiTheme="majorHAnsi"/>
        </w:rPr>
        <w:t>Dodd N</w:t>
      </w:r>
      <w:r>
        <w:rPr>
          <w:rFonts w:asciiTheme="majorHAnsi" w:hAnsiTheme="majorHAnsi"/>
        </w:rPr>
        <w:t>,</w:t>
      </w:r>
      <w:r w:rsidRPr="00A45B6A">
        <w:rPr>
          <w:rFonts w:asciiTheme="majorHAnsi" w:hAnsiTheme="majorHAnsi"/>
        </w:rPr>
        <w:t xml:space="preserve"> Carey M</w:t>
      </w:r>
      <w:r>
        <w:rPr>
          <w:rFonts w:asciiTheme="majorHAnsi" w:hAnsiTheme="majorHAnsi"/>
        </w:rPr>
        <w:t>,</w:t>
      </w:r>
      <w:r w:rsidRPr="00A45B6A">
        <w:rPr>
          <w:rFonts w:asciiTheme="majorHAnsi" w:hAnsiTheme="majorHAnsi"/>
        </w:rPr>
        <w:t xml:space="preserve"> Mansfield E et al ‘Testing the effectiveness of a general practice intervention to improve uptake of colorectal cancer screening: a randomised controlled trial’ (2019) 43(5) </w:t>
      </w:r>
      <w:r w:rsidRPr="00A45B6A">
        <w:rPr>
          <w:rFonts w:asciiTheme="majorHAnsi" w:hAnsiTheme="majorHAnsi"/>
          <w:i/>
        </w:rPr>
        <w:t xml:space="preserve">Australian and New Zealand Journal of Public Health </w:t>
      </w:r>
      <w:r w:rsidRPr="00A45B6A">
        <w:rPr>
          <w:rFonts w:asciiTheme="majorHAnsi" w:hAnsiTheme="majorHAnsi"/>
        </w:rPr>
        <w:t>464.</w:t>
      </w:r>
    </w:p>
  </w:endnote>
  <w:endnote w:id="78">
    <w:p w14:paraId="785E8CB0" w14:textId="77777777" w:rsidR="00F26BA2" w:rsidRPr="00A45B6A" w:rsidRDefault="00F26BA2" w:rsidP="00AD10DC">
      <w:pPr>
        <w:rPr>
          <w:rFonts w:asciiTheme="majorHAnsi" w:hAnsiTheme="majorHAnsi"/>
        </w:rPr>
      </w:pPr>
      <w:r w:rsidRPr="00A45B6A">
        <w:rPr>
          <w:rStyle w:val="EndnoteReference"/>
          <w:rFonts w:asciiTheme="majorHAnsi" w:hAnsiTheme="majorHAnsi"/>
        </w:rPr>
        <w:endnoteRef/>
      </w:r>
      <w:r w:rsidRPr="00A45B6A">
        <w:rPr>
          <w:rFonts w:asciiTheme="majorHAnsi" w:hAnsiTheme="majorHAnsi"/>
        </w:rPr>
        <w:t xml:space="preserve"> PHN Gippsland, </w:t>
      </w:r>
      <w:r w:rsidRPr="00A45B6A">
        <w:rPr>
          <w:rFonts w:asciiTheme="majorHAnsi" w:hAnsiTheme="majorHAnsi"/>
          <w:i/>
        </w:rPr>
        <w:t>LaTrobe Cancer Screening Collaborative</w:t>
      </w:r>
      <w:r w:rsidRPr="00A45B6A">
        <w:rPr>
          <w:rFonts w:asciiTheme="majorHAnsi" w:hAnsiTheme="majorHAnsi"/>
        </w:rPr>
        <w:t xml:space="preserve">, </w:t>
      </w:r>
      <w:r>
        <w:rPr>
          <w:rFonts w:asciiTheme="majorHAnsi" w:hAnsiTheme="majorHAnsi"/>
        </w:rPr>
        <w:t>(</w:t>
      </w:r>
      <w:r w:rsidRPr="00A45B6A">
        <w:rPr>
          <w:rFonts w:asciiTheme="majorHAnsi" w:hAnsiTheme="majorHAnsi"/>
        </w:rPr>
        <w:t>2019</w:t>
      </w:r>
      <w:r>
        <w:rPr>
          <w:rFonts w:asciiTheme="majorHAnsi" w:hAnsiTheme="majorHAnsi"/>
        </w:rPr>
        <w:t>)</w:t>
      </w:r>
    </w:p>
  </w:endnote>
  <w:endnote w:id="79">
    <w:p w14:paraId="7BB2AD6A" w14:textId="77777777" w:rsidR="00F26BA2" w:rsidRPr="00A45B6A" w:rsidRDefault="00F26BA2" w:rsidP="00AD10DC">
      <w:pPr>
        <w:rPr>
          <w:rFonts w:asciiTheme="majorHAnsi" w:hAnsiTheme="majorHAnsi"/>
        </w:rPr>
      </w:pPr>
      <w:r w:rsidRPr="00A45B6A">
        <w:rPr>
          <w:rStyle w:val="EndnoteReference"/>
          <w:rFonts w:asciiTheme="majorHAnsi" w:hAnsiTheme="majorHAnsi"/>
        </w:rPr>
        <w:endnoteRef/>
      </w:r>
      <w:r w:rsidRPr="00A45B6A">
        <w:rPr>
          <w:rFonts w:asciiTheme="majorHAnsi" w:hAnsiTheme="majorHAnsi"/>
        </w:rPr>
        <w:t xml:space="preserve"> PHN Gippsland, </w:t>
      </w:r>
      <w:r w:rsidRPr="00A45B6A">
        <w:rPr>
          <w:rFonts w:asciiTheme="majorHAnsi" w:hAnsiTheme="majorHAnsi"/>
          <w:i/>
        </w:rPr>
        <w:t>LaTrobe Cancer Screening Collaborative</w:t>
      </w:r>
      <w:r w:rsidRPr="00A45B6A">
        <w:rPr>
          <w:rFonts w:asciiTheme="majorHAnsi" w:hAnsiTheme="majorHAnsi"/>
        </w:rPr>
        <w:t xml:space="preserve">, </w:t>
      </w:r>
      <w:r>
        <w:rPr>
          <w:rFonts w:asciiTheme="majorHAnsi" w:hAnsiTheme="majorHAnsi"/>
        </w:rPr>
        <w:t>(</w:t>
      </w:r>
      <w:r w:rsidRPr="00A45B6A">
        <w:rPr>
          <w:rFonts w:asciiTheme="majorHAnsi" w:hAnsiTheme="majorHAnsi"/>
        </w:rPr>
        <w:t>2019</w:t>
      </w:r>
      <w:r>
        <w:rPr>
          <w:rFonts w:asciiTheme="majorHAnsi" w:hAnsiTheme="majorHAnsi"/>
        </w:rPr>
        <w:t>)</w:t>
      </w:r>
    </w:p>
  </w:endnote>
  <w:endnote w:id="80">
    <w:p w14:paraId="77F82DAB" w14:textId="77777777" w:rsidR="00F26BA2" w:rsidRPr="00A45B6A" w:rsidRDefault="00F26BA2" w:rsidP="00AD10DC">
      <w:pPr>
        <w:rPr>
          <w:rFonts w:asciiTheme="majorHAnsi" w:hAnsiTheme="majorHAnsi"/>
        </w:rPr>
      </w:pPr>
      <w:r w:rsidRPr="00A45B6A">
        <w:rPr>
          <w:rStyle w:val="EndnoteReference"/>
          <w:rFonts w:asciiTheme="majorHAnsi" w:hAnsiTheme="majorHAnsi"/>
        </w:rPr>
        <w:endnoteRef/>
      </w:r>
      <w:r w:rsidRPr="00A45B6A">
        <w:rPr>
          <w:rFonts w:asciiTheme="majorHAnsi" w:hAnsiTheme="majorHAnsi"/>
        </w:rPr>
        <w:t xml:space="preserve"> Moutel G</w:t>
      </w:r>
      <w:r>
        <w:rPr>
          <w:rFonts w:asciiTheme="majorHAnsi" w:hAnsiTheme="majorHAnsi"/>
        </w:rPr>
        <w:t>,</w:t>
      </w:r>
      <w:r w:rsidRPr="00A45B6A">
        <w:rPr>
          <w:rFonts w:asciiTheme="majorHAnsi" w:hAnsiTheme="majorHAnsi"/>
        </w:rPr>
        <w:t xml:space="preserve"> Duchange N</w:t>
      </w:r>
      <w:r>
        <w:rPr>
          <w:rFonts w:asciiTheme="majorHAnsi" w:hAnsiTheme="majorHAnsi"/>
        </w:rPr>
        <w:t>,</w:t>
      </w:r>
      <w:r w:rsidRPr="00A45B6A">
        <w:rPr>
          <w:rFonts w:asciiTheme="majorHAnsi" w:hAnsiTheme="majorHAnsi"/>
        </w:rPr>
        <w:t xml:space="preserve"> Lièvre A et al ‘Low participation in organized colorectal cancer screening in France’ (2019) 28(1) </w:t>
      </w:r>
      <w:r w:rsidRPr="00A45B6A">
        <w:rPr>
          <w:rFonts w:asciiTheme="majorHAnsi" w:hAnsiTheme="majorHAnsi"/>
          <w:i/>
        </w:rPr>
        <w:t>European Journal of Cancer</w:t>
      </w:r>
      <w:r w:rsidRPr="00A45B6A">
        <w:rPr>
          <w:rFonts w:asciiTheme="majorHAnsi" w:hAnsiTheme="majorHAnsi"/>
        </w:rPr>
        <w:t xml:space="preserve"> 27.</w:t>
      </w:r>
    </w:p>
  </w:endnote>
  <w:endnote w:id="81">
    <w:p w14:paraId="06FCE65F" w14:textId="77777777" w:rsidR="00F26BA2" w:rsidRPr="00A45B6A" w:rsidRDefault="00F26BA2" w:rsidP="00AD10DC">
      <w:pPr>
        <w:rPr>
          <w:rFonts w:asciiTheme="majorHAnsi" w:hAnsiTheme="majorHAnsi"/>
        </w:rPr>
      </w:pPr>
      <w:r w:rsidRPr="00A45B6A">
        <w:rPr>
          <w:rStyle w:val="EndnoteReference"/>
          <w:rFonts w:asciiTheme="majorHAnsi" w:hAnsiTheme="majorHAnsi"/>
        </w:rPr>
        <w:endnoteRef/>
      </w:r>
      <w:r w:rsidRPr="00A45B6A">
        <w:rPr>
          <w:rFonts w:asciiTheme="majorHAnsi" w:hAnsiTheme="majorHAnsi"/>
        </w:rPr>
        <w:t xml:space="preserve"> Benton S</w:t>
      </w:r>
      <w:r>
        <w:rPr>
          <w:rFonts w:asciiTheme="majorHAnsi" w:hAnsiTheme="majorHAnsi"/>
        </w:rPr>
        <w:t>,</w:t>
      </w:r>
      <w:r w:rsidRPr="00A45B6A">
        <w:rPr>
          <w:rFonts w:asciiTheme="majorHAnsi" w:hAnsiTheme="majorHAnsi"/>
        </w:rPr>
        <w:t xml:space="preserve"> Butler P</w:t>
      </w:r>
      <w:r>
        <w:rPr>
          <w:rFonts w:asciiTheme="majorHAnsi" w:hAnsiTheme="majorHAnsi"/>
        </w:rPr>
        <w:t>,</w:t>
      </w:r>
      <w:r w:rsidRPr="00A45B6A">
        <w:rPr>
          <w:rFonts w:asciiTheme="majorHAnsi" w:hAnsiTheme="majorHAnsi"/>
        </w:rPr>
        <w:t xml:space="preserve"> Allen K </w:t>
      </w:r>
      <w:r>
        <w:rPr>
          <w:rFonts w:asciiTheme="majorHAnsi" w:hAnsiTheme="majorHAnsi"/>
        </w:rPr>
        <w:t>et al, ‘</w:t>
      </w:r>
      <w:r w:rsidRPr="00E73DE5">
        <w:rPr>
          <w:rFonts w:asciiTheme="majorHAnsi" w:hAnsiTheme="majorHAnsi"/>
        </w:rPr>
        <w:t>GP participation in increasing uptake in a national bowel cancer screening programme: the PEARL project</w:t>
      </w:r>
      <w:r>
        <w:rPr>
          <w:rFonts w:asciiTheme="majorHAnsi" w:hAnsiTheme="majorHAnsi"/>
        </w:rPr>
        <w:t xml:space="preserve">’ (2017) 116(12), </w:t>
      </w:r>
      <w:r>
        <w:rPr>
          <w:rFonts w:asciiTheme="majorHAnsi" w:hAnsiTheme="majorHAnsi"/>
          <w:i/>
          <w:iCs/>
        </w:rPr>
        <w:t>British Journal of Cancer</w:t>
      </w:r>
      <w:r>
        <w:rPr>
          <w:rFonts w:asciiTheme="majorHAnsi" w:hAnsiTheme="majorHAnsi"/>
        </w:rPr>
        <w:t xml:space="preserve"> 1551. </w:t>
      </w:r>
      <w:r w:rsidRPr="00A45B6A">
        <w:rPr>
          <w:rFonts w:asciiTheme="majorHAnsi" w:hAnsiTheme="majorHAnsi"/>
        </w:rPr>
        <w:t xml:space="preserve"> Benton S</w:t>
      </w:r>
      <w:r>
        <w:rPr>
          <w:rFonts w:asciiTheme="majorHAnsi" w:hAnsiTheme="majorHAnsi"/>
        </w:rPr>
        <w:t>,</w:t>
      </w:r>
      <w:r w:rsidRPr="00A45B6A">
        <w:rPr>
          <w:rFonts w:asciiTheme="majorHAnsi" w:hAnsiTheme="majorHAnsi"/>
        </w:rPr>
        <w:t xml:space="preserve"> Butler P</w:t>
      </w:r>
      <w:r>
        <w:rPr>
          <w:rFonts w:asciiTheme="majorHAnsi" w:hAnsiTheme="majorHAnsi"/>
        </w:rPr>
        <w:t>,</w:t>
      </w:r>
      <w:r w:rsidRPr="00A45B6A">
        <w:rPr>
          <w:rFonts w:asciiTheme="majorHAnsi" w:hAnsiTheme="majorHAnsi"/>
        </w:rPr>
        <w:t xml:space="preserve"> Allen K </w:t>
      </w:r>
      <w:r>
        <w:rPr>
          <w:rFonts w:asciiTheme="majorHAnsi" w:hAnsiTheme="majorHAnsi"/>
        </w:rPr>
        <w:t>et al</w:t>
      </w:r>
      <w:r w:rsidRPr="00A45B6A">
        <w:rPr>
          <w:rFonts w:asciiTheme="majorHAnsi" w:hAnsiTheme="majorHAnsi"/>
        </w:rPr>
        <w:t xml:space="preserve"> </w:t>
      </w:r>
      <w:r>
        <w:rPr>
          <w:rFonts w:asciiTheme="majorHAnsi" w:hAnsiTheme="majorHAnsi"/>
        </w:rPr>
        <w:t>n above xviii</w:t>
      </w:r>
    </w:p>
  </w:endnote>
  <w:endnote w:id="82">
    <w:p w14:paraId="2F1E77B2" w14:textId="77777777" w:rsidR="00F26BA2" w:rsidRPr="00A45B6A" w:rsidRDefault="00F26BA2" w:rsidP="00AD10DC">
      <w:pPr>
        <w:rPr>
          <w:rFonts w:asciiTheme="majorHAnsi" w:hAnsiTheme="majorHAnsi"/>
        </w:rPr>
      </w:pPr>
      <w:r w:rsidRPr="00A45B6A">
        <w:rPr>
          <w:rStyle w:val="EndnoteReference"/>
          <w:rFonts w:asciiTheme="majorHAnsi" w:hAnsiTheme="majorHAnsi"/>
        </w:rPr>
        <w:endnoteRef/>
      </w:r>
      <w:r w:rsidRPr="00A45B6A">
        <w:rPr>
          <w:rFonts w:asciiTheme="majorHAnsi" w:hAnsiTheme="majorHAnsi"/>
        </w:rPr>
        <w:t xml:space="preserve"> Flander L</w:t>
      </w:r>
      <w:r>
        <w:rPr>
          <w:rFonts w:asciiTheme="majorHAnsi" w:hAnsiTheme="majorHAnsi"/>
        </w:rPr>
        <w:t>,</w:t>
      </w:r>
      <w:r w:rsidRPr="00A45B6A">
        <w:rPr>
          <w:rFonts w:asciiTheme="majorHAnsi" w:hAnsiTheme="majorHAnsi"/>
        </w:rPr>
        <w:t xml:space="preserve"> Paauw L</w:t>
      </w:r>
      <w:r>
        <w:rPr>
          <w:rFonts w:asciiTheme="majorHAnsi" w:hAnsiTheme="majorHAnsi"/>
        </w:rPr>
        <w:t>,</w:t>
      </w:r>
      <w:r w:rsidRPr="00A45B6A">
        <w:rPr>
          <w:rFonts w:asciiTheme="majorHAnsi" w:hAnsiTheme="majorHAnsi"/>
        </w:rPr>
        <w:t xml:space="preserve"> Deckle</w:t>
      </w:r>
      <w:r>
        <w:rPr>
          <w:rFonts w:asciiTheme="majorHAnsi" w:hAnsiTheme="majorHAnsi"/>
        </w:rPr>
        <w:t>r</w:t>
      </w:r>
      <w:r w:rsidRPr="00A45B6A">
        <w:rPr>
          <w:rFonts w:asciiTheme="majorHAnsi" w:hAnsiTheme="majorHAnsi"/>
        </w:rPr>
        <w:t xml:space="preserve"> E et al ‘Increasing Bowel Cancer Screening Participation in Australia: Can We Learn from Successful Northern European Programs’ (2017) University of Melbourne.</w:t>
      </w:r>
    </w:p>
  </w:endnote>
  <w:endnote w:id="83">
    <w:p w14:paraId="3EE2AF72" w14:textId="77777777" w:rsidR="00F26BA2" w:rsidRPr="00A45B6A" w:rsidRDefault="00F26BA2" w:rsidP="00AD10DC">
      <w:pPr>
        <w:rPr>
          <w:rFonts w:asciiTheme="majorHAnsi" w:hAnsiTheme="majorHAnsi"/>
        </w:rPr>
      </w:pPr>
      <w:r w:rsidRPr="00A45B6A">
        <w:rPr>
          <w:rStyle w:val="EndnoteReference"/>
          <w:rFonts w:asciiTheme="majorHAnsi" w:hAnsiTheme="majorHAnsi"/>
        </w:rPr>
        <w:endnoteRef/>
      </w:r>
      <w:r w:rsidRPr="00A45B6A">
        <w:rPr>
          <w:rFonts w:asciiTheme="majorHAnsi" w:hAnsiTheme="majorHAnsi"/>
        </w:rPr>
        <w:t xml:space="preserve"> Lofti-Jam K</w:t>
      </w:r>
      <w:r>
        <w:rPr>
          <w:rFonts w:asciiTheme="majorHAnsi" w:hAnsiTheme="majorHAnsi"/>
        </w:rPr>
        <w:t>,</w:t>
      </w:r>
      <w:r w:rsidRPr="00A45B6A">
        <w:rPr>
          <w:rFonts w:asciiTheme="majorHAnsi" w:hAnsiTheme="majorHAnsi"/>
        </w:rPr>
        <w:t xml:space="preserve"> O’Reilly C</w:t>
      </w:r>
      <w:r>
        <w:rPr>
          <w:rFonts w:asciiTheme="majorHAnsi" w:hAnsiTheme="majorHAnsi"/>
        </w:rPr>
        <w:t>,</w:t>
      </w:r>
      <w:r w:rsidRPr="00A45B6A">
        <w:rPr>
          <w:rFonts w:asciiTheme="majorHAnsi" w:hAnsiTheme="majorHAnsi"/>
        </w:rPr>
        <w:t xml:space="preserve"> Feng C et al ‘Increasing bowel cancer screening participation: integrating population-wide, primary care and more targeted approaches’ (2019) 29(2) </w:t>
      </w:r>
      <w:r w:rsidRPr="00A45B6A">
        <w:rPr>
          <w:rFonts w:asciiTheme="majorHAnsi" w:hAnsiTheme="majorHAnsi"/>
          <w:i/>
        </w:rPr>
        <w:t>Public Health Research Practice</w:t>
      </w:r>
      <w:r w:rsidRPr="00A45B6A">
        <w:rPr>
          <w:rFonts w:asciiTheme="majorHAnsi" w:hAnsiTheme="majorHAnsi"/>
        </w:rPr>
        <w:t>.</w:t>
      </w:r>
    </w:p>
  </w:endnote>
  <w:endnote w:id="84">
    <w:p w14:paraId="197182B5" w14:textId="77777777" w:rsidR="00F26BA2" w:rsidRPr="00A45B6A" w:rsidRDefault="00F26BA2" w:rsidP="00AD10DC">
      <w:pPr>
        <w:rPr>
          <w:rFonts w:asciiTheme="majorHAnsi" w:hAnsiTheme="majorHAnsi"/>
        </w:rPr>
      </w:pPr>
      <w:r w:rsidRPr="00A45B6A">
        <w:rPr>
          <w:rStyle w:val="EndnoteReference"/>
          <w:rFonts w:asciiTheme="majorHAnsi" w:hAnsiTheme="majorHAnsi"/>
        </w:rPr>
        <w:endnoteRef/>
      </w:r>
      <w:r w:rsidRPr="00A45B6A">
        <w:rPr>
          <w:rFonts w:asciiTheme="majorHAnsi" w:hAnsiTheme="majorHAnsi"/>
        </w:rPr>
        <w:t xml:space="preserve"> Sendall M</w:t>
      </w:r>
      <w:r>
        <w:rPr>
          <w:rFonts w:asciiTheme="majorHAnsi" w:hAnsiTheme="majorHAnsi"/>
        </w:rPr>
        <w:t>,</w:t>
      </w:r>
      <w:r w:rsidRPr="00A45B6A">
        <w:rPr>
          <w:rFonts w:asciiTheme="majorHAnsi" w:hAnsiTheme="majorHAnsi"/>
        </w:rPr>
        <w:t xml:space="preserve"> Ostermann L</w:t>
      </w:r>
      <w:r>
        <w:rPr>
          <w:rFonts w:asciiTheme="majorHAnsi" w:hAnsiTheme="majorHAnsi"/>
        </w:rPr>
        <w:t>,</w:t>
      </w:r>
      <w:r w:rsidRPr="00A45B6A">
        <w:rPr>
          <w:rFonts w:asciiTheme="majorHAnsi" w:hAnsiTheme="majorHAnsi"/>
        </w:rPr>
        <w:t xml:space="preserve"> Brown C et al ‘Health promotion of bowel cancer and breast cancer screening in community pharmacies: Pharmacists' perceptions of their role, knowledge and confidence’ (2018) 16(4) </w:t>
      </w:r>
      <w:r w:rsidRPr="00A45B6A">
        <w:rPr>
          <w:rFonts w:asciiTheme="majorHAnsi" w:hAnsiTheme="majorHAnsi"/>
          <w:i/>
        </w:rPr>
        <w:t>Pharmacy Practice</w:t>
      </w:r>
      <w:r w:rsidRPr="00A45B6A">
        <w:rPr>
          <w:rFonts w:asciiTheme="majorHAnsi" w:hAnsiTheme="majorHAnsi"/>
        </w:rPr>
        <w:t xml:space="preserve"> 1275</w:t>
      </w:r>
    </w:p>
  </w:endnote>
  <w:endnote w:id="85">
    <w:p w14:paraId="764982CB" w14:textId="17DFA558" w:rsidR="00F26BA2" w:rsidRPr="00FE4373" w:rsidRDefault="00F26BA2" w:rsidP="008243D5">
      <w:pPr>
        <w:pStyle w:val="EndnoteText"/>
      </w:pPr>
      <w:r>
        <w:rPr>
          <w:rStyle w:val="EndnoteReference"/>
        </w:rPr>
        <w:endnoteRef/>
      </w:r>
      <w:r>
        <w:t xml:space="preserve"> Martini A, Morris J, Preen D. ‘</w:t>
      </w:r>
      <w:r w:rsidRPr="00FE4373">
        <w:t>Impact of non-clinical community-based promotional campaigns on bowel cancer screening engagement: An integrative literature review</w:t>
      </w:r>
      <w:r>
        <w:t xml:space="preserve">’ (2016) 99(10), </w:t>
      </w:r>
      <w:r>
        <w:rPr>
          <w:i/>
          <w:iCs/>
        </w:rPr>
        <w:t>Patient Education and Counselling</w:t>
      </w:r>
      <w:r>
        <w:t>, 1549</w:t>
      </w:r>
    </w:p>
  </w:endnote>
  <w:endnote w:id="86">
    <w:p w14:paraId="76E7C423" w14:textId="79D6CD19" w:rsidR="00F26BA2" w:rsidRDefault="00F26BA2" w:rsidP="005325B7">
      <w:pPr>
        <w:pStyle w:val="EndnoteText"/>
      </w:pPr>
      <w:r>
        <w:rPr>
          <w:rStyle w:val="EndnoteReference"/>
        </w:rPr>
        <w:endnoteRef/>
      </w:r>
      <w:r>
        <w:t xml:space="preserve"> Wakefield, Loken B, Hornik R. ‘Use of mass media campaigns to change health behaviour’ (2014), 376(9748), </w:t>
      </w:r>
      <w:r>
        <w:rPr>
          <w:i/>
          <w:iCs/>
        </w:rPr>
        <w:t>Lancet</w:t>
      </w:r>
      <w:r>
        <w:t>, 1261.</w:t>
      </w:r>
    </w:p>
  </w:endnote>
  <w:endnote w:id="87">
    <w:p w14:paraId="309ED898" w14:textId="77777777" w:rsidR="00F26BA2" w:rsidRPr="0006201F" w:rsidRDefault="00F26BA2" w:rsidP="00974696">
      <w:pPr>
        <w:pStyle w:val="EndnoteText"/>
      </w:pPr>
      <w:r>
        <w:rPr>
          <w:rStyle w:val="EndnoteReference"/>
        </w:rPr>
        <w:endnoteRef/>
      </w:r>
      <w:r>
        <w:t xml:space="preserve"> Cancer Council, </w:t>
      </w:r>
      <w:r>
        <w:rPr>
          <w:i/>
          <w:iCs/>
        </w:rPr>
        <w:t>Promoting participation in the NBCSP- Cancer Council Australia’s national bowel screening communications strategy</w:t>
      </w:r>
      <w:r>
        <w:t xml:space="preserve"> (2020)</w:t>
      </w:r>
    </w:p>
  </w:endnote>
  <w:endnote w:id="88">
    <w:p w14:paraId="6DD7F628" w14:textId="3F790B7B" w:rsidR="00F26BA2" w:rsidRPr="00A45B6A" w:rsidRDefault="00F26BA2" w:rsidP="00AE0791">
      <w:pPr>
        <w:rPr>
          <w:rFonts w:asciiTheme="majorHAnsi" w:hAnsiTheme="majorHAnsi"/>
        </w:rPr>
      </w:pPr>
      <w:r w:rsidRPr="00A45B6A">
        <w:rPr>
          <w:rStyle w:val="EndnoteReference"/>
          <w:rFonts w:asciiTheme="majorHAnsi" w:hAnsiTheme="majorHAnsi"/>
        </w:rPr>
        <w:endnoteRef/>
      </w:r>
      <w:r w:rsidRPr="00A45B6A">
        <w:rPr>
          <w:rFonts w:asciiTheme="majorHAnsi" w:hAnsiTheme="majorHAnsi"/>
        </w:rPr>
        <w:t xml:space="preserve"> Sandiford P</w:t>
      </w:r>
      <w:r>
        <w:rPr>
          <w:rFonts w:asciiTheme="majorHAnsi" w:hAnsiTheme="majorHAnsi"/>
        </w:rPr>
        <w:t>,</w:t>
      </w:r>
      <w:r w:rsidRPr="00A45B6A">
        <w:rPr>
          <w:rFonts w:asciiTheme="majorHAnsi" w:hAnsiTheme="majorHAnsi"/>
        </w:rPr>
        <w:t xml:space="preserve"> Buckley A</w:t>
      </w:r>
      <w:r>
        <w:rPr>
          <w:rFonts w:asciiTheme="majorHAnsi" w:hAnsiTheme="majorHAnsi"/>
        </w:rPr>
        <w:t>,</w:t>
      </w:r>
      <w:r w:rsidRPr="00A45B6A">
        <w:rPr>
          <w:rFonts w:asciiTheme="majorHAnsi" w:hAnsiTheme="majorHAnsi"/>
        </w:rPr>
        <w:t xml:space="preserve"> Robinson T et al ‘A community laboratory drop-off option for bowel screening test kits increases participation rates: results from an interrupted time series analysis’, (2017), 40(2) </w:t>
      </w:r>
      <w:r w:rsidRPr="00A45B6A">
        <w:rPr>
          <w:rFonts w:asciiTheme="majorHAnsi" w:hAnsiTheme="majorHAnsi"/>
          <w:i/>
        </w:rPr>
        <w:t>Journal of Public Health</w:t>
      </w:r>
      <w:r w:rsidRPr="00A45B6A">
        <w:rPr>
          <w:rFonts w:asciiTheme="majorHAnsi" w:hAnsiTheme="majorHAnsi"/>
        </w:rPr>
        <w:t>, 133</w:t>
      </w:r>
    </w:p>
  </w:endnote>
  <w:endnote w:id="89">
    <w:p w14:paraId="29858E12" w14:textId="6DB4D9BF" w:rsidR="00F26BA2" w:rsidRPr="00D267D4" w:rsidRDefault="00F26BA2">
      <w:pPr>
        <w:pStyle w:val="EndnoteText"/>
      </w:pPr>
      <w:r>
        <w:rPr>
          <w:rStyle w:val="EndnoteReference"/>
        </w:rPr>
        <w:endnoteRef/>
      </w:r>
      <w:r>
        <w:t xml:space="preserve"> Cancer Council, </w:t>
      </w:r>
      <w:r>
        <w:rPr>
          <w:i/>
          <w:iCs/>
        </w:rPr>
        <w:t>Promoting participation in the NBCSP – Cancer Council Australia’s national bowel screening communications strategy</w:t>
      </w:r>
      <w:r>
        <w:t xml:space="preserve"> (2020) </w:t>
      </w:r>
    </w:p>
  </w:endnote>
  <w:endnote w:id="90">
    <w:p w14:paraId="7623E5E6" w14:textId="185D0687" w:rsidR="00F26BA2" w:rsidRPr="004F54B8" w:rsidRDefault="00F26BA2">
      <w:pPr>
        <w:pStyle w:val="EndnoteText"/>
        <w:rPr>
          <w:i/>
        </w:rPr>
      </w:pPr>
      <w:r>
        <w:rPr>
          <w:rStyle w:val="EndnoteReference"/>
        </w:rPr>
        <w:endnoteRef/>
      </w:r>
      <w:r>
        <w:t xml:space="preserve"> AIHW, </w:t>
      </w:r>
      <w:r>
        <w:rPr>
          <w:i/>
          <w:iCs/>
        </w:rPr>
        <w:t>Analysis of bowel cancer outcomes for the National Bowel Cancer Screening Program,</w:t>
      </w:r>
      <w:r>
        <w:t xml:space="preserve"> (2018)</w:t>
      </w:r>
      <w:r>
        <w:rPr>
          <w:i/>
          <w:iCs/>
        </w:rPr>
        <w:t xml:space="preserve"> </w:t>
      </w:r>
    </w:p>
  </w:endnote>
  <w:endnote w:id="91">
    <w:p w14:paraId="30293988" w14:textId="07DE3C31" w:rsidR="00F26BA2" w:rsidRPr="002236FC" w:rsidRDefault="00F26BA2">
      <w:pPr>
        <w:pStyle w:val="EndnoteText"/>
      </w:pPr>
      <w:r>
        <w:rPr>
          <w:rStyle w:val="EndnoteReference"/>
        </w:rPr>
        <w:endnoteRef/>
      </w:r>
      <w:r>
        <w:t xml:space="preserve"> Access Economics, </w:t>
      </w:r>
      <w:r>
        <w:rPr>
          <w:i/>
          <w:iCs/>
        </w:rPr>
        <w:t>National Bowel Cancer Screening Program Economic Evaluation</w:t>
      </w:r>
      <w:r>
        <w:t xml:space="preserve"> (report commissioned by Department of Health and Ageing, 2007)</w:t>
      </w:r>
    </w:p>
  </w:endnote>
  <w:endnote w:id="92">
    <w:p w14:paraId="45D3E6D2" w14:textId="21BA3DC9" w:rsidR="00F26BA2" w:rsidRPr="004250E7" w:rsidRDefault="00F26BA2" w:rsidP="005D4E72">
      <w:pPr>
        <w:pStyle w:val="EndnoteText"/>
      </w:pPr>
      <w:r>
        <w:rPr>
          <w:rStyle w:val="EndnoteReference"/>
        </w:rPr>
        <w:endnoteRef/>
      </w:r>
      <w:r>
        <w:t xml:space="preserve"> Lew J-B, St John J, Macrae F, et al </w:t>
      </w:r>
      <w:r w:rsidRPr="0045314F">
        <w:t>‘</w:t>
      </w:r>
      <w:r w:rsidRPr="00D83965">
        <w:t>Benefits, Harms, and Cost-Effectiveness of Potential Age Extensions to the National Bowel Cancer Screening Program in Australia</w:t>
      </w:r>
      <w:r w:rsidRPr="0045314F">
        <w:t>’</w:t>
      </w:r>
      <w:r>
        <w:t xml:space="preserve">, (2018) 27(12), </w:t>
      </w:r>
      <w:r>
        <w:rPr>
          <w:i/>
          <w:iCs/>
        </w:rPr>
        <w:t>Cancer Epidemiology Biomarkers and Prevention</w:t>
      </w:r>
      <w:r>
        <w:t xml:space="preserve">, 1450. </w:t>
      </w:r>
    </w:p>
  </w:endnote>
  <w:endnote w:id="93">
    <w:p w14:paraId="31122EAE" w14:textId="6805AC84" w:rsidR="00F26BA2" w:rsidRPr="0074582F" w:rsidRDefault="00F26BA2" w:rsidP="00810509">
      <w:pPr>
        <w:pStyle w:val="EndnoteText"/>
      </w:pPr>
      <w:r>
        <w:rPr>
          <w:rStyle w:val="EndnoteReference"/>
        </w:rPr>
        <w:endnoteRef/>
      </w:r>
      <w:r>
        <w:t xml:space="preserve"> Ibid.</w:t>
      </w:r>
    </w:p>
  </w:endnote>
  <w:endnote w:id="94">
    <w:p w14:paraId="21958A2D" w14:textId="77777777" w:rsidR="00F26BA2" w:rsidRPr="0074582F" w:rsidRDefault="00F26BA2" w:rsidP="00810509">
      <w:pPr>
        <w:pStyle w:val="EndnoteText"/>
      </w:pPr>
      <w:r>
        <w:rPr>
          <w:rStyle w:val="EndnoteReference"/>
        </w:rPr>
        <w:endnoteRef/>
      </w:r>
      <w:r>
        <w:t xml:space="preserve"> Silva-Illanes N, Espinoza M. ‘</w:t>
      </w:r>
      <w:r w:rsidRPr="009A08A5">
        <w:t>Critical Analysis of Markov Models Used for the Economic Evaluation of Colorectal Cancer Screening: A Systematic Review</w:t>
      </w:r>
      <w:r>
        <w:t xml:space="preserve">’ (2018) 21(7), </w:t>
      </w:r>
      <w:r>
        <w:rPr>
          <w:i/>
          <w:iCs/>
        </w:rPr>
        <w:t>Value Health</w:t>
      </w:r>
      <w:r>
        <w:t>, 858.</w:t>
      </w:r>
    </w:p>
  </w:endnote>
  <w:endnote w:id="95">
    <w:p w14:paraId="7D2B7C31" w14:textId="77777777" w:rsidR="00F26BA2" w:rsidRPr="00576CCB" w:rsidRDefault="00F26BA2" w:rsidP="00141653">
      <w:pPr>
        <w:pStyle w:val="EndnoteText"/>
      </w:pPr>
      <w:r>
        <w:rPr>
          <w:rStyle w:val="EndnoteReference"/>
        </w:rPr>
        <w:endnoteRef/>
      </w:r>
      <w:r>
        <w:t xml:space="preserve"> Wang S, Gum D &amp; Merlin T. ‘Comparing the ICERs in Medicine Reimbursement Submissions to NICE and PBAC – Does the Presence of an Explicit Threshold Affect the ICER Proposed?’ (2018) 21(8), </w:t>
      </w:r>
      <w:r>
        <w:rPr>
          <w:i/>
          <w:iCs/>
        </w:rPr>
        <w:t>Value in Health</w:t>
      </w:r>
      <w:r>
        <w:t>, 938.</w:t>
      </w:r>
    </w:p>
  </w:endnote>
  <w:endnote w:id="96">
    <w:p w14:paraId="618A8551" w14:textId="77777777" w:rsidR="00F26BA2" w:rsidRDefault="00F26BA2" w:rsidP="00134C19">
      <w:pPr>
        <w:pStyle w:val="EndnoteText"/>
      </w:pPr>
      <w:r>
        <w:rPr>
          <w:rStyle w:val="EndnoteReference"/>
        </w:rPr>
        <w:endnoteRef/>
      </w:r>
      <w:r>
        <w:t xml:space="preserve"> Ibid.</w:t>
      </w:r>
    </w:p>
  </w:endnote>
  <w:endnote w:id="97">
    <w:p w14:paraId="2EF1437D" w14:textId="77777777" w:rsidR="00F26BA2" w:rsidRDefault="00F26BA2" w:rsidP="00495E4C">
      <w:pPr>
        <w:pStyle w:val="EndnoteText"/>
      </w:pPr>
      <w:r>
        <w:rPr>
          <w:rStyle w:val="EndnoteReference"/>
        </w:rPr>
        <w:endnoteRef/>
      </w:r>
      <w:r>
        <w:t xml:space="preserve"> AIHW, </w:t>
      </w:r>
      <w:r>
        <w:rPr>
          <w:i/>
          <w:iCs/>
        </w:rPr>
        <w:t>National Bowel Cancer Screening Program Monitoring report</w:t>
      </w:r>
      <w:r>
        <w:t>, (2020)</w:t>
      </w:r>
    </w:p>
  </w:endnote>
  <w:endnote w:id="98">
    <w:p w14:paraId="78B6E1C2" w14:textId="77777777" w:rsidR="00F26BA2" w:rsidRDefault="00F26BA2" w:rsidP="00495E4C">
      <w:pPr>
        <w:pStyle w:val="EndnoteText"/>
      </w:pPr>
      <w:r>
        <w:rPr>
          <w:rStyle w:val="EndnoteReference"/>
        </w:rPr>
        <w:endnoteRef/>
      </w:r>
      <w:r>
        <w:t xml:space="preserve"> AIHW (2018), Cancer in Aboriginal and Torres Strait Islander people of Australia, </w:t>
      </w:r>
      <w:r w:rsidRPr="00E11E53">
        <w:t>https://www.aihw.gov.au/reports/can/109/cancer-in-indigenous-australians/contents/cancer-type/colorectal-cancer</w:t>
      </w:r>
      <w:r>
        <w:t xml:space="preserve">. </w:t>
      </w:r>
    </w:p>
  </w:endnote>
  <w:endnote w:id="99">
    <w:p w14:paraId="1AFFB708" w14:textId="77777777" w:rsidR="00F26BA2" w:rsidRDefault="00F26BA2" w:rsidP="00495E4C">
      <w:pPr>
        <w:pStyle w:val="EndnoteText"/>
      </w:pPr>
      <w:r>
        <w:rPr>
          <w:rStyle w:val="EndnoteReference"/>
        </w:rPr>
        <w:endnoteRef/>
      </w:r>
      <w:r>
        <w:t xml:space="preserve"> Cancer Australia (2020), </w:t>
      </w:r>
      <w:r w:rsidRPr="00696D51">
        <w:t>https://ncci.canceraustralia.gov.au/stage-diagnosis/stage-diagnosis-type</w:t>
      </w:r>
      <w:r>
        <w:t xml:space="preserve">. </w:t>
      </w:r>
    </w:p>
  </w:endnote>
  <w:endnote w:id="100">
    <w:p w14:paraId="5F1D6294" w14:textId="77777777" w:rsidR="00F26BA2" w:rsidRDefault="00F26BA2" w:rsidP="00495E4C">
      <w:pPr>
        <w:pStyle w:val="EndnoteText"/>
      </w:pPr>
      <w:r>
        <w:rPr>
          <w:rStyle w:val="EndnoteReference"/>
        </w:rPr>
        <w:endnoteRef/>
      </w:r>
      <w:r>
        <w:t xml:space="preserve"> AIHW (2018), Cancer in Aboriginal and Torres Strait Islander people of Australia, </w:t>
      </w:r>
      <w:r w:rsidRPr="00E11E53">
        <w:t>https://www.aihw.gov.au/reports/can/109/cancer-in-indigenous-australians/contents/cancer-type/colorectal-cancer</w:t>
      </w:r>
      <w:r>
        <w:t>.</w:t>
      </w:r>
    </w:p>
  </w:endnote>
  <w:endnote w:id="101">
    <w:p w14:paraId="055BBC35" w14:textId="77777777" w:rsidR="00F26BA2" w:rsidRDefault="00F26BA2" w:rsidP="00495E4C">
      <w:pPr>
        <w:pStyle w:val="EndnoteText"/>
      </w:pPr>
      <w:r>
        <w:rPr>
          <w:rStyle w:val="EndnoteReference"/>
        </w:rPr>
        <w:endnoteRef/>
      </w:r>
      <w:r>
        <w:t xml:space="preserve"> AIHW, </w:t>
      </w:r>
      <w:r>
        <w:rPr>
          <w:i/>
          <w:iCs/>
        </w:rPr>
        <w:t>National Bowel Cancer Screening Program Monitoring report</w:t>
      </w:r>
      <w:r>
        <w:t>, (2020)</w:t>
      </w:r>
    </w:p>
  </w:endnote>
  <w:endnote w:id="102">
    <w:p w14:paraId="2B4FFB12" w14:textId="77777777" w:rsidR="00F26BA2" w:rsidRDefault="00F26BA2" w:rsidP="00495E4C">
      <w:pPr>
        <w:pStyle w:val="EndnoteText"/>
      </w:pPr>
      <w:r>
        <w:rPr>
          <w:rStyle w:val="EndnoteReference"/>
        </w:rPr>
        <w:endnoteRef/>
      </w:r>
      <w:r>
        <w:t xml:space="preserve"> Lew et al. (pre-published) </w:t>
      </w:r>
      <w:r w:rsidRPr="0009791A">
        <w:rPr>
          <w:i/>
          <w:iCs/>
        </w:rPr>
        <w:t>The potential for tailored screening to reduce bowel cancer mortality for Aboriginal and Torres Strait Islander peoples in Australia: modelling study</w:t>
      </w:r>
      <w:r>
        <w:t xml:space="preserve">.  </w:t>
      </w:r>
    </w:p>
  </w:endnote>
  <w:endnote w:id="103">
    <w:p w14:paraId="22723EC8" w14:textId="00E1022B" w:rsidR="00F26BA2" w:rsidRPr="0074582F" w:rsidRDefault="00F26BA2" w:rsidP="00C030B7">
      <w:pPr>
        <w:pStyle w:val="EndnoteText"/>
      </w:pPr>
      <w:r>
        <w:rPr>
          <w:rStyle w:val="EndnoteReference"/>
        </w:rPr>
        <w:endnoteRef/>
      </w:r>
      <w:r>
        <w:t xml:space="preserve"> Lew JB, St John J, Xu X-M, et al ‘</w:t>
      </w:r>
      <w:r w:rsidRPr="004D0FDA">
        <w:t>Long-term evaluation of benefits, harms, and cost-effectiveness of the National Bowel Cancer Screening Program in Australia: a modelling study</w:t>
      </w:r>
      <w:r>
        <w:t xml:space="preserve">’ (2017) 2(7), </w:t>
      </w:r>
      <w:r>
        <w:rPr>
          <w:i/>
          <w:iCs/>
        </w:rPr>
        <w:t>The Lancet</w:t>
      </w:r>
      <w:r>
        <w:t>, 331.</w:t>
      </w:r>
    </w:p>
  </w:endnote>
  <w:endnote w:id="104">
    <w:p w14:paraId="371EE053" w14:textId="343D908F" w:rsidR="00F26BA2" w:rsidRDefault="00F26BA2">
      <w:pPr>
        <w:pStyle w:val="EndnoteText"/>
      </w:pPr>
      <w:r>
        <w:rPr>
          <w:rStyle w:val="EndnoteReference"/>
        </w:rPr>
        <w:endnoteRef/>
      </w:r>
      <w:r>
        <w:t xml:space="preserve"> Silva-Illanes N, Espinoza M. ‘</w:t>
      </w:r>
      <w:r w:rsidRPr="00503720">
        <w:t>Critical Analysis of Markov Models Used for the Economic Evaluation of Colorectal Cancer Screening: A Systematic Review</w:t>
      </w:r>
      <w:r>
        <w:t xml:space="preserve">’ (2018) 21(7), </w:t>
      </w:r>
      <w:r>
        <w:rPr>
          <w:i/>
          <w:iCs/>
        </w:rPr>
        <w:t>Value Health</w:t>
      </w:r>
      <w:r>
        <w:t xml:space="preserve">, 858. </w:t>
      </w:r>
    </w:p>
  </w:endnote>
  <w:endnote w:id="105">
    <w:p w14:paraId="6A66E918" w14:textId="77777777" w:rsidR="00F26BA2" w:rsidRPr="00FB44DD" w:rsidRDefault="00F26BA2" w:rsidP="00C030B7">
      <w:pPr>
        <w:pStyle w:val="EndnoteText"/>
      </w:pPr>
      <w:r>
        <w:rPr>
          <w:rStyle w:val="EndnoteReference"/>
        </w:rPr>
        <w:endnoteRef/>
      </w:r>
      <w:r>
        <w:t xml:space="preserve"> AIHW, </w:t>
      </w:r>
      <w:r>
        <w:rPr>
          <w:i/>
          <w:iCs/>
        </w:rPr>
        <w:t>Australian Burden of Disease Study- Impact and causes of illness and death in Australia</w:t>
      </w:r>
      <w:r>
        <w:t xml:space="preserve"> (2015)</w:t>
      </w:r>
    </w:p>
  </w:endnote>
  <w:endnote w:id="106">
    <w:p w14:paraId="76FB7AEF" w14:textId="1BCE555F" w:rsidR="00F26BA2" w:rsidRPr="00860D82" w:rsidRDefault="00F26BA2">
      <w:pPr>
        <w:pStyle w:val="EndnoteText"/>
      </w:pPr>
      <w:r>
        <w:rPr>
          <w:rStyle w:val="EndnoteReference"/>
        </w:rPr>
        <w:endnoteRef/>
      </w:r>
      <w:r>
        <w:t xml:space="preserve"> ABS, </w:t>
      </w:r>
      <w:r>
        <w:rPr>
          <w:i/>
          <w:iCs/>
        </w:rPr>
        <w:t xml:space="preserve">National, state and territorial population tables, </w:t>
      </w:r>
      <w:r>
        <w:t>(2020)</w:t>
      </w:r>
    </w:p>
  </w:endnote>
  <w:endnote w:id="107">
    <w:p w14:paraId="712B899B" w14:textId="5100A3EC" w:rsidR="00F26BA2" w:rsidRPr="00543A4D" w:rsidRDefault="00F26BA2">
      <w:pPr>
        <w:pStyle w:val="EndnoteText"/>
      </w:pPr>
      <w:r>
        <w:rPr>
          <w:rStyle w:val="EndnoteReference"/>
        </w:rPr>
        <w:endnoteRef/>
      </w:r>
      <w:r>
        <w:t xml:space="preserve"> ABS, </w:t>
      </w:r>
      <w:r>
        <w:rPr>
          <w:i/>
          <w:iCs/>
        </w:rPr>
        <w:t>Life tables</w:t>
      </w:r>
      <w:r>
        <w:t xml:space="preserve"> 2017-2019, (2020)</w:t>
      </w:r>
    </w:p>
  </w:endnote>
  <w:endnote w:id="108">
    <w:p w14:paraId="6E8AB5F8" w14:textId="531CDD4C" w:rsidR="00F26BA2" w:rsidRDefault="00F26BA2">
      <w:pPr>
        <w:pStyle w:val="EndnoteText"/>
      </w:pPr>
      <w:r>
        <w:rPr>
          <w:rStyle w:val="EndnoteReference"/>
        </w:rPr>
        <w:endnoteRef/>
      </w:r>
      <w:r>
        <w:t xml:space="preserve"> Bishop J, Glass P, Tracey E et al ‘</w:t>
      </w:r>
      <w:r w:rsidRPr="00740F68">
        <w:t>Health Economics Review</w:t>
      </w:r>
      <w:r>
        <w:t xml:space="preserve"> </w:t>
      </w:r>
      <w:r w:rsidRPr="00740F68">
        <w:t>of Bowel Cancer Screening in Australia</w:t>
      </w:r>
      <w:r>
        <w:t xml:space="preserve">’, (2008) </w:t>
      </w:r>
      <w:r>
        <w:rPr>
          <w:i/>
          <w:iCs/>
        </w:rPr>
        <w:t>Cancer Institute NSW Monograph</w:t>
      </w:r>
      <w:r>
        <w:t>.</w:t>
      </w:r>
    </w:p>
  </w:endnote>
  <w:endnote w:id="109">
    <w:p w14:paraId="0BDCED7B" w14:textId="1FE280F0" w:rsidR="00F26BA2" w:rsidRDefault="00F26BA2">
      <w:pPr>
        <w:pStyle w:val="EndnoteText"/>
      </w:pPr>
      <w:r>
        <w:rPr>
          <w:rStyle w:val="EndnoteReference"/>
        </w:rPr>
        <w:endnoteRef/>
      </w:r>
      <w:r>
        <w:t xml:space="preserve"> AIHW above 40.</w:t>
      </w:r>
    </w:p>
  </w:endnote>
  <w:endnote w:id="110">
    <w:p w14:paraId="771FC66D" w14:textId="408737C3" w:rsidR="00F26BA2" w:rsidRPr="009E06D0" w:rsidRDefault="00F26BA2">
      <w:pPr>
        <w:pStyle w:val="EndnoteText"/>
        <w:rPr>
          <w:i/>
          <w:iCs/>
        </w:rPr>
      </w:pPr>
      <w:r>
        <w:rPr>
          <w:rStyle w:val="EndnoteReference"/>
        </w:rPr>
        <w:endnoteRef/>
      </w:r>
      <w:r>
        <w:t xml:space="preserve"> Jahn B, Sroczynski G, Bundo M. et al ‘</w:t>
      </w:r>
      <w:r w:rsidRPr="00431B34">
        <w:t>Effectiveness, benefit harm and cost effectiveness of colorectal cancer screening in Austria</w:t>
      </w:r>
      <w:r>
        <w:t xml:space="preserve">’ (2019) 19, </w:t>
      </w:r>
      <w:r>
        <w:rPr>
          <w:i/>
          <w:iCs/>
        </w:rPr>
        <w:t>BMC Gastroenterology</w:t>
      </w:r>
    </w:p>
  </w:endnote>
  <w:endnote w:id="111">
    <w:p w14:paraId="4DEB5604" w14:textId="7A013A89" w:rsidR="00F26BA2" w:rsidRDefault="00F26BA2">
      <w:pPr>
        <w:pStyle w:val="EndnoteText"/>
      </w:pPr>
      <w:r>
        <w:rPr>
          <w:rStyle w:val="EndnoteReference"/>
        </w:rPr>
        <w:endnoteRef/>
      </w:r>
      <w:r>
        <w:t xml:space="preserve"> Lew JB, St John J, Xu X-M, et al, above 86.</w:t>
      </w:r>
    </w:p>
  </w:endnote>
  <w:endnote w:id="112">
    <w:p w14:paraId="3933ED4E" w14:textId="7F04CA0A" w:rsidR="00F26BA2" w:rsidRPr="00EF06AF" w:rsidRDefault="00F26BA2">
      <w:pPr>
        <w:pStyle w:val="EndnoteText"/>
      </w:pPr>
      <w:r>
        <w:rPr>
          <w:rStyle w:val="EndnoteReference"/>
        </w:rPr>
        <w:endnoteRef/>
      </w:r>
      <w:r>
        <w:t xml:space="preserve"> AIHW, </w:t>
      </w:r>
      <w:r>
        <w:rPr>
          <w:i/>
          <w:iCs/>
        </w:rPr>
        <w:t>Australian Burden of Disease Study</w:t>
      </w:r>
      <w:r>
        <w:t xml:space="preserve">, (2015). </w:t>
      </w:r>
    </w:p>
  </w:endnote>
  <w:endnote w:id="113">
    <w:p w14:paraId="07B7AC51" w14:textId="32075A56" w:rsidR="00F26BA2" w:rsidRPr="00226542" w:rsidRDefault="00F26BA2" w:rsidP="00D82F1E">
      <w:pPr>
        <w:pStyle w:val="EndnoteText"/>
      </w:pPr>
      <w:r>
        <w:rPr>
          <w:rStyle w:val="EndnoteReference"/>
        </w:rPr>
        <w:endnoteRef/>
      </w:r>
      <w:r>
        <w:t xml:space="preserve"> Ibid. </w:t>
      </w:r>
    </w:p>
  </w:endnote>
  <w:endnote w:id="114">
    <w:p w14:paraId="2B77E746" w14:textId="708DBF3A" w:rsidR="00F26BA2" w:rsidRPr="00EF06AF" w:rsidRDefault="00F26BA2">
      <w:pPr>
        <w:pStyle w:val="EndnoteText"/>
      </w:pPr>
      <w:r>
        <w:rPr>
          <w:rStyle w:val="EndnoteReference"/>
        </w:rPr>
        <w:endnoteRef/>
      </w:r>
      <w:r>
        <w:t xml:space="preserve"> Queensland Government, </w:t>
      </w:r>
      <w:r>
        <w:rPr>
          <w:i/>
          <w:iCs/>
        </w:rPr>
        <w:t>Health Funding Policy and Principles 2019/2020</w:t>
      </w:r>
      <w:r>
        <w:t xml:space="preserve">, (2020). </w:t>
      </w:r>
    </w:p>
  </w:endnote>
  <w:endnote w:id="115">
    <w:p w14:paraId="697AE80C" w14:textId="4434666F" w:rsidR="00F26BA2" w:rsidRPr="009A6E9E" w:rsidRDefault="00F26BA2">
      <w:pPr>
        <w:pStyle w:val="EndnoteText"/>
      </w:pPr>
      <w:r>
        <w:rPr>
          <w:rStyle w:val="EndnoteReference"/>
        </w:rPr>
        <w:endnoteRef/>
      </w:r>
      <w:r>
        <w:t xml:space="preserve"> Taylor D, Cannon-Albright L, Sweeney C, et al ‘</w:t>
      </w:r>
      <w:r w:rsidRPr="00B17C66">
        <w:t>Comparison of compliance for colorectal cancer screening and surveillance by colonoscopy based on risk</w:t>
      </w:r>
      <w:r>
        <w:t xml:space="preserve">’, (2011) 13, </w:t>
      </w:r>
      <w:r>
        <w:rPr>
          <w:i/>
          <w:iCs/>
        </w:rPr>
        <w:t>Genetics in Medicine</w:t>
      </w:r>
      <w:r>
        <w:t>, 737</w:t>
      </w:r>
    </w:p>
  </w:endnote>
  <w:endnote w:id="116">
    <w:p w14:paraId="332C3AB8" w14:textId="5F28CCEF" w:rsidR="00F26BA2" w:rsidRPr="00BE7B6A" w:rsidRDefault="00F26BA2">
      <w:pPr>
        <w:pStyle w:val="EndnoteText"/>
      </w:pPr>
      <w:r>
        <w:rPr>
          <w:rStyle w:val="EndnoteReference"/>
        </w:rPr>
        <w:endnoteRef/>
      </w:r>
      <w:r>
        <w:t xml:space="preserve"> Tran B, Keating C, Ananda S. et al ‘</w:t>
      </w:r>
      <w:r w:rsidRPr="00BE7B6A">
        <w:t>A preliminary analysis of the cost-effectiveness of the National Bowel Cancer Screening Program – demonstrating the potential value of comprehensive real-world data</w:t>
      </w:r>
      <w:r>
        <w:t xml:space="preserve">’, (2012) 42(7), </w:t>
      </w:r>
      <w:r>
        <w:rPr>
          <w:i/>
          <w:iCs/>
        </w:rPr>
        <w:t>Internal Medicine Journal</w:t>
      </w:r>
      <w:r>
        <w:t xml:space="preserve">, 794. </w:t>
      </w:r>
    </w:p>
  </w:endnote>
  <w:endnote w:id="117">
    <w:p w14:paraId="26718362" w14:textId="02874DBD" w:rsidR="00F26BA2" w:rsidRDefault="00F26BA2">
      <w:pPr>
        <w:pStyle w:val="EndnoteText"/>
      </w:pPr>
      <w:r>
        <w:rPr>
          <w:rStyle w:val="EndnoteReference"/>
        </w:rPr>
        <w:endnoteRef/>
      </w:r>
      <w:r>
        <w:t xml:space="preserve"> Rutter C, Johnson E, Miglioretti D, et al ‘</w:t>
      </w:r>
      <w:r w:rsidRPr="00E865E4">
        <w:t>Adverse Events after Screening and Follow-up Colonoscopy</w:t>
      </w:r>
      <w:r>
        <w:t xml:space="preserve">’ (2011) 23(3), </w:t>
      </w:r>
      <w:r>
        <w:rPr>
          <w:i/>
          <w:iCs/>
        </w:rPr>
        <w:t>Cancer Causes Control</w:t>
      </w:r>
      <w:r>
        <w:t xml:space="preserve"> 289.</w:t>
      </w:r>
    </w:p>
  </w:endnote>
  <w:endnote w:id="118">
    <w:p w14:paraId="7CC4DDB7" w14:textId="144D8BA3" w:rsidR="00F26BA2" w:rsidRDefault="00F26BA2">
      <w:pPr>
        <w:pStyle w:val="EndnoteText"/>
      </w:pPr>
      <w:r>
        <w:rPr>
          <w:rStyle w:val="EndnoteReference"/>
        </w:rPr>
        <w:endnoteRef/>
      </w:r>
      <w:r>
        <w:t xml:space="preserve"> Lew JB, St John J, Xu X-M, et al, above n 86.</w:t>
      </w:r>
    </w:p>
  </w:endnote>
  <w:endnote w:id="119">
    <w:p w14:paraId="3A5C4B84" w14:textId="45B9C818" w:rsidR="00F26BA2" w:rsidRDefault="00F26BA2">
      <w:pPr>
        <w:pStyle w:val="EndnoteText"/>
      </w:pPr>
      <w:r>
        <w:rPr>
          <w:rStyle w:val="EndnoteReference"/>
        </w:rPr>
        <w:endnoteRef/>
      </w:r>
      <w:r>
        <w:t xml:space="preserve"> Lew JB, St John J, Xu X-M, et al, above n 86.</w:t>
      </w:r>
    </w:p>
  </w:endnote>
  <w:endnote w:id="120">
    <w:p w14:paraId="336D2D83" w14:textId="1BBDF46C" w:rsidR="00F26BA2" w:rsidRPr="00232CA0" w:rsidRDefault="00F26BA2">
      <w:pPr>
        <w:pStyle w:val="EndnoteText"/>
      </w:pPr>
      <w:r>
        <w:rPr>
          <w:rStyle w:val="EndnoteReference"/>
        </w:rPr>
        <w:endnoteRef/>
      </w:r>
      <w:r>
        <w:t xml:space="preserve"> Ananda S, Kosmider S, Tran B et al ‘</w:t>
      </w:r>
      <w:r w:rsidRPr="001034BA">
        <w:t>The rapidly escalating cost of treating colorectal cancer in Australia: Rising cost of colorectal cancer</w:t>
      </w:r>
      <w:r>
        <w:t xml:space="preserve">’ (2015) 12(1), </w:t>
      </w:r>
      <w:r>
        <w:rPr>
          <w:i/>
          <w:iCs/>
        </w:rPr>
        <w:t>Asia-Pacific Journal of Clinical Oncology</w:t>
      </w:r>
      <w:r>
        <w:t>, 33.</w:t>
      </w:r>
    </w:p>
  </w:endnote>
  <w:endnote w:id="121">
    <w:p w14:paraId="262C6764" w14:textId="6156A5E2" w:rsidR="00F26BA2" w:rsidRPr="00FE28C1" w:rsidRDefault="00F26BA2">
      <w:pPr>
        <w:pStyle w:val="EndnoteText"/>
      </w:pPr>
      <w:r>
        <w:rPr>
          <w:rStyle w:val="EndnoteReference"/>
        </w:rPr>
        <w:endnoteRef/>
      </w:r>
      <w:r>
        <w:t xml:space="preserve"> Gordon L, Elliott T, Olsen C, et al ‘</w:t>
      </w:r>
      <w:r w:rsidRPr="006A76BD">
        <w:t>Out-of-pocket medical expenses for Queenslanders with a major cancer</w:t>
      </w:r>
      <w:r>
        <w:t xml:space="preserve">’ (2018) 208(11), </w:t>
      </w:r>
      <w:r>
        <w:rPr>
          <w:i/>
          <w:iCs/>
        </w:rPr>
        <w:t>The Medical Journal of Australia</w:t>
      </w:r>
      <w:r>
        <w:t>, 497.</w:t>
      </w:r>
    </w:p>
  </w:endnote>
  <w:endnote w:id="122">
    <w:p w14:paraId="0B248D60" w14:textId="5426A6FE" w:rsidR="00F26BA2" w:rsidRDefault="00F26BA2">
      <w:pPr>
        <w:pStyle w:val="EndnoteText"/>
      </w:pPr>
      <w:r>
        <w:rPr>
          <w:rStyle w:val="EndnoteReference"/>
        </w:rPr>
        <w:endnoteRef/>
      </w:r>
      <w:r>
        <w:t xml:space="preserve"> Enker E, Merchant N, Cohen A, et al ‘</w:t>
      </w:r>
      <w:r w:rsidRPr="00A03806">
        <w:t>Safety and Efficacy of Low Anterior Resection for Rectal Cancer</w:t>
      </w:r>
      <w:r>
        <w:t xml:space="preserve">’, (1999) 230(4), </w:t>
      </w:r>
      <w:r>
        <w:rPr>
          <w:i/>
          <w:iCs/>
        </w:rPr>
        <w:t>ANNALS of Surgery</w:t>
      </w:r>
      <w:r>
        <w:t>, 544.</w:t>
      </w:r>
    </w:p>
  </w:endnote>
  <w:endnote w:id="123">
    <w:p w14:paraId="455466BB" w14:textId="3E34B604" w:rsidR="00F26BA2" w:rsidRPr="00EF06AF" w:rsidRDefault="00F26BA2">
      <w:pPr>
        <w:pStyle w:val="EndnoteText"/>
      </w:pPr>
      <w:r>
        <w:rPr>
          <w:rStyle w:val="EndnoteReference"/>
        </w:rPr>
        <w:endnoteRef/>
      </w:r>
      <w:r>
        <w:t xml:space="preserve"> Gessler B, Haglind E, Angenete E. ‘</w:t>
      </w:r>
      <w:r w:rsidRPr="00275547">
        <w:t>Loop ileostomies in colorectal cancer patients--morbidity and risk factors for non</w:t>
      </w:r>
      <w:r>
        <w:t>-</w:t>
      </w:r>
      <w:r w:rsidRPr="00275547">
        <w:t>reversal</w:t>
      </w:r>
      <w:r>
        <w:t xml:space="preserve">’, (2012) 178(2), </w:t>
      </w:r>
      <w:r>
        <w:rPr>
          <w:i/>
          <w:iCs/>
        </w:rPr>
        <w:t>Journal of Surgical Research</w:t>
      </w:r>
      <w:r>
        <w:t xml:space="preserve"> 708. </w:t>
      </w:r>
    </w:p>
  </w:endnote>
  <w:endnote w:id="124">
    <w:p w14:paraId="2E9411BB" w14:textId="015408B4" w:rsidR="00F26BA2" w:rsidRDefault="00F26BA2">
      <w:pPr>
        <w:pStyle w:val="EndnoteText"/>
      </w:pPr>
      <w:r>
        <w:rPr>
          <w:rStyle w:val="EndnoteReference"/>
        </w:rPr>
        <w:endnoteRef/>
      </w:r>
      <w:r>
        <w:t xml:space="preserve"> Lew JB, St John J, Xu X-M, et al, above n 86.</w:t>
      </w:r>
    </w:p>
  </w:endnote>
  <w:endnote w:id="125">
    <w:p w14:paraId="3B8272EE" w14:textId="69E13A95" w:rsidR="00F26BA2" w:rsidRPr="00DB22FC" w:rsidRDefault="00F26BA2">
      <w:pPr>
        <w:pStyle w:val="EndnoteText"/>
      </w:pPr>
      <w:r>
        <w:rPr>
          <w:rStyle w:val="EndnoteReference"/>
        </w:rPr>
        <w:endnoteRef/>
      </w:r>
      <w:r>
        <w:t xml:space="preserve"> Hubbard R, Johnson E, Hsia R et al ‘</w:t>
      </w:r>
      <w:r w:rsidRPr="00987EEF">
        <w:t>The cumulative risk of false-positive faecal occult blood test after 10 years of colorectal cancer screening</w:t>
      </w:r>
      <w:r>
        <w:t xml:space="preserve">’ (2013) 22(9), </w:t>
      </w:r>
      <w:r>
        <w:rPr>
          <w:i/>
          <w:iCs/>
        </w:rPr>
        <w:t>Cancer Epidemiology, Biomarkers and Prevention</w:t>
      </w:r>
      <w:r>
        <w:t>, 1612.</w:t>
      </w:r>
    </w:p>
  </w:endnote>
  <w:endnote w:id="126">
    <w:p w14:paraId="244A5978" w14:textId="66922D61" w:rsidR="00F26BA2" w:rsidRPr="009822A2" w:rsidRDefault="00F26BA2">
      <w:pPr>
        <w:pStyle w:val="EndnoteText"/>
      </w:pPr>
      <w:r>
        <w:rPr>
          <w:rStyle w:val="EndnoteReference"/>
        </w:rPr>
        <w:endnoteRef/>
      </w:r>
      <w:r>
        <w:t xml:space="preserve"> AIHW, above n 47.</w:t>
      </w:r>
    </w:p>
  </w:endnote>
  <w:endnote w:id="127">
    <w:p w14:paraId="7A4EF607" w14:textId="7E5F4DCB" w:rsidR="00F26BA2" w:rsidRPr="00023083" w:rsidRDefault="00F26BA2">
      <w:pPr>
        <w:pStyle w:val="EndnoteText"/>
      </w:pPr>
      <w:r>
        <w:rPr>
          <w:rStyle w:val="EndnoteReference"/>
        </w:rPr>
        <w:endnoteRef/>
      </w:r>
      <w:r>
        <w:t xml:space="preserve"> MBS, </w:t>
      </w:r>
      <w:r>
        <w:rPr>
          <w:i/>
          <w:iCs/>
        </w:rPr>
        <w:t>Item 23</w:t>
      </w:r>
      <w:r>
        <w:t>, (2020)</w:t>
      </w:r>
    </w:p>
  </w:endnote>
  <w:endnote w:id="128">
    <w:p w14:paraId="1E55ED67" w14:textId="4B86D61C" w:rsidR="00F26BA2" w:rsidRPr="009E06D0" w:rsidRDefault="00F26BA2">
      <w:pPr>
        <w:pStyle w:val="EndnoteText"/>
        <w:rPr>
          <w:i/>
          <w:iCs/>
        </w:rPr>
      </w:pPr>
      <w:r>
        <w:rPr>
          <w:rStyle w:val="EndnoteReference"/>
        </w:rPr>
        <w:endnoteRef/>
      </w:r>
      <w:r>
        <w:t xml:space="preserve"> AIHW, </w:t>
      </w:r>
      <w:r>
        <w:rPr>
          <w:i/>
          <w:iCs/>
        </w:rPr>
        <w:t>Patients’ out-of-pocket spending on Medicare services 2016-17</w:t>
      </w:r>
    </w:p>
  </w:endnote>
  <w:endnote w:id="129">
    <w:p w14:paraId="13EBE55C" w14:textId="0641FA3D" w:rsidR="00F26BA2" w:rsidRPr="00EA4A83" w:rsidRDefault="00F26BA2">
      <w:pPr>
        <w:pStyle w:val="EndnoteText"/>
      </w:pPr>
      <w:r>
        <w:rPr>
          <w:rStyle w:val="EndnoteReference"/>
        </w:rPr>
        <w:endnoteRef/>
      </w:r>
      <w:r>
        <w:t xml:space="preserve"> ABS, </w:t>
      </w:r>
      <w:r>
        <w:rPr>
          <w:i/>
          <w:iCs/>
        </w:rPr>
        <w:t>Labour Force, Australia</w:t>
      </w:r>
      <w:r>
        <w:t>, (2020)</w:t>
      </w:r>
    </w:p>
  </w:endnote>
  <w:endnote w:id="130">
    <w:p w14:paraId="11799C9D" w14:textId="3FDF3D70" w:rsidR="00F26BA2" w:rsidRDefault="00F26BA2">
      <w:pPr>
        <w:pStyle w:val="EndnoteText"/>
      </w:pPr>
      <w:r>
        <w:rPr>
          <w:rStyle w:val="EndnoteReference"/>
        </w:rPr>
        <w:endnoteRef/>
      </w:r>
      <w:r>
        <w:t xml:space="preserve"> ABS, </w:t>
      </w:r>
      <w:r>
        <w:rPr>
          <w:i/>
          <w:iCs/>
        </w:rPr>
        <w:t>Household Income and Wealth, Australia</w:t>
      </w:r>
      <w:r>
        <w:t>, (2019)</w:t>
      </w:r>
    </w:p>
  </w:endnote>
  <w:endnote w:id="131">
    <w:p w14:paraId="311037BD" w14:textId="29960BF8" w:rsidR="00F26BA2" w:rsidRPr="008A4D49" w:rsidRDefault="00F26BA2">
      <w:pPr>
        <w:pStyle w:val="EndnoteText"/>
      </w:pPr>
      <w:r>
        <w:rPr>
          <w:rStyle w:val="EndnoteReference"/>
        </w:rPr>
        <w:endnoteRef/>
      </w:r>
      <w:r>
        <w:t xml:space="preserve"> ABS, </w:t>
      </w:r>
      <w:r>
        <w:rPr>
          <w:i/>
          <w:iCs/>
        </w:rPr>
        <w:t xml:space="preserve">Survey of Disability, Ageing and Carer, Australia. </w:t>
      </w:r>
      <w:r>
        <w:t>(2019)</w:t>
      </w:r>
    </w:p>
  </w:endnote>
  <w:endnote w:id="132">
    <w:p w14:paraId="55C69F9E" w14:textId="5A00919D" w:rsidR="00F26BA2" w:rsidRPr="00F427BE" w:rsidRDefault="00F26BA2">
      <w:pPr>
        <w:pStyle w:val="EndnoteText"/>
      </w:pPr>
      <w:r>
        <w:rPr>
          <w:rStyle w:val="EndnoteReference"/>
        </w:rPr>
        <w:endnoteRef/>
      </w:r>
      <w:r>
        <w:t xml:space="preserve"> ABS, </w:t>
      </w:r>
      <w:r>
        <w:rPr>
          <w:i/>
          <w:iCs/>
        </w:rPr>
        <w:t>Household Income and Wealth, Australia</w:t>
      </w:r>
      <w:r>
        <w:t>, (2019)</w:t>
      </w:r>
    </w:p>
  </w:endnote>
  <w:endnote w:id="133">
    <w:p w14:paraId="643C1D31" w14:textId="77777777" w:rsidR="00F26BA2" w:rsidRPr="008A4D49" w:rsidRDefault="00F26BA2" w:rsidP="007D2E6F">
      <w:pPr>
        <w:pStyle w:val="EndnoteText"/>
      </w:pPr>
      <w:r>
        <w:rPr>
          <w:rStyle w:val="EndnoteReference"/>
        </w:rPr>
        <w:endnoteRef/>
      </w:r>
      <w:r>
        <w:t xml:space="preserve"> ABS, </w:t>
      </w:r>
      <w:r>
        <w:rPr>
          <w:i/>
          <w:iCs/>
        </w:rPr>
        <w:t xml:space="preserve">Survey of Disability, Ageing and Carer, Australia. </w:t>
      </w:r>
      <w:r>
        <w:t>(2019)</w:t>
      </w:r>
    </w:p>
  </w:endnote>
  <w:endnote w:id="134">
    <w:p w14:paraId="7138D131" w14:textId="77777777" w:rsidR="00F26BA2" w:rsidRPr="00F427BE" w:rsidRDefault="00F26BA2" w:rsidP="007D2E6F">
      <w:pPr>
        <w:pStyle w:val="EndnoteText"/>
      </w:pPr>
      <w:r>
        <w:rPr>
          <w:rStyle w:val="EndnoteReference"/>
        </w:rPr>
        <w:endnoteRef/>
      </w:r>
      <w:r>
        <w:t xml:space="preserve"> ABS, </w:t>
      </w:r>
      <w:r>
        <w:rPr>
          <w:i/>
          <w:iCs/>
        </w:rPr>
        <w:t>Household Income and Wealth, Australia</w:t>
      </w:r>
      <w:r>
        <w:t>, (2019)</w:t>
      </w:r>
    </w:p>
  </w:endnote>
  <w:endnote w:id="135">
    <w:p w14:paraId="1C6E5EF8" w14:textId="6C9661DF" w:rsidR="00F26BA2" w:rsidRDefault="00F26BA2">
      <w:pPr>
        <w:pStyle w:val="EndnoteText"/>
      </w:pPr>
      <w:r>
        <w:rPr>
          <w:rStyle w:val="EndnoteReference"/>
        </w:rPr>
        <w:endnoteRef/>
      </w:r>
      <w:r>
        <w:t xml:space="preserve"> </w:t>
      </w:r>
      <w:r w:rsidRPr="00F27640">
        <w:t>Cadilhac D et al. (2009). The Economic Benefits of Reducing Disease Risk Factors. Melbourne, Australia: Deakin Health Economics Group, Deakin University and National Stroke Research Institute.</w:t>
      </w:r>
    </w:p>
  </w:endnote>
  <w:endnote w:id="136">
    <w:p w14:paraId="328C6C65" w14:textId="77777777" w:rsidR="00F26BA2" w:rsidRPr="00712E44" w:rsidRDefault="00F26BA2" w:rsidP="009F2D50">
      <w:r>
        <w:rPr>
          <w:rStyle w:val="EndnoteReference"/>
        </w:rPr>
        <w:endnoteRef/>
      </w:r>
      <w:r>
        <w:t xml:space="preserve"> Blom J, Kilpelainen S et al ‘</w:t>
      </w:r>
      <w:r w:rsidRPr="00712E44">
        <w:t>Five-year experience of organized colorectal cancer screening in a Swedish population – increased compliance with age, female gender, and subsequent screening round</w:t>
      </w:r>
      <w:r>
        <w:t xml:space="preserve">’ (2014) 21(2) </w:t>
      </w:r>
      <w:r>
        <w:rPr>
          <w:i/>
          <w:iCs/>
        </w:rPr>
        <w:t>Journal of Medical Screening</w:t>
      </w:r>
      <w:r>
        <w:t xml:space="preserve"> 144.</w:t>
      </w:r>
    </w:p>
  </w:endnote>
  <w:endnote w:id="137">
    <w:p w14:paraId="50272F9D" w14:textId="77777777" w:rsidR="00F26BA2" w:rsidRPr="00A45B6A" w:rsidRDefault="00F26BA2" w:rsidP="009F2D50">
      <w:pPr>
        <w:rPr>
          <w:rFonts w:asciiTheme="majorHAnsi" w:hAnsiTheme="majorHAnsi"/>
        </w:rPr>
      </w:pPr>
      <w:r w:rsidRPr="00A45B6A">
        <w:rPr>
          <w:rStyle w:val="EndnoteReference"/>
          <w:rFonts w:asciiTheme="majorHAnsi" w:hAnsiTheme="majorHAnsi"/>
        </w:rPr>
        <w:endnoteRef/>
      </w:r>
      <w:r w:rsidRPr="00A45B6A">
        <w:rPr>
          <w:rFonts w:asciiTheme="majorHAnsi" w:hAnsiTheme="majorHAnsi"/>
        </w:rPr>
        <w:t xml:space="preserve"> Larsen</w:t>
      </w:r>
      <w:r>
        <w:rPr>
          <w:rFonts w:asciiTheme="majorHAnsi" w:hAnsiTheme="majorHAnsi"/>
        </w:rPr>
        <w:t xml:space="preserve"> </w:t>
      </w:r>
      <w:r w:rsidRPr="00A45B6A">
        <w:rPr>
          <w:rFonts w:asciiTheme="majorHAnsi" w:hAnsiTheme="majorHAnsi"/>
        </w:rPr>
        <w:t>M</w:t>
      </w:r>
      <w:r>
        <w:rPr>
          <w:rFonts w:asciiTheme="majorHAnsi" w:hAnsiTheme="majorHAnsi"/>
        </w:rPr>
        <w:t>,</w:t>
      </w:r>
      <w:r w:rsidRPr="00A45B6A">
        <w:rPr>
          <w:rFonts w:asciiTheme="majorHAnsi" w:hAnsiTheme="majorHAnsi"/>
        </w:rPr>
        <w:t xml:space="preserve"> Njor S</w:t>
      </w:r>
      <w:r>
        <w:rPr>
          <w:rFonts w:asciiTheme="majorHAnsi" w:hAnsiTheme="majorHAnsi"/>
        </w:rPr>
        <w:t>,</w:t>
      </w:r>
      <w:r w:rsidRPr="00A45B6A">
        <w:rPr>
          <w:rFonts w:asciiTheme="majorHAnsi" w:hAnsiTheme="majorHAnsi"/>
        </w:rPr>
        <w:t xml:space="preserve"> Ingeholm P et al ‘Effectiveness of Colorectal Cancer Screening in Detecting Earlier-Stage Disease—A Nationwide Cohort Study in Denmark’ (2018) 155(1) </w:t>
      </w:r>
      <w:r w:rsidRPr="00A45B6A">
        <w:rPr>
          <w:rFonts w:asciiTheme="majorHAnsi" w:hAnsiTheme="majorHAnsi"/>
          <w:i/>
        </w:rPr>
        <w:t xml:space="preserve">Gastroenterology </w:t>
      </w:r>
      <w:r w:rsidRPr="00A45B6A">
        <w:rPr>
          <w:rFonts w:asciiTheme="majorHAnsi" w:hAnsiTheme="majorHAnsi"/>
        </w:rPr>
        <w:t>99.</w:t>
      </w:r>
    </w:p>
  </w:endnote>
  <w:endnote w:id="138">
    <w:p w14:paraId="0A5A7A79" w14:textId="7A023B34" w:rsidR="00F26BA2" w:rsidRPr="00A45B6A" w:rsidRDefault="00F26BA2" w:rsidP="009F2D50">
      <w:pPr>
        <w:rPr>
          <w:rFonts w:asciiTheme="majorHAnsi" w:hAnsiTheme="majorHAnsi"/>
        </w:rPr>
      </w:pPr>
      <w:r w:rsidRPr="00A45B6A">
        <w:rPr>
          <w:rStyle w:val="EndnoteReference"/>
          <w:rFonts w:asciiTheme="majorHAnsi" w:hAnsiTheme="majorHAnsi"/>
        </w:rPr>
        <w:endnoteRef/>
      </w:r>
      <w:r w:rsidRPr="00A45B6A">
        <w:rPr>
          <w:rFonts w:asciiTheme="majorHAnsi" w:hAnsiTheme="majorHAnsi"/>
        </w:rPr>
        <w:t xml:space="preserve"> Flander L et al above n </w:t>
      </w:r>
      <w:r>
        <w:rPr>
          <w:rFonts w:asciiTheme="majorHAnsi" w:hAnsiTheme="majorHAnsi"/>
        </w:rPr>
        <w:t>75</w:t>
      </w:r>
    </w:p>
  </w:endnote>
  <w:endnote w:id="139">
    <w:p w14:paraId="4C191EAA" w14:textId="77777777" w:rsidR="00F26BA2" w:rsidRPr="00A45B6A" w:rsidRDefault="00F26BA2" w:rsidP="009F2D50">
      <w:pPr>
        <w:rPr>
          <w:rFonts w:asciiTheme="majorHAnsi" w:hAnsiTheme="majorHAnsi"/>
        </w:rPr>
      </w:pPr>
      <w:r w:rsidRPr="00A45B6A">
        <w:rPr>
          <w:rStyle w:val="EndnoteReference"/>
          <w:rFonts w:asciiTheme="majorHAnsi" w:hAnsiTheme="majorHAnsi"/>
        </w:rPr>
        <w:endnoteRef/>
      </w:r>
      <w:r w:rsidRPr="00A45B6A">
        <w:rPr>
          <w:rFonts w:asciiTheme="majorHAnsi" w:hAnsiTheme="majorHAnsi"/>
        </w:rPr>
        <w:t xml:space="preserve"> Ibid.</w:t>
      </w:r>
    </w:p>
  </w:endnote>
  <w:endnote w:id="140">
    <w:p w14:paraId="7ABA4E20" w14:textId="77777777" w:rsidR="00F26BA2" w:rsidRPr="00A45B6A" w:rsidRDefault="00F26BA2" w:rsidP="009F2D50">
      <w:pPr>
        <w:rPr>
          <w:rFonts w:asciiTheme="majorHAnsi" w:hAnsiTheme="majorHAnsi"/>
        </w:rPr>
      </w:pPr>
      <w:r w:rsidRPr="00A45B6A">
        <w:rPr>
          <w:rStyle w:val="EndnoteReference"/>
          <w:rFonts w:asciiTheme="majorHAnsi" w:hAnsiTheme="majorHAnsi"/>
        </w:rPr>
        <w:endnoteRef/>
      </w:r>
      <w:r w:rsidRPr="00A45B6A">
        <w:rPr>
          <w:rFonts w:asciiTheme="majorHAnsi" w:hAnsiTheme="majorHAnsi"/>
        </w:rPr>
        <w:t xml:space="preserve"> Toes-Zoutensijk E</w:t>
      </w:r>
      <w:r>
        <w:rPr>
          <w:rFonts w:asciiTheme="majorHAnsi" w:hAnsiTheme="majorHAnsi"/>
        </w:rPr>
        <w:t>,</w:t>
      </w:r>
      <w:r w:rsidRPr="00A45B6A">
        <w:rPr>
          <w:rFonts w:asciiTheme="majorHAnsi" w:hAnsiTheme="majorHAnsi"/>
        </w:rPr>
        <w:t xml:space="preserve"> van Leerdam M</w:t>
      </w:r>
      <w:r>
        <w:rPr>
          <w:rFonts w:asciiTheme="majorHAnsi" w:hAnsiTheme="majorHAnsi"/>
        </w:rPr>
        <w:t>,</w:t>
      </w:r>
      <w:r w:rsidRPr="00A45B6A">
        <w:rPr>
          <w:rFonts w:asciiTheme="majorHAnsi" w:hAnsiTheme="majorHAnsi"/>
        </w:rPr>
        <w:t xml:space="preserve"> Dekker E.et al ‘Real-Time Monitoring of Results During First Year of Dutch Colorectal Cancer Screening Program and Optimization by Altering Fecal Immunochemical Test Cut-Off Levels’ (2018) 152 </w:t>
      </w:r>
      <w:r w:rsidRPr="00A45B6A">
        <w:rPr>
          <w:rFonts w:asciiTheme="majorHAnsi" w:hAnsiTheme="majorHAnsi"/>
          <w:i/>
        </w:rPr>
        <w:t>Gastroenterology</w:t>
      </w:r>
      <w:r w:rsidRPr="00A45B6A">
        <w:rPr>
          <w:rFonts w:asciiTheme="majorHAnsi" w:hAnsiTheme="majorHAnsi"/>
        </w:rPr>
        <w:t>, 767</w:t>
      </w:r>
    </w:p>
  </w:endnote>
  <w:endnote w:id="141">
    <w:p w14:paraId="585410D1" w14:textId="7AD0C1EA" w:rsidR="00F26BA2" w:rsidRPr="00A45B6A" w:rsidRDefault="00F26BA2" w:rsidP="009F2D50">
      <w:pPr>
        <w:rPr>
          <w:rFonts w:asciiTheme="majorHAnsi" w:hAnsiTheme="majorHAnsi"/>
        </w:rPr>
      </w:pPr>
      <w:r w:rsidRPr="00A45B6A">
        <w:rPr>
          <w:rStyle w:val="EndnoteReference"/>
          <w:rFonts w:asciiTheme="majorHAnsi" w:hAnsiTheme="majorHAnsi"/>
        </w:rPr>
        <w:endnoteRef/>
      </w:r>
      <w:r w:rsidRPr="00A45B6A">
        <w:rPr>
          <w:rFonts w:asciiTheme="majorHAnsi" w:hAnsiTheme="majorHAnsi"/>
        </w:rPr>
        <w:t xml:space="preserve"> Flander L et al above n </w:t>
      </w:r>
      <w:r>
        <w:rPr>
          <w:rFonts w:asciiTheme="majorHAnsi" w:hAnsiTheme="majorHAnsi"/>
        </w:rPr>
        <w:t>75</w:t>
      </w:r>
    </w:p>
  </w:endnote>
  <w:endnote w:id="142">
    <w:p w14:paraId="2C16110C" w14:textId="25FD6767" w:rsidR="00F26BA2" w:rsidRPr="00A45B6A" w:rsidRDefault="00F26BA2" w:rsidP="009F2D50">
      <w:pPr>
        <w:rPr>
          <w:rFonts w:asciiTheme="majorHAnsi" w:hAnsiTheme="majorHAnsi"/>
        </w:rPr>
      </w:pPr>
      <w:r w:rsidRPr="00A45B6A">
        <w:rPr>
          <w:rStyle w:val="EndnoteReference"/>
          <w:rFonts w:asciiTheme="majorHAnsi" w:hAnsiTheme="majorHAnsi"/>
        </w:rPr>
        <w:endnoteRef/>
      </w:r>
      <w:r w:rsidRPr="00A45B6A">
        <w:rPr>
          <w:rFonts w:asciiTheme="majorHAnsi" w:hAnsiTheme="majorHAnsi"/>
        </w:rPr>
        <w:t xml:space="preserve"> Flander L et al above n </w:t>
      </w:r>
      <w:r>
        <w:rPr>
          <w:rFonts w:asciiTheme="majorHAnsi" w:hAnsiTheme="majorHAnsi"/>
        </w:rPr>
        <w:t>75</w:t>
      </w:r>
    </w:p>
  </w:endnote>
  <w:endnote w:id="143">
    <w:p w14:paraId="6598BB25" w14:textId="77777777" w:rsidR="00F26BA2" w:rsidRPr="00A45B6A" w:rsidRDefault="00F26BA2" w:rsidP="009F2D50">
      <w:pPr>
        <w:rPr>
          <w:rFonts w:asciiTheme="majorHAnsi" w:hAnsiTheme="majorHAnsi"/>
        </w:rPr>
      </w:pPr>
      <w:r w:rsidRPr="00A45B6A">
        <w:rPr>
          <w:rStyle w:val="EndnoteReference"/>
          <w:rFonts w:asciiTheme="majorHAnsi" w:hAnsiTheme="majorHAnsi"/>
        </w:rPr>
        <w:endnoteRef/>
      </w:r>
      <w:r w:rsidRPr="00A45B6A">
        <w:rPr>
          <w:rFonts w:asciiTheme="majorHAnsi" w:hAnsiTheme="majorHAnsi"/>
        </w:rPr>
        <w:t xml:space="preserve"> ‘Doing the bowel screening test’, </w:t>
      </w:r>
      <w:r w:rsidRPr="00A45B6A">
        <w:rPr>
          <w:rFonts w:asciiTheme="majorHAnsi" w:hAnsiTheme="majorHAnsi"/>
          <w:i/>
        </w:rPr>
        <w:t xml:space="preserve">Time to Screen NZ </w:t>
      </w:r>
      <w:r w:rsidRPr="00A45B6A">
        <w:rPr>
          <w:rFonts w:asciiTheme="majorHAnsi" w:hAnsiTheme="majorHAnsi"/>
        </w:rPr>
        <w:t>(2020) &lt; https://www.timetoscreen.nz/bowel-screening/doing-the-bowel-screening-test/&gt;</w:t>
      </w:r>
    </w:p>
  </w:endnote>
  <w:endnote w:id="144">
    <w:p w14:paraId="6E3F00AF" w14:textId="77777777" w:rsidR="00F26BA2" w:rsidRPr="00A45B6A" w:rsidRDefault="00F26BA2" w:rsidP="006605AE">
      <w:pPr>
        <w:pStyle w:val="EndnoteText"/>
        <w:rPr>
          <w:rFonts w:asciiTheme="majorHAnsi" w:hAnsiTheme="majorHAnsi"/>
          <w:szCs w:val="18"/>
        </w:rPr>
      </w:pPr>
      <w:r w:rsidRPr="00A45B6A">
        <w:rPr>
          <w:rStyle w:val="EndnoteReference"/>
          <w:rFonts w:asciiTheme="majorHAnsi" w:hAnsiTheme="majorHAnsi"/>
          <w:szCs w:val="18"/>
        </w:rPr>
        <w:endnoteRef/>
      </w:r>
      <w:r w:rsidRPr="00A45B6A">
        <w:rPr>
          <w:rFonts w:asciiTheme="majorHAnsi" w:hAnsiTheme="majorHAnsi"/>
          <w:szCs w:val="18"/>
        </w:rPr>
        <w:t xml:space="preserve"> Menzies School of Health Research, </w:t>
      </w:r>
      <w:r w:rsidRPr="00A45B6A">
        <w:rPr>
          <w:rFonts w:asciiTheme="majorHAnsi" w:hAnsiTheme="majorHAnsi"/>
          <w:i/>
          <w:szCs w:val="18"/>
        </w:rPr>
        <w:t>National Indigenous Bowel Screening Pilot Final Report</w:t>
      </w:r>
      <w:r w:rsidRPr="00A45B6A">
        <w:rPr>
          <w:rFonts w:asciiTheme="majorHAnsi" w:hAnsiTheme="majorHAnsi"/>
          <w:szCs w:val="18"/>
        </w:rPr>
        <w:t xml:space="preserve"> (September 2020)</w:t>
      </w:r>
    </w:p>
  </w:endnote>
  <w:endnote w:id="145">
    <w:p w14:paraId="44780307" w14:textId="451C8BC9" w:rsidR="00F26BA2" w:rsidRDefault="00F26BA2" w:rsidP="006605AE">
      <w:pPr>
        <w:pStyle w:val="EndnoteText"/>
        <w:rPr>
          <w:rFonts w:asciiTheme="majorHAnsi" w:hAnsiTheme="majorHAnsi"/>
          <w:szCs w:val="18"/>
        </w:rPr>
      </w:pPr>
      <w:r w:rsidRPr="00A45B6A">
        <w:rPr>
          <w:rStyle w:val="EndnoteReference"/>
          <w:rFonts w:asciiTheme="majorHAnsi" w:hAnsiTheme="majorHAnsi"/>
          <w:szCs w:val="18"/>
        </w:rPr>
        <w:endnoteRef/>
      </w:r>
      <w:r w:rsidRPr="00A45B6A">
        <w:rPr>
          <w:rFonts w:asciiTheme="majorHAnsi" w:hAnsiTheme="majorHAnsi"/>
          <w:szCs w:val="18"/>
        </w:rPr>
        <w:t xml:space="preserve"> AIHW, </w:t>
      </w:r>
      <w:r w:rsidRPr="00A45B6A">
        <w:rPr>
          <w:rFonts w:asciiTheme="majorHAnsi" w:hAnsiTheme="majorHAnsi"/>
          <w:i/>
          <w:szCs w:val="18"/>
        </w:rPr>
        <w:t>National Bowel Cancer Screening Program Monitoring Report</w:t>
      </w:r>
      <w:r w:rsidRPr="00A45B6A">
        <w:rPr>
          <w:rFonts w:asciiTheme="majorHAnsi" w:hAnsiTheme="majorHAnsi"/>
          <w:szCs w:val="18"/>
        </w:rPr>
        <w:t xml:space="preserve"> (June 2020)</w:t>
      </w:r>
    </w:p>
    <w:p w14:paraId="0C3F4D32" w14:textId="77777777" w:rsidR="00F26BA2" w:rsidRPr="00A45B6A" w:rsidRDefault="00F26BA2" w:rsidP="006605AE">
      <w:pPr>
        <w:pStyle w:val="EndnoteText"/>
        <w:rPr>
          <w:rFonts w:asciiTheme="majorHAnsi" w:hAnsiTheme="majorHAnsi"/>
          <w:szCs w:val="18"/>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Gotham Bold">
    <w:altName w:val="Arial"/>
    <w:charset w:val="00"/>
    <w:family w:val="auto"/>
    <w:pitch w:val="variable"/>
    <w:sig w:usb0="A10000FF" w:usb1="4000005B" w:usb2="00000000" w:usb3="00000000" w:csb0="0000019B" w:csb1="00000000"/>
  </w:font>
  <w:font w:name="Wingdings 3">
    <w:panose1 w:val="05040102010807070707"/>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mn-l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Layout w:type="fixed"/>
      <w:tblLook w:val="04A0" w:firstRow="1" w:lastRow="0" w:firstColumn="1" w:lastColumn="0" w:noHBand="0" w:noVBand="1"/>
    </w:tblPr>
    <w:tblGrid>
      <w:gridCol w:w="3544"/>
      <w:gridCol w:w="7002"/>
    </w:tblGrid>
    <w:tr w:rsidR="00F26BA2" w14:paraId="0D0624EA" w14:textId="77777777" w:rsidTr="00137F51">
      <w:trPr>
        <w:cnfStyle w:val="100000000000" w:firstRow="1" w:lastRow="0" w:firstColumn="0" w:lastColumn="0" w:oddVBand="0" w:evenVBand="0" w:oddHBand="0" w:evenHBand="0" w:firstRowFirstColumn="0" w:firstRowLastColumn="0" w:lastRowFirstColumn="0" w:lastRowLastColumn="0"/>
      </w:trPr>
      <w:tc>
        <w:tcPr>
          <w:tcW w:w="3544" w:type="dxa"/>
          <w:vAlign w:val="bottom"/>
        </w:tcPr>
        <w:p w14:paraId="07D86B57" w14:textId="2EF7B836" w:rsidR="00F26BA2" w:rsidRDefault="00F26BA2" w:rsidP="00536AB8">
          <w:pPr>
            <w:pStyle w:val="Footer"/>
          </w:pPr>
          <w:r w:rsidRPr="006C4F67">
            <w:rPr>
              <w:rStyle w:val="PageNumber"/>
            </w:rPr>
            <w:fldChar w:fldCharType="begin"/>
          </w:r>
          <w:r w:rsidRPr="006C4F67">
            <w:rPr>
              <w:rStyle w:val="PageNumber"/>
            </w:rPr>
            <w:instrText xml:space="preserve"> PAGE</w:instrText>
          </w:r>
          <w:r>
            <w:rPr>
              <w:rStyle w:val="PageNumber"/>
            </w:rPr>
            <w:instrText xml:space="preserve"> </w:instrText>
          </w:r>
          <w:r w:rsidRPr="006C4F67">
            <w:rPr>
              <w:rStyle w:val="PageNumber"/>
            </w:rPr>
            <w:fldChar w:fldCharType="separate"/>
          </w:r>
          <w:r>
            <w:rPr>
              <w:rStyle w:val="PageNumber"/>
              <w:noProof/>
            </w:rPr>
            <w:t>1</w:t>
          </w:r>
          <w:r w:rsidRPr="006C4F67">
            <w:rPr>
              <w:rStyle w:val="PageNumber"/>
            </w:rPr>
            <w:fldChar w:fldCharType="end"/>
          </w:r>
        </w:p>
      </w:tc>
      <w:tc>
        <w:tcPr>
          <w:tcW w:w="7002" w:type="dxa"/>
          <w:vAlign w:val="bottom"/>
        </w:tcPr>
        <w:p w14:paraId="149AADB1" w14:textId="77777777" w:rsidR="00F26BA2" w:rsidRPr="00904097" w:rsidRDefault="00F26BA2" w:rsidP="00536AB8">
          <w:pPr>
            <w:pStyle w:val="Footer"/>
            <w:spacing w:line="180" w:lineRule="atLeast"/>
            <w:rPr>
              <w:sz w:val="14"/>
              <w:szCs w:val="14"/>
            </w:rPr>
          </w:pPr>
        </w:p>
      </w:tc>
    </w:tr>
  </w:tbl>
  <w:p w14:paraId="3FC2CEAB" w14:textId="77777777" w:rsidR="00F26BA2" w:rsidRDefault="00F26BA2" w:rsidP="00536AB8">
    <w:pPr>
      <w:pStyle w:val="Footer"/>
      <w:spacing w:line="14" w:lineRule="exac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4C6711" w14:textId="380D30FD" w:rsidR="00F26BA2" w:rsidRPr="00FD7D79" w:rsidRDefault="00F26BA2" w:rsidP="00FD7D7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60BD60" w14:textId="73E1D5DC" w:rsidR="00F26BA2" w:rsidRPr="00672300" w:rsidRDefault="00F26BA2" w:rsidP="00672300">
    <w:pPr>
      <w:pStyle w:val="Footer"/>
    </w:pPr>
    <w:r w:rsidRPr="006C4F67">
      <w:rPr>
        <w:rStyle w:val="PageNumber"/>
      </w:rPr>
      <w:fldChar w:fldCharType="begin"/>
    </w:r>
    <w:r w:rsidRPr="006C4F67">
      <w:rPr>
        <w:rStyle w:val="PageNumber"/>
      </w:rPr>
      <w:instrText xml:space="preserve"> PAGE</w:instrText>
    </w:r>
    <w:r>
      <w:rPr>
        <w:rStyle w:val="PageNumber"/>
      </w:rPr>
      <w:instrText xml:space="preserve"> </w:instrText>
    </w:r>
    <w:r w:rsidRPr="006C4F67">
      <w:rPr>
        <w:rStyle w:val="PageNumber"/>
      </w:rPr>
      <w:fldChar w:fldCharType="separate"/>
    </w:r>
    <w:r>
      <w:rPr>
        <w:rStyle w:val="PageNumber"/>
        <w:noProof/>
      </w:rPr>
      <w:t>ii</w:t>
    </w:r>
    <w:r w:rsidRPr="006C4F67">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8F04E3" w14:textId="48ADEA61" w:rsidR="00F26BA2" w:rsidRPr="007E7D93" w:rsidRDefault="00F26BA2" w:rsidP="007E7D93">
    <w:pPr>
      <w:pStyle w:val="Footer"/>
    </w:pPr>
    <w:r w:rsidRPr="006C4F67">
      <w:rPr>
        <w:rStyle w:val="PageNumber"/>
      </w:rPr>
      <w:fldChar w:fldCharType="begin"/>
    </w:r>
    <w:r w:rsidRPr="006C4F67">
      <w:rPr>
        <w:rStyle w:val="PageNumber"/>
      </w:rPr>
      <w:instrText xml:space="preserve"> PAGE</w:instrText>
    </w:r>
    <w:r>
      <w:rPr>
        <w:rStyle w:val="PageNumber"/>
      </w:rPr>
      <w:instrText xml:space="preserve"> </w:instrText>
    </w:r>
    <w:r w:rsidRPr="006C4F67">
      <w:rPr>
        <w:rStyle w:val="PageNumber"/>
      </w:rPr>
      <w:fldChar w:fldCharType="separate"/>
    </w:r>
    <w:r>
      <w:rPr>
        <w:rStyle w:val="PageNumber"/>
        <w:noProof/>
      </w:rPr>
      <w:t>38</w:t>
    </w:r>
    <w:r w:rsidRPr="006C4F67">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66B3F2" w14:textId="77777777" w:rsidR="00FA304B" w:rsidRDefault="00FA304B" w:rsidP="00C702C7">
      <w:r>
        <w:separator/>
      </w:r>
    </w:p>
  </w:footnote>
  <w:footnote w:type="continuationSeparator" w:id="0">
    <w:p w14:paraId="55B7162E" w14:textId="77777777" w:rsidR="00FA304B" w:rsidRDefault="00FA304B" w:rsidP="00C702C7">
      <w:r>
        <w:continuationSeparator/>
      </w:r>
    </w:p>
  </w:footnote>
  <w:footnote w:type="continuationNotice" w:id="1">
    <w:p w14:paraId="452F147A" w14:textId="77777777" w:rsidR="00FA304B" w:rsidRDefault="00FA304B">
      <w:pPr>
        <w:spacing w:after="0"/>
      </w:pPr>
    </w:p>
  </w:footnote>
  <w:footnote w:id="2">
    <w:p w14:paraId="713ABC43" w14:textId="0E28DA59" w:rsidR="00F26BA2" w:rsidRDefault="00F26BA2">
      <w:r>
        <w:rPr>
          <w:rStyle w:val="FootnoteReference"/>
        </w:rPr>
        <w:footnoteRef/>
      </w:r>
      <w:r>
        <w:t xml:space="preserve"> This issue is attributable to the voluntary nature of information provision by healthcare practitioners, it is not a limitation of the functionality of the NCSR.</w:t>
      </w:r>
    </w:p>
  </w:footnote>
  <w:footnote w:id="3">
    <w:p w14:paraId="279B38AF" w14:textId="03A32781" w:rsidR="00F26BA2" w:rsidRDefault="00F26BA2">
      <w:r>
        <w:rPr>
          <w:rStyle w:val="FootnoteReference"/>
        </w:rPr>
        <w:footnoteRef/>
      </w:r>
      <w:r>
        <w:t xml:space="preserve"> This key performance indicator is defined as the percentage of people who return a positive iFOBT test between 1 January and 31 December, that had a follow-up diagnostic assessment within that period or by 31 December of the following year. In the AIHW National Bowel Cancer Screening Program Monitoring Report 2020, the recorded rate was 66 per cent, noting that the observation window was shortened by two months due to the transition to the National Cancer Screening Register in November 2019.</w:t>
      </w:r>
    </w:p>
  </w:footnote>
  <w:footnote w:id="4">
    <w:p w14:paraId="4CC4BA4A" w14:textId="56FB2BDC" w:rsidR="00F26BA2" w:rsidRDefault="00F26BA2">
      <w:r>
        <w:rPr>
          <w:rStyle w:val="FootnoteReference"/>
        </w:rPr>
        <w:footnoteRef/>
      </w:r>
      <w:r>
        <w:t xml:space="preserve"> AIHW National Bowel Cancer Screening Program Monitoring Report (2020)</w:t>
      </w:r>
    </w:p>
  </w:footnote>
  <w:footnote w:id="5">
    <w:p w14:paraId="70DE9AD3" w14:textId="3827C838" w:rsidR="00F26BA2" w:rsidRDefault="00F26BA2">
      <w:r>
        <w:rPr>
          <w:rStyle w:val="FootnoteReference"/>
        </w:rPr>
        <w:footnoteRef/>
      </w:r>
      <w:r>
        <w:t xml:space="preserve"> Ibid. </w:t>
      </w:r>
    </w:p>
  </w:footnote>
  <w:footnote w:id="6">
    <w:p w14:paraId="5CDA5FCE" w14:textId="53594B72" w:rsidR="00F26BA2" w:rsidRPr="009E0C25" w:rsidRDefault="00F26BA2">
      <w:r>
        <w:rPr>
          <w:rStyle w:val="FootnoteReference"/>
        </w:rPr>
        <w:footnoteRef/>
      </w:r>
      <w:r>
        <w:t xml:space="preserve"> Australian Government Department of Health (2016), </w:t>
      </w:r>
      <w:r>
        <w:rPr>
          <w:i/>
          <w:iCs/>
        </w:rPr>
        <w:t>Gastroenterology &amp; Hepatology 2016 Factsheet</w:t>
      </w:r>
      <w:r>
        <w:t xml:space="preserve">. </w:t>
      </w:r>
    </w:p>
  </w:footnote>
  <w:footnote w:id="7">
    <w:p w14:paraId="2380C69D" w14:textId="77777777" w:rsidR="007007A3" w:rsidRDefault="007007A3"/>
    <w:p w14:paraId="24E43822" w14:textId="77777777" w:rsidR="00F26BA2" w:rsidRDefault="00F26BA2"/>
  </w:footnote>
  <w:footnote w:id="8">
    <w:p w14:paraId="0CF03983" w14:textId="77777777" w:rsidR="00F26BA2" w:rsidRDefault="00F26BA2" w:rsidP="00DE1D4B">
      <w:r>
        <w:rPr>
          <w:rStyle w:val="FootnoteReference"/>
        </w:rPr>
        <w:footnoteRef/>
      </w:r>
      <w:r>
        <w:t xml:space="preserve"> The re-participation rate is defined as an invitee participating in the current screening round who also participated in their previous invitation round.</w:t>
      </w:r>
    </w:p>
  </w:footnote>
  <w:footnote w:id="9">
    <w:p w14:paraId="3D0168D2" w14:textId="2FA18524" w:rsidR="00F26BA2" w:rsidRDefault="00F26BA2">
      <w:r>
        <w:rPr>
          <w:rStyle w:val="FootnoteReference"/>
        </w:rPr>
        <w:footnoteRef/>
      </w:r>
      <w:r>
        <w:t xml:space="preserve"> AIHW National Bowel Cancer Screening Program Monitoring Report (2020)</w:t>
      </w:r>
    </w:p>
  </w:footnote>
  <w:footnote w:id="10">
    <w:p w14:paraId="6659E17A" w14:textId="252F3DAE" w:rsidR="00F26BA2" w:rsidRDefault="00F26BA2">
      <w:r>
        <w:rPr>
          <w:rStyle w:val="FootnoteReference"/>
        </w:rPr>
        <w:footnoteRef/>
      </w:r>
      <w:r>
        <w:t xml:space="preserve"> Note: A non-completer is defined as an invitee who received a NBCSP kit but did not complete and return it, and did not complete another form of bowel cancer screening.</w:t>
      </w:r>
    </w:p>
  </w:footnote>
  <w:footnote w:id="11">
    <w:p w14:paraId="5457E84D" w14:textId="205E106F" w:rsidR="00F26BA2" w:rsidRDefault="00F26BA2">
      <w:r>
        <w:rPr>
          <w:rStyle w:val="FootnoteReference"/>
        </w:rPr>
        <w:footnoteRef/>
      </w:r>
      <w:r>
        <w:t xml:space="preserve"> A participation rate of 44 per cent was based on the Program participation rate reported across January 2018 to December 2019.</w:t>
      </w:r>
    </w:p>
  </w:footnote>
  <w:footnote w:id="12">
    <w:p w14:paraId="2D9A9F94" w14:textId="77777777" w:rsidR="00F26BA2" w:rsidRDefault="00F26BA2" w:rsidP="004254B6">
      <w:r>
        <w:rPr>
          <w:rStyle w:val="FootnoteReference"/>
        </w:rPr>
        <w:footnoteRef/>
      </w:r>
      <w:r>
        <w:t xml:space="preserve"> At the current Aboriginal and Torres Strait Islander participation rate, Lew also reports an incremental cost-effectiveness ratio of $30,384 per life-year saved for a 40 to 74 screening age cohort, compared to a 45 to 74 screening age cohort. However, given the current Program policy settings of a 50 to 74 screening age cohort, ICERs using 50 to 74 as the comparator are the most relevant for the Program at this stage.</w:t>
      </w:r>
    </w:p>
  </w:footnote>
  <w:footnote w:id="13">
    <w:p w14:paraId="1FE8CDE7" w14:textId="77777777" w:rsidR="00F26BA2" w:rsidRDefault="00F26BA2" w:rsidP="004254B6">
      <w:r>
        <w:rPr>
          <w:rStyle w:val="FootnoteReference"/>
        </w:rPr>
        <w:footnoteRef/>
      </w:r>
      <w:r>
        <w:t xml:space="preserve"> A participation rate of ~40 per cent reflects the current overall participation rate in the Program. As well, any costs associated with strategies to improve the participation rate were not included in the modelling process. </w:t>
      </w:r>
    </w:p>
  </w:footnote>
  <w:footnote w:id="14">
    <w:p w14:paraId="5DCB8DD5" w14:textId="515039AC" w:rsidR="00F26BA2" w:rsidRDefault="00F26BA2">
      <w:r>
        <w:rPr>
          <w:rStyle w:val="FootnoteReference"/>
        </w:rPr>
        <w:footnoteRef/>
      </w:r>
      <w:r>
        <w:t xml:space="preserve"> The clinician survey also received 90 in-progress responses, which were not included in the subsequent analysis.</w:t>
      </w:r>
    </w:p>
  </w:footnote>
  <w:footnote w:id="15">
    <w:p w14:paraId="032DB913" w14:textId="4700B877" w:rsidR="00F26BA2" w:rsidRDefault="00F26BA2">
      <w:r>
        <w:rPr>
          <w:rStyle w:val="FootnoteReference"/>
        </w:rPr>
        <w:footnoteRef/>
      </w:r>
      <w:r>
        <w:t xml:space="preserve"> Attribution of the higher participation rate observed in other jurisdictions (discussed further in Section </w:t>
      </w:r>
      <w:r>
        <w:fldChar w:fldCharType="begin"/>
      </w:r>
      <w:r>
        <w:instrText xml:space="preserve"> REF _Ref67834144 \r \h </w:instrText>
      </w:r>
      <w:r>
        <w:fldChar w:fldCharType="separate"/>
      </w:r>
      <w:r>
        <w:t>4.1.3</w:t>
      </w:r>
      <w:r>
        <w:fldChar w:fldCharType="end"/>
      </w:r>
      <w:r>
        <w:t>) to their use of a one-sample test is complicated by differences in the administration of their screening programs, including more centralised control over the screening pathway.</w:t>
      </w:r>
    </w:p>
  </w:footnote>
  <w:footnote w:id="16">
    <w:p w14:paraId="31F255C6" w14:textId="7ED447E2" w:rsidR="00F26BA2" w:rsidRDefault="00F26BA2">
      <w:r>
        <w:rPr>
          <w:rStyle w:val="FootnoteReference"/>
        </w:rPr>
        <w:footnoteRef/>
      </w:r>
      <w:r>
        <w:t xml:space="preserve"> Please note: In reporting on population sub-groups of interest, the AIHW uses participant residential postcode and the ABS Index of Relative Socioeconomic Disadvantage to aggregate participants by their residency in a low or high socioeconomic area. The Program objectives however specify socioeconomic </w:t>
      </w:r>
      <w:r w:rsidRPr="00267428">
        <w:rPr>
          <w:i/>
          <w:iCs/>
        </w:rPr>
        <w:t>background</w:t>
      </w:r>
      <w:r>
        <w:t xml:space="preserve"> as a cohort of interest regarding equity considerations. The consumer survey sought to identify the respondent’s socioeconomic background via an index of variables, including whether they were unemployed but looking for work, their household income band and highest level of education. Consequently, results from the consumer survey refer to the socioeconomic </w:t>
      </w:r>
      <w:r w:rsidRPr="002E5176">
        <w:t>background</w:t>
      </w:r>
      <w:r>
        <w:t xml:space="preserve"> of the participant. The NCSR does not collect participant labour data or financial information, and as such the consumer survey represents a unique spotlight on this cohort of interest which is not impacted by the ecological fallacy. </w:t>
      </w:r>
    </w:p>
  </w:footnote>
  <w:footnote w:id="17">
    <w:p w14:paraId="415E3CB7" w14:textId="77777777" w:rsidR="00F26BA2" w:rsidRPr="005A2BED" w:rsidRDefault="00F26BA2" w:rsidP="00C26269">
      <w:pPr>
        <w:rPr>
          <w:sz w:val="16"/>
          <w:szCs w:val="16"/>
        </w:rPr>
      </w:pPr>
      <w:r>
        <w:rPr>
          <w:rStyle w:val="FootnoteReference"/>
        </w:rPr>
        <w:footnoteRef/>
      </w:r>
      <w:r w:rsidRPr="005A2BED">
        <w:rPr>
          <w:sz w:val="16"/>
          <w:szCs w:val="16"/>
        </w:rPr>
        <w:t xml:space="preserve">Clinical suitability: In situations where the participant is found to be clinically unsuited for diagnostic assessment by a GP or specialist, the Program has functioned appropriately, and potential harms have been minimised. </w:t>
      </w:r>
    </w:p>
    <w:p w14:paraId="1B9E6E84" w14:textId="4934DF6F" w:rsidR="00F26BA2" w:rsidRPr="006B2754" w:rsidRDefault="00F26BA2" w:rsidP="00C26269">
      <w:pPr>
        <w:rPr>
          <w:sz w:val="16"/>
          <w:szCs w:val="16"/>
        </w:rPr>
      </w:pPr>
      <w:r w:rsidRPr="005A2BED">
        <w:rPr>
          <w:sz w:val="16"/>
          <w:szCs w:val="16"/>
        </w:rPr>
        <w:t xml:space="preserve">Personal decision: Patients may personally elect not to proceed to a colonoscopy for a variety of reasons, including their perceived view of the risk of adverse events, or logistical challenges including distance required to travel and financial concerns. </w:t>
      </w:r>
    </w:p>
  </w:footnote>
  <w:footnote w:id="18">
    <w:p w14:paraId="5B675A35" w14:textId="49821485" w:rsidR="00F26BA2" w:rsidRDefault="00F26BA2">
      <w:r>
        <w:rPr>
          <w:rStyle w:val="FootnoteReference"/>
        </w:rPr>
        <w:footnoteRef/>
      </w:r>
      <w:r>
        <w:t xml:space="preserve"> Clinicians who reported their understanding of the Program as an 8 to 10 on a 10 point scale (1 = very limited understanding and 10 = very strong understanding), were classified as having a ‘very good’ understanding of the Program.</w:t>
      </w:r>
    </w:p>
  </w:footnote>
  <w:footnote w:id="19">
    <w:p w14:paraId="44BAE9A8" w14:textId="14385C76" w:rsidR="00F26BA2" w:rsidRDefault="00F26BA2">
      <w:r>
        <w:rPr>
          <w:rStyle w:val="FootnoteReference"/>
        </w:rPr>
        <w:footnoteRef/>
      </w:r>
      <w:r>
        <w:t xml:space="preserve"> Please refer to Footnote </w:t>
      </w:r>
      <w:proofErr w:type="spellStart"/>
      <w:r>
        <w:t>i</w:t>
      </w:r>
      <w:proofErr w:type="spellEnd"/>
      <w:r>
        <w:t xml:space="preserve"> in section </w:t>
      </w:r>
      <w:r>
        <w:fldChar w:fldCharType="begin"/>
      </w:r>
      <w:r>
        <w:instrText xml:space="preserve"> REF _Ref66972588 \r \h </w:instrText>
      </w:r>
      <w:r>
        <w:fldChar w:fldCharType="separate"/>
      </w:r>
      <w:r>
        <w:t>2.1.2.3</w:t>
      </w:r>
      <w:r>
        <w:fldChar w:fldCharType="end"/>
      </w:r>
      <w:r>
        <w:t xml:space="preserve"> regarding the distinction between socioeconomic background and residency in a low/high socioeconomic area. </w:t>
      </w:r>
    </w:p>
  </w:footnote>
  <w:footnote w:id="20">
    <w:p w14:paraId="18499FB3" w14:textId="280C8A40" w:rsidR="00F26BA2" w:rsidRDefault="00F26BA2">
      <w:r>
        <w:rPr>
          <w:rStyle w:val="FootnoteReference"/>
        </w:rPr>
        <w:footnoteRef/>
      </w:r>
      <w:r>
        <w:t xml:space="preserve"> The age at which people enter the model is based on the scenario being tested. For example, for a Program with a commencement age of 40 years, people enter the base case and scenario models at the age of 40. </w:t>
      </w:r>
    </w:p>
  </w:footnote>
  <w:footnote w:id="21">
    <w:p w14:paraId="646E1D94" w14:textId="5F454983" w:rsidR="00F26BA2" w:rsidRDefault="00F26BA2">
      <w:r>
        <w:rPr>
          <w:rStyle w:val="FootnoteReference"/>
        </w:rPr>
        <w:footnoteRef/>
      </w:r>
      <w:r>
        <w:t xml:space="preserve"> For the 45 to 49 year cohort, a participation rate of approximately 29 per cent was used. This was estimated using the coefficient from the linear relationship between age and participation based on AIHW statistics for people aged 50 to 74.</w:t>
      </w:r>
    </w:p>
  </w:footnote>
  <w:footnote w:id="22">
    <w:p w14:paraId="1BB25623" w14:textId="77777777" w:rsidR="00F26BA2" w:rsidRDefault="00F26BA2" w:rsidP="00495E4C">
      <w:r>
        <w:rPr>
          <w:rStyle w:val="FootnoteReference"/>
        </w:rPr>
        <w:footnoteRef/>
      </w:r>
      <w:r>
        <w:t xml:space="preserve"> At the current Aboriginal and Torres Strait Islander participation rate, Lew also reports an incremental cost-effectiveness ratio of $30,384 per life-year saved for a 40 to 74 screening age cohort, compared to a 45 to 74 screening age cohort. However, given the current Program policy settings of a 50 to 74 screening age cohort, ICERs using 50 to 74 as the comparator are the most relevant for the Program at this stage.</w:t>
      </w:r>
    </w:p>
  </w:footnote>
  <w:footnote w:id="23">
    <w:p w14:paraId="239F3CEE" w14:textId="77777777" w:rsidR="00F26BA2" w:rsidRDefault="00F26BA2" w:rsidP="00495E4C">
      <w:r>
        <w:rPr>
          <w:rStyle w:val="FootnoteReference"/>
        </w:rPr>
        <w:footnoteRef/>
      </w:r>
      <w:r>
        <w:t xml:space="preserve"> A participation rate of ~40 per cent reflects the current overall participation rate in the Program. As well, any costs associated with strategies to improve the participation rate were not included in the modelling process. </w:t>
      </w:r>
    </w:p>
  </w:footnote>
  <w:footnote w:id="24">
    <w:p w14:paraId="16CE5E6E" w14:textId="748FF46C" w:rsidR="00F26BA2" w:rsidRDefault="00F26BA2">
      <w:r>
        <w:rPr>
          <w:rStyle w:val="FootnoteReference"/>
        </w:rPr>
        <w:footnoteRef/>
      </w:r>
      <w:r>
        <w:t xml:space="preserve"> </w:t>
      </w:r>
      <w:r>
        <w:rPr>
          <w:lang w:eastAsia="en-AU"/>
        </w:rPr>
        <w:t>Note: Percentages do not add to 100% as some people use other screening pathways.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D57FA4" w14:textId="558202C3" w:rsidR="00F26BA2" w:rsidRDefault="00F26BA2" w:rsidP="00474643">
    <w:pPr>
      <w:pStyle w:val="Header"/>
    </w:pPr>
    <w:r>
      <w:rPr>
        <w:lang w:val="en-US"/>
      </w:rPr>
      <w:t>Review of Phase Four of the National Bowel Cancer Screening Program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407BC2" w14:textId="530559FD" w:rsidR="00F26BA2" w:rsidRPr="00E33B5F" w:rsidRDefault="00F26BA2" w:rsidP="00E33B5F">
    <w:pPr>
      <w:pStyle w:val="Header"/>
    </w:pPr>
    <w:r>
      <w:t>Review of Phase Four of the National Bowel Cancer Screening Program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6649B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2CAA2C8"/>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13643CFC"/>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5A6A3224"/>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00752A12"/>
    <w:multiLevelType w:val="hybridMultilevel"/>
    <w:tmpl w:val="739EED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2DB2827"/>
    <w:multiLevelType w:val="multilevel"/>
    <w:tmpl w:val="E0023528"/>
    <w:lvl w:ilvl="0">
      <w:start w:val="1"/>
      <w:numFmt w:val="upperLetter"/>
      <w:pStyle w:val="AlphabeticList"/>
      <w:lvlText w:val="%1"/>
      <w:lvlJc w:val="left"/>
      <w:pPr>
        <w:ind w:left="340" w:hanging="340"/>
      </w:pPr>
      <w:rPr>
        <w:rFonts w:hint="default"/>
      </w:rPr>
    </w:lvl>
    <w:lvl w:ilvl="1">
      <w:start w:val="1"/>
      <w:numFmt w:val="lowerLetter"/>
      <w:pStyle w:val="AlphabeticList2"/>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6" w15:restartNumberingAfterBreak="0">
    <w:nsid w:val="02F365E7"/>
    <w:multiLevelType w:val="hybridMultilevel"/>
    <w:tmpl w:val="4A2CF328"/>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4D46D27"/>
    <w:multiLevelType w:val="hybridMultilevel"/>
    <w:tmpl w:val="96A81A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06C72D63"/>
    <w:multiLevelType w:val="hybridMultilevel"/>
    <w:tmpl w:val="F894C6F0"/>
    <w:lvl w:ilvl="0" w:tplc="0C090001">
      <w:start w:val="1"/>
      <w:numFmt w:val="bullet"/>
      <w:lvlText w:val=""/>
      <w:lvlJc w:val="left"/>
      <w:pPr>
        <w:ind w:left="1060" w:hanging="360"/>
      </w:pPr>
      <w:rPr>
        <w:rFonts w:ascii="Symbol" w:hAnsi="Symbol"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9" w15:restartNumberingAfterBreak="0">
    <w:nsid w:val="07E91707"/>
    <w:multiLevelType w:val="hybridMultilevel"/>
    <w:tmpl w:val="4EAC8BD6"/>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9885E23"/>
    <w:multiLevelType w:val="hybridMultilevel"/>
    <w:tmpl w:val="5F8629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0A6C114C"/>
    <w:multiLevelType w:val="hybridMultilevel"/>
    <w:tmpl w:val="411A0EFE"/>
    <w:lvl w:ilvl="0" w:tplc="A9861E2E">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BA14DC1"/>
    <w:multiLevelType w:val="hybridMultilevel"/>
    <w:tmpl w:val="557271B8"/>
    <w:lvl w:ilvl="0" w:tplc="0C09000F">
      <w:start w:val="1"/>
      <w:numFmt w:val="decimal"/>
      <w:lvlText w:val="%1."/>
      <w:lvlJc w:val="left"/>
      <w:pPr>
        <w:ind w:left="890" w:hanging="360"/>
      </w:pPr>
    </w:lvl>
    <w:lvl w:ilvl="1" w:tplc="0C090019" w:tentative="1">
      <w:start w:val="1"/>
      <w:numFmt w:val="lowerLetter"/>
      <w:lvlText w:val="%2."/>
      <w:lvlJc w:val="left"/>
      <w:pPr>
        <w:ind w:left="1610" w:hanging="360"/>
      </w:pPr>
    </w:lvl>
    <w:lvl w:ilvl="2" w:tplc="0C09001B" w:tentative="1">
      <w:start w:val="1"/>
      <w:numFmt w:val="lowerRoman"/>
      <w:lvlText w:val="%3."/>
      <w:lvlJc w:val="right"/>
      <w:pPr>
        <w:ind w:left="2330" w:hanging="180"/>
      </w:pPr>
    </w:lvl>
    <w:lvl w:ilvl="3" w:tplc="0C09000F" w:tentative="1">
      <w:start w:val="1"/>
      <w:numFmt w:val="decimal"/>
      <w:lvlText w:val="%4."/>
      <w:lvlJc w:val="left"/>
      <w:pPr>
        <w:ind w:left="3050" w:hanging="360"/>
      </w:pPr>
    </w:lvl>
    <w:lvl w:ilvl="4" w:tplc="0C090019" w:tentative="1">
      <w:start w:val="1"/>
      <w:numFmt w:val="lowerLetter"/>
      <w:lvlText w:val="%5."/>
      <w:lvlJc w:val="left"/>
      <w:pPr>
        <w:ind w:left="3770" w:hanging="360"/>
      </w:pPr>
    </w:lvl>
    <w:lvl w:ilvl="5" w:tplc="0C09001B" w:tentative="1">
      <w:start w:val="1"/>
      <w:numFmt w:val="lowerRoman"/>
      <w:lvlText w:val="%6."/>
      <w:lvlJc w:val="right"/>
      <w:pPr>
        <w:ind w:left="4490" w:hanging="180"/>
      </w:pPr>
    </w:lvl>
    <w:lvl w:ilvl="6" w:tplc="0C09000F" w:tentative="1">
      <w:start w:val="1"/>
      <w:numFmt w:val="decimal"/>
      <w:lvlText w:val="%7."/>
      <w:lvlJc w:val="left"/>
      <w:pPr>
        <w:ind w:left="5210" w:hanging="360"/>
      </w:pPr>
    </w:lvl>
    <w:lvl w:ilvl="7" w:tplc="0C090019" w:tentative="1">
      <w:start w:val="1"/>
      <w:numFmt w:val="lowerLetter"/>
      <w:lvlText w:val="%8."/>
      <w:lvlJc w:val="left"/>
      <w:pPr>
        <w:ind w:left="5930" w:hanging="360"/>
      </w:pPr>
    </w:lvl>
    <w:lvl w:ilvl="8" w:tplc="0C09001B" w:tentative="1">
      <w:start w:val="1"/>
      <w:numFmt w:val="lowerRoman"/>
      <w:lvlText w:val="%9."/>
      <w:lvlJc w:val="right"/>
      <w:pPr>
        <w:ind w:left="6650" w:hanging="180"/>
      </w:pPr>
    </w:lvl>
  </w:abstractNum>
  <w:abstractNum w:abstractNumId="13" w15:restartNumberingAfterBreak="0">
    <w:nsid w:val="0BE73D8B"/>
    <w:multiLevelType w:val="hybridMultilevel"/>
    <w:tmpl w:val="8398CE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BE805CD"/>
    <w:multiLevelType w:val="multilevel"/>
    <w:tmpl w:val="E4BC8C3C"/>
    <w:lvl w:ilvl="0">
      <w:start w:val="1"/>
      <w:numFmt w:val="upperLetter"/>
      <w:pStyle w:val="Appendixhead1"/>
      <w:lvlText w:val="Appendix %1"/>
      <w:lvlJc w:val="left"/>
      <w:pPr>
        <w:ind w:left="4707" w:hanging="3856"/>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ppendixhead2"/>
      <w:lvlText w:val="%1.%2."/>
      <w:lvlJc w:val="left"/>
      <w:pPr>
        <w:ind w:left="792" w:hanging="792"/>
      </w:pPr>
      <w:rPr>
        <w:rFonts w:hint="default"/>
      </w:rPr>
    </w:lvl>
    <w:lvl w:ilvl="2">
      <w:start w:val="1"/>
      <w:numFmt w:val="decimal"/>
      <w:pStyle w:val="Appendixhead3"/>
      <w:lvlText w:val="%1.%2.%3."/>
      <w:lvlJc w:val="left"/>
      <w:pPr>
        <w:ind w:left="794" w:hanging="794"/>
      </w:pPr>
      <w:rPr>
        <w:rFonts w:hint="default"/>
      </w:rPr>
    </w:lvl>
    <w:lvl w:ilvl="3">
      <w:start w:val="1"/>
      <w:numFmt w:val="decimal"/>
      <w:pStyle w:val="Appendixhead4"/>
      <w:lvlText w:val="%1.%2.%3.%4."/>
      <w:lvlJc w:val="left"/>
      <w:pPr>
        <w:ind w:left="794" w:hanging="794"/>
      </w:pPr>
      <w:rPr>
        <w:rFonts w:hint="default"/>
      </w:rPr>
    </w:lvl>
    <w:lvl w:ilvl="4">
      <w:start w:val="1"/>
      <w:numFmt w:val="decimal"/>
      <w:lvlText w:val="%1.%2.%3.%4.%5."/>
      <w:lvlJc w:val="left"/>
      <w:pPr>
        <w:ind w:left="1134" w:hanging="1134"/>
      </w:pPr>
      <w:rPr>
        <w:rFonts w:hint="default"/>
        <w:color w:val="44546A" w:themeColor="text2"/>
        <w:sz w:val="22"/>
      </w:rPr>
    </w:lvl>
    <w:lvl w:ilvl="5">
      <w:start w:val="1"/>
      <w:numFmt w:val="decimal"/>
      <w:lvlText w:val="%1.%2.%3.%4.%5.%6."/>
      <w:lvlJc w:val="left"/>
      <w:pPr>
        <w:ind w:left="1701" w:hanging="1701"/>
      </w:pPr>
      <w:rPr>
        <w:rFonts w:hint="default"/>
      </w:rPr>
    </w:lvl>
    <w:lvl w:ilvl="6">
      <w:start w:val="1"/>
      <w:numFmt w:val="decimal"/>
      <w:lvlRestart w:val="1"/>
      <w:pStyle w:val="AppendixTableCaption"/>
      <w:suff w:val="nothing"/>
      <w:lvlText w:val="Table %1.%7"/>
      <w:lvlJc w:val="left"/>
      <w:pPr>
        <w:ind w:left="0" w:firstLine="0"/>
      </w:pPr>
      <w:rPr>
        <w:rFonts w:hint="default"/>
      </w:rPr>
    </w:lvl>
    <w:lvl w:ilvl="7">
      <w:start w:val="1"/>
      <w:numFmt w:val="decimal"/>
      <w:lvlRestart w:val="1"/>
      <w:pStyle w:val="AppendixChartCaption"/>
      <w:suff w:val="nothing"/>
      <w:lvlText w:val="Chart %1.%8"/>
      <w:lvlJc w:val="left"/>
      <w:pPr>
        <w:ind w:left="0" w:firstLine="0"/>
      </w:pPr>
      <w:rPr>
        <w:rFonts w:hint="default"/>
      </w:rPr>
    </w:lvl>
    <w:lvl w:ilvl="8">
      <w:start w:val="1"/>
      <w:numFmt w:val="decimal"/>
      <w:lvlRestart w:val="1"/>
      <w:pStyle w:val="AppendixFigureCaption"/>
      <w:suff w:val="nothing"/>
      <w:lvlText w:val="Figure %1.%9"/>
      <w:lvlJc w:val="left"/>
      <w:pPr>
        <w:ind w:left="0" w:firstLine="0"/>
      </w:pPr>
      <w:rPr>
        <w:rFonts w:hint="default"/>
      </w:rPr>
    </w:lvl>
  </w:abstractNum>
  <w:abstractNum w:abstractNumId="15" w15:restartNumberingAfterBreak="0">
    <w:nsid w:val="0D5A7823"/>
    <w:multiLevelType w:val="hybridMultilevel"/>
    <w:tmpl w:val="2C5EA1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0554B4B"/>
    <w:multiLevelType w:val="hybridMultilevel"/>
    <w:tmpl w:val="8DE86612"/>
    <w:lvl w:ilvl="0" w:tplc="0F186532">
      <w:start w:val="1"/>
      <w:numFmt w:val="decimal"/>
      <w:lvlText w:val="%1."/>
      <w:lvlJc w:val="left"/>
      <w:pPr>
        <w:ind w:left="720" w:hanging="360"/>
      </w:pPr>
      <w:rPr>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12E4F6C"/>
    <w:multiLevelType w:val="hybridMultilevel"/>
    <w:tmpl w:val="76CAAA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11D25909"/>
    <w:multiLevelType w:val="hybridMultilevel"/>
    <w:tmpl w:val="564874A8"/>
    <w:lvl w:ilvl="0" w:tplc="2326CA1E">
      <w:start w:val="1"/>
      <w:numFmt w:val="decimal"/>
      <w:lvlText w:val="%1."/>
      <w:lvlJc w:val="left"/>
      <w:pPr>
        <w:ind w:left="530" w:hanging="360"/>
      </w:pPr>
      <w:rPr>
        <w:rFonts w:hint="default"/>
      </w:rPr>
    </w:lvl>
    <w:lvl w:ilvl="1" w:tplc="0C090019" w:tentative="1">
      <w:start w:val="1"/>
      <w:numFmt w:val="lowerLetter"/>
      <w:lvlText w:val="%2."/>
      <w:lvlJc w:val="left"/>
      <w:pPr>
        <w:ind w:left="1250" w:hanging="360"/>
      </w:pPr>
    </w:lvl>
    <w:lvl w:ilvl="2" w:tplc="0C09001B" w:tentative="1">
      <w:start w:val="1"/>
      <w:numFmt w:val="lowerRoman"/>
      <w:lvlText w:val="%3."/>
      <w:lvlJc w:val="right"/>
      <w:pPr>
        <w:ind w:left="1970" w:hanging="180"/>
      </w:pPr>
    </w:lvl>
    <w:lvl w:ilvl="3" w:tplc="0C09000F" w:tentative="1">
      <w:start w:val="1"/>
      <w:numFmt w:val="decimal"/>
      <w:lvlText w:val="%4."/>
      <w:lvlJc w:val="left"/>
      <w:pPr>
        <w:ind w:left="2690" w:hanging="360"/>
      </w:pPr>
    </w:lvl>
    <w:lvl w:ilvl="4" w:tplc="0C090019" w:tentative="1">
      <w:start w:val="1"/>
      <w:numFmt w:val="lowerLetter"/>
      <w:lvlText w:val="%5."/>
      <w:lvlJc w:val="left"/>
      <w:pPr>
        <w:ind w:left="3410" w:hanging="360"/>
      </w:pPr>
    </w:lvl>
    <w:lvl w:ilvl="5" w:tplc="0C09001B" w:tentative="1">
      <w:start w:val="1"/>
      <w:numFmt w:val="lowerRoman"/>
      <w:lvlText w:val="%6."/>
      <w:lvlJc w:val="right"/>
      <w:pPr>
        <w:ind w:left="4130" w:hanging="180"/>
      </w:pPr>
    </w:lvl>
    <w:lvl w:ilvl="6" w:tplc="0C09000F" w:tentative="1">
      <w:start w:val="1"/>
      <w:numFmt w:val="decimal"/>
      <w:lvlText w:val="%7."/>
      <w:lvlJc w:val="left"/>
      <w:pPr>
        <w:ind w:left="4850" w:hanging="360"/>
      </w:pPr>
    </w:lvl>
    <w:lvl w:ilvl="7" w:tplc="0C090019" w:tentative="1">
      <w:start w:val="1"/>
      <w:numFmt w:val="lowerLetter"/>
      <w:lvlText w:val="%8."/>
      <w:lvlJc w:val="left"/>
      <w:pPr>
        <w:ind w:left="5570" w:hanging="360"/>
      </w:pPr>
    </w:lvl>
    <w:lvl w:ilvl="8" w:tplc="0C09001B" w:tentative="1">
      <w:start w:val="1"/>
      <w:numFmt w:val="lowerRoman"/>
      <w:lvlText w:val="%9."/>
      <w:lvlJc w:val="right"/>
      <w:pPr>
        <w:ind w:left="6290" w:hanging="180"/>
      </w:pPr>
    </w:lvl>
  </w:abstractNum>
  <w:abstractNum w:abstractNumId="19" w15:restartNumberingAfterBreak="0">
    <w:nsid w:val="12795002"/>
    <w:multiLevelType w:val="hybridMultilevel"/>
    <w:tmpl w:val="574A14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579747A"/>
    <w:multiLevelType w:val="multilevel"/>
    <w:tmpl w:val="9FB8ED98"/>
    <w:lvl w:ilvl="0">
      <w:start w:val="1"/>
      <w:numFmt w:val="none"/>
      <w:pStyle w:val="ExecutiveHeading"/>
      <w:suff w:val="nothing"/>
      <w:lvlText w:val=""/>
      <w:lvlJc w:val="left"/>
      <w:pPr>
        <w:ind w:left="0" w:firstLine="0"/>
      </w:pPr>
      <w:rPr>
        <w:rFonts w:hint="default"/>
      </w:rPr>
    </w:lvl>
    <w:lvl w:ilvl="1">
      <w:start w:val="1"/>
      <w:numFmt w:val="lowerRoman"/>
      <w:lvlRestart w:val="0"/>
      <w:pStyle w:val="ExecTableCaption"/>
      <w:suff w:val="nothing"/>
      <w:lvlText w:val="Table %2"/>
      <w:lvlJc w:val="left"/>
      <w:pPr>
        <w:ind w:left="0" w:firstLine="0"/>
      </w:pPr>
      <w:rPr>
        <w:rFonts w:hint="default"/>
      </w:rPr>
    </w:lvl>
    <w:lvl w:ilvl="2">
      <w:start w:val="1"/>
      <w:numFmt w:val="lowerRoman"/>
      <w:lvlRestart w:val="0"/>
      <w:pStyle w:val="ExecChartCaption"/>
      <w:suff w:val="nothing"/>
      <w:lvlText w:val="Chart %3"/>
      <w:lvlJc w:val="left"/>
      <w:pPr>
        <w:ind w:left="0" w:firstLine="0"/>
      </w:pPr>
      <w:rPr>
        <w:rFonts w:hint="default"/>
      </w:rPr>
    </w:lvl>
    <w:lvl w:ilvl="3">
      <w:start w:val="1"/>
      <w:numFmt w:val="lowerRoman"/>
      <w:lvlRestart w:val="0"/>
      <w:pStyle w:val="ExecFigureCaption"/>
      <w:suff w:val="nothing"/>
      <w:lvlText w:val="Figure %4"/>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7"/>
      <w:lvlJc w:val="left"/>
      <w:pPr>
        <w:ind w:left="0" w:firstLine="0"/>
      </w:pPr>
      <w:rPr>
        <w:rFonts w:hint="default"/>
      </w:rPr>
    </w:lvl>
    <w:lvl w:ilvl="7">
      <w:start w:val="1"/>
      <w:numFmt w:val="none"/>
      <w:lvlText w:val="%8"/>
      <w:lvlJc w:val="left"/>
      <w:pPr>
        <w:ind w:left="0" w:firstLine="0"/>
      </w:pPr>
      <w:rPr>
        <w:rFonts w:hint="default"/>
      </w:rPr>
    </w:lvl>
    <w:lvl w:ilvl="8">
      <w:start w:val="1"/>
      <w:numFmt w:val="none"/>
      <w:lvlText w:val="%9"/>
      <w:lvlJc w:val="left"/>
      <w:pPr>
        <w:ind w:left="0" w:firstLine="0"/>
      </w:pPr>
      <w:rPr>
        <w:rFonts w:hint="default"/>
      </w:rPr>
    </w:lvl>
  </w:abstractNum>
  <w:abstractNum w:abstractNumId="21" w15:restartNumberingAfterBreak="0">
    <w:nsid w:val="17AD0B9B"/>
    <w:multiLevelType w:val="hybridMultilevel"/>
    <w:tmpl w:val="BBB22E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17C3461C"/>
    <w:multiLevelType w:val="hybridMultilevel"/>
    <w:tmpl w:val="E550AB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8E0104F"/>
    <w:multiLevelType w:val="multilevel"/>
    <w:tmpl w:val="57629E32"/>
    <w:lvl w:ilvl="0">
      <w:start w:val="1"/>
      <w:numFmt w:val="bullet"/>
      <w:pStyle w:val="ListBullet3"/>
      <w:lvlText w:val=""/>
      <w:lvlJc w:val="left"/>
      <w:pPr>
        <w:ind w:left="1021" w:hanging="341"/>
      </w:pPr>
      <w:rPr>
        <w:rFonts w:ascii="Symbol" w:hAnsi="Symbol" w:hint="default"/>
      </w:rPr>
    </w:lvl>
    <w:lvl w:ilvl="1">
      <w:start w:val="1"/>
      <w:numFmt w:val="bullet"/>
      <w:lvlText w:val="–"/>
      <w:lvlJc w:val="left"/>
      <w:pPr>
        <w:ind w:left="1361" w:hanging="341"/>
      </w:pPr>
      <w:rPr>
        <w:rFonts w:ascii="Verdana" w:hAnsi="Verdana" w:hint="default"/>
      </w:rPr>
    </w:lvl>
    <w:lvl w:ilvl="2">
      <w:start w:val="1"/>
      <w:numFmt w:val="bullet"/>
      <w:lvlText w:val=""/>
      <w:lvlJc w:val="left"/>
      <w:pPr>
        <w:ind w:left="1701" w:hanging="341"/>
      </w:pPr>
      <w:rPr>
        <w:rFonts w:ascii="Symbol" w:hAnsi="Symbol" w:hint="default"/>
      </w:rPr>
    </w:lvl>
    <w:lvl w:ilvl="3">
      <w:start w:val="1"/>
      <w:numFmt w:val="bullet"/>
      <w:lvlText w:val="–"/>
      <w:lvlJc w:val="left"/>
      <w:pPr>
        <w:ind w:left="2041" w:hanging="341"/>
      </w:pPr>
      <w:rPr>
        <w:rFonts w:ascii="Verdana" w:hAnsi="Verdana" w:hint="default"/>
      </w:rPr>
    </w:lvl>
    <w:lvl w:ilvl="4">
      <w:start w:val="1"/>
      <w:numFmt w:val="bullet"/>
      <w:lvlText w:val=""/>
      <w:lvlJc w:val="left"/>
      <w:pPr>
        <w:ind w:left="2381" w:hanging="341"/>
      </w:pPr>
      <w:rPr>
        <w:rFonts w:ascii="Symbol" w:hAnsi="Symbol" w:hint="default"/>
      </w:rPr>
    </w:lvl>
    <w:lvl w:ilvl="5">
      <w:start w:val="1"/>
      <w:numFmt w:val="bullet"/>
      <w:lvlText w:val="–"/>
      <w:lvlJc w:val="left"/>
      <w:pPr>
        <w:ind w:left="2721" w:hanging="341"/>
      </w:pPr>
      <w:rPr>
        <w:rFonts w:ascii="Verdana" w:hAnsi="Verdana" w:hint="default"/>
      </w:rPr>
    </w:lvl>
    <w:lvl w:ilvl="6">
      <w:start w:val="1"/>
      <w:numFmt w:val="bullet"/>
      <w:lvlText w:val=""/>
      <w:lvlJc w:val="left"/>
      <w:pPr>
        <w:ind w:left="3061" w:hanging="341"/>
      </w:pPr>
      <w:rPr>
        <w:rFonts w:ascii="Symbol" w:hAnsi="Symbol" w:hint="default"/>
      </w:rPr>
    </w:lvl>
    <w:lvl w:ilvl="7">
      <w:start w:val="1"/>
      <w:numFmt w:val="bullet"/>
      <w:lvlText w:val="–"/>
      <w:lvlJc w:val="left"/>
      <w:pPr>
        <w:ind w:left="3401" w:hanging="341"/>
      </w:pPr>
      <w:rPr>
        <w:rFonts w:ascii="Verdana" w:hAnsi="Verdana" w:hint="default"/>
      </w:rPr>
    </w:lvl>
    <w:lvl w:ilvl="8">
      <w:start w:val="1"/>
      <w:numFmt w:val="bullet"/>
      <w:lvlText w:val=""/>
      <w:lvlJc w:val="left"/>
      <w:pPr>
        <w:ind w:left="3741" w:hanging="341"/>
      </w:pPr>
      <w:rPr>
        <w:rFonts w:ascii="Symbol" w:hAnsi="Symbol" w:hint="default"/>
      </w:rPr>
    </w:lvl>
  </w:abstractNum>
  <w:abstractNum w:abstractNumId="24" w15:restartNumberingAfterBreak="0">
    <w:nsid w:val="1B17052B"/>
    <w:multiLevelType w:val="hybridMultilevel"/>
    <w:tmpl w:val="C1267F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1B663F6B"/>
    <w:multiLevelType w:val="hybridMultilevel"/>
    <w:tmpl w:val="74D68F0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21143ABD"/>
    <w:multiLevelType w:val="hybridMultilevel"/>
    <w:tmpl w:val="51663484"/>
    <w:lvl w:ilvl="0" w:tplc="0C090001">
      <w:start w:val="1"/>
      <w:numFmt w:val="bullet"/>
      <w:lvlText w:val=""/>
      <w:lvlJc w:val="left"/>
      <w:pPr>
        <w:ind w:left="417" w:hanging="360"/>
      </w:pPr>
      <w:rPr>
        <w:rFonts w:ascii="Symbol" w:hAnsi="Symbol" w:hint="default"/>
      </w:rPr>
    </w:lvl>
    <w:lvl w:ilvl="1" w:tplc="0C090003" w:tentative="1">
      <w:start w:val="1"/>
      <w:numFmt w:val="bullet"/>
      <w:lvlText w:val="o"/>
      <w:lvlJc w:val="left"/>
      <w:pPr>
        <w:ind w:left="1137" w:hanging="360"/>
      </w:pPr>
      <w:rPr>
        <w:rFonts w:ascii="Courier New" w:hAnsi="Courier New" w:cs="Courier New" w:hint="default"/>
      </w:rPr>
    </w:lvl>
    <w:lvl w:ilvl="2" w:tplc="0C090005" w:tentative="1">
      <w:start w:val="1"/>
      <w:numFmt w:val="bullet"/>
      <w:lvlText w:val=""/>
      <w:lvlJc w:val="left"/>
      <w:pPr>
        <w:ind w:left="1857" w:hanging="360"/>
      </w:pPr>
      <w:rPr>
        <w:rFonts w:ascii="Wingdings" w:hAnsi="Wingdings" w:hint="default"/>
      </w:rPr>
    </w:lvl>
    <w:lvl w:ilvl="3" w:tplc="0C090001" w:tentative="1">
      <w:start w:val="1"/>
      <w:numFmt w:val="bullet"/>
      <w:lvlText w:val=""/>
      <w:lvlJc w:val="left"/>
      <w:pPr>
        <w:ind w:left="2577" w:hanging="360"/>
      </w:pPr>
      <w:rPr>
        <w:rFonts w:ascii="Symbol" w:hAnsi="Symbol" w:hint="default"/>
      </w:rPr>
    </w:lvl>
    <w:lvl w:ilvl="4" w:tplc="0C090003" w:tentative="1">
      <w:start w:val="1"/>
      <w:numFmt w:val="bullet"/>
      <w:lvlText w:val="o"/>
      <w:lvlJc w:val="left"/>
      <w:pPr>
        <w:ind w:left="3297" w:hanging="360"/>
      </w:pPr>
      <w:rPr>
        <w:rFonts w:ascii="Courier New" w:hAnsi="Courier New" w:cs="Courier New" w:hint="default"/>
      </w:rPr>
    </w:lvl>
    <w:lvl w:ilvl="5" w:tplc="0C090005" w:tentative="1">
      <w:start w:val="1"/>
      <w:numFmt w:val="bullet"/>
      <w:lvlText w:val=""/>
      <w:lvlJc w:val="left"/>
      <w:pPr>
        <w:ind w:left="4017" w:hanging="360"/>
      </w:pPr>
      <w:rPr>
        <w:rFonts w:ascii="Wingdings" w:hAnsi="Wingdings" w:hint="default"/>
      </w:rPr>
    </w:lvl>
    <w:lvl w:ilvl="6" w:tplc="0C090001" w:tentative="1">
      <w:start w:val="1"/>
      <w:numFmt w:val="bullet"/>
      <w:lvlText w:val=""/>
      <w:lvlJc w:val="left"/>
      <w:pPr>
        <w:ind w:left="4737" w:hanging="360"/>
      </w:pPr>
      <w:rPr>
        <w:rFonts w:ascii="Symbol" w:hAnsi="Symbol" w:hint="default"/>
      </w:rPr>
    </w:lvl>
    <w:lvl w:ilvl="7" w:tplc="0C090003" w:tentative="1">
      <w:start w:val="1"/>
      <w:numFmt w:val="bullet"/>
      <w:lvlText w:val="o"/>
      <w:lvlJc w:val="left"/>
      <w:pPr>
        <w:ind w:left="5457" w:hanging="360"/>
      </w:pPr>
      <w:rPr>
        <w:rFonts w:ascii="Courier New" w:hAnsi="Courier New" w:cs="Courier New" w:hint="default"/>
      </w:rPr>
    </w:lvl>
    <w:lvl w:ilvl="8" w:tplc="0C090005" w:tentative="1">
      <w:start w:val="1"/>
      <w:numFmt w:val="bullet"/>
      <w:lvlText w:val=""/>
      <w:lvlJc w:val="left"/>
      <w:pPr>
        <w:ind w:left="6177" w:hanging="360"/>
      </w:pPr>
      <w:rPr>
        <w:rFonts w:ascii="Wingdings" w:hAnsi="Wingdings" w:hint="default"/>
      </w:rPr>
    </w:lvl>
  </w:abstractNum>
  <w:abstractNum w:abstractNumId="27" w15:restartNumberingAfterBreak="0">
    <w:nsid w:val="229B46B2"/>
    <w:multiLevelType w:val="hybridMultilevel"/>
    <w:tmpl w:val="EA4627E2"/>
    <w:lvl w:ilvl="0" w:tplc="8DB61B1E">
      <w:start w:val="1"/>
      <w:numFmt w:val="decimal"/>
      <w:lvlText w:val="%1."/>
      <w:lvlJc w:val="left"/>
      <w:pPr>
        <w:ind w:left="360" w:hanging="360"/>
      </w:pPr>
      <w:rPr>
        <w:rFonts w:hint="default"/>
        <w:b/>
        <w:bCs/>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251A1FAF"/>
    <w:multiLevelType w:val="hybridMultilevel"/>
    <w:tmpl w:val="4B86AB02"/>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29" w15:restartNumberingAfterBreak="0">
    <w:nsid w:val="25C128A4"/>
    <w:multiLevelType w:val="hybridMultilevel"/>
    <w:tmpl w:val="D02E03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25DE7D40"/>
    <w:multiLevelType w:val="hybridMultilevel"/>
    <w:tmpl w:val="FF9A71E2"/>
    <w:lvl w:ilvl="0" w:tplc="9B6C299E">
      <w:numFmt w:val="bullet"/>
      <w:lvlText w:val="-"/>
      <w:lvlJc w:val="left"/>
      <w:pPr>
        <w:ind w:left="720" w:hanging="360"/>
      </w:pPr>
      <w:rPr>
        <w:rFonts w:ascii="Verdana" w:eastAsiaTheme="minorHAnsi" w:hAnsi="Verdan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7134CC7"/>
    <w:multiLevelType w:val="hybridMultilevel"/>
    <w:tmpl w:val="99E0AEE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27CA3D09"/>
    <w:multiLevelType w:val="hybridMultilevel"/>
    <w:tmpl w:val="AA5E54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2AD61CD7"/>
    <w:multiLevelType w:val="hybridMultilevel"/>
    <w:tmpl w:val="5BECF7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2AF47AAC"/>
    <w:multiLevelType w:val="hybridMultilevel"/>
    <w:tmpl w:val="DE8C3C0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2B650CDA"/>
    <w:multiLevelType w:val="hybridMultilevel"/>
    <w:tmpl w:val="5F2819CE"/>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36" w15:restartNumberingAfterBreak="0">
    <w:nsid w:val="2B9F302D"/>
    <w:multiLevelType w:val="multilevel"/>
    <w:tmpl w:val="58063B50"/>
    <w:lvl w:ilvl="0">
      <w:start w:val="1"/>
      <w:numFmt w:val="bullet"/>
      <w:pStyle w:val="BulletedText1"/>
      <w:lvlText w:val=""/>
      <w:lvlJc w:val="left"/>
      <w:pPr>
        <w:ind w:left="227" w:hanging="227"/>
      </w:pPr>
      <w:rPr>
        <w:rFonts w:ascii="Wingdings" w:hAnsi="Wingdings" w:hint="default"/>
        <w:color w:val="44546A" w:themeColor="text2"/>
        <w:sz w:val="18"/>
      </w:rPr>
    </w:lvl>
    <w:lvl w:ilvl="1">
      <w:start w:val="1"/>
      <w:numFmt w:val="bullet"/>
      <w:pStyle w:val="BulletedText2"/>
      <w:lvlText w:val="–"/>
      <w:lvlJc w:val="left"/>
      <w:pPr>
        <w:ind w:left="454" w:hanging="227"/>
      </w:pPr>
      <w:rPr>
        <w:rFonts w:ascii="Verdana" w:hAnsi="Verdana" w:hint="default"/>
      </w:rPr>
    </w:lvl>
    <w:lvl w:ilvl="2">
      <w:start w:val="1"/>
      <w:numFmt w:val="bullet"/>
      <w:lvlText w:val=""/>
      <w:lvlJc w:val="left"/>
      <w:pPr>
        <w:ind w:left="681" w:hanging="227"/>
      </w:pPr>
      <w:rPr>
        <w:rFonts w:ascii="Wingdings" w:hAnsi="Wingdings" w:hint="default"/>
        <w:color w:val="44546A" w:themeColor="text2"/>
      </w:rPr>
    </w:lvl>
    <w:lvl w:ilvl="3">
      <w:start w:val="1"/>
      <w:numFmt w:val="bullet"/>
      <w:lvlText w:val="–"/>
      <w:lvlJc w:val="left"/>
      <w:pPr>
        <w:ind w:left="908" w:hanging="227"/>
      </w:pPr>
      <w:rPr>
        <w:rFonts w:ascii="Gotham Bold" w:hAnsi="Gotham Bold" w:hint="default"/>
        <w:color w:val="64645A"/>
      </w:rPr>
    </w:lvl>
    <w:lvl w:ilvl="4">
      <w:start w:val="1"/>
      <w:numFmt w:val="bullet"/>
      <w:lvlText w:val=""/>
      <w:lvlJc w:val="left"/>
      <w:pPr>
        <w:ind w:left="1135" w:hanging="227"/>
      </w:pPr>
      <w:rPr>
        <w:rFonts w:ascii="Wingdings" w:hAnsi="Wingdings" w:hint="default"/>
        <w:color w:val="44546A" w:themeColor="text2"/>
      </w:rPr>
    </w:lvl>
    <w:lvl w:ilvl="5">
      <w:start w:val="1"/>
      <w:numFmt w:val="bullet"/>
      <w:lvlText w:val="–"/>
      <w:lvlJc w:val="left"/>
      <w:pPr>
        <w:ind w:left="1362" w:hanging="227"/>
      </w:pPr>
      <w:rPr>
        <w:rFonts w:ascii="Gotham Bold" w:hAnsi="Gotham Bold" w:hint="default"/>
        <w:color w:val="64645A"/>
      </w:rPr>
    </w:lvl>
    <w:lvl w:ilvl="6">
      <w:start w:val="1"/>
      <w:numFmt w:val="bullet"/>
      <w:lvlText w:val=""/>
      <w:lvlJc w:val="left"/>
      <w:pPr>
        <w:ind w:left="1589" w:hanging="227"/>
      </w:pPr>
      <w:rPr>
        <w:rFonts w:ascii="Wingdings" w:hAnsi="Wingdings" w:hint="default"/>
        <w:color w:val="44546A" w:themeColor="text2"/>
      </w:rPr>
    </w:lvl>
    <w:lvl w:ilvl="7">
      <w:start w:val="1"/>
      <w:numFmt w:val="bullet"/>
      <w:lvlText w:val="–"/>
      <w:lvlJc w:val="left"/>
      <w:pPr>
        <w:ind w:left="1816" w:hanging="227"/>
      </w:pPr>
      <w:rPr>
        <w:rFonts w:ascii="Gotham Bold" w:hAnsi="Gotham Bold" w:hint="default"/>
        <w:color w:val="64645A"/>
      </w:rPr>
    </w:lvl>
    <w:lvl w:ilvl="8">
      <w:start w:val="1"/>
      <w:numFmt w:val="bullet"/>
      <w:lvlText w:val=""/>
      <w:lvlJc w:val="left"/>
      <w:pPr>
        <w:ind w:left="2043" w:hanging="227"/>
      </w:pPr>
      <w:rPr>
        <w:rFonts w:ascii="Wingdings" w:hAnsi="Wingdings" w:hint="default"/>
        <w:color w:val="44546A" w:themeColor="text2"/>
      </w:rPr>
    </w:lvl>
  </w:abstractNum>
  <w:abstractNum w:abstractNumId="37" w15:restartNumberingAfterBreak="0">
    <w:nsid w:val="32A63C73"/>
    <w:multiLevelType w:val="hybridMultilevel"/>
    <w:tmpl w:val="ABBCB58A"/>
    <w:styleLink w:val="Style1"/>
    <w:lvl w:ilvl="0" w:tplc="21D8AFA2">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800"/>
        </w:tabs>
        <w:ind w:left="1800" w:hanging="360"/>
      </w:pPr>
      <w:rPr>
        <w:rFonts w:ascii="Courier New" w:hAnsi="Courier New" w:hint="default"/>
      </w:rPr>
    </w:lvl>
    <w:lvl w:ilvl="2" w:tplc="0C090005">
      <w:start w:val="1"/>
      <w:numFmt w:val="bullet"/>
      <w:lvlText w:val=""/>
      <w:lvlJc w:val="left"/>
      <w:pPr>
        <w:tabs>
          <w:tab w:val="num" w:pos="2520"/>
        </w:tabs>
        <w:ind w:left="2520" w:hanging="360"/>
      </w:pPr>
      <w:rPr>
        <w:rFonts w:ascii="Wingdings" w:hAnsi="Wingdings" w:hint="default"/>
      </w:rPr>
    </w:lvl>
    <w:lvl w:ilvl="3" w:tplc="0C090001">
      <w:start w:val="1"/>
      <w:numFmt w:val="bullet"/>
      <w:lvlText w:val=""/>
      <w:lvlJc w:val="left"/>
      <w:pPr>
        <w:tabs>
          <w:tab w:val="num" w:pos="3240"/>
        </w:tabs>
        <w:ind w:left="3240" w:hanging="360"/>
      </w:pPr>
      <w:rPr>
        <w:rFonts w:ascii="Symbol" w:hAnsi="Symbol" w:hint="default"/>
      </w:rPr>
    </w:lvl>
    <w:lvl w:ilvl="4" w:tplc="0C090003">
      <w:start w:val="1"/>
      <w:numFmt w:val="bullet"/>
      <w:lvlText w:val="o"/>
      <w:lvlJc w:val="left"/>
      <w:pPr>
        <w:tabs>
          <w:tab w:val="num" w:pos="3960"/>
        </w:tabs>
        <w:ind w:left="3960" w:hanging="360"/>
      </w:pPr>
      <w:rPr>
        <w:rFonts w:ascii="Courier New" w:hAnsi="Courier New" w:hint="default"/>
      </w:rPr>
    </w:lvl>
    <w:lvl w:ilvl="5" w:tplc="0C090005">
      <w:start w:val="1"/>
      <w:numFmt w:val="bullet"/>
      <w:lvlText w:val=""/>
      <w:lvlJc w:val="left"/>
      <w:pPr>
        <w:tabs>
          <w:tab w:val="num" w:pos="4680"/>
        </w:tabs>
        <w:ind w:left="4680" w:hanging="360"/>
      </w:pPr>
      <w:rPr>
        <w:rFonts w:ascii="Wingdings" w:hAnsi="Wingdings" w:hint="default"/>
      </w:rPr>
    </w:lvl>
    <w:lvl w:ilvl="6" w:tplc="0C090001">
      <w:start w:val="1"/>
      <w:numFmt w:val="bullet"/>
      <w:lvlText w:val=""/>
      <w:lvlJc w:val="left"/>
      <w:pPr>
        <w:tabs>
          <w:tab w:val="num" w:pos="5400"/>
        </w:tabs>
        <w:ind w:left="5400" w:hanging="360"/>
      </w:pPr>
      <w:rPr>
        <w:rFonts w:ascii="Symbol" w:hAnsi="Symbol" w:hint="default"/>
      </w:rPr>
    </w:lvl>
    <w:lvl w:ilvl="7" w:tplc="0C090003">
      <w:start w:val="1"/>
      <w:numFmt w:val="bullet"/>
      <w:lvlText w:val="o"/>
      <w:lvlJc w:val="left"/>
      <w:pPr>
        <w:tabs>
          <w:tab w:val="num" w:pos="6120"/>
        </w:tabs>
        <w:ind w:left="6120" w:hanging="360"/>
      </w:pPr>
      <w:rPr>
        <w:rFonts w:ascii="Courier New" w:hAnsi="Courier New" w:hint="default"/>
      </w:rPr>
    </w:lvl>
    <w:lvl w:ilvl="8" w:tplc="0C090005">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34EE529B"/>
    <w:multiLevelType w:val="hybridMultilevel"/>
    <w:tmpl w:val="D4401918"/>
    <w:lvl w:ilvl="0" w:tplc="E3B42380">
      <w:start w:val="1"/>
      <w:numFmt w:val="bullet"/>
      <w:lvlRestart w:val="0"/>
      <w:pStyle w:val="BulletPoint"/>
      <w:lvlText w:val=""/>
      <w:lvlJc w:val="left"/>
      <w:pPr>
        <w:tabs>
          <w:tab w:val="num" w:pos="567"/>
        </w:tabs>
        <w:ind w:left="567" w:hanging="567"/>
      </w:pPr>
      <w:rPr>
        <w:rFonts w:ascii="Wingdings" w:hAnsi="Wingdings" w:hint="default"/>
        <w:color w:val="931638"/>
      </w:rPr>
    </w:lvl>
    <w:lvl w:ilvl="1" w:tplc="60E832D6">
      <w:start w:val="1"/>
      <w:numFmt w:val="bullet"/>
      <w:lvlRestart w:val="0"/>
      <w:lvlText w:val=""/>
      <w:lvlJc w:val="left"/>
      <w:pPr>
        <w:tabs>
          <w:tab w:val="num" w:pos="1134"/>
        </w:tabs>
        <w:ind w:left="1134" w:hanging="567"/>
      </w:pPr>
      <w:rPr>
        <w:rFonts w:ascii="Wingdings 3" w:hAnsi="Wingdings 3" w:hint="default"/>
        <w:b/>
        <w:i w:val="0"/>
        <w:color w:val="931638"/>
        <w:sz w:val="24"/>
      </w:rPr>
    </w:lvl>
    <w:lvl w:ilvl="2" w:tplc="9D762A64">
      <w:start w:val="1"/>
      <w:numFmt w:val="lowerRoman"/>
      <w:lvlText w:val="%3)"/>
      <w:lvlJc w:val="left"/>
      <w:pPr>
        <w:tabs>
          <w:tab w:val="num" w:pos="1080"/>
        </w:tabs>
        <w:ind w:left="1080" w:hanging="360"/>
      </w:pPr>
    </w:lvl>
    <w:lvl w:ilvl="3" w:tplc="C2CE0BC0">
      <w:start w:val="1"/>
      <w:numFmt w:val="decimal"/>
      <w:lvlText w:val="(%4)"/>
      <w:lvlJc w:val="left"/>
      <w:pPr>
        <w:tabs>
          <w:tab w:val="num" w:pos="1440"/>
        </w:tabs>
        <w:ind w:left="1440" w:hanging="360"/>
      </w:pPr>
    </w:lvl>
    <w:lvl w:ilvl="4" w:tplc="173E1CAE">
      <w:start w:val="1"/>
      <w:numFmt w:val="lowerLetter"/>
      <w:lvlText w:val="(%5)"/>
      <w:lvlJc w:val="left"/>
      <w:pPr>
        <w:tabs>
          <w:tab w:val="num" w:pos="1800"/>
        </w:tabs>
        <w:ind w:left="1800" w:hanging="360"/>
      </w:pPr>
    </w:lvl>
    <w:lvl w:ilvl="5" w:tplc="92A65740">
      <w:start w:val="1"/>
      <w:numFmt w:val="lowerRoman"/>
      <w:lvlText w:val="(%6)"/>
      <w:lvlJc w:val="left"/>
      <w:pPr>
        <w:tabs>
          <w:tab w:val="num" w:pos="2160"/>
        </w:tabs>
        <w:ind w:left="2160" w:hanging="360"/>
      </w:pPr>
    </w:lvl>
    <w:lvl w:ilvl="6" w:tplc="8FFC41BC">
      <w:start w:val="1"/>
      <w:numFmt w:val="decimal"/>
      <w:lvlText w:val="%7."/>
      <w:lvlJc w:val="left"/>
      <w:pPr>
        <w:tabs>
          <w:tab w:val="num" w:pos="2520"/>
        </w:tabs>
        <w:ind w:left="2520" w:hanging="360"/>
      </w:pPr>
    </w:lvl>
    <w:lvl w:ilvl="7" w:tplc="36FAA4DE">
      <w:start w:val="1"/>
      <w:numFmt w:val="lowerLetter"/>
      <w:lvlText w:val="%8."/>
      <w:lvlJc w:val="left"/>
      <w:pPr>
        <w:tabs>
          <w:tab w:val="num" w:pos="2880"/>
        </w:tabs>
        <w:ind w:left="2880" w:hanging="360"/>
      </w:pPr>
    </w:lvl>
    <w:lvl w:ilvl="8" w:tplc="8A2AE2D6">
      <w:start w:val="1"/>
      <w:numFmt w:val="lowerRoman"/>
      <w:lvlText w:val="%9."/>
      <w:lvlJc w:val="left"/>
      <w:pPr>
        <w:tabs>
          <w:tab w:val="num" w:pos="3240"/>
        </w:tabs>
        <w:ind w:left="3240" w:hanging="360"/>
      </w:pPr>
    </w:lvl>
  </w:abstractNum>
  <w:abstractNum w:abstractNumId="39" w15:restartNumberingAfterBreak="0">
    <w:nsid w:val="3514753B"/>
    <w:multiLevelType w:val="hybridMultilevel"/>
    <w:tmpl w:val="421EDA30"/>
    <w:lvl w:ilvl="0" w:tplc="1ACC5920">
      <w:start w:val="1"/>
      <w:numFmt w:val="bullet"/>
      <w:lvlText w:val=""/>
      <w:lvlJc w:val="left"/>
      <w:pPr>
        <w:ind w:left="360" w:hanging="360"/>
      </w:pPr>
      <w:rPr>
        <w:rFonts w:ascii="Symbol" w:hAnsi="Symbol" w:hint="default"/>
        <w:color w:val="000000"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380E364B"/>
    <w:multiLevelType w:val="hybridMultilevel"/>
    <w:tmpl w:val="1592C1B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39151BAF"/>
    <w:multiLevelType w:val="hybridMultilevel"/>
    <w:tmpl w:val="67EA02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3B351BB6"/>
    <w:multiLevelType w:val="hybridMultilevel"/>
    <w:tmpl w:val="73501C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3BD652A5"/>
    <w:multiLevelType w:val="hybridMultilevel"/>
    <w:tmpl w:val="B742DE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3FAD01D2"/>
    <w:multiLevelType w:val="multilevel"/>
    <w:tmpl w:val="CF86CD88"/>
    <w:lvl w:ilvl="0">
      <w:start w:val="1"/>
      <w:numFmt w:val="decimal"/>
      <w:pStyle w:val="Heading1"/>
      <w:lvlText w:val="%1"/>
      <w:lvlJc w:val="left"/>
      <w:pPr>
        <w:ind w:left="794" w:hanging="794"/>
      </w:pPr>
      <w:rPr>
        <w:rFonts w:hint="default"/>
      </w:rPr>
    </w:lvl>
    <w:lvl w:ilvl="1">
      <w:start w:val="1"/>
      <w:numFmt w:val="decimal"/>
      <w:pStyle w:val="Heading2"/>
      <w:lvlText w:val="%1.%2"/>
      <w:lvlJc w:val="left"/>
      <w:pPr>
        <w:ind w:left="794" w:hanging="794"/>
      </w:pPr>
      <w:rPr>
        <w:rFonts w:hint="default"/>
      </w:rPr>
    </w:lvl>
    <w:lvl w:ilvl="2">
      <w:start w:val="1"/>
      <w:numFmt w:val="decimal"/>
      <w:pStyle w:val="Heading3"/>
      <w:lvlText w:val="%1.%2.%3"/>
      <w:lvlJc w:val="left"/>
      <w:pPr>
        <w:ind w:left="1021" w:hanging="1021"/>
      </w:pPr>
      <w:rPr>
        <w:rFonts w:hint="default"/>
      </w:rPr>
    </w:lvl>
    <w:lvl w:ilvl="3">
      <w:start w:val="1"/>
      <w:numFmt w:val="decimal"/>
      <w:pStyle w:val="Heading4"/>
      <w:lvlText w:val="%1.%2.%3.%4"/>
      <w:lvlJc w:val="left"/>
      <w:pPr>
        <w:ind w:left="1134" w:hanging="1134"/>
      </w:pPr>
      <w:rPr>
        <w:rFonts w:hint="default"/>
      </w:rPr>
    </w:lvl>
    <w:lvl w:ilvl="4">
      <w:start w:val="1"/>
      <w:numFmt w:val="decimal"/>
      <w:pStyle w:val="Heading5"/>
      <w:lvlText w:val="%1.%2.%3.%4.%5"/>
      <w:lvlJc w:val="left"/>
      <w:pPr>
        <w:ind w:left="1077" w:hanging="1077"/>
      </w:pPr>
      <w:rPr>
        <w:rFonts w:hint="default"/>
      </w:rPr>
    </w:lvl>
    <w:lvl w:ilvl="5">
      <w:start w:val="1"/>
      <w:numFmt w:val="decimal"/>
      <w:pStyle w:val="Heading6"/>
      <w:lvlText w:val="%1.%2.%3.%4.%5.%6"/>
      <w:lvlJc w:val="left"/>
      <w:pPr>
        <w:ind w:left="1247" w:hanging="1247"/>
      </w:pPr>
      <w:rPr>
        <w:rFonts w:hint="default"/>
      </w:rPr>
    </w:lvl>
    <w:lvl w:ilvl="6">
      <w:start w:val="1"/>
      <w:numFmt w:val="decimal"/>
      <w:lvlRestart w:val="1"/>
      <w:pStyle w:val="CaptionTable"/>
      <w:suff w:val="nothing"/>
      <w:lvlText w:val="Table %1.%7"/>
      <w:lvlJc w:val="left"/>
      <w:pPr>
        <w:ind w:left="0" w:firstLine="0"/>
      </w:pPr>
      <w:rPr>
        <w:rFonts w:hint="default"/>
      </w:rPr>
    </w:lvl>
    <w:lvl w:ilvl="7">
      <w:start w:val="1"/>
      <w:numFmt w:val="decimal"/>
      <w:lvlRestart w:val="1"/>
      <w:pStyle w:val="CaptionChart"/>
      <w:suff w:val="nothing"/>
      <w:lvlText w:val="Chart %1.%8"/>
      <w:lvlJc w:val="left"/>
      <w:pPr>
        <w:ind w:left="6663"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decimal"/>
      <w:lvlRestart w:val="1"/>
      <w:pStyle w:val="CaptionFigure"/>
      <w:suff w:val="nothing"/>
      <w:lvlText w:val="Figure %1.%9"/>
      <w:lvlJc w:val="left"/>
      <w:pPr>
        <w:ind w:left="142" w:firstLine="0"/>
      </w:pPr>
      <w:rPr>
        <w:rFonts w:hint="default"/>
      </w:rPr>
    </w:lvl>
  </w:abstractNum>
  <w:abstractNum w:abstractNumId="45" w15:restartNumberingAfterBreak="0">
    <w:nsid w:val="405F4842"/>
    <w:multiLevelType w:val="multilevel"/>
    <w:tmpl w:val="FEBE891E"/>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46" w15:restartNumberingAfterBreak="0">
    <w:nsid w:val="411D38B0"/>
    <w:multiLevelType w:val="hybridMultilevel"/>
    <w:tmpl w:val="034AAC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4220138B"/>
    <w:multiLevelType w:val="hybridMultilevel"/>
    <w:tmpl w:val="D03406E8"/>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8" w15:restartNumberingAfterBreak="0">
    <w:nsid w:val="44E711C3"/>
    <w:multiLevelType w:val="hybridMultilevel"/>
    <w:tmpl w:val="E04A12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451578A7"/>
    <w:multiLevelType w:val="multilevel"/>
    <w:tmpl w:val="1356211C"/>
    <w:lvl w:ilvl="0">
      <w:start w:val="1"/>
      <w:numFmt w:val="bullet"/>
      <w:pStyle w:val="ListBullet"/>
      <w:lvlText w:val=""/>
      <w:lvlJc w:val="left"/>
      <w:pPr>
        <w:ind w:left="340" w:hanging="340"/>
      </w:pPr>
      <w:rPr>
        <w:rFonts w:ascii="Symbol" w:hAnsi="Symbol" w:hint="default"/>
        <w:color w:val="auto"/>
      </w:rPr>
    </w:lvl>
    <w:lvl w:ilvl="1">
      <w:start w:val="1"/>
      <w:numFmt w:val="bullet"/>
      <w:lvlText w:val="–"/>
      <w:lvlJc w:val="left"/>
      <w:pPr>
        <w:ind w:left="680" w:hanging="340"/>
      </w:pPr>
      <w:rPr>
        <w:rFonts w:ascii="Verdana" w:hAnsi="Verdana" w:hint="default"/>
      </w:rPr>
    </w:lvl>
    <w:lvl w:ilvl="2">
      <w:start w:val="1"/>
      <w:numFmt w:val="bullet"/>
      <w:lvlText w:val=""/>
      <w:lvlJc w:val="left"/>
      <w:pPr>
        <w:ind w:left="1020" w:hanging="340"/>
      </w:pPr>
      <w:rPr>
        <w:rFonts w:ascii="Symbol" w:hAnsi="Symbol" w:hint="default"/>
        <w:color w:val="auto"/>
      </w:rPr>
    </w:lvl>
    <w:lvl w:ilvl="3">
      <w:start w:val="1"/>
      <w:numFmt w:val="bullet"/>
      <w:lvlText w:val="–"/>
      <w:lvlJc w:val="left"/>
      <w:pPr>
        <w:ind w:left="1360" w:hanging="340"/>
      </w:pPr>
      <w:rPr>
        <w:rFonts w:ascii="Verdana" w:hAnsi="Verdana" w:hint="default"/>
      </w:rPr>
    </w:lvl>
    <w:lvl w:ilvl="4">
      <w:start w:val="1"/>
      <w:numFmt w:val="bullet"/>
      <w:lvlText w:val=""/>
      <w:lvlJc w:val="left"/>
      <w:pPr>
        <w:ind w:left="1700" w:hanging="340"/>
      </w:pPr>
      <w:rPr>
        <w:rFonts w:ascii="Symbol" w:hAnsi="Symbol" w:hint="default"/>
      </w:rPr>
    </w:lvl>
    <w:lvl w:ilvl="5">
      <w:start w:val="1"/>
      <w:numFmt w:val="bullet"/>
      <w:lvlText w:val="–"/>
      <w:lvlJc w:val="left"/>
      <w:pPr>
        <w:ind w:left="2040" w:hanging="340"/>
      </w:pPr>
      <w:rPr>
        <w:rFonts w:ascii="Verdana" w:hAnsi="Verdana" w:hint="default"/>
      </w:rPr>
    </w:lvl>
    <w:lvl w:ilvl="6">
      <w:start w:val="1"/>
      <w:numFmt w:val="bullet"/>
      <w:lvlText w:val=""/>
      <w:lvlJc w:val="left"/>
      <w:pPr>
        <w:ind w:left="2380" w:hanging="340"/>
      </w:pPr>
      <w:rPr>
        <w:rFonts w:ascii="Symbol" w:hAnsi="Symbol" w:hint="default"/>
      </w:rPr>
    </w:lvl>
    <w:lvl w:ilvl="7">
      <w:start w:val="1"/>
      <w:numFmt w:val="bullet"/>
      <w:lvlText w:val="–"/>
      <w:lvlJc w:val="left"/>
      <w:pPr>
        <w:ind w:left="2720" w:hanging="340"/>
      </w:pPr>
      <w:rPr>
        <w:rFonts w:ascii="Verdana" w:hAnsi="Verdana" w:hint="default"/>
      </w:rPr>
    </w:lvl>
    <w:lvl w:ilvl="8">
      <w:start w:val="1"/>
      <w:numFmt w:val="bullet"/>
      <w:lvlText w:val=""/>
      <w:lvlJc w:val="left"/>
      <w:pPr>
        <w:ind w:left="3060" w:hanging="340"/>
      </w:pPr>
      <w:rPr>
        <w:rFonts w:ascii="Symbol" w:hAnsi="Symbol" w:hint="default"/>
      </w:rPr>
    </w:lvl>
  </w:abstractNum>
  <w:abstractNum w:abstractNumId="50" w15:restartNumberingAfterBreak="0">
    <w:nsid w:val="457C67BE"/>
    <w:multiLevelType w:val="hybridMultilevel"/>
    <w:tmpl w:val="9A7E6C42"/>
    <w:lvl w:ilvl="0" w:tplc="2E444D5E">
      <w:start w:val="1"/>
      <w:numFmt w:val="bullet"/>
      <w:pStyle w:val="Table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68B015C"/>
    <w:multiLevelType w:val="hybridMultilevel"/>
    <w:tmpl w:val="C96005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477E6EBC"/>
    <w:multiLevelType w:val="multilevel"/>
    <w:tmpl w:val="7B98EE74"/>
    <w:lvl w:ilvl="0">
      <w:start w:val="1"/>
      <w:numFmt w:val="decimal"/>
      <w:pStyle w:val="Numberslevel1"/>
      <w:lvlText w:val="%1."/>
      <w:lvlJc w:val="left"/>
      <w:pPr>
        <w:ind w:left="360" w:hanging="360"/>
      </w:pPr>
      <w:rPr>
        <w:rFonts w:hint="default"/>
      </w:rPr>
    </w:lvl>
    <w:lvl w:ilvl="1">
      <w:start w:val="1"/>
      <w:numFmt w:val="lowerLetter"/>
      <w:pStyle w:val="Numberslevel2"/>
      <w:lvlText w:val="%2)"/>
      <w:lvlJc w:val="left"/>
      <w:pPr>
        <w:ind w:left="720" w:hanging="360"/>
      </w:pPr>
      <w:rPr>
        <w:rFonts w:hint="default"/>
      </w:rPr>
    </w:lvl>
    <w:lvl w:ilvl="2">
      <w:start w:val="1"/>
      <w:numFmt w:val="lowerRoman"/>
      <w:pStyle w:val="Numberslevel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15:restartNumberingAfterBreak="0">
    <w:nsid w:val="494B134C"/>
    <w:multiLevelType w:val="hybridMultilevel"/>
    <w:tmpl w:val="099AA640"/>
    <w:lvl w:ilvl="0" w:tplc="0C090001">
      <w:start w:val="1"/>
      <w:numFmt w:val="bullet"/>
      <w:lvlText w:val=""/>
      <w:lvlJc w:val="left"/>
      <w:pPr>
        <w:ind w:left="530" w:hanging="360"/>
      </w:pPr>
      <w:rPr>
        <w:rFonts w:ascii="Symbol" w:hAnsi="Symbol" w:hint="default"/>
      </w:rPr>
    </w:lvl>
    <w:lvl w:ilvl="1" w:tplc="0C090019" w:tentative="1">
      <w:start w:val="1"/>
      <w:numFmt w:val="lowerLetter"/>
      <w:lvlText w:val="%2."/>
      <w:lvlJc w:val="left"/>
      <w:pPr>
        <w:ind w:left="1250" w:hanging="360"/>
      </w:pPr>
    </w:lvl>
    <w:lvl w:ilvl="2" w:tplc="0C09001B" w:tentative="1">
      <w:start w:val="1"/>
      <w:numFmt w:val="lowerRoman"/>
      <w:lvlText w:val="%3."/>
      <w:lvlJc w:val="right"/>
      <w:pPr>
        <w:ind w:left="1970" w:hanging="180"/>
      </w:pPr>
    </w:lvl>
    <w:lvl w:ilvl="3" w:tplc="0C09000F" w:tentative="1">
      <w:start w:val="1"/>
      <w:numFmt w:val="decimal"/>
      <w:lvlText w:val="%4."/>
      <w:lvlJc w:val="left"/>
      <w:pPr>
        <w:ind w:left="2690" w:hanging="360"/>
      </w:pPr>
    </w:lvl>
    <w:lvl w:ilvl="4" w:tplc="0C090019" w:tentative="1">
      <w:start w:val="1"/>
      <w:numFmt w:val="lowerLetter"/>
      <w:lvlText w:val="%5."/>
      <w:lvlJc w:val="left"/>
      <w:pPr>
        <w:ind w:left="3410" w:hanging="360"/>
      </w:pPr>
    </w:lvl>
    <w:lvl w:ilvl="5" w:tplc="0C09001B" w:tentative="1">
      <w:start w:val="1"/>
      <w:numFmt w:val="lowerRoman"/>
      <w:lvlText w:val="%6."/>
      <w:lvlJc w:val="right"/>
      <w:pPr>
        <w:ind w:left="4130" w:hanging="180"/>
      </w:pPr>
    </w:lvl>
    <w:lvl w:ilvl="6" w:tplc="0C09000F" w:tentative="1">
      <w:start w:val="1"/>
      <w:numFmt w:val="decimal"/>
      <w:lvlText w:val="%7."/>
      <w:lvlJc w:val="left"/>
      <w:pPr>
        <w:ind w:left="4850" w:hanging="360"/>
      </w:pPr>
    </w:lvl>
    <w:lvl w:ilvl="7" w:tplc="0C090019" w:tentative="1">
      <w:start w:val="1"/>
      <w:numFmt w:val="lowerLetter"/>
      <w:lvlText w:val="%8."/>
      <w:lvlJc w:val="left"/>
      <w:pPr>
        <w:ind w:left="5570" w:hanging="360"/>
      </w:pPr>
    </w:lvl>
    <w:lvl w:ilvl="8" w:tplc="0C09001B" w:tentative="1">
      <w:start w:val="1"/>
      <w:numFmt w:val="lowerRoman"/>
      <w:lvlText w:val="%9."/>
      <w:lvlJc w:val="right"/>
      <w:pPr>
        <w:ind w:left="6290" w:hanging="180"/>
      </w:pPr>
    </w:lvl>
  </w:abstractNum>
  <w:abstractNum w:abstractNumId="54" w15:restartNumberingAfterBreak="0">
    <w:nsid w:val="4C406862"/>
    <w:multiLevelType w:val="hybridMultilevel"/>
    <w:tmpl w:val="810AC8B2"/>
    <w:lvl w:ilvl="0" w:tplc="69C0879A">
      <w:start w:val="1"/>
      <w:numFmt w:val="decimal"/>
      <w:pStyle w:val="ListNumber3"/>
      <w:lvlText w:val="%1."/>
      <w:lvlJc w:val="left"/>
      <w:pPr>
        <w:ind w:left="1400" w:hanging="360"/>
      </w:pPr>
    </w:lvl>
    <w:lvl w:ilvl="1" w:tplc="0C090019" w:tentative="1">
      <w:start w:val="1"/>
      <w:numFmt w:val="lowerLetter"/>
      <w:lvlText w:val="%2."/>
      <w:lvlJc w:val="left"/>
      <w:pPr>
        <w:ind w:left="2120" w:hanging="360"/>
      </w:pPr>
    </w:lvl>
    <w:lvl w:ilvl="2" w:tplc="0C09001B" w:tentative="1">
      <w:start w:val="1"/>
      <w:numFmt w:val="lowerRoman"/>
      <w:lvlText w:val="%3."/>
      <w:lvlJc w:val="right"/>
      <w:pPr>
        <w:ind w:left="2840" w:hanging="180"/>
      </w:pPr>
    </w:lvl>
    <w:lvl w:ilvl="3" w:tplc="0C09000F" w:tentative="1">
      <w:start w:val="1"/>
      <w:numFmt w:val="decimal"/>
      <w:lvlText w:val="%4."/>
      <w:lvlJc w:val="left"/>
      <w:pPr>
        <w:ind w:left="3560" w:hanging="360"/>
      </w:pPr>
    </w:lvl>
    <w:lvl w:ilvl="4" w:tplc="0C090019" w:tentative="1">
      <w:start w:val="1"/>
      <w:numFmt w:val="lowerLetter"/>
      <w:lvlText w:val="%5."/>
      <w:lvlJc w:val="left"/>
      <w:pPr>
        <w:ind w:left="4280" w:hanging="360"/>
      </w:pPr>
    </w:lvl>
    <w:lvl w:ilvl="5" w:tplc="0C09001B" w:tentative="1">
      <w:start w:val="1"/>
      <w:numFmt w:val="lowerRoman"/>
      <w:lvlText w:val="%6."/>
      <w:lvlJc w:val="right"/>
      <w:pPr>
        <w:ind w:left="5000" w:hanging="180"/>
      </w:pPr>
    </w:lvl>
    <w:lvl w:ilvl="6" w:tplc="0C09000F" w:tentative="1">
      <w:start w:val="1"/>
      <w:numFmt w:val="decimal"/>
      <w:lvlText w:val="%7."/>
      <w:lvlJc w:val="left"/>
      <w:pPr>
        <w:ind w:left="5720" w:hanging="360"/>
      </w:pPr>
    </w:lvl>
    <w:lvl w:ilvl="7" w:tplc="0C090019" w:tentative="1">
      <w:start w:val="1"/>
      <w:numFmt w:val="lowerLetter"/>
      <w:lvlText w:val="%8."/>
      <w:lvlJc w:val="left"/>
      <w:pPr>
        <w:ind w:left="6440" w:hanging="360"/>
      </w:pPr>
    </w:lvl>
    <w:lvl w:ilvl="8" w:tplc="0C09001B" w:tentative="1">
      <w:start w:val="1"/>
      <w:numFmt w:val="lowerRoman"/>
      <w:lvlText w:val="%9."/>
      <w:lvlJc w:val="right"/>
      <w:pPr>
        <w:ind w:left="7160" w:hanging="180"/>
      </w:pPr>
    </w:lvl>
  </w:abstractNum>
  <w:abstractNum w:abstractNumId="55" w15:restartNumberingAfterBreak="0">
    <w:nsid w:val="4DCE2E8E"/>
    <w:multiLevelType w:val="multilevel"/>
    <w:tmpl w:val="3D485516"/>
    <w:name w:val="BulletList"/>
    <w:lvl w:ilvl="0">
      <w:numFmt w:val="none"/>
      <w:lvlText w:val=""/>
      <w:lvlJc w:val="left"/>
      <w:pPr>
        <w:tabs>
          <w:tab w:val="num" w:pos="360"/>
        </w:tabs>
      </w:pPr>
    </w:lvl>
    <w:lvl w:ilvl="1">
      <w:start w:val="1"/>
      <w:numFmt w:val="bullet"/>
      <w:lvlRestart w:val="0"/>
      <w:lvlText w:val=""/>
      <w:lvlJc w:val="left"/>
      <w:pPr>
        <w:tabs>
          <w:tab w:val="num" w:pos="1134"/>
        </w:tabs>
        <w:ind w:left="1134" w:hanging="567"/>
      </w:pPr>
      <w:rPr>
        <w:rFonts w:ascii="Wingdings 3" w:hAnsi="Wingdings 3" w:hint="default"/>
        <w:b/>
        <w:i w:val="0"/>
        <w:color w:val="931638"/>
        <w:sz w:val="24"/>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6" w15:restartNumberingAfterBreak="0">
    <w:nsid w:val="508D6D12"/>
    <w:multiLevelType w:val="hybridMultilevel"/>
    <w:tmpl w:val="1ABE67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50A04A79"/>
    <w:multiLevelType w:val="hybridMultilevel"/>
    <w:tmpl w:val="7A0CA7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51A560C1"/>
    <w:multiLevelType w:val="hybridMultilevel"/>
    <w:tmpl w:val="094611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520430FE"/>
    <w:multiLevelType w:val="hybridMultilevel"/>
    <w:tmpl w:val="81FC44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52717446"/>
    <w:multiLevelType w:val="hybridMultilevel"/>
    <w:tmpl w:val="F6C8F516"/>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1" w15:restartNumberingAfterBreak="0">
    <w:nsid w:val="55223DCE"/>
    <w:multiLevelType w:val="hybridMultilevel"/>
    <w:tmpl w:val="AB0C7D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554F7F58"/>
    <w:multiLevelType w:val="hybridMultilevel"/>
    <w:tmpl w:val="6F3247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56497C3E"/>
    <w:multiLevelType w:val="hybridMultilevel"/>
    <w:tmpl w:val="B8FE8C9C"/>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4" w15:restartNumberingAfterBreak="0">
    <w:nsid w:val="580F70EB"/>
    <w:multiLevelType w:val="hybridMultilevel"/>
    <w:tmpl w:val="67D84750"/>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65" w15:restartNumberingAfterBreak="0">
    <w:nsid w:val="5E941912"/>
    <w:multiLevelType w:val="hybridMultilevel"/>
    <w:tmpl w:val="0F826348"/>
    <w:lvl w:ilvl="0" w:tplc="FFA641EA">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5F0F13F9"/>
    <w:multiLevelType w:val="hybridMultilevel"/>
    <w:tmpl w:val="E68E62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609152D5"/>
    <w:multiLevelType w:val="hybridMultilevel"/>
    <w:tmpl w:val="95E85276"/>
    <w:lvl w:ilvl="0" w:tplc="0D3636FA">
      <w:start w:val="1"/>
      <w:numFmt w:val="decimal"/>
      <w:pStyle w:val="Tablenumbered"/>
      <w:lvlText w:val="%1."/>
      <w:lvlJc w:val="left"/>
      <w:pPr>
        <w:ind w:left="720" w:hanging="360"/>
      </w:pPr>
    </w:lvl>
    <w:lvl w:ilvl="1" w:tplc="7996F936" w:tentative="1">
      <w:start w:val="1"/>
      <w:numFmt w:val="lowerLetter"/>
      <w:lvlText w:val="%2."/>
      <w:lvlJc w:val="left"/>
      <w:pPr>
        <w:ind w:left="1440" w:hanging="360"/>
      </w:pPr>
    </w:lvl>
    <w:lvl w:ilvl="2" w:tplc="0E6C94CC" w:tentative="1">
      <w:start w:val="1"/>
      <w:numFmt w:val="lowerRoman"/>
      <w:lvlText w:val="%3."/>
      <w:lvlJc w:val="right"/>
      <w:pPr>
        <w:ind w:left="2160" w:hanging="180"/>
      </w:pPr>
    </w:lvl>
    <w:lvl w:ilvl="3" w:tplc="00DA055E" w:tentative="1">
      <w:start w:val="1"/>
      <w:numFmt w:val="decimal"/>
      <w:lvlText w:val="%4."/>
      <w:lvlJc w:val="left"/>
      <w:pPr>
        <w:ind w:left="2880" w:hanging="360"/>
      </w:pPr>
    </w:lvl>
    <w:lvl w:ilvl="4" w:tplc="5BE0FF6A" w:tentative="1">
      <w:start w:val="1"/>
      <w:numFmt w:val="lowerLetter"/>
      <w:lvlText w:val="%5."/>
      <w:lvlJc w:val="left"/>
      <w:pPr>
        <w:ind w:left="3600" w:hanging="360"/>
      </w:pPr>
    </w:lvl>
    <w:lvl w:ilvl="5" w:tplc="0AE2F662" w:tentative="1">
      <w:start w:val="1"/>
      <w:numFmt w:val="lowerRoman"/>
      <w:lvlText w:val="%6."/>
      <w:lvlJc w:val="right"/>
      <w:pPr>
        <w:ind w:left="4320" w:hanging="180"/>
      </w:pPr>
    </w:lvl>
    <w:lvl w:ilvl="6" w:tplc="BB2E865E" w:tentative="1">
      <w:start w:val="1"/>
      <w:numFmt w:val="decimal"/>
      <w:lvlText w:val="%7."/>
      <w:lvlJc w:val="left"/>
      <w:pPr>
        <w:ind w:left="5040" w:hanging="360"/>
      </w:pPr>
    </w:lvl>
    <w:lvl w:ilvl="7" w:tplc="23A4B1A6" w:tentative="1">
      <w:start w:val="1"/>
      <w:numFmt w:val="lowerLetter"/>
      <w:lvlText w:val="%8."/>
      <w:lvlJc w:val="left"/>
      <w:pPr>
        <w:ind w:left="5760" w:hanging="360"/>
      </w:pPr>
    </w:lvl>
    <w:lvl w:ilvl="8" w:tplc="C82247A4" w:tentative="1">
      <w:start w:val="1"/>
      <w:numFmt w:val="lowerRoman"/>
      <w:lvlText w:val="%9."/>
      <w:lvlJc w:val="right"/>
      <w:pPr>
        <w:ind w:left="6480" w:hanging="180"/>
      </w:pPr>
    </w:lvl>
  </w:abstractNum>
  <w:abstractNum w:abstractNumId="68" w15:restartNumberingAfterBreak="0">
    <w:nsid w:val="613E5F43"/>
    <w:multiLevelType w:val="hybridMultilevel"/>
    <w:tmpl w:val="C8D074D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62BB7EC4"/>
    <w:multiLevelType w:val="hybridMultilevel"/>
    <w:tmpl w:val="054EC3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0" w15:restartNumberingAfterBreak="0">
    <w:nsid w:val="62F46508"/>
    <w:multiLevelType w:val="multilevel"/>
    <w:tmpl w:val="D0444464"/>
    <w:lvl w:ilvl="0">
      <w:start w:val="1"/>
      <w:numFmt w:val="bullet"/>
      <w:pStyle w:val="ListBullet2"/>
      <w:lvlText w:val="o"/>
      <w:lvlJc w:val="left"/>
      <w:pPr>
        <w:ind w:left="360" w:hanging="360"/>
      </w:pPr>
      <w:rPr>
        <w:rFonts w:ascii="Courier New" w:hAnsi="Courier New" w:cs="Courier New" w:hint="default"/>
      </w:rPr>
    </w:lvl>
    <w:lvl w:ilvl="1">
      <w:start w:val="1"/>
      <w:numFmt w:val="bullet"/>
      <w:lvlText w:val=""/>
      <w:lvlJc w:val="left"/>
      <w:pPr>
        <w:ind w:left="1020" w:hanging="340"/>
      </w:pPr>
      <w:rPr>
        <w:rFonts w:ascii="Symbol" w:hAnsi="Symbol" w:hint="default"/>
      </w:rPr>
    </w:lvl>
    <w:lvl w:ilvl="2">
      <w:start w:val="1"/>
      <w:numFmt w:val="bullet"/>
      <w:lvlText w:val="–"/>
      <w:lvlJc w:val="left"/>
      <w:pPr>
        <w:ind w:left="1360" w:hanging="340"/>
      </w:pPr>
      <w:rPr>
        <w:rFonts w:ascii="Verdana" w:hAnsi="Verdana" w:hint="default"/>
      </w:rPr>
    </w:lvl>
    <w:lvl w:ilvl="3">
      <w:start w:val="1"/>
      <w:numFmt w:val="bullet"/>
      <w:lvlText w:val=""/>
      <w:lvlJc w:val="left"/>
      <w:pPr>
        <w:ind w:left="1700" w:hanging="340"/>
      </w:pPr>
      <w:rPr>
        <w:rFonts w:ascii="Symbol" w:hAnsi="Symbol" w:hint="default"/>
        <w:color w:val="auto"/>
      </w:rPr>
    </w:lvl>
    <w:lvl w:ilvl="4">
      <w:start w:val="1"/>
      <w:numFmt w:val="bullet"/>
      <w:lvlText w:val="–"/>
      <w:lvlJc w:val="left"/>
      <w:pPr>
        <w:ind w:left="2040" w:hanging="340"/>
      </w:pPr>
      <w:rPr>
        <w:rFonts w:ascii="Verdana" w:hAnsi="Verdana" w:hint="default"/>
      </w:rPr>
    </w:lvl>
    <w:lvl w:ilvl="5">
      <w:start w:val="1"/>
      <w:numFmt w:val="bullet"/>
      <w:lvlText w:val=""/>
      <w:lvlJc w:val="left"/>
      <w:pPr>
        <w:ind w:left="2380" w:hanging="340"/>
      </w:pPr>
      <w:rPr>
        <w:rFonts w:ascii="Symbol" w:hAnsi="Symbol" w:hint="default"/>
      </w:rPr>
    </w:lvl>
    <w:lvl w:ilvl="6">
      <w:start w:val="1"/>
      <w:numFmt w:val="bullet"/>
      <w:lvlText w:val="–"/>
      <w:lvlJc w:val="left"/>
      <w:pPr>
        <w:ind w:left="2720" w:hanging="340"/>
      </w:pPr>
      <w:rPr>
        <w:rFonts w:ascii="Verdana" w:hAnsi="Verdana" w:hint="default"/>
      </w:rPr>
    </w:lvl>
    <w:lvl w:ilvl="7">
      <w:start w:val="1"/>
      <w:numFmt w:val="bullet"/>
      <w:lvlText w:val=""/>
      <w:lvlJc w:val="left"/>
      <w:pPr>
        <w:ind w:left="3060" w:hanging="340"/>
      </w:pPr>
      <w:rPr>
        <w:rFonts w:ascii="Symbol" w:hAnsi="Symbol" w:hint="default"/>
      </w:rPr>
    </w:lvl>
    <w:lvl w:ilvl="8">
      <w:start w:val="1"/>
      <w:numFmt w:val="bullet"/>
      <w:lvlText w:val="–"/>
      <w:lvlJc w:val="left"/>
      <w:pPr>
        <w:ind w:left="3400" w:hanging="340"/>
      </w:pPr>
      <w:rPr>
        <w:rFonts w:ascii="Verdana" w:hAnsi="Verdana" w:hint="default"/>
      </w:rPr>
    </w:lvl>
  </w:abstractNum>
  <w:abstractNum w:abstractNumId="71" w15:restartNumberingAfterBreak="0">
    <w:nsid w:val="64A30C95"/>
    <w:multiLevelType w:val="hybridMultilevel"/>
    <w:tmpl w:val="99E0AEE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64D347AE"/>
    <w:multiLevelType w:val="hybridMultilevel"/>
    <w:tmpl w:val="5C4E7D5E"/>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670870B0"/>
    <w:multiLevelType w:val="hybridMultilevel"/>
    <w:tmpl w:val="ABB821C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15:restartNumberingAfterBreak="0">
    <w:nsid w:val="678A5CAE"/>
    <w:multiLevelType w:val="hybridMultilevel"/>
    <w:tmpl w:val="86E221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68251B6F"/>
    <w:multiLevelType w:val="hybridMultilevel"/>
    <w:tmpl w:val="4094C1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696476AC"/>
    <w:multiLevelType w:val="hybridMultilevel"/>
    <w:tmpl w:val="CA9AEF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7" w15:restartNumberingAfterBreak="0">
    <w:nsid w:val="6A714CCE"/>
    <w:multiLevelType w:val="hybridMultilevel"/>
    <w:tmpl w:val="6BF62E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8" w15:restartNumberingAfterBreak="0">
    <w:nsid w:val="6C315250"/>
    <w:multiLevelType w:val="hybridMultilevel"/>
    <w:tmpl w:val="654C7C8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71C022C9"/>
    <w:multiLevelType w:val="hybridMultilevel"/>
    <w:tmpl w:val="449A29F6"/>
    <w:lvl w:ilvl="0" w:tplc="0C090001">
      <w:start w:val="1"/>
      <w:numFmt w:val="bullet"/>
      <w:lvlText w:val=""/>
      <w:lvlJc w:val="left"/>
      <w:pPr>
        <w:ind w:left="473" w:hanging="360"/>
      </w:pPr>
      <w:rPr>
        <w:rFonts w:ascii="Symbol" w:hAnsi="Symbol" w:hint="default"/>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80" w15:restartNumberingAfterBreak="0">
    <w:nsid w:val="779A0DED"/>
    <w:multiLevelType w:val="hybridMultilevel"/>
    <w:tmpl w:val="BFA487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780F31F2"/>
    <w:multiLevelType w:val="hybridMultilevel"/>
    <w:tmpl w:val="7E0C33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2" w15:restartNumberingAfterBreak="0">
    <w:nsid w:val="782D3999"/>
    <w:multiLevelType w:val="hybridMultilevel"/>
    <w:tmpl w:val="AE6C06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3" w15:restartNumberingAfterBreak="0">
    <w:nsid w:val="7B5252E5"/>
    <w:multiLevelType w:val="hybridMultilevel"/>
    <w:tmpl w:val="654C7C8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4" w15:restartNumberingAfterBreak="0">
    <w:nsid w:val="7CA3504D"/>
    <w:multiLevelType w:val="hybridMultilevel"/>
    <w:tmpl w:val="7ECE39F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15:restartNumberingAfterBreak="0">
    <w:nsid w:val="7EDD4887"/>
    <w:multiLevelType w:val="hybridMultilevel"/>
    <w:tmpl w:val="99E0AEE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6"/>
  </w:num>
  <w:num w:numId="2">
    <w:abstractNumId w:val="44"/>
  </w:num>
  <w:num w:numId="3">
    <w:abstractNumId w:val="3"/>
  </w:num>
  <w:num w:numId="4">
    <w:abstractNumId w:val="2"/>
  </w:num>
  <w:num w:numId="5">
    <w:abstractNumId w:val="1"/>
  </w:num>
  <w:num w:numId="6">
    <w:abstractNumId w:val="0"/>
  </w:num>
  <w:num w:numId="7">
    <w:abstractNumId w:val="52"/>
  </w:num>
  <w:num w:numId="8">
    <w:abstractNumId w:val="50"/>
  </w:num>
  <w:num w:numId="9">
    <w:abstractNumId w:val="67"/>
  </w:num>
  <w:num w:numId="10">
    <w:abstractNumId w:val="20"/>
  </w:num>
  <w:num w:numId="11">
    <w:abstractNumId w:val="14"/>
  </w:num>
  <w:num w:numId="12">
    <w:abstractNumId w:val="5"/>
  </w:num>
  <w:num w:numId="13">
    <w:abstractNumId w:val="49"/>
  </w:num>
  <w:num w:numId="14">
    <w:abstractNumId w:val="45"/>
  </w:num>
  <w:num w:numId="15">
    <w:abstractNumId w:val="70"/>
  </w:num>
  <w:num w:numId="16">
    <w:abstractNumId w:val="23"/>
  </w:num>
  <w:num w:numId="17">
    <w:abstractNumId w:val="51"/>
  </w:num>
  <w:num w:numId="18">
    <w:abstractNumId w:val="27"/>
  </w:num>
  <w:num w:numId="19">
    <w:abstractNumId w:val="48"/>
  </w:num>
  <w:num w:numId="20">
    <w:abstractNumId w:val="34"/>
  </w:num>
  <w:num w:numId="21">
    <w:abstractNumId w:val="16"/>
  </w:num>
  <w:num w:numId="22">
    <w:abstractNumId w:val="4"/>
  </w:num>
  <w:num w:numId="23">
    <w:abstractNumId w:val="77"/>
  </w:num>
  <w:num w:numId="24">
    <w:abstractNumId w:val="64"/>
  </w:num>
  <w:num w:numId="25">
    <w:abstractNumId w:val="38"/>
  </w:num>
  <w:num w:numId="26">
    <w:abstractNumId w:val="81"/>
  </w:num>
  <w:num w:numId="27">
    <w:abstractNumId w:val="57"/>
  </w:num>
  <w:num w:numId="28">
    <w:abstractNumId w:val="56"/>
  </w:num>
  <w:num w:numId="29">
    <w:abstractNumId w:val="15"/>
  </w:num>
  <w:num w:numId="30">
    <w:abstractNumId w:val="21"/>
  </w:num>
  <w:num w:numId="31">
    <w:abstractNumId w:val="85"/>
  </w:num>
  <w:num w:numId="3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9"/>
  </w:num>
  <w:num w:numId="34">
    <w:abstractNumId w:val="28"/>
  </w:num>
  <w:num w:numId="35">
    <w:abstractNumId w:val="46"/>
  </w:num>
  <w:num w:numId="36">
    <w:abstractNumId w:val="84"/>
  </w:num>
  <w:num w:numId="37">
    <w:abstractNumId w:val="37"/>
  </w:num>
  <w:num w:numId="38">
    <w:abstractNumId w:val="17"/>
  </w:num>
  <w:num w:numId="39">
    <w:abstractNumId w:val="32"/>
  </w:num>
  <w:num w:numId="40">
    <w:abstractNumId w:val="7"/>
  </w:num>
  <w:num w:numId="41">
    <w:abstractNumId w:val="82"/>
  </w:num>
  <w:num w:numId="42">
    <w:abstractNumId w:val="76"/>
  </w:num>
  <w:num w:numId="43">
    <w:abstractNumId w:val="29"/>
  </w:num>
  <w:num w:numId="44">
    <w:abstractNumId w:val="41"/>
  </w:num>
  <w:num w:numId="45">
    <w:abstractNumId w:val="26"/>
  </w:num>
  <w:num w:numId="46">
    <w:abstractNumId w:val="69"/>
  </w:num>
  <w:num w:numId="47">
    <w:abstractNumId w:val="33"/>
  </w:num>
  <w:num w:numId="48">
    <w:abstractNumId w:val="30"/>
  </w:num>
  <w:num w:numId="49">
    <w:abstractNumId w:val="65"/>
  </w:num>
  <w:num w:numId="50">
    <w:abstractNumId w:val="63"/>
  </w:num>
  <w:num w:numId="51">
    <w:abstractNumId w:val="11"/>
  </w:num>
  <w:num w:numId="52">
    <w:abstractNumId w:val="8"/>
  </w:num>
  <w:num w:numId="53">
    <w:abstractNumId w:val="13"/>
  </w:num>
  <w:num w:numId="54">
    <w:abstractNumId w:val="61"/>
  </w:num>
  <w:num w:numId="55">
    <w:abstractNumId w:val="35"/>
  </w:num>
  <w:num w:numId="56">
    <w:abstractNumId w:val="71"/>
  </w:num>
  <w:num w:numId="57">
    <w:abstractNumId w:val="31"/>
  </w:num>
  <w:num w:numId="58">
    <w:abstractNumId w:val="78"/>
  </w:num>
  <w:num w:numId="59">
    <w:abstractNumId w:val="47"/>
  </w:num>
  <w:num w:numId="60">
    <w:abstractNumId w:val="40"/>
  </w:num>
  <w:num w:numId="61">
    <w:abstractNumId w:val="25"/>
  </w:num>
  <w:num w:numId="62">
    <w:abstractNumId w:val="12"/>
  </w:num>
  <w:num w:numId="63">
    <w:abstractNumId w:val="68"/>
  </w:num>
  <w:num w:numId="64">
    <w:abstractNumId w:val="73"/>
  </w:num>
  <w:num w:numId="65">
    <w:abstractNumId w:val="83"/>
  </w:num>
  <w:num w:numId="66">
    <w:abstractNumId w:val="18"/>
  </w:num>
  <w:num w:numId="67">
    <w:abstractNumId w:val="10"/>
  </w:num>
  <w:num w:numId="68">
    <w:abstractNumId w:val="43"/>
  </w:num>
  <w:num w:numId="69">
    <w:abstractNumId w:val="74"/>
  </w:num>
  <w:num w:numId="70">
    <w:abstractNumId w:val="42"/>
  </w:num>
  <w:num w:numId="71">
    <w:abstractNumId w:val="80"/>
  </w:num>
  <w:num w:numId="72">
    <w:abstractNumId w:val="59"/>
  </w:num>
  <w:num w:numId="73">
    <w:abstractNumId w:val="62"/>
  </w:num>
  <w:num w:numId="74">
    <w:abstractNumId w:val="58"/>
  </w:num>
  <w:num w:numId="75">
    <w:abstractNumId w:val="19"/>
  </w:num>
  <w:num w:numId="76">
    <w:abstractNumId w:val="66"/>
  </w:num>
  <w:num w:numId="77">
    <w:abstractNumId w:val="72"/>
  </w:num>
  <w:num w:numId="78">
    <w:abstractNumId w:val="60"/>
  </w:num>
  <w:num w:numId="79">
    <w:abstractNumId w:val="9"/>
  </w:num>
  <w:num w:numId="80">
    <w:abstractNumId w:val="24"/>
  </w:num>
  <w:num w:numId="81">
    <w:abstractNumId w:val="6"/>
  </w:num>
  <w:num w:numId="82">
    <w:abstractNumId w:val="53"/>
  </w:num>
  <w:num w:numId="83">
    <w:abstractNumId w:val="75"/>
  </w:num>
  <w:num w:numId="84">
    <w:abstractNumId w:val="79"/>
  </w:num>
  <w:num w:numId="85">
    <w:abstractNumId w:val="22"/>
  </w:num>
  <w:num w:numId="86">
    <w:abstractNumId w:val="49"/>
  </w:num>
  <w:num w:numId="87">
    <w:abstractNumId w:val="49"/>
  </w:num>
  <w:num w:numId="88">
    <w:abstractNumId w:val="49"/>
  </w:num>
  <w:num w:numId="89">
    <w:abstractNumId w:val="49"/>
  </w:num>
  <w:num w:numId="90">
    <w:abstractNumId w:val="54"/>
  </w:num>
  <w:num w:numId="91">
    <w:abstractNumId w:val="54"/>
  </w:num>
  <w:num w:numId="92">
    <w:abstractNumId w:val="54"/>
  </w:num>
  <w:num w:numId="93">
    <w:abstractNumId w:val="54"/>
  </w:num>
  <w:num w:numId="94">
    <w:abstractNumId w:val="54"/>
    <w:lvlOverride w:ilvl="0">
      <w:startOverride w:val="1"/>
    </w:lvlOverride>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DateAndTime/>
  <w:activeWritingStyle w:appName="MSWord" w:lang="da-DK" w:vendorID="64" w:dllVersion="6" w:nlCheck="1" w:checkStyle="0"/>
  <w:activeWritingStyle w:appName="MSWord" w:lang="en-GB" w:vendorID="64" w:dllVersion="6" w:nlCheck="1" w:checkStyle="1"/>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activeWritingStyle w:appName="MSWord" w:lang="da-DK" w:vendorID="64" w:dllVersion="0" w:nlCheck="1" w:checkStyle="0"/>
  <w:activeWritingStyle w:appName="MSWord" w:lang="en-GB" w:vendorID="64" w:dllVersion="0" w:nlCheck="1" w:checkStyle="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8193"/>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50AB"/>
    <w:rsid w:val="000000FB"/>
    <w:rsid w:val="00000381"/>
    <w:rsid w:val="0000042E"/>
    <w:rsid w:val="000005FE"/>
    <w:rsid w:val="0000061F"/>
    <w:rsid w:val="00000945"/>
    <w:rsid w:val="00000975"/>
    <w:rsid w:val="00000995"/>
    <w:rsid w:val="00000A53"/>
    <w:rsid w:val="00000A96"/>
    <w:rsid w:val="00000B5D"/>
    <w:rsid w:val="00000CF2"/>
    <w:rsid w:val="00000F4B"/>
    <w:rsid w:val="00000FA1"/>
    <w:rsid w:val="0000116B"/>
    <w:rsid w:val="0000139A"/>
    <w:rsid w:val="000013E2"/>
    <w:rsid w:val="00001579"/>
    <w:rsid w:val="0000164F"/>
    <w:rsid w:val="00001908"/>
    <w:rsid w:val="00001DBF"/>
    <w:rsid w:val="000021E4"/>
    <w:rsid w:val="0000247B"/>
    <w:rsid w:val="000026B4"/>
    <w:rsid w:val="00002988"/>
    <w:rsid w:val="00002B82"/>
    <w:rsid w:val="00002BA5"/>
    <w:rsid w:val="00002D25"/>
    <w:rsid w:val="00003040"/>
    <w:rsid w:val="00003142"/>
    <w:rsid w:val="000035E4"/>
    <w:rsid w:val="000036CA"/>
    <w:rsid w:val="000037D9"/>
    <w:rsid w:val="0000394C"/>
    <w:rsid w:val="000039B7"/>
    <w:rsid w:val="00003A5B"/>
    <w:rsid w:val="00003CFB"/>
    <w:rsid w:val="00003E4E"/>
    <w:rsid w:val="00003FA8"/>
    <w:rsid w:val="00004487"/>
    <w:rsid w:val="000045D9"/>
    <w:rsid w:val="00004679"/>
    <w:rsid w:val="00004BC2"/>
    <w:rsid w:val="00004C34"/>
    <w:rsid w:val="00004C44"/>
    <w:rsid w:val="00004D0C"/>
    <w:rsid w:val="0000507F"/>
    <w:rsid w:val="00005091"/>
    <w:rsid w:val="0000535A"/>
    <w:rsid w:val="00005734"/>
    <w:rsid w:val="000060C0"/>
    <w:rsid w:val="0000610B"/>
    <w:rsid w:val="00006164"/>
    <w:rsid w:val="000062BF"/>
    <w:rsid w:val="000063C9"/>
    <w:rsid w:val="00006684"/>
    <w:rsid w:val="00006686"/>
    <w:rsid w:val="000069E1"/>
    <w:rsid w:val="00006AE7"/>
    <w:rsid w:val="00007274"/>
    <w:rsid w:val="00007351"/>
    <w:rsid w:val="00007622"/>
    <w:rsid w:val="000077D3"/>
    <w:rsid w:val="0000783A"/>
    <w:rsid w:val="00007A3C"/>
    <w:rsid w:val="00007CAF"/>
    <w:rsid w:val="00007D19"/>
    <w:rsid w:val="00007E95"/>
    <w:rsid w:val="000103D6"/>
    <w:rsid w:val="00010B6B"/>
    <w:rsid w:val="00010D3C"/>
    <w:rsid w:val="00010E2D"/>
    <w:rsid w:val="0001112C"/>
    <w:rsid w:val="00011192"/>
    <w:rsid w:val="00011408"/>
    <w:rsid w:val="000116B0"/>
    <w:rsid w:val="00011823"/>
    <w:rsid w:val="00011976"/>
    <w:rsid w:val="00011A8D"/>
    <w:rsid w:val="00011AF5"/>
    <w:rsid w:val="00011FF6"/>
    <w:rsid w:val="00012069"/>
    <w:rsid w:val="00012431"/>
    <w:rsid w:val="00012638"/>
    <w:rsid w:val="00012ADA"/>
    <w:rsid w:val="00012E6F"/>
    <w:rsid w:val="0001310B"/>
    <w:rsid w:val="000131A3"/>
    <w:rsid w:val="0001323B"/>
    <w:rsid w:val="00013265"/>
    <w:rsid w:val="0001358A"/>
    <w:rsid w:val="0001363E"/>
    <w:rsid w:val="0001377E"/>
    <w:rsid w:val="00013949"/>
    <w:rsid w:val="000139B5"/>
    <w:rsid w:val="00013C4D"/>
    <w:rsid w:val="000143B4"/>
    <w:rsid w:val="000144D3"/>
    <w:rsid w:val="00014665"/>
    <w:rsid w:val="000148BE"/>
    <w:rsid w:val="0001496C"/>
    <w:rsid w:val="00014A0D"/>
    <w:rsid w:val="00014A9B"/>
    <w:rsid w:val="00014B89"/>
    <w:rsid w:val="00014D3E"/>
    <w:rsid w:val="00014F21"/>
    <w:rsid w:val="00015317"/>
    <w:rsid w:val="00015461"/>
    <w:rsid w:val="0001560B"/>
    <w:rsid w:val="0001564A"/>
    <w:rsid w:val="0001578B"/>
    <w:rsid w:val="000158B3"/>
    <w:rsid w:val="000158B6"/>
    <w:rsid w:val="000159E9"/>
    <w:rsid w:val="00015D7C"/>
    <w:rsid w:val="00016345"/>
    <w:rsid w:val="0001663E"/>
    <w:rsid w:val="000169CE"/>
    <w:rsid w:val="00016CDE"/>
    <w:rsid w:val="00017035"/>
    <w:rsid w:val="00017123"/>
    <w:rsid w:val="000173B3"/>
    <w:rsid w:val="0001776D"/>
    <w:rsid w:val="00017879"/>
    <w:rsid w:val="00017BA4"/>
    <w:rsid w:val="00017E4D"/>
    <w:rsid w:val="0002006C"/>
    <w:rsid w:val="00020128"/>
    <w:rsid w:val="00020297"/>
    <w:rsid w:val="00020319"/>
    <w:rsid w:val="00020517"/>
    <w:rsid w:val="000205EC"/>
    <w:rsid w:val="00020811"/>
    <w:rsid w:val="000209C3"/>
    <w:rsid w:val="00020D44"/>
    <w:rsid w:val="00020EAE"/>
    <w:rsid w:val="0002104F"/>
    <w:rsid w:val="00021115"/>
    <w:rsid w:val="000216A1"/>
    <w:rsid w:val="00021797"/>
    <w:rsid w:val="000217F6"/>
    <w:rsid w:val="00021A39"/>
    <w:rsid w:val="00021BC3"/>
    <w:rsid w:val="00021C46"/>
    <w:rsid w:val="00021CC1"/>
    <w:rsid w:val="00021FB4"/>
    <w:rsid w:val="00021FE8"/>
    <w:rsid w:val="0002235C"/>
    <w:rsid w:val="00022491"/>
    <w:rsid w:val="00022756"/>
    <w:rsid w:val="000228B1"/>
    <w:rsid w:val="00022BBF"/>
    <w:rsid w:val="00022C2C"/>
    <w:rsid w:val="00022C4D"/>
    <w:rsid w:val="00022D6C"/>
    <w:rsid w:val="00022E3F"/>
    <w:rsid w:val="00022FAE"/>
    <w:rsid w:val="00022FDF"/>
    <w:rsid w:val="00023083"/>
    <w:rsid w:val="0002336F"/>
    <w:rsid w:val="00023548"/>
    <w:rsid w:val="000235C9"/>
    <w:rsid w:val="000238AF"/>
    <w:rsid w:val="00023B18"/>
    <w:rsid w:val="00023B50"/>
    <w:rsid w:val="00023D03"/>
    <w:rsid w:val="00023F9E"/>
    <w:rsid w:val="0002434D"/>
    <w:rsid w:val="00024430"/>
    <w:rsid w:val="00024576"/>
    <w:rsid w:val="0002462F"/>
    <w:rsid w:val="00024787"/>
    <w:rsid w:val="000247B8"/>
    <w:rsid w:val="00024839"/>
    <w:rsid w:val="00024905"/>
    <w:rsid w:val="00024B3B"/>
    <w:rsid w:val="00024DBC"/>
    <w:rsid w:val="00024F0C"/>
    <w:rsid w:val="00024F4D"/>
    <w:rsid w:val="00025324"/>
    <w:rsid w:val="000255F0"/>
    <w:rsid w:val="00025B39"/>
    <w:rsid w:val="00025C5B"/>
    <w:rsid w:val="00025D01"/>
    <w:rsid w:val="00025E7D"/>
    <w:rsid w:val="000264E1"/>
    <w:rsid w:val="0002658A"/>
    <w:rsid w:val="0002669F"/>
    <w:rsid w:val="00026774"/>
    <w:rsid w:val="00026782"/>
    <w:rsid w:val="0002691D"/>
    <w:rsid w:val="00026D42"/>
    <w:rsid w:val="00026FD1"/>
    <w:rsid w:val="000271D6"/>
    <w:rsid w:val="00027306"/>
    <w:rsid w:val="00027787"/>
    <w:rsid w:val="000278B7"/>
    <w:rsid w:val="000278DA"/>
    <w:rsid w:val="00027CDE"/>
    <w:rsid w:val="00027D0C"/>
    <w:rsid w:val="00030289"/>
    <w:rsid w:val="00030654"/>
    <w:rsid w:val="00030B7E"/>
    <w:rsid w:val="00030BE6"/>
    <w:rsid w:val="00030C0C"/>
    <w:rsid w:val="00030CB2"/>
    <w:rsid w:val="00030CE7"/>
    <w:rsid w:val="00030D33"/>
    <w:rsid w:val="00031008"/>
    <w:rsid w:val="0003111F"/>
    <w:rsid w:val="0003119C"/>
    <w:rsid w:val="00031476"/>
    <w:rsid w:val="00031495"/>
    <w:rsid w:val="000316B5"/>
    <w:rsid w:val="000316FE"/>
    <w:rsid w:val="000317C6"/>
    <w:rsid w:val="00031E79"/>
    <w:rsid w:val="00031F08"/>
    <w:rsid w:val="000320E4"/>
    <w:rsid w:val="00032116"/>
    <w:rsid w:val="00032345"/>
    <w:rsid w:val="0003279D"/>
    <w:rsid w:val="00032A9B"/>
    <w:rsid w:val="00032B3C"/>
    <w:rsid w:val="00032B49"/>
    <w:rsid w:val="00032C06"/>
    <w:rsid w:val="00032E22"/>
    <w:rsid w:val="000336B8"/>
    <w:rsid w:val="000337CF"/>
    <w:rsid w:val="0003390A"/>
    <w:rsid w:val="00033937"/>
    <w:rsid w:val="00033ADA"/>
    <w:rsid w:val="00033BB5"/>
    <w:rsid w:val="00033BE1"/>
    <w:rsid w:val="00033DDF"/>
    <w:rsid w:val="0003401D"/>
    <w:rsid w:val="000341E4"/>
    <w:rsid w:val="000343DD"/>
    <w:rsid w:val="000344D5"/>
    <w:rsid w:val="000349DD"/>
    <w:rsid w:val="00034A96"/>
    <w:rsid w:val="00034D8A"/>
    <w:rsid w:val="00034E84"/>
    <w:rsid w:val="00034FC0"/>
    <w:rsid w:val="0003525A"/>
    <w:rsid w:val="00035DBA"/>
    <w:rsid w:val="0003613C"/>
    <w:rsid w:val="000364B0"/>
    <w:rsid w:val="0003685A"/>
    <w:rsid w:val="000369E0"/>
    <w:rsid w:val="00036A61"/>
    <w:rsid w:val="00036B90"/>
    <w:rsid w:val="00036D4B"/>
    <w:rsid w:val="00036F2B"/>
    <w:rsid w:val="00037121"/>
    <w:rsid w:val="000371B0"/>
    <w:rsid w:val="000373A3"/>
    <w:rsid w:val="0003753E"/>
    <w:rsid w:val="00037577"/>
    <w:rsid w:val="0003773D"/>
    <w:rsid w:val="00037BAB"/>
    <w:rsid w:val="00037C17"/>
    <w:rsid w:val="00037D8C"/>
    <w:rsid w:val="00040284"/>
    <w:rsid w:val="000402D2"/>
    <w:rsid w:val="000404C1"/>
    <w:rsid w:val="00040566"/>
    <w:rsid w:val="00040659"/>
    <w:rsid w:val="00040A12"/>
    <w:rsid w:val="00040A62"/>
    <w:rsid w:val="00040D16"/>
    <w:rsid w:val="0004115D"/>
    <w:rsid w:val="00041434"/>
    <w:rsid w:val="00041472"/>
    <w:rsid w:val="000415F8"/>
    <w:rsid w:val="000417D8"/>
    <w:rsid w:val="0004186F"/>
    <w:rsid w:val="00041A9D"/>
    <w:rsid w:val="00041CF8"/>
    <w:rsid w:val="00041DB4"/>
    <w:rsid w:val="00042028"/>
    <w:rsid w:val="00042165"/>
    <w:rsid w:val="00042365"/>
    <w:rsid w:val="000425D6"/>
    <w:rsid w:val="00042988"/>
    <w:rsid w:val="000429AC"/>
    <w:rsid w:val="00042B6A"/>
    <w:rsid w:val="00042B99"/>
    <w:rsid w:val="00042BD2"/>
    <w:rsid w:val="00042C2B"/>
    <w:rsid w:val="00042C4C"/>
    <w:rsid w:val="00042C5C"/>
    <w:rsid w:val="0004361B"/>
    <w:rsid w:val="000438D1"/>
    <w:rsid w:val="000439CC"/>
    <w:rsid w:val="00043C3F"/>
    <w:rsid w:val="00043C71"/>
    <w:rsid w:val="00043CBD"/>
    <w:rsid w:val="00043D72"/>
    <w:rsid w:val="00043E8B"/>
    <w:rsid w:val="00043EB3"/>
    <w:rsid w:val="00043FFB"/>
    <w:rsid w:val="00044562"/>
    <w:rsid w:val="0004476A"/>
    <w:rsid w:val="00045206"/>
    <w:rsid w:val="00045308"/>
    <w:rsid w:val="00045675"/>
    <w:rsid w:val="000458B8"/>
    <w:rsid w:val="00045A31"/>
    <w:rsid w:val="00045C2D"/>
    <w:rsid w:val="00045ECD"/>
    <w:rsid w:val="00046174"/>
    <w:rsid w:val="00046296"/>
    <w:rsid w:val="00046995"/>
    <w:rsid w:val="00046C96"/>
    <w:rsid w:val="00046D56"/>
    <w:rsid w:val="000470B9"/>
    <w:rsid w:val="000473EE"/>
    <w:rsid w:val="00047594"/>
    <w:rsid w:val="00047E9F"/>
    <w:rsid w:val="00047FFC"/>
    <w:rsid w:val="000500DB"/>
    <w:rsid w:val="00050277"/>
    <w:rsid w:val="000503D0"/>
    <w:rsid w:val="000506E6"/>
    <w:rsid w:val="00050DE0"/>
    <w:rsid w:val="00051017"/>
    <w:rsid w:val="000516C4"/>
    <w:rsid w:val="000517C0"/>
    <w:rsid w:val="00051846"/>
    <w:rsid w:val="00051873"/>
    <w:rsid w:val="00051990"/>
    <w:rsid w:val="00051A53"/>
    <w:rsid w:val="00051BAD"/>
    <w:rsid w:val="00051C2F"/>
    <w:rsid w:val="00051CEE"/>
    <w:rsid w:val="000521D7"/>
    <w:rsid w:val="00052422"/>
    <w:rsid w:val="000524EA"/>
    <w:rsid w:val="000526FF"/>
    <w:rsid w:val="000528DE"/>
    <w:rsid w:val="00052B02"/>
    <w:rsid w:val="00052E92"/>
    <w:rsid w:val="000532E7"/>
    <w:rsid w:val="00053426"/>
    <w:rsid w:val="00053609"/>
    <w:rsid w:val="00053A2A"/>
    <w:rsid w:val="00053B15"/>
    <w:rsid w:val="00053B5F"/>
    <w:rsid w:val="00053CBC"/>
    <w:rsid w:val="00053CDB"/>
    <w:rsid w:val="00053D4D"/>
    <w:rsid w:val="00054347"/>
    <w:rsid w:val="00054799"/>
    <w:rsid w:val="00054C7B"/>
    <w:rsid w:val="00054DDC"/>
    <w:rsid w:val="00054E20"/>
    <w:rsid w:val="00054F27"/>
    <w:rsid w:val="00055203"/>
    <w:rsid w:val="00055366"/>
    <w:rsid w:val="00055435"/>
    <w:rsid w:val="00055448"/>
    <w:rsid w:val="000555F9"/>
    <w:rsid w:val="00055C25"/>
    <w:rsid w:val="00055C82"/>
    <w:rsid w:val="00055D78"/>
    <w:rsid w:val="00055DFC"/>
    <w:rsid w:val="00055E99"/>
    <w:rsid w:val="000560B0"/>
    <w:rsid w:val="0005613C"/>
    <w:rsid w:val="0005636D"/>
    <w:rsid w:val="00056955"/>
    <w:rsid w:val="00056D43"/>
    <w:rsid w:val="00056DD9"/>
    <w:rsid w:val="00056EAF"/>
    <w:rsid w:val="00056EB8"/>
    <w:rsid w:val="00056ED0"/>
    <w:rsid w:val="00056F89"/>
    <w:rsid w:val="00057104"/>
    <w:rsid w:val="00057435"/>
    <w:rsid w:val="00057663"/>
    <w:rsid w:val="00057678"/>
    <w:rsid w:val="0005775A"/>
    <w:rsid w:val="00057889"/>
    <w:rsid w:val="00057999"/>
    <w:rsid w:val="00057A2A"/>
    <w:rsid w:val="00057B95"/>
    <w:rsid w:val="00057BA4"/>
    <w:rsid w:val="00057C98"/>
    <w:rsid w:val="00057CE0"/>
    <w:rsid w:val="00057E4A"/>
    <w:rsid w:val="00057EFF"/>
    <w:rsid w:val="000600A0"/>
    <w:rsid w:val="00060128"/>
    <w:rsid w:val="0006019A"/>
    <w:rsid w:val="000602CB"/>
    <w:rsid w:val="000607AD"/>
    <w:rsid w:val="00060913"/>
    <w:rsid w:val="00060BE9"/>
    <w:rsid w:val="00060C70"/>
    <w:rsid w:val="00060D9A"/>
    <w:rsid w:val="00060E96"/>
    <w:rsid w:val="00060EA9"/>
    <w:rsid w:val="00060FB7"/>
    <w:rsid w:val="00061479"/>
    <w:rsid w:val="00061584"/>
    <w:rsid w:val="00061855"/>
    <w:rsid w:val="00061929"/>
    <w:rsid w:val="00061A3E"/>
    <w:rsid w:val="00061C9A"/>
    <w:rsid w:val="00061E08"/>
    <w:rsid w:val="00061EC7"/>
    <w:rsid w:val="00061FD5"/>
    <w:rsid w:val="0006255D"/>
    <w:rsid w:val="0006256C"/>
    <w:rsid w:val="00062B7A"/>
    <w:rsid w:val="00062E7A"/>
    <w:rsid w:val="00062FD8"/>
    <w:rsid w:val="0006308F"/>
    <w:rsid w:val="00063307"/>
    <w:rsid w:val="00063609"/>
    <w:rsid w:val="000637A6"/>
    <w:rsid w:val="00063929"/>
    <w:rsid w:val="00063E91"/>
    <w:rsid w:val="00063E9E"/>
    <w:rsid w:val="00063FB2"/>
    <w:rsid w:val="00063FBB"/>
    <w:rsid w:val="0006423F"/>
    <w:rsid w:val="000644DE"/>
    <w:rsid w:val="00064505"/>
    <w:rsid w:val="00064596"/>
    <w:rsid w:val="0006465B"/>
    <w:rsid w:val="000647FF"/>
    <w:rsid w:val="00064910"/>
    <w:rsid w:val="00064999"/>
    <w:rsid w:val="00064A13"/>
    <w:rsid w:val="00064BF3"/>
    <w:rsid w:val="00064EC1"/>
    <w:rsid w:val="000656A8"/>
    <w:rsid w:val="00065D26"/>
    <w:rsid w:val="00065D6F"/>
    <w:rsid w:val="00065F00"/>
    <w:rsid w:val="00066063"/>
    <w:rsid w:val="0006647E"/>
    <w:rsid w:val="00066817"/>
    <w:rsid w:val="00066A3C"/>
    <w:rsid w:val="00066B25"/>
    <w:rsid w:val="00066BBA"/>
    <w:rsid w:val="00066CE7"/>
    <w:rsid w:val="00066D0E"/>
    <w:rsid w:val="00067129"/>
    <w:rsid w:val="000671CE"/>
    <w:rsid w:val="0006753E"/>
    <w:rsid w:val="000675E7"/>
    <w:rsid w:val="0006787A"/>
    <w:rsid w:val="0007034C"/>
    <w:rsid w:val="000704D1"/>
    <w:rsid w:val="00070556"/>
    <w:rsid w:val="0007090A"/>
    <w:rsid w:val="00070B11"/>
    <w:rsid w:val="00070BAC"/>
    <w:rsid w:val="00070BC6"/>
    <w:rsid w:val="00070C67"/>
    <w:rsid w:val="00070DC5"/>
    <w:rsid w:val="00071022"/>
    <w:rsid w:val="0007110C"/>
    <w:rsid w:val="000711B8"/>
    <w:rsid w:val="000711FD"/>
    <w:rsid w:val="000714AF"/>
    <w:rsid w:val="000714E5"/>
    <w:rsid w:val="00071509"/>
    <w:rsid w:val="00071798"/>
    <w:rsid w:val="00071B3A"/>
    <w:rsid w:val="00071C62"/>
    <w:rsid w:val="00071E45"/>
    <w:rsid w:val="00071E6D"/>
    <w:rsid w:val="00072648"/>
    <w:rsid w:val="0007265B"/>
    <w:rsid w:val="000726AB"/>
    <w:rsid w:val="000728CE"/>
    <w:rsid w:val="00072B07"/>
    <w:rsid w:val="00072B35"/>
    <w:rsid w:val="00072BC6"/>
    <w:rsid w:val="00072D99"/>
    <w:rsid w:val="00073003"/>
    <w:rsid w:val="000733D6"/>
    <w:rsid w:val="000735B9"/>
    <w:rsid w:val="00073D38"/>
    <w:rsid w:val="00073E21"/>
    <w:rsid w:val="00073EEC"/>
    <w:rsid w:val="00073FAB"/>
    <w:rsid w:val="0007405F"/>
    <w:rsid w:val="00074065"/>
    <w:rsid w:val="000742CA"/>
    <w:rsid w:val="00074489"/>
    <w:rsid w:val="0007482B"/>
    <w:rsid w:val="0007499B"/>
    <w:rsid w:val="000749E6"/>
    <w:rsid w:val="00074D8F"/>
    <w:rsid w:val="000751F8"/>
    <w:rsid w:val="000752E5"/>
    <w:rsid w:val="00075507"/>
    <w:rsid w:val="0007558C"/>
    <w:rsid w:val="000755BB"/>
    <w:rsid w:val="00075793"/>
    <w:rsid w:val="00075A25"/>
    <w:rsid w:val="00075AB8"/>
    <w:rsid w:val="00075B8D"/>
    <w:rsid w:val="00075CB7"/>
    <w:rsid w:val="00076294"/>
    <w:rsid w:val="00076566"/>
    <w:rsid w:val="000766FC"/>
    <w:rsid w:val="00076806"/>
    <w:rsid w:val="00076C51"/>
    <w:rsid w:val="00076EA0"/>
    <w:rsid w:val="000771E7"/>
    <w:rsid w:val="00077377"/>
    <w:rsid w:val="0007740F"/>
    <w:rsid w:val="000775D3"/>
    <w:rsid w:val="000777CE"/>
    <w:rsid w:val="000778D8"/>
    <w:rsid w:val="00077933"/>
    <w:rsid w:val="00077C4D"/>
    <w:rsid w:val="00077C87"/>
    <w:rsid w:val="00077DDF"/>
    <w:rsid w:val="00080591"/>
    <w:rsid w:val="00080854"/>
    <w:rsid w:val="0008086F"/>
    <w:rsid w:val="00080871"/>
    <w:rsid w:val="00080A22"/>
    <w:rsid w:val="00080BCD"/>
    <w:rsid w:val="00080D88"/>
    <w:rsid w:val="00080E44"/>
    <w:rsid w:val="00081041"/>
    <w:rsid w:val="000810A4"/>
    <w:rsid w:val="0008135E"/>
    <w:rsid w:val="0008163E"/>
    <w:rsid w:val="00081B57"/>
    <w:rsid w:val="00082090"/>
    <w:rsid w:val="000820F2"/>
    <w:rsid w:val="000821AD"/>
    <w:rsid w:val="000821EF"/>
    <w:rsid w:val="000822B9"/>
    <w:rsid w:val="000823FC"/>
    <w:rsid w:val="000824D2"/>
    <w:rsid w:val="000824EA"/>
    <w:rsid w:val="00082772"/>
    <w:rsid w:val="000829FC"/>
    <w:rsid w:val="00082D23"/>
    <w:rsid w:val="00082E32"/>
    <w:rsid w:val="00082FEE"/>
    <w:rsid w:val="000832F5"/>
    <w:rsid w:val="000833D0"/>
    <w:rsid w:val="00083DD1"/>
    <w:rsid w:val="00083DD5"/>
    <w:rsid w:val="00083FD9"/>
    <w:rsid w:val="00084026"/>
    <w:rsid w:val="00084126"/>
    <w:rsid w:val="00085044"/>
    <w:rsid w:val="000850C0"/>
    <w:rsid w:val="00085260"/>
    <w:rsid w:val="0008542E"/>
    <w:rsid w:val="000854DC"/>
    <w:rsid w:val="000855C5"/>
    <w:rsid w:val="00085AF4"/>
    <w:rsid w:val="00085E5A"/>
    <w:rsid w:val="00086072"/>
    <w:rsid w:val="00086098"/>
    <w:rsid w:val="00086386"/>
    <w:rsid w:val="0008646F"/>
    <w:rsid w:val="0008666A"/>
    <w:rsid w:val="0008672F"/>
    <w:rsid w:val="00086805"/>
    <w:rsid w:val="00086A21"/>
    <w:rsid w:val="00086B0B"/>
    <w:rsid w:val="00086C5D"/>
    <w:rsid w:val="00086E9F"/>
    <w:rsid w:val="00087254"/>
    <w:rsid w:val="00087376"/>
    <w:rsid w:val="000873E8"/>
    <w:rsid w:val="000874A1"/>
    <w:rsid w:val="000875DC"/>
    <w:rsid w:val="00087A19"/>
    <w:rsid w:val="00087C4A"/>
    <w:rsid w:val="00087C4C"/>
    <w:rsid w:val="00087CB4"/>
    <w:rsid w:val="00087DDD"/>
    <w:rsid w:val="000900A0"/>
    <w:rsid w:val="000900B2"/>
    <w:rsid w:val="00090212"/>
    <w:rsid w:val="00090445"/>
    <w:rsid w:val="000904D4"/>
    <w:rsid w:val="0009067C"/>
    <w:rsid w:val="00090A31"/>
    <w:rsid w:val="000912C7"/>
    <w:rsid w:val="0009137D"/>
    <w:rsid w:val="0009185D"/>
    <w:rsid w:val="00091ED9"/>
    <w:rsid w:val="000920C1"/>
    <w:rsid w:val="0009218A"/>
    <w:rsid w:val="000921C2"/>
    <w:rsid w:val="0009230F"/>
    <w:rsid w:val="00092341"/>
    <w:rsid w:val="000926D2"/>
    <w:rsid w:val="00092708"/>
    <w:rsid w:val="00092790"/>
    <w:rsid w:val="00092816"/>
    <w:rsid w:val="00092A0C"/>
    <w:rsid w:val="000931E8"/>
    <w:rsid w:val="00093224"/>
    <w:rsid w:val="000932D1"/>
    <w:rsid w:val="00093332"/>
    <w:rsid w:val="0009342D"/>
    <w:rsid w:val="00093475"/>
    <w:rsid w:val="00093714"/>
    <w:rsid w:val="000938EE"/>
    <w:rsid w:val="00093934"/>
    <w:rsid w:val="00093998"/>
    <w:rsid w:val="00093A75"/>
    <w:rsid w:val="00093B86"/>
    <w:rsid w:val="00093D94"/>
    <w:rsid w:val="00093E1C"/>
    <w:rsid w:val="00093E89"/>
    <w:rsid w:val="000940B6"/>
    <w:rsid w:val="000941CE"/>
    <w:rsid w:val="00094220"/>
    <w:rsid w:val="00094893"/>
    <w:rsid w:val="000949CB"/>
    <w:rsid w:val="00094E57"/>
    <w:rsid w:val="00094EE9"/>
    <w:rsid w:val="00094F31"/>
    <w:rsid w:val="0009501A"/>
    <w:rsid w:val="000955E6"/>
    <w:rsid w:val="000956CB"/>
    <w:rsid w:val="000957AF"/>
    <w:rsid w:val="000957DD"/>
    <w:rsid w:val="00095CBE"/>
    <w:rsid w:val="00095EF0"/>
    <w:rsid w:val="000961D8"/>
    <w:rsid w:val="0009649C"/>
    <w:rsid w:val="00096CC5"/>
    <w:rsid w:val="00096E67"/>
    <w:rsid w:val="0009706F"/>
    <w:rsid w:val="0009765C"/>
    <w:rsid w:val="000976F5"/>
    <w:rsid w:val="0009782E"/>
    <w:rsid w:val="00097A28"/>
    <w:rsid w:val="00097A7C"/>
    <w:rsid w:val="00097D5D"/>
    <w:rsid w:val="00097FB0"/>
    <w:rsid w:val="000A0317"/>
    <w:rsid w:val="000A0332"/>
    <w:rsid w:val="000A03F5"/>
    <w:rsid w:val="000A0477"/>
    <w:rsid w:val="000A06BE"/>
    <w:rsid w:val="000A0942"/>
    <w:rsid w:val="000A0ABB"/>
    <w:rsid w:val="000A0B8E"/>
    <w:rsid w:val="000A0FBE"/>
    <w:rsid w:val="000A0FC5"/>
    <w:rsid w:val="000A10E4"/>
    <w:rsid w:val="000A139D"/>
    <w:rsid w:val="000A153A"/>
    <w:rsid w:val="000A15E5"/>
    <w:rsid w:val="000A17FE"/>
    <w:rsid w:val="000A19DD"/>
    <w:rsid w:val="000A1B5B"/>
    <w:rsid w:val="000A1D35"/>
    <w:rsid w:val="000A1F9F"/>
    <w:rsid w:val="000A1FE0"/>
    <w:rsid w:val="000A21EE"/>
    <w:rsid w:val="000A23C5"/>
    <w:rsid w:val="000A26BA"/>
    <w:rsid w:val="000A2878"/>
    <w:rsid w:val="000A2B11"/>
    <w:rsid w:val="000A2C53"/>
    <w:rsid w:val="000A2F23"/>
    <w:rsid w:val="000A2F9E"/>
    <w:rsid w:val="000A304F"/>
    <w:rsid w:val="000A30F1"/>
    <w:rsid w:val="000A30FC"/>
    <w:rsid w:val="000A3180"/>
    <w:rsid w:val="000A32A8"/>
    <w:rsid w:val="000A3339"/>
    <w:rsid w:val="000A34E2"/>
    <w:rsid w:val="000A3AF4"/>
    <w:rsid w:val="000A3B30"/>
    <w:rsid w:val="000A3EB2"/>
    <w:rsid w:val="000A3EEB"/>
    <w:rsid w:val="000A4079"/>
    <w:rsid w:val="000A4138"/>
    <w:rsid w:val="000A4211"/>
    <w:rsid w:val="000A4315"/>
    <w:rsid w:val="000A4776"/>
    <w:rsid w:val="000A49BD"/>
    <w:rsid w:val="000A4C9E"/>
    <w:rsid w:val="000A4F6C"/>
    <w:rsid w:val="000A50F2"/>
    <w:rsid w:val="000A515C"/>
    <w:rsid w:val="000A5598"/>
    <w:rsid w:val="000A55D1"/>
    <w:rsid w:val="000A55F6"/>
    <w:rsid w:val="000A57ED"/>
    <w:rsid w:val="000A5D81"/>
    <w:rsid w:val="000A5D87"/>
    <w:rsid w:val="000A5DA8"/>
    <w:rsid w:val="000A61FD"/>
    <w:rsid w:val="000A630C"/>
    <w:rsid w:val="000A63D0"/>
    <w:rsid w:val="000A63F9"/>
    <w:rsid w:val="000A6531"/>
    <w:rsid w:val="000A6CC0"/>
    <w:rsid w:val="000A73A9"/>
    <w:rsid w:val="000A7425"/>
    <w:rsid w:val="000A756C"/>
    <w:rsid w:val="000A7827"/>
    <w:rsid w:val="000A7B2C"/>
    <w:rsid w:val="000A7D9A"/>
    <w:rsid w:val="000A7F05"/>
    <w:rsid w:val="000A7F29"/>
    <w:rsid w:val="000B0224"/>
    <w:rsid w:val="000B0583"/>
    <w:rsid w:val="000B0681"/>
    <w:rsid w:val="000B07CE"/>
    <w:rsid w:val="000B0926"/>
    <w:rsid w:val="000B136C"/>
    <w:rsid w:val="000B176C"/>
    <w:rsid w:val="000B1791"/>
    <w:rsid w:val="000B17BF"/>
    <w:rsid w:val="000B1A39"/>
    <w:rsid w:val="000B1B25"/>
    <w:rsid w:val="000B1EE7"/>
    <w:rsid w:val="000B2209"/>
    <w:rsid w:val="000B2247"/>
    <w:rsid w:val="000B2498"/>
    <w:rsid w:val="000B26AC"/>
    <w:rsid w:val="000B28BC"/>
    <w:rsid w:val="000B2B1E"/>
    <w:rsid w:val="000B2B29"/>
    <w:rsid w:val="000B2C11"/>
    <w:rsid w:val="000B2E3C"/>
    <w:rsid w:val="000B303B"/>
    <w:rsid w:val="000B3155"/>
    <w:rsid w:val="000B31FF"/>
    <w:rsid w:val="000B320F"/>
    <w:rsid w:val="000B34C0"/>
    <w:rsid w:val="000B37B8"/>
    <w:rsid w:val="000B37CD"/>
    <w:rsid w:val="000B3CCD"/>
    <w:rsid w:val="000B3DDC"/>
    <w:rsid w:val="000B3E49"/>
    <w:rsid w:val="000B3E84"/>
    <w:rsid w:val="000B3EEB"/>
    <w:rsid w:val="000B3F9C"/>
    <w:rsid w:val="000B4423"/>
    <w:rsid w:val="000B45E8"/>
    <w:rsid w:val="000B45F5"/>
    <w:rsid w:val="000B48E8"/>
    <w:rsid w:val="000B4B11"/>
    <w:rsid w:val="000B4B6F"/>
    <w:rsid w:val="000B4B89"/>
    <w:rsid w:val="000B4C90"/>
    <w:rsid w:val="000B504C"/>
    <w:rsid w:val="000B5258"/>
    <w:rsid w:val="000B57B3"/>
    <w:rsid w:val="000B580E"/>
    <w:rsid w:val="000B584A"/>
    <w:rsid w:val="000B5939"/>
    <w:rsid w:val="000B5A59"/>
    <w:rsid w:val="000B5C0C"/>
    <w:rsid w:val="000B5DD4"/>
    <w:rsid w:val="000B60B1"/>
    <w:rsid w:val="000B6190"/>
    <w:rsid w:val="000B6286"/>
    <w:rsid w:val="000B65CF"/>
    <w:rsid w:val="000B67FB"/>
    <w:rsid w:val="000B69DB"/>
    <w:rsid w:val="000B6B32"/>
    <w:rsid w:val="000B6C05"/>
    <w:rsid w:val="000B6FD5"/>
    <w:rsid w:val="000B7019"/>
    <w:rsid w:val="000B70AB"/>
    <w:rsid w:val="000B759B"/>
    <w:rsid w:val="000B75A2"/>
    <w:rsid w:val="000B764E"/>
    <w:rsid w:val="000B7659"/>
    <w:rsid w:val="000B7C0A"/>
    <w:rsid w:val="000C02F8"/>
    <w:rsid w:val="000C0668"/>
    <w:rsid w:val="000C06B0"/>
    <w:rsid w:val="000C0B02"/>
    <w:rsid w:val="000C0D31"/>
    <w:rsid w:val="000C0DE9"/>
    <w:rsid w:val="000C16D1"/>
    <w:rsid w:val="000C1A18"/>
    <w:rsid w:val="000C1EA6"/>
    <w:rsid w:val="000C20BD"/>
    <w:rsid w:val="000C2329"/>
    <w:rsid w:val="000C237D"/>
    <w:rsid w:val="000C23E5"/>
    <w:rsid w:val="000C2764"/>
    <w:rsid w:val="000C2B03"/>
    <w:rsid w:val="000C2B24"/>
    <w:rsid w:val="000C2CE7"/>
    <w:rsid w:val="000C2F95"/>
    <w:rsid w:val="000C2FC9"/>
    <w:rsid w:val="000C337A"/>
    <w:rsid w:val="000C33DD"/>
    <w:rsid w:val="000C3435"/>
    <w:rsid w:val="000C375A"/>
    <w:rsid w:val="000C387D"/>
    <w:rsid w:val="000C3BA5"/>
    <w:rsid w:val="000C3C10"/>
    <w:rsid w:val="000C3C8F"/>
    <w:rsid w:val="000C3DAD"/>
    <w:rsid w:val="000C3E60"/>
    <w:rsid w:val="000C4060"/>
    <w:rsid w:val="000C40F7"/>
    <w:rsid w:val="000C41F7"/>
    <w:rsid w:val="000C4303"/>
    <w:rsid w:val="000C43E3"/>
    <w:rsid w:val="000C4694"/>
    <w:rsid w:val="000C4825"/>
    <w:rsid w:val="000C4C0C"/>
    <w:rsid w:val="000C4D38"/>
    <w:rsid w:val="000C4E1C"/>
    <w:rsid w:val="000C4EB1"/>
    <w:rsid w:val="000C5610"/>
    <w:rsid w:val="000C5647"/>
    <w:rsid w:val="000C56AA"/>
    <w:rsid w:val="000C56F9"/>
    <w:rsid w:val="000C579E"/>
    <w:rsid w:val="000C57D7"/>
    <w:rsid w:val="000C595E"/>
    <w:rsid w:val="000C5E90"/>
    <w:rsid w:val="000C5EA5"/>
    <w:rsid w:val="000C5F26"/>
    <w:rsid w:val="000C5F6D"/>
    <w:rsid w:val="000C6009"/>
    <w:rsid w:val="000C617E"/>
    <w:rsid w:val="000C61DA"/>
    <w:rsid w:val="000C624D"/>
    <w:rsid w:val="000C637C"/>
    <w:rsid w:val="000C6400"/>
    <w:rsid w:val="000C642E"/>
    <w:rsid w:val="000C6469"/>
    <w:rsid w:val="000C65C0"/>
    <w:rsid w:val="000C67C4"/>
    <w:rsid w:val="000C70D0"/>
    <w:rsid w:val="000C714C"/>
    <w:rsid w:val="000C7736"/>
    <w:rsid w:val="000C781C"/>
    <w:rsid w:val="000C7A20"/>
    <w:rsid w:val="000C7D43"/>
    <w:rsid w:val="000C7ECA"/>
    <w:rsid w:val="000D04E4"/>
    <w:rsid w:val="000D059B"/>
    <w:rsid w:val="000D0A1D"/>
    <w:rsid w:val="000D0F0F"/>
    <w:rsid w:val="000D165B"/>
    <w:rsid w:val="000D19F0"/>
    <w:rsid w:val="000D1A02"/>
    <w:rsid w:val="000D1B8C"/>
    <w:rsid w:val="000D1C86"/>
    <w:rsid w:val="000D1C91"/>
    <w:rsid w:val="000D2165"/>
    <w:rsid w:val="000D2271"/>
    <w:rsid w:val="000D2498"/>
    <w:rsid w:val="000D2535"/>
    <w:rsid w:val="000D27BF"/>
    <w:rsid w:val="000D2881"/>
    <w:rsid w:val="000D2AF1"/>
    <w:rsid w:val="000D2D06"/>
    <w:rsid w:val="000D2DE0"/>
    <w:rsid w:val="000D2E8C"/>
    <w:rsid w:val="000D2EB3"/>
    <w:rsid w:val="000D30B1"/>
    <w:rsid w:val="000D31EE"/>
    <w:rsid w:val="000D358F"/>
    <w:rsid w:val="000D3730"/>
    <w:rsid w:val="000D3776"/>
    <w:rsid w:val="000D37F1"/>
    <w:rsid w:val="000D3CE3"/>
    <w:rsid w:val="000D3DC6"/>
    <w:rsid w:val="000D3E5B"/>
    <w:rsid w:val="000D4425"/>
    <w:rsid w:val="000D4690"/>
    <w:rsid w:val="000D4836"/>
    <w:rsid w:val="000D4912"/>
    <w:rsid w:val="000D4AE9"/>
    <w:rsid w:val="000D4D7F"/>
    <w:rsid w:val="000D4D81"/>
    <w:rsid w:val="000D4DA3"/>
    <w:rsid w:val="000D5350"/>
    <w:rsid w:val="000D556E"/>
    <w:rsid w:val="000D5609"/>
    <w:rsid w:val="000D5929"/>
    <w:rsid w:val="000D59C5"/>
    <w:rsid w:val="000D5AEC"/>
    <w:rsid w:val="000D5DEB"/>
    <w:rsid w:val="000D5E2B"/>
    <w:rsid w:val="000D5EC9"/>
    <w:rsid w:val="000D6077"/>
    <w:rsid w:val="000D60A5"/>
    <w:rsid w:val="000D60CC"/>
    <w:rsid w:val="000D611E"/>
    <w:rsid w:val="000D61EA"/>
    <w:rsid w:val="000D6209"/>
    <w:rsid w:val="000D6259"/>
    <w:rsid w:val="000D62B9"/>
    <w:rsid w:val="000D62BA"/>
    <w:rsid w:val="000D67A7"/>
    <w:rsid w:val="000D67C5"/>
    <w:rsid w:val="000D69C9"/>
    <w:rsid w:val="000D7663"/>
    <w:rsid w:val="000D7707"/>
    <w:rsid w:val="000D77FE"/>
    <w:rsid w:val="000D7B30"/>
    <w:rsid w:val="000D7D36"/>
    <w:rsid w:val="000E02EF"/>
    <w:rsid w:val="000E0400"/>
    <w:rsid w:val="000E04EE"/>
    <w:rsid w:val="000E055B"/>
    <w:rsid w:val="000E0703"/>
    <w:rsid w:val="000E096D"/>
    <w:rsid w:val="000E09E9"/>
    <w:rsid w:val="000E0D43"/>
    <w:rsid w:val="000E1238"/>
    <w:rsid w:val="000E1325"/>
    <w:rsid w:val="000E148D"/>
    <w:rsid w:val="000E151D"/>
    <w:rsid w:val="000E1AF7"/>
    <w:rsid w:val="000E1B6F"/>
    <w:rsid w:val="000E2015"/>
    <w:rsid w:val="000E245B"/>
    <w:rsid w:val="000E2B5D"/>
    <w:rsid w:val="000E2C94"/>
    <w:rsid w:val="000E2F43"/>
    <w:rsid w:val="000E2FA7"/>
    <w:rsid w:val="000E3176"/>
    <w:rsid w:val="000E3232"/>
    <w:rsid w:val="000E3612"/>
    <w:rsid w:val="000E362B"/>
    <w:rsid w:val="000E3684"/>
    <w:rsid w:val="000E36B4"/>
    <w:rsid w:val="000E38C4"/>
    <w:rsid w:val="000E3D69"/>
    <w:rsid w:val="000E4123"/>
    <w:rsid w:val="000E4194"/>
    <w:rsid w:val="000E41E0"/>
    <w:rsid w:val="000E4351"/>
    <w:rsid w:val="000E453E"/>
    <w:rsid w:val="000E45E9"/>
    <w:rsid w:val="000E48C7"/>
    <w:rsid w:val="000E4963"/>
    <w:rsid w:val="000E49E5"/>
    <w:rsid w:val="000E4AA4"/>
    <w:rsid w:val="000E4AE6"/>
    <w:rsid w:val="000E4BA9"/>
    <w:rsid w:val="000E4BFA"/>
    <w:rsid w:val="000E4C5B"/>
    <w:rsid w:val="000E4E1B"/>
    <w:rsid w:val="000E4FBD"/>
    <w:rsid w:val="000E5998"/>
    <w:rsid w:val="000E6414"/>
    <w:rsid w:val="000E6706"/>
    <w:rsid w:val="000E6AEF"/>
    <w:rsid w:val="000E6CA3"/>
    <w:rsid w:val="000E6E52"/>
    <w:rsid w:val="000E6F83"/>
    <w:rsid w:val="000E70C0"/>
    <w:rsid w:val="000E723F"/>
    <w:rsid w:val="000E7243"/>
    <w:rsid w:val="000E730F"/>
    <w:rsid w:val="000E76DF"/>
    <w:rsid w:val="000E78CE"/>
    <w:rsid w:val="000E7C16"/>
    <w:rsid w:val="000E7CA0"/>
    <w:rsid w:val="000E7E03"/>
    <w:rsid w:val="000E7F45"/>
    <w:rsid w:val="000F05E4"/>
    <w:rsid w:val="000F060A"/>
    <w:rsid w:val="000F06D0"/>
    <w:rsid w:val="000F088E"/>
    <w:rsid w:val="000F0A9B"/>
    <w:rsid w:val="000F0C0D"/>
    <w:rsid w:val="000F1001"/>
    <w:rsid w:val="000F162C"/>
    <w:rsid w:val="000F16C1"/>
    <w:rsid w:val="000F1781"/>
    <w:rsid w:val="000F18BB"/>
    <w:rsid w:val="000F1956"/>
    <w:rsid w:val="000F1AC0"/>
    <w:rsid w:val="000F1EB7"/>
    <w:rsid w:val="000F2112"/>
    <w:rsid w:val="000F2138"/>
    <w:rsid w:val="000F2365"/>
    <w:rsid w:val="000F2640"/>
    <w:rsid w:val="000F2696"/>
    <w:rsid w:val="000F291D"/>
    <w:rsid w:val="000F29A7"/>
    <w:rsid w:val="000F2D86"/>
    <w:rsid w:val="000F34B8"/>
    <w:rsid w:val="000F35DF"/>
    <w:rsid w:val="000F35F2"/>
    <w:rsid w:val="000F3864"/>
    <w:rsid w:val="000F3968"/>
    <w:rsid w:val="000F397A"/>
    <w:rsid w:val="000F397B"/>
    <w:rsid w:val="000F3AB9"/>
    <w:rsid w:val="000F3C86"/>
    <w:rsid w:val="000F3F0F"/>
    <w:rsid w:val="000F4387"/>
    <w:rsid w:val="000F4693"/>
    <w:rsid w:val="000F4903"/>
    <w:rsid w:val="000F499B"/>
    <w:rsid w:val="000F4AD4"/>
    <w:rsid w:val="000F4B37"/>
    <w:rsid w:val="000F4BC9"/>
    <w:rsid w:val="000F4E57"/>
    <w:rsid w:val="000F5368"/>
    <w:rsid w:val="000F58C7"/>
    <w:rsid w:val="000F5A04"/>
    <w:rsid w:val="000F5A2F"/>
    <w:rsid w:val="000F5C22"/>
    <w:rsid w:val="000F5CFE"/>
    <w:rsid w:val="000F5D13"/>
    <w:rsid w:val="000F5E54"/>
    <w:rsid w:val="000F5ECB"/>
    <w:rsid w:val="000F6164"/>
    <w:rsid w:val="000F634C"/>
    <w:rsid w:val="000F640E"/>
    <w:rsid w:val="000F6441"/>
    <w:rsid w:val="000F649F"/>
    <w:rsid w:val="000F6922"/>
    <w:rsid w:val="000F6C69"/>
    <w:rsid w:val="000F6D1A"/>
    <w:rsid w:val="000F6EF1"/>
    <w:rsid w:val="000F6FD3"/>
    <w:rsid w:val="000F73C4"/>
    <w:rsid w:val="000F755B"/>
    <w:rsid w:val="000F76D1"/>
    <w:rsid w:val="000F78BE"/>
    <w:rsid w:val="000F78CA"/>
    <w:rsid w:val="000F7943"/>
    <w:rsid w:val="000F794A"/>
    <w:rsid w:val="000F7A82"/>
    <w:rsid w:val="000F7A85"/>
    <w:rsid w:val="000F7CA9"/>
    <w:rsid w:val="001000F1"/>
    <w:rsid w:val="001004E4"/>
    <w:rsid w:val="001005FA"/>
    <w:rsid w:val="001008E1"/>
    <w:rsid w:val="00100C13"/>
    <w:rsid w:val="00100C8D"/>
    <w:rsid w:val="00100DAB"/>
    <w:rsid w:val="00100E11"/>
    <w:rsid w:val="00100E33"/>
    <w:rsid w:val="00100FCA"/>
    <w:rsid w:val="001010B9"/>
    <w:rsid w:val="0010113D"/>
    <w:rsid w:val="00101245"/>
    <w:rsid w:val="0010127B"/>
    <w:rsid w:val="00101433"/>
    <w:rsid w:val="00101480"/>
    <w:rsid w:val="00101840"/>
    <w:rsid w:val="00101879"/>
    <w:rsid w:val="001018AB"/>
    <w:rsid w:val="00101916"/>
    <w:rsid w:val="00101CC5"/>
    <w:rsid w:val="00101F1D"/>
    <w:rsid w:val="00101F3E"/>
    <w:rsid w:val="0010217D"/>
    <w:rsid w:val="00102258"/>
    <w:rsid w:val="001024A7"/>
    <w:rsid w:val="00102747"/>
    <w:rsid w:val="00102B5B"/>
    <w:rsid w:val="00102D6F"/>
    <w:rsid w:val="00102DB2"/>
    <w:rsid w:val="00103081"/>
    <w:rsid w:val="001030B5"/>
    <w:rsid w:val="00103244"/>
    <w:rsid w:val="001033CC"/>
    <w:rsid w:val="001034BA"/>
    <w:rsid w:val="001038C3"/>
    <w:rsid w:val="001038CB"/>
    <w:rsid w:val="0010391E"/>
    <w:rsid w:val="00103B07"/>
    <w:rsid w:val="00103CBD"/>
    <w:rsid w:val="00103CC2"/>
    <w:rsid w:val="00103D7D"/>
    <w:rsid w:val="00103DE4"/>
    <w:rsid w:val="001040B5"/>
    <w:rsid w:val="0010436E"/>
    <w:rsid w:val="0010462B"/>
    <w:rsid w:val="00104634"/>
    <w:rsid w:val="001046F0"/>
    <w:rsid w:val="0010484D"/>
    <w:rsid w:val="00104C5B"/>
    <w:rsid w:val="00104DB6"/>
    <w:rsid w:val="00104E26"/>
    <w:rsid w:val="00104E2F"/>
    <w:rsid w:val="00104E60"/>
    <w:rsid w:val="00105163"/>
    <w:rsid w:val="001055E5"/>
    <w:rsid w:val="00105A59"/>
    <w:rsid w:val="00105DA6"/>
    <w:rsid w:val="00105DD5"/>
    <w:rsid w:val="00105E1A"/>
    <w:rsid w:val="00105EE2"/>
    <w:rsid w:val="00106040"/>
    <w:rsid w:val="0010610C"/>
    <w:rsid w:val="0010613E"/>
    <w:rsid w:val="0010633C"/>
    <w:rsid w:val="00106389"/>
    <w:rsid w:val="001068C4"/>
    <w:rsid w:val="00106A58"/>
    <w:rsid w:val="00106C05"/>
    <w:rsid w:val="00106C4E"/>
    <w:rsid w:val="00106DE8"/>
    <w:rsid w:val="00106FE7"/>
    <w:rsid w:val="00107083"/>
    <w:rsid w:val="001070A8"/>
    <w:rsid w:val="001070EF"/>
    <w:rsid w:val="001072EF"/>
    <w:rsid w:val="00107464"/>
    <w:rsid w:val="00107526"/>
    <w:rsid w:val="001079A2"/>
    <w:rsid w:val="00107CFA"/>
    <w:rsid w:val="00107FCB"/>
    <w:rsid w:val="001102F4"/>
    <w:rsid w:val="00110615"/>
    <w:rsid w:val="00110736"/>
    <w:rsid w:val="00110747"/>
    <w:rsid w:val="0011076F"/>
    <w:rsid w:val="00110893"/>
    <w:rsid w:val="001108D6"/>
    <w:rsid w:val="00110BA2"/>
    <w:rsid w:val="00110BC8"/>
    <w:rsid w:val="00110BD8"/>
    <w:rsid w:val="00110C85"/>
    <w:rsid w:val="00110C92"/>
    <w:rsid w:val="00110CC8"/>
    <w:rsid w:val="00110DA8"/>
    <w:rsid w:val="00111499"/>
    <w:rsid w:val="001116A9"/>
    <w:rsid w:val="001117C3"/>
    <w:rsid w:val="00111817"/>
    <w:rsid w:val="00111A99"/>
    <w:rsid w:val="00111B38"/>
    <w:rsid w:val="00111CC0"/>
    <w:rsid w:val="00111E2E"/>
    <w:rsid w:val="00111F09"/>
    <w:rsid w:val="00111FA4"/>
    <w:rsid w:val="00112229"/>
    <w:rsid w:val="001127A3"/>
    <w:rsid w:val="001127AB"/>
    <w:rsid w:val="001127B6"/>
    <w:rsid w:val="00112A8C"/>
    <w:rsid w:val="00112BB6"/>
    <w:rsid w:val="00112C9B"/>
    <w:rsid w:val="00112D7C"/>
    <w:rsid w:val="00112E67"/>
    <w:rsid w:val="00112EEA"/>
    <w:rsid w:val="00113323"/>
    <w:rsid w:val="0011367B"/>
    <w:rsid w:val="00113B50"/>
    <w:rsid w:val="00113D56"/>
    <w:rsid w:val="001142CA"/>
    <w:rsid w:val="0011439F"/>
    <w:rsid w:val="001143B1"/>
    <w:rsid w:val="00114614"/>
    <w:rsid w:val="001146B4"/>
    <w:rsid w:val="001147F2"/>
    <w:rsid w:val="00114867"/>
    <w:rsid w:val="0011492B"/>
    <w:rsid w:val="00114976"/>
    <w:rsid w:val="00114C0E"/>
    <w:rsid w:val="00114FA1"/>
    <w:rsid w:val="00115038"/>
    <w:rsid w:val="0011509C"/>
    <w:rsid w:val="00115484"/>
    <w:rsid w:val="001154B8"/>
    <w:rsid w:val="001157E4"/>
    <w:rsid w:val="00115B53"/>
    <w:rsid w:val="00115E73"/>
    <w:rsid w:val="00115EC4"/>
    <w:rsid w:val="00116322"/>
    <w:rsid w:val="00116487"/>
    <w:rsid w:val="001164A8"/>
    <w:rsid w:val="00116516"/>
    <w:rsid w:val="0011675A"/>
    <w:rsid w:val="0011679A"/>
    <w:rsid w:val="001168FA"/>
    <w:rsid w:val="00116B4E"/>
    <w:rsid w:val="00116DCE"/>
    <w:rsid w:val="00116DDF"/>
    <w:rsid w:val="00116E17"/>
    <w:rsid w:val="00116E2A"/>
    <w:rsid w:val="00116F0D"/>
    <w:rsid w:val="001170B3"/>
    <w:rsid w:val="0011738D"/>
    <w:rsid w:val="00117680"/>
    <w:rsid w:val="001177B6"/>
    <w:rsid w:val="001177D9"/>
    <w:rsid w:val="001178E9"/>
    <w:rsid w:val="001179EA"/>
    <w:rsid w:val="00117A54"/>
    <w:rsid w:val="00117B2D"/>
    <w:rsid w:val="00117BD2"/>
    <w:rsid w:val="00117C48"/>
    <w:rsid w:val="00117CE1"/>
    <w:rsid w:val="00117F4F"/>
    <w:rsid w:val="001205FD"/>
    <w:rsid w:val="00120646"/>
    <w:rsid w:val="00120BCB"/>
    <w:rsid w:val="00120BE4"/>
    <w:rsid w:val="00120CB8"/>
    <w:rsid w:val="00120DCB"/>
    <w:rsid w:val="00120FBE"/>
    <w:rsid w:val="001211F8"/>
    <w:rsid w:val="00121253"/>
    <w:rsid w:val="00121648"/>
    <w:rsid w:val="00121E26"/>
    <w:rsid w:val="00121E79"/>
    <w:rsid w:val="00121EFA"/>
    <w:rsid w:val="00121F34"/>
    <w:rsid w:val="00122310"/>
    <w:rsid w:val="001224B1"/>
    <w:rsid w:val="00122653"/>
    <w:rsid w:val="0012266F"/>
    <w:rsid w:val="00122A44"/>
    <w:rsid w:val="00122B94"/>
    <w:rsid w:val="00122C51"/>
    <w:rsid w:val="00122CD3"/>
    <w:rsid w:val="00122DEE"/>
    <w:rsid w:val="00122E58"/>
    <w:rsid w:val="0012300A"/>
    <w:rsid w:val="001231DD"/>
    <w:rsid w:val="00123379"/>
    <w:rsid w:val="00123549"/>
    <w:rsid w:val="001236D0"/>
    <w:rsid w:val="00123AC7"/>
    <w:rsid w:val="00123AD3"/>
    <w:rsid w:val="00123B64"/>
    <w:rsid w:val="00123E1D"/>
    <w:rsid w:val="00123ED1"/>
    <w:rsid w:val="00124205"/>
    <w:rsid w:val="00124594"/>
    <w:rsid w:val="0012463B"/>
    <w:rsid w:val="00124649"/>
    <w:rsid w:val="00124663"/>
    <w:rsid w:val="00124ACB"/>
    <w:rsid w:val="00124B34"/>
    <w:rsid w:val="00124DB6"/>
    <w:rsid w:val="00124DD8"/>
    <w:rsid w:val="00124E29"/>
    <w:rsid w:val="00124F86"/>
    <w:rsid w:val="00125016"/>
    <w:rsid w:val="001250AF"/>
    <w:rsid w:val="00125170"/>
    <w:rsid w:val="00125531"/>
    <w:rsid w:val="00125722"/>
    <w:rsid w:val="00125BA3"/>
    <w:rsid w:val="00125F86"/>
    <w:rsid w:val="0012610F"/>
    <w:rsid w:val="001261EB"/>
    <w:rsid w:val="00126221"/>
    <w:rsid w:val="001263F4"/>
    <w:rsid w:val="0012642B"/>
    <w:rsid w:val="001265CF"/>
    <w:rsid w:val="001271B2"/>
    <w:rsid w:val="001271F6"/>
    <w:rsid w:val="00127344"/>
    <w:rsid w:val="00127B65"/>
    <w:rsid w:val="00127CB2"/>
    <w:rsid w:val="00127EDD"/>
    <w:rsid w:val="00130191"/>
    <w:rsid w:val="001302FD"/>
    <w:rsid w:val="001303B0"/>
    <w:rsid w:val="0013057A"/>
    <w:rsid w:val="00130595"/>
    <w:rsid w:val="001305C9"/>
    <w:rsid w:val="0013073D"/>
    <w:rsid w:val="00130998"/>
    <w:rsid w:val="00130C11"/>
    <w:rsid w:val="0013158F"/>
    <w:rsid w:val="0013166E"/>
    <w:rsid w:val="00131B5F"/>
    <w:rsid w:val="00131B61"/>
    <w:rsid w:val="00131B81"/>
    <w:rsid w:val="00131BCF"/>
    <w:rsid w:val="001322B3"/>
    <w:rsid w:val="0013252E"/>
    <w:rsid w:val="001329C1"/>
    <w:rsid w:val="00132BE1"/>
    <w:rsid w:val="00132EB7"/>
    <w:rsid w:val="0013312D"/>
    <w:rsid w:val="00133197"/>
    <w:rsid w:val="0013331F"/>
    <w:rsid w:val="0013333B"/>
    <w:rsid w:val="001333C3"/>
    <w:rsid w:val="00133522"/>
    <w:rsid w:val="00133897"/>
    <w:rsid w:val="00133CCE"/>
    <w:rsid w:val="00133D2B"/>
    <w:rsid w:val="00133D5B"/>
    <w:rsid w:val="00133E73"/>
    <w:rsid w:val="00133EA2"/>
    <w:rsid w:val="00133ED6"/>
    <w:rsid w:val="00133FE3"/>
    <w:rsid w:val="0013418D"/>
    <w:rsid w:val="001342B6"/>
    <w:rsid w:val="001345FC"/>
    <w:rsid w:val="001346BC"/>
    <w:rsid w:val="00134A75"/>
    <w:rsid w:val="00134C08"/>
    <w:rsid w:val="00134C19"/>
    <w:rsid w:val="00134D29"/>
    <w:rsid w:val="00134D41"/>
    <w:rsid w:val="001351E5"/>
    <w:rsid w:val="001355D7"/>
    <w:rsid w:val="00135804"/>
    <w:rsid w:val="0013581E"/>
    <w:rsid w:val="00135E37"/>
    <w:rsid w:val="001360F3"/>
    <w:rsid w:val="00136294"/>
    <w:rsid w:val="0013636F"/>
    <w:rsid w:val="00136407"/>
    <w:rsid w:val="0013686B"/>
    <w:rsid w:val="0013704B"/>
    <w:rsid w:val="0013713A"/>
    <w:rsid w:val="001373DF"/>
    <w:rsid w:val="001374B2"/>
    <w:rsid w:val="001374FA"/>
    <w:rsid w:val="0013783F"/>
    <w:rsid w:val="00137C57"/>
    <w:rsid w:val="00137F51"/>
    <w:rsid w:val="00137FDD"/>
    <w:rsid w:val="00140165"/>
    <w:rsid w:val="0014022F"/>
    <w:rsid w:val="00140840"/>
    <w:rsid w:val="00140A1D"/>
    <w:rsid w:val="00140EC9"/>
    <w:rsid w:val="00141056"/>
    <w:rsid w:val="00141198"/>
    <w:rsid w:val="00141450"/>
    <w:rsid w:val="001415B6"/>
    <w:rsid w:val="00141653"/>
    <w:rsid w:val="0014168E"/>
    <w:rsid w:val="00141763"/>
    <w:rsid w:val="001417EE"/>
    <w:rsid w:val="00141847"/>
    <w:rsid w:val="00141C1C"/>
    <w:rsid w:val="001420C6"/>
    <w:rsid w:val="001421E5"/>
    <w:rsid w:val="00142734"/>
    <w:rsid w:val="00142A48"/>
    <w:rsid w:val="00142B7A"/>
    <w:rsid w:val="00142C24"/>
    <w:rsid w:val="00142DAF"/>
    <w:rsid w:val="00142FBB"/>
    <w:rsid w:val="00142FC4"/>
    <w:rsid w:val="0014318C"/>
    <w:rsid w:val="001432BD"/>
    <w:rsid w:val="001433FA"/>
    <w:rsid w:val="001437C1"/>
    <w:rsid w:val="00143890"/>
    <w:rsid w:val="00143976"/>
    <w:rsid w:val="001439DA"/>
    <w:rsid w:val="00143A4F"/>
    <w:rsid w:val="00143C05"/>
    <w:rsid w:val="00143F79"/>
    <w:rsid w:val="001440D0"/>
    <w:rsid w:val="0014418E"/>
    <w:rsid w:val="001448FC"/>
    <w:rsid w:val="00144A39"/>
    <w:rsid w:val="00144BAC"/>
    <w:rsid w:val="00144BE0"/>
    <w:rsid w:val="00144DEB"/>
    <w:rsid w:val="00144F49"/>
    <w:rsid w:val="001453F3"/>
    <w:rsid w:val="001457BC"/>
    <w:rsid w:val="0014586B"/>
    <w:rsid w:val="0014589D"/>
    <w:rsid w:val="0014593C"/>
    <w:rsid w:val="00145A81"/>
    <w:rsid w:val="00145C25"/>
    <w:rsid w:val="00146027"/>
    <w:rsid w:val="0014602D"/>
    <w:rsid w:val="001461F3"/>
    <w:rsid w:val="00146654"/>
    <w:rsid w:val="00146855"/>
    <w:rsid w:val="00146BCF"/>
    <w:rsid w:val="00146EC2"/>
    <w:rsid w:val="00146F1B"/>
    <w:rsid w:val="00146F3A"/>
    <w:rsid w:val="0014719D"/>
    <w:rsid w:val="00147569"/>
    <w:rsid w:val="001475DB"/>
    <w:rsid w:val="0014762F"/>
    <w:rsid w:val="001476AA"/>
    <w:rsid w:val="001476BB"/>
    <w:rsid w:val="0014770F"/>
    <w:rsid w:val="001477ED"/>
    <w:rsid w:val="00147899"/>
    <w:rsid w:val="00147C62"/>
    <w:rsid w:val="00147EEB"/>
    <w:rsid w:val="00150050"/>
    <w:rsid w:val="0015016A"/>
    <w:rsid w:val="00150B37"/>
    <w:rsid w:val="00150CCD"/>
    <w:rsid w:val="00151108"/>
    <w:rsid w:val="001511D1"/>
    <w:rsid w:val="00151250"/>
    <w:rsid w:val="0015129C"/>
    <w:rsid w:val="00151526"/>
    <w:rsid w:val="00151547"/>
    <w:rsid w:val="00151A9B"/>
    <w:rsid w:val="00151D2D"/>
    <w:rsid w:val="001521DD"/>
    <w:rsid w:val="00152217"/>
    <w:rsid w:val="00152343"/>
    <w:rsid w:val="00152604"/>
    <w:rsid w:val="001527A1"/>
    <w:rsid w:val="00152C98"/>
    <w:rsid w:val="00152F67"/>
    <w:rsid w:val="00152FF7"/>
    <w:rsid w:val="00153214"/>
    <w:rsid w:val="001536A8"/>
    <w:rsid w:val="001539B6"/>
    <w:rsid w:val="00153A97"/>
    <w:rsid w:val="00153F89"/>
    <w:rsid w:val="0015403C"/>
    <w:rsid w:val="001544F6"/>
    <w:rsid w:val="001545AE"/>
    <w:rsid w:val="0015475B"/>
    <w:rsid w:val="0015475D"/>
    <w:rsid w:val="00154E4D"/>
    <w:rsid w:val="00155208"/>
    <w:rsid w:val="00155251"/>
    <w:rsid w:val="00155253"/>
    <w:rsid w:val="00155489"/>
    <w:rsid w:val="001557A0"/>
    <w:rsid w:val="00155947"/>
    <w:rsid w:val="00155D28"/>
    <w:rsid w:val="0015606F"/>
    <w:rsid w:val="001560EF"/>
    <w:rsid w:val="001561CB"/>
    <w:rsid w:val="00156613"/>
    <w:rsid w:val="00156695"/>
    <w:rsid w:val="0015683C"/>
    <w:rsid w:val="00156844"/>
    <w:rsid w:val="00156DBC"/>
    <w:rsid w:val="0015756E"/>
    <w:rsid w:val="00157BD7"/>
    <w:rsid w:val="00157D54"/>
    <w:rsid w:val="00157E19"/>
    <w:rsid w:val="00157E31"/>
    <w:rsid w:val="00157E6A"/>
    <w:rsid w:val="001605BA"/>
    <w:rsid w:val="001605BE"/>
    <w:rsid w:val="00160DCD"/>
    <w:rsid w:val="001611DF"/>
    <w:rsid w:val="001611E6"/>
    <w:rsid w:val="00161338"/>
    <w:rsid w:val="00161814"/>
    <w:rsid w:val="00161C8E"/>
    <w:rsid w:val="00161D24"/>
    <w:rsid w:val="00161F50"/>
    <w:rsid w:val="001625A2"/>
    <w:rsid w:val="00162A51"/>
    <w:rsid w:val="00162D66"/>
    <w:rsid w:val="0016307A"/>
    <w:rsid w:val="00163086"/>
    <w:rsid w:val="00163160"/>
    <w:rsid w:val="001632CA"/>
    <w:rsid w:val="0016352E"/>
    <w:rsid w:val="001637C4"/>
    <w:rsid w:val="00163881"/>
    <w:rsid w:val="0016391D"/>
    <w:rsid w:val="00163945"/>
    <w:rsid w:val="00163992"/>
    <w:rsid w:val="001639ED"/>
    <w:rsid w:val="00163B15"/>
    <w:rsid w:val="00163EF5"/>
    <w:rsid w:val="00164134"/>
    <w:rsid w:val="00164180"/>
    <w:rsid w:val="00164303"/>
    <w:rsid w:val="00164554"/>
    <w:rsid w:val="001646FB"/>
    <w:rsid w:val="00164B10"/>
    <w:rsid w:val="00164B98"/>
    <w:rsid w:val="00164C5C"/>
    <w:rsid w:val="00164CC6"/>
    <w:rsid w:val="00164EC4"/>
    <w:rsid w:val="001652CD"/>
    <w:rsid w:val="001659E4"/>
    <w:rsid w:val="00165D1C"/>
    <w:rsid w:val="00166876"/>
    <w:rsid w:val="0016698B"/>
    <w:rsid w:val="00166AC5"/>
    <w:rsid w:val="00166AE3"/>
    <w:rsid w:val="00166C7C"/>
    <w:rsid w:val="00166C8A"/>
    <w:rsid w:val="00166E19"/>
    <w:rsid w:val="00166EE7"/>
    <w:rsid w:val="00166F0D"/>
    <w:rsid w:val="001670CF"/>
    <w:rsid w:val="0016714E"/>
    <w:rsid w:val="00167466"/>
    <w:rsid w:val="001677EB"/>
    <w:rsid w:val="0016790D"/>
    <w:rsid w:val="00167A70"/>
    <w:rsid w:val="00167FC5"/>
    <w:rsid w:val="0017051E"/>
    <w:rsid w:val="001708B9"/>
    <w:rsid w:val="00170AE3"/>
    <w:rsid w:val="00170B27"/>
    <w:rsid w:val="00170DA8"/>
    <w:rsid w:val="00170DB1"/>
    <w:rsid w:val="00170E10"/>
    <w:rsid w:val="0017107B"/>
    <w:rsid w:val="0017114F"/>
    <w:rsid w:val="001713DF"/>
    <w:rsid w:val="00171675"/>
    <w:rsid w:val="00171909"/>
    <w:rsid w:val="00171B83"/>
    <w:rsid w:val="00171DB2"/>
    <w:rsid w:val="0017207D"/>
    <w:rsid w:val="001720AC"/>
    <w:rsid w:val="00172201"/>
    <w:rsid w:val="00172263"/>
    <w:rsid w:val="001723A3"/>
    <w:rsid w:val="0017280D"/>
    <w:rsid w:val="0017282F"/>
    <w:rsid w:val="00172CD8"/>
    <w:rsid w:val="00172DCF"/>
    <w:rsid w:val="00173109"/>
    <w:rsid w:val="00173196"/>
    <w:rsid w:val="001734D9"/>
    <w:rsid w:val="0017352B"/>
    <w:rsid w:val="0017368F"/>
    <w:rsid w:val="001736B1"/>
    <w:rsid w:val="001737AF"/>
    <w:rsid w:val="0017386F"/>
    <w:rsid w:val="00174194"/>
    <w:rsid w:val="00174324"/>
    <w:rsid w:val="001744CD"/>
    <w:rsid w:val="00174895"/>
    <w:rsid w:val="001749EF"/>
    <w:rsid w:val="00174BEB"/>
    <w:rsid w:val="00174F48"/>
    <w:rsid w:val="001750ED"/>
    <w:rsid w:val="0017529A"/>
    <w:rsid w:val="00175397"/>
    <w:rsid w:val="001757CE"/>
    <w:rsid w:val="0017583F"/>
    <w:rsid w:val="00175840"/>
    <w:rsid w:val="00175969"/>
    <w:rsid w:val="001759A8"/>
    <w:rsid w:val="00175C51"/>
    <w:rsid w:val="00175D46"/>
    <w:rsid w:val="00175DF4"/>
    <w:rsid w:val="00175F62"/>
    <w:rsid w:val="00176212"/>
    <w:rsid w:val="00176264"/>
    <w:rsid w:val="00176284"/>
    <w:rsid w:val="00176289"/>
    <w:rsid w:val="001762C4"/>
    <w:rsid w:val="00176535"/>
    <w:rsid w:val="0017666E"/>
    <w:rsid w:val="001767C1"/>
    <w:rsid w:val="00176898"/>
    <w:rsid w:val="001768B1"/>
    <w:rsid w:val="00176A0F"/>
    <w:rsid w:val="00176A7B"/>
    <w:rsid w:val="00177476"/>
    <w:rsid w:val="00177555"/>
    <w:rsid w:val="00177632"/>
    <w:rsid w:val="001776F3"/>
    <w:rsid w:val="00180128"/>
    <w:rsid w:val="00180203"/>
    <w:rsid w:val="001806C8"/>
    <w:rsid w:val="00180A48"/>
    <w:rsid w:val="00180BDA"/>
    <w:rsid w:val="00180DF9"/>
    <w:rsid w:val="00180F4D"/>
    <w:rsid w:val="0018108F"/>
    <w:rsid w:val="0018109B"/>
    <w:rsid w:val="00181199"/>
    <w:rsid w:val="001812AA"/>
    <w:rsid w:val="0018131C"/>
    <w:rsid w:val="00181884"/>
    <w:rsid w:val="00181A00"/>
    <w:rsid w:val="00181E15"/>
    <w:rsid w:val="00181E21"/>
    <w:rsid w:val="00181F27"/>
    <w:rsid w:val="00181F2A"/>
    <w:rsid w:val="00181FA2"/>
    <w:rsid w:val="001820EF"/>
    <w:rsid w:val="00182155"/>
    <w:rsid w:val="001824C4"/>
    <w:rsid w:val="00182DCB"/>
    <w:rsid w:val="00182EA5"/>
    <w:rsid w:val="0018302C"/>
    <w:rsid w:val="00183057"/>
    <w:rsid w:val="00183595"/>
    <w:rsid w:val="00183600"/>
    <w:rsid w:val="00183708"/>
    <w:rsid w:val="00183CCA"/>
    <w:rsid w:val="001842B5"/>
    <w:rsid w:val="00184CCF"/>
    <w:rsid w:val="00184E4E"/>
    <w:rsid w:val="00184E67"/>
    <w:rsid w:val="00185300"/>
    <w:rsid w:val="00185340"/>
    <w:rsid w:val="001853A7"/>
    <w:rsid w:val="00185561"/>
    <w:rsid w:val="00185A25"/>
    <w:rsid w:val="00185A9C"/>
    <w:rsid w:val="00185E9C"/>
    <w:rsid w:val="00185EC3"/>
    <w:rsid w:val="00185FED"/>
    <w:rsid w:val="001860E9"/>
    <w:rsid w:val="00186516"/>
    <w:rsid w:val="00186903"/>
    <w:rsid w:val="00186D22"/>
    <w:rsid w:val="00186DB5"/>
    <w:rsid w:val="00186E5D"/>
    <w:rsid w:val="00186FC8"/>
    <w:rsid w:val="00186FF8"/>
    <w:rsid w:val="001879B1"/>
    <w:rsid w:val="00187A31"/>
    <w:rsid w:val="0019049C"/>
    <w:rsid w:val="001907DD"/>
    <w:rsid w:val="001907FE"/>
    <w:rsid w:val="001908FD"/>
    <w:rsid w:val="00190B39"/>
    <w:rsid w:val="00190D48"/>
    <w:rsid w:val="00190DD5"/>
    <w:rsid w:val="00190DDD"/>
    <w:rsid w:val="00190DF2"/>
    <w:rsid w:val="00190E1F"/>
    <w:rsid w:val="00190E7A"/>
    <w:rsid w:val="00190EE8"/>
    <w:rsid w:val="0019153F"/>
    <w:rsid w:val="0019167C"/>
    <w:rsid w:val="0019173B"/>
    <w:rsid w:val="0019173E"/>
    <w:rsid w:val="001917A6"/>
    <w:rsid w:val="001918CE"/>
    <w:rsid w:val="00191901"/>
    <w:rsid w:val="00191FB0"/>
    <w:rsid w:val="00192460"/>
    <w:rsid w:val="0019254D"/>
    <w:rsid w:val="001925C2"/>
    <w:rsid w:val="00192682"/>
    <w:rsid w:val="001926C2"/>
    <w:rsid w:val="001929AF"/>
    <w:rsid w:val="001929B4"/>
    <w:rsid w:val="00192FE5"/>
    <w:rsid w:val="001935EE"/>
    <w:rsid w:val="00193874"/>
    <w:rsid w:val="001939DA"/>
    <w:rsid w:val="00193CCF"/>
    <w:rsid w:val="00193CDD"/>
    <w:rsid w:val="00193E1E"/>
    <w:rsid w:val="00193FAC"/>
    <w:rsid w:val="00194030"/>
    <w:rsid w:val="0019409C"/>
    <w:rsid w:val="00194301"/>
    <w:rsid w:val="00194310"/>
    <w:rsid w:val="00194756"/>
    <w:rsid w:val="001947D5"/>
    <w:rsid w:val="001947F0"/>
    <w:rsid w:val="00194AF0"/>
    <w:rsid w:val="00194B50"/>
    <w:rsid w:val="001950AC"/>
    <w:rsid w:val="0019534C"/>
    <w:rsid w:val="00195359"/>
    <w:rsid w:val="001953FD"/>
    <w:rsid w:val="001954D8"/>
    <w:rsid w:val="00195627"/>
    <w:rsid w:val="001957CE"/>
    <w:rsid w:val="001957F6"/>
    <w:rsid w:val="00195904"/>
    <w:rsid w:val="0019597F"/>
    <w:rsid w:val="00195A49"/>
    <w:rsid w:val="00195DF0"/>
    <w:rsid w:val="00195E90"/>
    <w:rsid w:val="00195EEC"/>
    <w:rsid w:val="00195FE7"/>
    <w:rsid w:val="00196010"/>
    <w:rsid w:val="001964E3"/>
    <w:rsid w:val="001966C9"/>
    <w:rsid w:val="001967A7"/>
    <w:rsid w:val="00196874"/>
    <w:rsid w:val="001969D6"/>
    <w:rsid w:val="00196A93"/>
    <w:rsid w:val="00196B4D"/>
    <w:rsid w:val="00196B84"/>
    <w:rsid w:val="00196C0E"/>
    <w:rsid w:val="00196E6C"/>
    <w:rsid w:val="00196FA1"/>
    <w:rsid w:val="001971C9"/>
    <w:rsid w:val="00197414"/>
    <w:rsid w:val="001974CE"/>
    <w:rsid w:val="001975A9"/>
    <w:rsid w:val="001975EF"/>
    <w:rsid w:val="0019765A"/>
    <w:rsid w:val="00197702"/>
    <w:rsid w:val="001978EA"/>
    <w:rsid w:val="00197A78"/>
    <w:rsid w:val="00197B4B"/>
    <w:rsid w:val="00197E95"/>
    <w:rsid w:val="001A0002"/>
    <w:rsid w:val="001A0045"/>
    <w:rsid w:val="001A0086"/>
    <w:rsid w:val="001A0119"/>
    <w:rsid w:val="001A0259"/>
    <w:rsid w:val="001A02D2"/>
    <w:rsid w:val="001A0473"/>
    <w:rsid w:val="001A0785"/>
    <w:rsid w:val="001A0A78"/>
    <w:rsid w:val="001A0C20"/>
    <w:rsid w:val="001A0E81"/>
    <w:rsid w:val="001A0F14"/>
    <w:rsid w:val="001A1083"/>
    <w:rsid w:val="001A1169"/>
    <w:rsid w:val="001A1858"/>
    <w:rsid w:val="001A1B31"/>
    <w:rsid w:val="001A1BEA"/>
    <w:rsid w:val="001A1D02"/>
    <w:rsid w:val="001A1E2D"/>
    <w:rsid w:val="001A1F56"/>
    <w:rsid w:val="001A22DF"/>
    <w:rsid w:val="001A2954"/>
    <w:rsid w:val="001A29DA"/>
    <w:rsid w:val="001A2B4E"/>
    <w:rsid w:val="001A309B"/>
    <w:rsid w:val="001A32C2"/>
    <w:rsid w:val="001A337C"/>
    <w:rsid w:val="001A3521"/>
    <w:rsid w:val="001A3832"/>
    <w:rsid w:val="001A3863"/>
    <w:rsid w:val="001A38DC"/>
    <w:rsid w:val="001A3B1F"/>
    <w:rsid w:val="001A3E09"/>
    <w:rsid w:val="001A3E8A"/>
    <w:rsid w:val="001A41AC"/>
    <w:rsid w:val="001A45CF"/>
    <w:rsid w:val="001A45D6"/>
    <w:rsid w:val="001A4CC5"/>
    <w:rsid w:val="001A4D53"/>
    <w:rsid w:val="001A5123"/>
    <w:rsid w:val="001A5210"/>
    <w:rsid w:val="001A590F"/>
    <w:rsid w:val="001A59C7"/>
    <w:rsid w:val="001A5B2E"/>
    <w:rsid w:val="001A5B8F"/>
    <w:rsid w:val="001A608D"/>
    <w:rsid w:val="001A6363"/>
    <w:rsid w:val="001A6619"/>
    <w:rsid w:val="001A6C12"/>
    <w:rsid w:val="001A6D60"/>
    <w:rsid w:val="001A74CC"/>
    <w:rsid w:val="001A75D6"/>
    <w:rsid w:val="001A76A3"/>
    <w:rsid w:val="001A77CC"/>
    <w:rsid w:val="001A77F7"/>
    <w:rsid w:val="001A7CDF"/>
    <w:rsid w:val="001B0456"/>
    <w:rsid w:val="001B0459"/>
    <w:rsid w:val="001B05C9"/>
    <w:rsid w:val="001B0724"/>
    <w:rsid w:val="001B0802"/>
    <w:rsid w:val="001B0A82"/>
    <w:rsid w:val="001B0A91"/>
    <w:rsid w:val="001B0B25"/>
    <w:rsid w:val="001B0CA0"/>
    <w:rsid w:val="001B0EEF"/>
    <w:rsid w:val="001B0F94"/>
    <w:rsid w:val="001B0FC9"/>
    <w:rsid w:val="001B1022"/>
    <w:rsid w:val="001B119E"/>
    <w:rsid w:val="001B12F6"/>
    <w:rsid w:val="001B1437"/>
    <w:rsid w:val="001B16A1"/>
    <w:rsid w:val="001B181A"/>
    <w:rsid w:val="001B1915"/>
    <w:rsid w:val="001B1B55"/>
    <w:rsid w:val="001B1DF0"/>
    <w:rsid w:val="001B1E9F"/>
    <w:rsid w:val="001B1F2F"/>
    <w:rsid w:val="001B20BC"/>
    <w:rsid w:val="001B22CA"/>
    <w:rsid w:val="001B23DB"/>
    <w:rsid w:val="001B2587"/>
    <w:rsid w:val="001B2615"/>
    <w:rsid w:val="001B2618"/>
    <w:rsid w:val="001B2818"/>
    <w:rsid w:val="001B29C3"/>
    <w:rsid w:val="001B315A"/>
    <w:rsid w:val="001B322F"/>
    <w:rsid w:val="001B332A"/>
    <w:rsid w:val="001B34AE"/>
    <w:rsid w:val="001B384D"/>
    <w:rsid w:val="001B4359"/>
    <w:rsid w:val="001B4428"/>
    <w:rsid w:val="001B445A"/>
    <w:rsid w:val="001B44C5"/>
    <w:rsid w:val="001B4781"/>
    <w:rsid w:val="001B4F8D"/>
    <w:rsid w:val="001B52FC"/>
    <w:rsid w:val="001B5425"/>
    <w:rsid w:val="001B5642"/>
    <w:rsid w:val="001B5717"/>
    <w:rsid w:val="001B580F"/>
    <w:rsid w:val="001B589E"/>
    <w:rsid w:val="001B5C19"/>
    <w:rsid w:val="001B5C8F"/>
    <w:rsid w:val="001B5EBC"/>
    <w:rsid w:val="001B6356"/>
    <w:rsid w:val="001B6397"/>
    <w:rsid w:val="001B65AA"/>
    <w:rsid w:val="001B69B2"/>
    <w:rsid w:val="001B6A9F"/>
    <w:rsid w:val="001B6D5B"/>
    <w:rsid w:val="001B6DE9"/>
    <w:rsid w:val="001B6E31"/>
    <w:rsid w:val="001B6E91"/>
    <w:rsid w:val="001B70C9"/>
    <w:rsid w:val="001B7210"/>
    <w:rsid w:val="001B72E8"/>
    <w:rsid w:val="001B7604"/>
    <w:rsid w:val="001B7689"/>
    <w:rsid w:val="001B76BF"/>
    <w:rsid w:val="001B7A27"/>
    <w:rsid w:val="001B7B71"/>
    <w:rsid w:val="001B7D42"/>
    <w:rsid w:val="001B7F61"/>
    <w:rsid w:val="001C0057"/>
    <w:rsid w:val="001C011D"/>
    <w:rsid w:val="001C0228"/>
    <w:rsid w:val="001C0458"/>
    <w:rsid w:val="001C0512"/>
    <w:rsid w:val="001C0701"/>
    <w:rsid w:val="001C07DD"/>
    <w:rsid w:val="001C0836"/>
    <w:rsid w:val="001C0C0C"/>
    <w:rsid w:val="001C0F20"/>
    <w:rsid w:val="001C0F8A"/>
    <w:rsid w:val="001C1426"/>
    <w:rsid w:val="001C1461"/>
    <w:rsid w:val="001C17F9"/>
    <w:rsid w:val="001C185C"/>
    <w:rsid w:val="001C18F9"/>
    <w:rsid w:val="001C1998"/>
    <w:rsid w:val="001C19BD"/>
    <w:rsid w:val="001C1AEB"/>
    <w:rsid w:val="001C1F74"/>
    <w:rsid w:val="001C25C9"/>
    <w:rsid w:val="001C28A9"/>
    <w:rsid w:val="001C2BF3"/>
    <w:rsid w:val="001C2FFE"/>
    <w:rsid w:val="001C3232"/>
    <w:rsid w:val="001C338B"/>
    <w:rsid w:val="001C34BF"/>
    <w:rsid w:val="001C3594"/>
    <w:rsid w:val="001C35F2"/>
    <w:rsid w:val="001C362A"/>
    <w:rsid w:val="001C3691"/>
    <w:rsid w:val="001C3E14"/>
    <w:rsid w:val="001C41D4"/>
    <w:rsid w:val="001C4251"/>
    <w:rsid w:val="001C42C3"/>
    <w:rsid w:val="001C45D9"/>
    <w:rsid w:val="001C4750"/>
    <w:rsid w:val="001C4A03"/>
    <w:rsid w:val="001C4AF4"/>
    <w:rsid w:val="001C4AFE"/>
    <w:rsid w:val="001C4DEC"/>
    <w:rsid w:val="001C4FDB"/>
    <w:rsid w:val="001C5105"/>
    <w:rsid w:val="001C52DE"/>
    <w:rsid w:val="001C57EC"/>
    <w:rsid w:val="001C5B6B"/>
    <w:rsid w:val="001C61B1"/>
    <w:rsid w:val="001C6434"/>
    <w:rsid w:val="001C64CB"/>
    <w:rsid w:val="001C65E7"/>
    <w:rsid w:val="001C6BD6"/>
    <w:rsid w:val="001C6DA3"/>
    <w:rsid w:val="001C6F02"/>
    <w:rsid w:val="001C6F8E"/>
    <w:rsid w:val="001C78BE"/>
    <w:rsid w:val="001C79CF"/>
    <w:rsid w:val="001C7A50"/>
    <w:rsid w:val="001C7CA1"/>
    <w:rsid w:val="001C7FCC"/>
    <w:rsid w:val="001D0319"/>
    <w:rsid w:val="001D03A7"/>
    <w:rsid w:val="001D0532"/>
    <w:rsid w:val="001D0640"/>
    <w:rsid w:val="001D0641"/>
    <w:rsid w:val="001D07F1"/>
    <w:rsid w:val="001D0FEA"/>
    <w:rsid w:val="001D1082"/>
    <w:rsid w:val="001D12A5"/>
    <w:rsid w:val="001D1637"/>
    <w:rsid w:val="001D16AD"/>
    <w:rsid w:val="001D16B8"/>
    <w:rsid w:val="001D1858"/>
    <w:rsid w:val="001D1AD3"/>
    <w:rsid w:val="001D1DE3"/>
    <w:rsid w:val="001D1E79"/>
    <w:rsid w:val="001D1F60"/>
    <w:rsid w:val="001D206E"/>
    <w:rsid w:val="001D20FA"/>
    <w:rsid w:val="001D2262"/>
    <w:rsid w:val="001D2530"/>
    <w:rsid w:val="001D2601"/>
    <w:rsid w:val="001D2612"/>
    <w:rsid w:val="001D2685"/>
    <w:rsid w:val="001D2B01"/>
    <w:rsid w:val="001D2ED2"/>
    <w:rsid w:val="001D3150"/>
    <w:rsid w:val="001D3217"/>
    <w:rsid w:val="001D3353"/>
    <w:rsid w:val="001D339F"/>
    <w:rsid w:val="001D3588"/>
    <w:rsid w:val="001D35D2"/>
    <w:rsid w:val="001D380D"/>
    <w:rsid w:val="001D3B36"/>
    <w:rsid w:val="001D3EE0"/>
    <w:rsid w:val="001D3F91"/>
    <w:rsid w:val="001D3FD6"/>
    <w:rsid w:val="001D46B5"/>
    <w:rsid w:val="001D4B80"/>
    <w:rsid w:val="001D4D40"/>
    <w:rsid w:val="001D4E10"/>
    <w:rsid w:val="001D4F3E"/>
    <w:rsid w:val="001D52F6"/>
    <w:rsid w:val="001D56AC"/>
    <w:rsid w:val="001D57EA"/>
    <w:rsid w:val="001D5B24"/>
    <w:rsid w:val="001D5C68"/>
    <w:rsid w:val="001D5D5A"/>
    <w:rsid w:val="001D5F84"/>
    <w:rsid w:val="001D6046"/>
    <w:rsid w:val="001D61EF"/>
    <w:rsid w:val="001D6301"/>
    <w:rsid w:val="001D64E9"/>
    <w:rsid w:val="001D6816"/>
    <w:rsid w:val="001D6B05"/>
    <w:rsid w:val="001D6EA8"/>
    <w:rsid w:val="001D7631"/>
    <w:rsid w:val="001D776E"/>
    <w:rsid w:val="001D7825"/>
    <w:rsid w:val="001D78DD"/>
    <w:rsid w:val="001D7C65"/>
    <w:rsid w:val="001D7E09"/>
    <w:rsid w:val="001D7F4B"/>
    <w:rsid w:val="001E00BD"/>
    <w:rsid w:val="001E016B"/>
    <w:rsid w:val="001E037E"/>
    <w:rsid w:val="001E0382"/>
    <w:rsid w:val="001E04AB"/>
    <w:rsid w:val="001E0643"/>
    <w:rsid w:val="001E06D1"/>
    <w:rsid w:val="001E06E3"/>
    <w:rsid w:val="001E087F"/>
    <w:rsid w:val="001E08EE"/>
    <w:rsid w:val="001E0B6D"/>
    <w:rsid w:val="001E0F2F"/>
    <w:rsid w:val="001E1121"/>
    <w:rsid w:val="001E11D8"/>
    <w:rsid w:val="001E122B"/>
    <w:rsid w:val="001E12E6"/>
    <w:rsid w:val="001E14EB"/>
    <w:rsid w:val="001E194C"/>
    <w:rsid w:val="001E20CE"/>
    <w:rsid w:val="001E2453"/>
    <w:rsid w:val="001E25A9"/>
    <w:rsid w:val="001E2613"/>
    <w:rsid w:val="001E2735"/>
    <w:rsid w:val="001E290D"/>
    <w:rsid w:val="001E2A14"/>
    <w:rsid w:val="001E2A85"/>
    <w:rsid w:val="001E2BD7"/>
    <w:rsid w:val="001E2CC6"/>
    <w:rsid w:val="001E2FFF"/>
    <w:rsid w:val="001E3175"/>
    <w:rsid w:val="001E349B"/>
    <w:rsid w:val="001E3663"/>
    <w:rsid w:val="001E3749"/>
    <w:rsid w:val="001E3779"/>
    <w:rsid w:val="001E395B"/>
    <w:rsid w:val="001E3C56"/>
    <w:rsid w:val="001E3F25"/>
    <w:rsid w:val="001E46F3"/>
    <w:rsid w:val="001E4C9A"/>
    <w:rsid w:val="001E4D00"/>
    <w:rsid w:val="001E4E06"/>
    <w:rsid w:val="001E4F11"/>
    <w:rsid w:val="001E4F39"/>
    <w:rsid w:val="001E5319"/>
    <w:rsid w:val="001E5509"/>
    <w:rsid w:val="001E55CE"/>
    <w:rsid w:val="001E582F"/>
    <w:rsid w:val="001E591F"/>
    <w:rsid w:val="001E5A68"/>
    <w:rsid w:val="001E5B5F"/>
    <w:rsid w:val="001E5DF9"/>
    <w:rsid w:val="001E5EA4"/>
    <w:rsid w:val="001E623B"/>
    <w:rsid w:val="001E6444"/>
    <w:rsid w:val="001E6C33"/>
    <w:rsid w:val="001E6D05"/>
    <w:rsid w:val="001E6E41"/>
    <w:rsid w:val="001E7068"/>
    <w:rsid w:val="001E7120"/>
    <w:rsid w:val="001E7466"/>
    <w:rsid w:val="001E775F"/>
    <w:rsid w:val="001E78AA"/>
    <w:rsid w:val="001E790D"/>
    <w:rsid w:val="001E7B5A"/>
    <w:rsid w:val="001E7CF1"/>
    <w:rsid w:val="001E7CFE"/>
    <w:rsid w:val="001E7D3E"/>
    <w:rsid w:val="001E7DB7"/>
    <w:rsid w:val="001F0437"/>
    <w:rsid w:val="001F05C5"/>
    <w:rsid w:val="001F05D2"/>
    <w:rsid w:val="001F05EE"/>
    <w:rsid w:val="001F073E"/>
    <w:rsid w:val="001F0793"/>
    <w:rsid w:val="001F0943"/>
    <w:rsid w:val="001F0946"/>
    <w:rsid w:val="001F09E7"/>
    <w:rsid w:val="001F0A7A"/>
    <w:rsid w:val="001F0CDE"/>
    <w:rsid w:val="001F0E87"/>
    <w:rsid w:val="001F0FBA"/>
    <w:rsid w:val="001F12DC"/>
    <w:rsid w:val="001F1368"/>
    <w:rsid w:val="001F139D"/>
    <w:rsid w:val="001F18A6"/>
    <w:rsid w:val="001F19B3"/>
    <w:rsid w:val="001F19CB"/>
    <w:rsid w:val="001F1A60"/>
    <w:rsid w:val="001F1D60"/>
    <w:rsid w:val="001F1D6C"/>
    <w:rsid w:val="001F1D9C"/>
    <w:rsid w:val="001F1DFE"/>
    <w:rsid w:val="001F1E4A"/>
    <w:rsid w:val="001F1F03"/>
    <w:rsid w:val="001F229F"/>
    <w:rsid w:val="001F2403"/>
    <w:rsid w:val="001F28AF"/>
    <w:rsid w:val="001F2A53"/>
    <w:rsid w:val="001F2A98"/>
    <w:rsid w:val="001F2AF2"/>
    <w:rsid w:val="001F3235"/>
    <w:rsid w:val="001F3460"/>
    <w:rsid w:val="001F353A"/>
    <w:rsid w:val="001F38BE"/>
    <w:rsid w:val="001F3ACF"/>
    <w:rsid w:val="001F3B1E"/>
    <w:rsid w:val="001F3E36"/>
    <w:rsid w:val="001F3E3B"/>
    <w:rsid w:val="001F4106"/>
    <w:rsid w:val="001F4110"/>
    <w:rsid w:val="001F4121"/>
    <w:rsid w:val="001F42E2"/>
    <w:rsid w:val="001F4768"/>
    <w:rsid w:val="001F4856"/>
    <w:rsid w:val="001F4954"/>
    <w:rsid w:val="001F495C"/>
    <w:rsid w:val="001F4A94"/>
    <w:rsid w:val="001F4B59"/>
    <w:rsid w:val="001F4B71"/>
    <w:rsid w:val="001F4C03"/>
    <w:rsid w:val="001F4C14"/>
    <w:rsid w:val="001F4CEA"/>
    <w:rsid w:val="001F503D"/>
    <w:rsid w:val="001F54A4"/>
    <w:rsid w:val="001F5570"/>
    <w:rsid w:val="001F57AB"/>
    <w:rsid w:val="001F5C5A"/>
    <w:rsid w:val="001F5E0B"/>
    <w:rsid w:val="001F5EFD"/>
    <w:rsid w:val="001F61B8"/>
    <w:rsid w:val="001F62C2"/>
    <w:rsid w:val="001F639B"/>
    <w:rsid w:val="001F64DF"/>
    <w:rsid w:val="001F66BD"/>
    <w:rsid w:val="001F6765"/>
    <w:rsid w:val="001F6839"/>
    <w:rsid w:val="001F6CE0"/>
    <w:rsid w:val="001F6FF7"/>
    <w:rsid w:val="001F7516"/>
    <w:rsid w:val="001F76DA"/>
    <w:rsid w:val="001F7716"/>
    <w:rsid w:val="001F77EE"/>
    <w:rsid w:val="001F7C1E"/>
    <w:rsid w:val="001F7CAA"/>
    <w:rsid w:val="001F7F78"/>
    <w:rsid w:val="001F7F9B"/>
    <w:rsid w:val="0020001F"/>
    <w:rsid w:val="002001E4"/>
    <w:rsid w:val="0020081D"/>
    <w:rsid w:val="0020099F"/>
    <w:rsid w:val="00200BDC"/>
    <w:rsid w:val="00200C7F"/>
    <w:rsid w:val="00200FB4"/>
    <w:rsid w:val="0020110A"/>
    <w:rsid w:val="00201117"/>
    <w:rsid w:val="0020150A"/>
    <w:rsid w:val="0020153C"/>
    <w:rsid w:val="0020175E"/>
    <w:rsid w:val="0020176A"/>
    <w:rsid w:val="002017B9"/>
    <w:rsid w:val="002019A4"/>
    <w:rsid w:val="00201B05"/>
    <w:rsid w:val="00201E02"/>
    <w:rsid w:val="00201F6C"/>
    <w:rsid w:val="00202279"/>
    <w:rsid w:val="0020235F"/>
    <w:rsid w:val="002026CB"/>
    <w:rsid w:val="00202835"/>
    <w:rsid w:val="00202D34"/>
    <w:rsid w:val="00202E65"/>
    <w:rsid w:val="00202E7C"/>
    <w:rsid w:val="00202F28"/>
    <w:rsid w:val="002032DD"/>
    <w:rsid w:val="0020333E"/>
    <w:rsid w:val="002036C3"/>
    <w:rsid w:val="002037DE"/>
    <w:rsid w:val="0020392F"/>
    <w:rsid w:val="002039A7"/>
    <w:rsid w:val="00203CFB"/>
    <w:rsid w:val="00203D2F"/>
    <w:rsid w:val="00203D6C"/>
    <w:rsid w:val="00203D73"/>
    <w:rsid w:val="00203E49"/>
    <w:rsid w:val="00203EE8"/>
    <w:rsid w:val="00203F88"/>
    <w:rsid w:val="0020406F"/>
    <w:rsid w:val="002045E4"/>
    <w:rsid w:val="0020477C"/>
    <w:rsid w:val="00204A80"/>
    <w:rsid w:val="00204CBA"/>
    <w:rsid w:val="00204F10"/>
    <w:rsid w:val="00204F87"/>
    <w:rsid w:val="00204FC4"/>
    <w:rsid w:val="002051CE"/>
    <w:rsid w:val="00205284"/>
    <w:rsid w:val="002053F5"/>
    <w:rsid w:val="00205434"/>
    <w:rsid w:val="002056A4"/>
    <w:rsid w:val="00205930"/>
    <w:rsid w:val="002059E9"/>
    <w:rsid w:val="00205A4F"/>
    <w:rsid w:val="00205D97"/>
    <w:rsid w:val="00205F79"/>
    <w:rsid w:val="002066F3"/>
    <w:rsid w:val="00206738"/>
    <w:rsid w:val="00206747"/>
    <w:rsid w:val="002067C3"/>
    <w:rsid w:val="00206842"/>
    <w:rsid w:val="00206934"/>
    <w:rsid w:val="00206BB8"/>
    <w:rsid w:val="0020760C"/>
    <w:rsid w:val="002078EE"/>
    <w:rsid w:val="00207CA6"/>
    <w:rsid w:val="00207F3D"/>
    <w:rsid w:val="00210500"/>
    <w:rsid w:val="00210C96"/>
    <w:rsid w:val="00210C9B"/>
    <w:rsid w:val="00210D02"/>
    <w:rsid w:val="00211014"/>
    <w:rsid w:val="00211265"/>
    <w:rsid w:val="002112C9"/>
    <w:rsid w:val="0021173C"/>
    <w:rsid w:val="002117AD"/>
    <w:rsid w:val="002118F3"/>
    <w:rsid w:val="002119E6"/>
    <w:rsid w:val="002122D4"/>
    <w:rsid w:val="0021231B"/>
    <w:rsid w:val="00212360"/>
    <w:rsid w:val="002123F3"/>
    <w:rsid w:val="00212714"/>
    <w:rsid w:val="0021279C"/>
    <w:rsid w:val="002127EE"/>
    <w:rsid w:val="00212852"/>
    <w:rsid w:val="00212D7B"/>
    <w:rsid w:val="00213127"/>
    <w:rsid w:val="002132A8"/>
    <w:rsid w:val="00213CC2"/>
    <w:rsid w:val="00213E03"/>
    <w:rsid w:val="00214492"/>
    <w:rsid w:val="00214899"/>
    <w:rsid w:val="00214960"/>
    <w:rsid w:val="002149F9"/>
    <w:rsid w:val="00214C43"/>
    <w:rsid w:val="00214FFC"/>
    <w:rsid w:val="0021520C"/>
    <w:rsid w:val="0021521D"/>
    <w:rsid w:val="00215853"/>
    <w:rsid w:val="00215894"/>
    <w:rsid w:val="00215C20"/>
    <w:rsid w:val="00215C5A"/>
    <w:rsid w:val="00215D2F"/>
    <w:rsid w:val="0021637E"/>
    <w:rsid w:val="002164AC"/>
    <w:rsid w:val="0021662D"/>
    <w:rsid w:val="002166EE"/>
    <w:rsid w:val="0021682A"/>
    <w:rsid w:val="00216906"/>
    <w:rsid w:val="002169EE"/>
    <w:rsid w:val="00216BCA"/>
    <w:rsid w:val="00216CF6"/>
    <w:rsid w:val="00216E7E"/>
    <w:rsid w:val="00216E82"/>
    <w:rsid w:val="00216F68"/>
    <w:rsid w:val="00217492"/>
    <w:rsid w:val="0021795B"/>
    <w:rsid w:val="00217D80"/>
    <w:rsid w:val="00217F34"/>
    <w:rsid w:val="002200FF"/>
    <w:rsid w:val="0022012F"/>
    <w:rsid w:val="002201C1"/>
    <w:rsid w:val="00220300"/>
    <w:rsid w:val="00220372"/>
    <w:rsid w:val="00220388"/>
    <w:rsid w:val="002207D6"/>
    <w:rsid w:val="002209B3"/>
    <w:rsid w:val="00220BD7"/>
    <w:rsid w:val="00220CCF"/>
    <w:rsid w:val="00220E16"/>
    <w:rsid w:val="00220E37"/>
    <w:rsid w:val="00221203"/>
    <w:rsid w:val="002216A6"/>
    <w:rsid w:val="00221709"/>
    <w:rsid w:val="00221766"/>
    <w:rsid w:val="0022184A"/>
    <w:rsid w:val="002218D0"/>
    <w:rsid w:val="0022194E"/>
    <w:rsid w:val="00221AFB"/>
    <w:rsid w:val="00221BD0"/>
    <w:rsid w:val="00221CF1"/>
    <w:rsid w:val="00221F69"/>
    <w:rsid w:val="002221EE"/>
    <w:rsid w:val="0022254A"/>
    <w:rsid w:val="00222765"/>
    <w:rsid w:val="002229D8"/>
    <w:rsid w:val="00222D00"/>
    <w:rsid w:val="00222D0B"/>
    <w:rsid w:val="002231B9"/>
    <w:rsid w:val="002233AE"/>
    <w:rsid w:val="00223554"/>
    <w:rsid w:val="002236FC"/>
    <w:rsid w:val="0022375D"/>
    <w:rsid w:val="00223980"/>
    <w:rsid w:val="00223E71"/>
    <w:rsid w:val="00223F14"/>
    <w:rsid w:val="00223F7F"/>
    <w:rsid w:val="00224001"/>
    <w:rsid w:val="002240DA"/>
    <w:rsid w:val="0022417E"/>
    <w:rsid w:val="0022418F"/>
    <w:rsid w:val="00224351"/>
    <w:rsid w:val="00224707"/>
    <w:rsid w:val="002247D2"/>
    <w:rsid w:val="00224B99"/>
    <w:rsid w:val="00224DD5"/>
    <w:rsid w:val="00224FE9"/>
    <w:rsid w:val="00225031"/>
    <w:rsid w:val="002251B3"/>
    <w:rsid w:val="002254AE"/>
    <w:rsid w:val="002256E0"/>
    <w:rsid w:val="002258D1"/>
    <w:rsid w:val="0022595B"/>
    <w:rsid w:val="00225C81"/>
    <w:rsid w:val="00225E94"/>
    <w:rsid w:val="002261BE"/>
    <w:rsid w:val="00226297"/>
    <w:rsid w:val="0022644E"/>
    <w:rsid w:val="0022673B"/>
    <w:rsid w:val="002268CC"/>
    <w:rsid w:val="002268DC"/>
    <w:rsid w:val="00226B58"/>
    <w:rsid w:val="00226C7D"/>
    <w:rsid w:val="00226E6F"/>
    <w:rsid w:val="00227025"/>
    <w:rsid w:val="00227185"/>
    <w:rsid w:val="0022764A"/>
    <w:rsid w:val="00227977"/>
    <w:rsid w:val="00227B19"/>
    <w:rsid w:val="00227B6D"/>
    <w:rsid w:val="00227CC8"/>
    <w:rsid w:val="00227D72"/>
    <w:rsid w:val="00227F1F"/>
    <w:rsid w:val="002303B8"/>
    <w:rsid w:val="0023079E"/>
    <w:rsid w:val="00230AE3"/>
    <w:rsid w:val="00230AEE"/>
    <w:rsid w:val="00230B58"/>
    <w:rsid w:val="00231426"/>
    <w:rsid w:val="00231570"/>
    <w:rsid w:val="002316C1"/>
    <w:rsid w:val="00231877"/>
    <w:rsid w:val="00231B44"/>
    <w:rsid w:val="00231BF3"/>
    <w:rsid w:val="00231DB8"/>
    <w:rsid w:val="00231E52"/>
    <w:rsid w:val="002322C7"/>
    <w:rsid w:val="002323B5"/>
    <w:rsid w:val="002327AA"/>
    <w:rsid w:val="00232866"/>
    <w:rsid w:val="00232A7E"/>
    <w:rsid w:val="00232A8F"/>
    <w:rsid w:val="00232C3D"/>
    <w:rsid w:val="00232C50"/>
    <w:rsid w:val="00232CA0"/>
    <w:rsid w:val="00232D35"/>
    <w:rsid w:val="00232EE6"/>
    <w:rsid w:val="00233191"/>
    <w:rsid w:val="0023327E"/>
    <w:rsid w:val="00233751"/>
    <w:rsid w:val="0023379D"/>
    <w:rsid w:val="00233CA0"/>
    <w:rsid w:val="00233E44"/>
    <w:rsid w:val="00234019"/>
    <w:rsid w:val="002340B6"/>
    <w:rsid w:val="002342E8"/>
    <w:rsid w:val="0023440B"/>
    <w:rsid w:val="0023462D"/>
    <w:rsid w:val="002349C2"/>
    <w:rsid w:val="00234B46"/>
    <w:rsid w:val="00234BA2"/>
    <w:rsid w:val="00234E24"/>
    <w:rsid w:val="0023535E"/>
    <w:rsid w:val="00235582"/>
    <w:rsid w:val="002355B6"/>
    <w:rsid w:val="00235673"/>
    <w:rsid w:val="002356F7"/>
    <w:rsid w:val="00235A14"/>
    <w:rsid w:val="00235A3D"/>
    <w:rsid w:val="00235B85"/>
    <w:rsid w:val="00235E3A"/>
    <w:rsid w:val="00235E91"/>
    <w:rsid w:val="002360F9"/>
    <w:rsid w:val="00236490"/>
    <w:rsid w:val="00236623"/>
    <w:rsid w:val="0023691C"/>
    <w:rsid w:val="00236946"/>
    <w:rsid w:val="0023696A"/>
    <w:rsid w:val="00236B61"/>
    <w:rsid w:val="00236C2F"/>
    <w:rsid w:val="00236C31"/>
    <w:rsid w:val="00236DC1"/>
    <w:rsid w:val="00236F3F"/>
    <w:rsid w:val="002370AB"/>
    <w:rsid w:val="0023745A"/>
    <w:rsid w:val="002376FF"/>
    <w:rsid w:val="002377D8"/>
    <w:rsid w:val="00237872"/>
    <w:rsid w:val="00237BC3"/>
    <w:rsid w:val="00237E31"/>
    <w:rsid w:val="00237FC2"/>
    <w:rsid w:val="002406A8"/>
    <w:rsid w:val="00240D1F"/>
    <w:rsid w:val="00240DCF"/>
    <w:rsid w:val="002417A9"/>
    <w:rsid w:val="0024197C"/>
    <w:rsid w:val="002419DE"/>
    <w:rsid w:val="00241DC1"/>
    <w:rsid w:val="00241E55"/>
    <w:rsid w:val="00241F6E"/>
    <w:rsid w:val="00241FE6"/>
    <w:rsid w:val="002420DF"/>
    <w:rsid w:val="0024225D"/>
    <w:rsid w:val="00242305"/>
    <w:rsid w:val="00242335"/>
    <w:rsid w:val="002423E0"/>
    <w:rsid w:val="00242572"/>
    <w:rsid w:val="002428B4"/>
    <w:rsid w:val="002428CE"/>
    <w:rsid w:val="00242DC6"/>
    <w:rsid w:val="002430C5"/>
    <w:rsid w:val="002431C0"/>
    <w:rsid w:val="002432B0"/>
    <w:rsid w:val="00243688"/>
    <w:rsid w:val="00243716"/>
    <w:rsid w:val="002438DC"/>
    <w:rsid w:val="00243909"/>
    <w:rsid w:val="00243A8D"/>
    <w:rsid w:val="00243AEE"/>
    <w:rsid w:val="00243B4E"/>
    <w:rsid w:val="00243D0B"/>
    <w:rsid w:val="00243E1E"/>
    <w:rsid w:val="00244010"/>
    <w:rsid w:val="00244363"/>
    <w:rsid w:val="00244571"/>
    <w:rsid w:val="0024457D"/>
    <w:rsid w:val="002446C4"/>
    <w:rsid w:val="00244FE3"/>
    <w:rsid w:val="0024536D"/>
    <w:rsid w:val="0024546F"/>
    <w:rsid w:val="002454C0"/>
    <w:rsid w:val="00245673"/>
    <w:rsid w:val="00245712"/>
    <w:rsid w:val="00245C69"/>
    <w:rsid w:val="00245C77"/>
    <w:rsid w:val="00245D28"/>
    <w:rsid w:val="00245D63"/>
    <w:rsid w:val="00245E0A"/>
    <w:rsid w:val="00245EF2"/>
    <w:rsid w:val="00246074"/>
    <w:rsid w:val="0024638D"/>
    <w:rsid w:val="0024648D"/>
    <w:rsid w:val="002469E9"/>
    <w:rsid w:val="00246B00"/>
    <w:rsid w:val="00246B7D"/>
    <w:rsid w:val="00246BD2"/>
    <w:rsid w:val="00246D15"/>
    <w:rsid w:val="00246DE4"/>
    <w:rsid w:val="00246E1F"/>
    <w:rsid w:val="00247303"/>
    <w:rsid w:val="002476A2"/>
    <w:rsid w:val="00247CCA"/>
    <w:rsid w:val="00247DA5"/>
    <w:rsid w:val="00247EE3"/>
    <w:rsid w:val="00247F37"/>
    <w:rsid w:val="00250075"/>
    <w:rsid w:val="00250159"/>
    <w:rsid w:val="00250263"/>
    <w:rsid w:val="002503BA"/>
    <w:rsid w:val="0025065A"/>
    <w:rsid w:val="00250675"/>
    <w:rsid w:val="00250975"/>
    <w:rsid w:val="00250BFD"/>
    <w:rsid w:val="0025107D"/>
    <w:rsid w:val="002511A3"/>
    <w:rsid w:val="0025126A"/>
    <w:rsid w:val="00251365"/>
    <w:rsid w:val="00251569"/>
    <w:rsid w:val="002515ED"/>
    <w:rsid w:val="00251678"/>
    <w:rsid w:val="0025167D"/>
    <w:rsid w:val="002516BA"/>
    <w:rsid w:val="0025196C"/>
    <w:rsid w:val="002519D7"/>
    <w:rsid w:val="00251D7A"/>
    <w:rsid w:val="00251E10"/>
    <w:rsid w:val="002520DE"/>
    <w:rsid w:val="00252228"/>
    <w:rsid w:val="00252339"/>
    <w:rsid w:val="0025255A"/>
    <w:rsid w:val="00252A6B"/>
    <w:rsid w:val="00252B3F"/>
    <w:rsid w:val="00252BA0"/>
    <w:rsid w:val="00252E06"/>
    <w:rsid w:val="00252F95"/>
    <w:rsid w:val="0025353F"/>
    <w:rsid w:val="00253D2A"/>
    <w:rsid w:val="00253DEC"/>
    <w:rsid w:val="00253FC1"/>
    <w:rsid w:val="002546B7"/>
    <w:rsid w:val="00254737"/>
    <w:rsid w:val="00254842"/>
    <w:rsid w:val="00254862"/>
    <w:rsid w:val="0025499B"/>
    <w:rsid w:val="00254A69"/>
    <w:rsid w:val="00254C75"/>
    <w:rsid w:val="00254F43"/>
    <w:rsid w:val="00254FB3"/>
    <w:rsid w:val="0025529D"/>
    <w:rsid w:val="002552D9"/>
    <w:rsid w:val="002553C9"/>
    <w:rsid w:val="0025589E"/>
    <w:rsid w:val="002558C2"/>
    <w:rsid w:val="00255C07"/>
    <w:rsid w:val="00255D53"/>
    <w:rsid w:val="00255DAB"/>
    <w:rsid w:val="002564FF"/>
    <w:rsid w:val="002565F2"/>
    <w:rsid w:val="002568B4"/>
    <w:rsid w:val="002568B8"/>
    <w:rsid w:val="00256C1C"/>
    <w:rsid w:val="00256C6F"/>
    <w:rsid w:val="00256D0E"/>
    <w:rsid w:val="00256DF5"/>
    <w:rsid w:val="00256FF9"/>
    <w:rsid w:val="0025701A"/>
    <w:rsid w:val="00257AE2"/>
    <w:rsid w:val="00257ED9"/>
    <w:rsid w:val="00260139"/>
    <w:rsid w:val="0026036A"/>
    <w:rsid w:val="00260A8E"/>
    <w:rsid w:val="00260CDE"/>
    <w:rsid w:val="00260D5F"/>
    <w:rsid w:val="00260F63"/>
    <w:rsid w:val="00261231"/>
    <w:rsid w:val="002612E6"/>
    <w:rsid w:val="0026193E"/>
    <w:rsid w:val="00261E31"/>
    <w:rsid w:val="00261F9E"/>
    <w:rsid w:val="00262237"/>
    <w:rsid w:val="0026234B"/>
    <w:rsid w:val="00262435"/>
    <w:rsid w:val="00262577"/>
    <w:rsid w:val="0026292E"/>
    <w:rsid w:val="002629F9"/>
    <w:rsid w:val="00262C2B"/>
    <w:rsid w:val="00262CAB"/>
    <w:rsid w:val="00262E01"/>
    <w:rsid w:val="0026301F"/>
    <w:rsid w:val="002632BD"/>
    <w:rsid w:val="0026387C"/>
    <w:rsid w:val="00263A1F"/>
    <w:rsid w:val="00263C80"/>
    <w:rsid w:val="00263F62"/>
    <w:rsid w:val="00264050"/>
    <w:rsid w:val="00264464"/>
    <w:rsid w:val="002645C1"/>
    <w:rsid w:val="0026487D"/>
    <w:rsid w:val="002648FD"/>
    <w:rsid w:val="00264DA4"/>
    <w:rsid w:val="00264F7A"/>
    <w:rsid w:val="0026519A"/>
    <w:rsid w:val="0026567F"/>
    <w:rsid w:val="0026593F"/>
    <w:rsid w:val="00265D5C"/>
    <w:rsid w:val="00266651"/>
    <w:rsid w:val="00266675"/>
    <w:rsid w:val="002669BD"/>
    <w:rsid w:val="00266C68"/>
    <w:rsid w:val="00266C6C"/>
    <w:rsid w:val="00266F49"/>
    <w:rsid w:val="00266F8C"/>
    <w:rsid w:val="0026703F"/>
    <w:rsid w:val="00267266"/>
    <w:rsid w:val="00267328"/>
    <w:rsid w:val="00267428"/>
    <w:rsid w:val="0026759D"/>
    <w:rsid w:val="0026762E"/>
    <w:rsid w:val="00267678"/>
    <w:rsid w:val="0026791D"/>
    <w:rsid w:val="00267959"/>
    <w:rsid w:val="00267EA0"/>
    <w:rsid w:val="0027050C"/>
    <w:rsid w:val="00270705"/>
    <w:rsid w:val="002708FD"/>
    <w:rsid w:val="00270B31"/>
    <w:rsid w:val="00270DDB"/>
    <w:rsid w:val="00270E92"/>
    <w:rsid w:val="00270FFA"/>
    <w:rsid w:val="0027121E"/>
    <w:rsid w:val="002712C0"/>
    <w:rsid w:val="00271547"/>
    <w:rsid w:val="002715D7"/>
    <w:rsid w:val="00271610"/>
    <w:rsid w:val="00271A31"/>
    <w:rsid w:val="00271CF1"/>
    <w:rsid w:val="00271D10"/>
    <w:rsid w:val="00271D8D"/>
    <w:rsid w:val="00271E10"/>
    <w:rsid w:val="002721F2"/>
    <w:rsid w:val="002723D8"/>
    <w:rsid w:val="00272468"/>
    <w:rsid w:val="002724A3"/>
    <w:rsid w:val="00272A9C"/>
    <w:rsid w:val="00272B2C"/>
    <w:rsid w:val="00272BF7"/>
    <w:rsid w:val="00272DC8"/>
    <w:rsid w:val="00272E95"/>
    <w:rsid w:val="00272FFC"/>
    <w:rsid w:val="002734F2"/>
    <w:rsid w:val="002735A7"/>
    <w:rsid w:val="0027368A"/>
    <w:rsid w:val="002736A0"/>
    <w:rsid w:val="002736D1"/>
    <w:rsid w:val="0027384C"/>
    <w:rsid w:val="00273DDA"/>
    <w:rsid w:val="00273E2C"/>
    <w:rsid w:val="00273FB7"/>
    <w:rsid w:val="00274030"/>
    <w:rsid w:val="00274053"/>
    <w:rsid w:val="00274171"/>
    <w:rsid w:val="002743A7"/>
    <w:rsid w:val="002744F8"/>
    <w:rsid w:val="00274897"/>
    <w:rsid w:val="00274913"/>
    <w:rsid w:val="00274C2E"/>
    <w:rsid w:val="00274C40"/>
    <w:rsid w:val="00274DD9"/>
    <w:rsid w:val="00274E51"/>
    <w:rsid w:val="00274EBB"/>
    <w:rsid w:val="002750D4"/>
    <w:rsid w:val="002751FA"/>
    <w:rsid w:val="00275217"/>
    <w:rsid w:val="00275218"/>
    <w:rsid w:val="0027521C"/>
    <w:rsid w:val="00275348"/>
    <w:rsid w:val="0027540A"/>
    <w:rsid w:val="00275547"/>
    <w:rsid w:val="0027596E"/>
    <w:rsid w:val="00275C06"/>
    <w:rsid w:val="00275D3E"/>
    <w:rsid w:val="00275E10"/>
    <w:rsid w:val="00275E76"/>
    <w:rsid w:val="0027605F"/>
    <w:rsid w:val="0027617B"/>
    <w:rsid w:val="00276442"/>
    <w:rsid w:val="002764E3"/>
    <w:rsid w:val="002766D7"/>
    <w:rsid w:val="002768E8"/>
    <w:rsid w:val="002768F1"/>
    <w:rsid w:val="00276A8B"/>
    <w:rsid w:val="00276C43"/>
    <w:rsid w:val="00276C53"/>
    <w:rsid w:val="00276D2E"/>
    <w:rsid w:val="00276E78"/>
    <w:rsid w:val="002771C8"/>
    <w:rsid w:val="00277248"/>
    <w:rsid w:val="002776A3"/>
    <w:rsid w:val="002776BC"/>
    <w:rsid w:val="00277894"/>
    <w:rsid w:val="00277989"/>
    <w:rsid w:val="00277C89"/>
    <w:rsid w:val="00277CA8"/>
    <w:rsid w:val="00277E28"/>
    <w:rsid w:val="00277E9D"/>
    <w:rsid w:val="0028049B"/>
    <w:rsid w:val="002805CF"/>
    <w:rsid w:val="00280670"/>
    <w:rsid w:val="002813ED"/>
    <w:rsid w:val="00281465"/>
    <w:rsid w:val="00281482"/>
    <w:rsid w:val="00281574"/>
    <w:rsid w:val="002818C0"/>
    <w:rsid w:val="00281A27"/>
    <w:rsid w:val="00281ABB"/>
    <w:rsid w:val="00281ABC"/>
    <w:rsid w:val="00282049"/>
    <w:rsid w:val="00282530"/>
    <w:rsid w:val="00282661"/>
    <w:rsid w:val="002826A1"/>
    <w:rsid w:val="00282782"/>
    <w:rsid w:val="00282BFF"/>
    <w:rsid w:val="00282CDB"/>
    <w:rsid w:val="00282E45"/>
    <w:rsid w:val="0028310E"/>
    <w:rsid w:val="002831DA"/>
    <w:rsid w:val="00283294"/>
    <w:rsid w:val="002835B0"/>
    <w:rsid w:val="00283918"/>
    <w:rsid w:val="00283923"/>
    <w:rsid w:val="00283ACF"/>
    <w:rsid w:val="0028407E"/>
    <w:rsid w:val="00284D59"/>
    <w:rsid w:val="00284FF0"/>
    <w:rsid w:val="00285305"/>
    <w:rsid w:val="00285378"/>
    <w:rsid w:val="00285393"/>
    <w:rsid w:val="00285470"/>
    <w:rsid w:val="0028558E"/>
    <w:rsid w:val="002857E6"/>
    <w:rsid w:val="00285BED"/>
    <w:rsid w:val="00285C77"/>
    <w:rsid w:val="00285DAE"/>
    <w:rsid w:val="00286038"/>
    <w:rsid w:val="00286278"/>
    <w:rsid w:val="00286280"/>
    <w:rsid w:val="002862EC"/>
    <w:rsid w:val="00286548"/>
    <w:rsid w:val="00287078"/>
    <w:rsid w:val="00287342"/>
    <w:rsid w:val="00287465"/>
    <w:rsid w:val="00287504"/>
    <w:rsid w:val="002879F2"/>
    <w:rsid w:val="00287D87"/>
    <w:rsid w:val="00287D9E"/>
    <w:rsid w:val="00287E04"/>
    <w:rsid w:val="00287EAA"/>
    <w:rsid w:val="00290046"/>
    <w:rsid w:val="00290276"/>
    <w:rsid w:val="00290391"/>
    <w:rsid w:val="0029057E"/>
    <w:rsid w:val="002906A5"/>
    <w:rsid w:val="00290711"/>
    <w:rsid w:val="00290735"/>
    <w:rsid w:val="00290824"/>
    <w:rsid w:val="002909D7"/>
    <w:rsid w:val="00290CEA"/>
    <w:rsid w:val="00290EAA"/>
    <w:rsid w:val="0029112D"/>
    <w:rsid w:val="0029119A"/>
    <w:rsid w:val="002918BC"/>
    <w:rsid w:val="00291AD2"/>
    <w:rsid w:val="00291C65"/>
    <w:rsid w:val="00291CF0"/>
    <w:rsid w:val="00291D83"/>
    <w:rsid w:val="00291E3A"/>
    <w:rsid w:val="002920C1"/>
    <w:rsid w:val="002921D2"/>
    <w:rsid w:val="0029255B"/>
    <w:rsid w:val="00292A21"/>
    <w:rsid w:val="00292CC9"/>
    <w:rsid w:val="0029304A"/>
    <w:rsid w:val="002930B2"/>
    <w:rsid w:val="00293127"/>
    <w:rsid w:val="00293266"/>
    <w:rsid w:val="002932EB"/>
    <w:rsid w:val="00293302"/>
    <w:rsid w:val="00293780"/>
    <w:rsid w:val="00293829"/>
    <w:rsid w:val="002938F8"/>
    <w:rsid w:val="002939F9"/>
    <w:rsid w:val="00293D5C"/>
    <w:rsid w:val="00293E1A"/>
    <w:rsid w:val="00293EA2"/>
    <w:rsid w:val="00293EB8"/>
    <w:rsid w:val="00294152"/>
    <w:rsid w:val="00294484"/>
    <w:rsid w:val="00294768"/>
    <w:rsid w:val="002947C4"/>
    <w:rsid w:val="00294953"/>
    <w:rsid w:val="002949C1"/>
    <w:rsid w:val="00294B2A"/>
    <w:rsid w:val="00294BBA"/>
    <w:rsid w:val="00294BBB"/>
    <w:rsid w:val="00294C84"/>
    <w:rsid w:val="00294DE6"/>
    <w:rsid w:val="00294FA9"/>
    <w:rsid w:val="002950D9"/>
    <w:rsid w:val="00295254"/>
    <w:rsid w:val="002955BA"/>
    <w:rsid w:val="00295B0D"/>
    <w:rsid w:val="00295C45"/>
    <w:rsid w:val="00295D4E"/>
    <w:rsid w:val="00296097"/>
    <w:rsid w:val="00296107"/>
    <w:rsid w:val="002962B8"/>
    <w:rsid w:val="00296313"/>
    <w:rsid w:val="00296398"/>
    <w:rsid w:val="00296479"/>
    <w:rsid w:val="002965C6"/>
    <w:rsid w:val="00296954"/>
    <w:rsid w:val="00296B69"/>
    <w:rsid w:val="00296E09"/>
    <w:rsid w:val="00296E98"/>
    <w:rsid w:val="00296F29"/>
    <w:rsid w:val="0029708B"/>
    <w:rsid w:val="002970CD"/>
    <w:rsid w:val="002971A5"/>
    <w:rsid w:val="00297214"/>
    <w:rsid w:val="0029735C"/>
    <w:rsid w:val="0029737A"/>
    <w:rsid w:val="0029787E"/>
    <w:rsid w:val="002979B7"/>
    <w:rsid w:val="00297A37"/>
    <w:rsid w:val="00297A5B"/>
    <w:rsid w:val="00297A67"/>
    <w:rsid w:val="00297BB3"/>
    <w:rsid w:val="00297C38"/>
    <w:rsid w:val="00297D79"/>
    <w:rsid w:val="002A006B"/>
    <w:rsid w:val="002A02DC"/>
    <w:rsid w:val="002A064F"/>
    <w:rsid w:val="002A0701"/>
    <w:rsid w:val="002A0B14"/>
    <w:rsid w:val="002A0B7B"/>
    <w:rsid w:val="002A0DDF"/>
    <w:rsid w:val="002A0DE5"/>
    <w:rsid w:val="002A132F"/>
    <w:rsid w:val="002A1605"/>
    <w:rsid w:val="002A175A"/>
    <w:rsid w:val="002A1839"/>
    <w:rsid w:val="002A1903"/>
    <w:rsid w:val="002A19CA"/>
    <w:rsid w:val="002A1AB6"/>
    <w:rsid w:val="002A1BDF"/>
    <w:rsid w:val="002A1BE9"/>
    <w:rsid w:val="002A1E82"/>
    <w:rsid w:val="002A1EC0"/>
    <w:rsid w:val="002A1EE1"/>
    <w:rsid w:val="002A2A36"/>
    <w:rsid w:val="002A2FF8"/>
    <w:rsid w:val="002A30C1"/>
    <w:rsid w:val="002A3191"/>
    <w:rsid w:val="002A3226"/>
    <w:rsid w:val="002A323A"/>
    <w:rsid w:val="002A32B3"/>
    <w:rsid w:val="002A339F"/>
    <w:rsid w:val="002A3563"/>
    <w:rsid w:val="002A357B"/>
    <w:rsid w:val="002A3609"/>
    <w:rsid w:val="002A387B"/>
    <w:rsid w:val="002A3983"/>
    <w:rsid w:val="002A40D0"/>
    <w:rsid w:val="002A423E"/>
    <w:rsid w:val="002A4644"/>
    <w:rsid w:val="002A4933"/>
    <w:rsid w:val="002A4971"/>
    <w:rsid w:val="002A4997"/>
    <w:rsid w:val="002A4AA2"/>
    <w:rsid w:val="002A4C09"/>
    <w:rsid w:val="002A4C5F"/>
    <w:rsid w:val="002A52C8"/>
    <w:rsid w:val="002A550F"/>
    <w:rsid w:val="002A56A1"/>
    <w:rsid w:val="002A56F1"/>
    <w:rsid w:val="002A56FE"/>
    <w:rsid w:val="002A57F1"/>
    <w:rsid w:val="002A58B3"/>
    <w:rsid w:val="002A5CE1"/>
    <w:rsid w:val="002A5E04"/>
    <w:rsid w:val="002A5F1A"/>
    <w:rsid w:val="002A60DA"/>
    <w:rsid w:val="002A622C"/>
    <w:rsid w:val="002A62EB"/>
    <w:rsid w:val="002A64FF"/>
    <w:rsid w:val="002A65EE"/>
    <w:rsid w:val="002A65F2"/>
    <w:rsid w:val="002A67C5"/>
    <w:rsid w:val="002A6883"/>
    <w:rsid w:val="002A69AC"/>
    <w:rsid w:val="002A6ABE"/>
    <w:rsid w:val="002A6AF5"/>
    <w:rsid w:val="002A6C1F"/>
    <w:rsid w:val="002A6C37"/>
    <w:rsid w:val="002A72A6"/>
    <w:rsid w:val="002A754E"/>
    <w:rsid w:val="002A758D"/>
    <w:rsid w:val="002A79D7"/>
    <w:rsid w:val="002A7CE5"/>
    <w:rsid w:val="002A7F17"/>
    <w:rsid w:val="002A7F97"/>
    <w:rsid w:val="002B01C6"/>
    <w:rsid w:val="002B01C8"/>
    <w:rsid w:val="002B01E1"/>
    <w:rsid w:val="002B0620"/>
    <w:rsid w:val="002B091E"/>
    <w:rsid w:val="002B0AFB"/>
    <w:rsid w:val="002B0C3C"/>
    <w:rsid w:val="002B0CBC"/>
    <w:rsid w:val="002B1219"/>
    <w:rsid w:val="002B126C"/>
    <w:rsid w:val="002B12BD"/>
    <w:rsid w:val="002B1420"/>
    <w:rsid w:val="002B147A"/>
    <w:rsid w:val="002B1576"/>
    <w:rsid w:val="002B15CA"/>
    <w:rsid w:val="002B161D"/>
    <w:rsid w:val="002B16EC"/>
    <w:rsid w:val="002B186B"/>
    <w:rsid w:val="002B1F51"/>
    <w:rsid w:val="002B1F60"/>
    <w:rsid w:val="002B2376"/>
    <w:rsid w:val="002B2975"/>
    <w:rsid w:val="002B2B97"/>
    <w:rsid w:val="002B2BA3"/>
    <w:rsid w:val="002B3187"/>
    <w:rsid w:val="002B31D8"/>
    <w:rsid w:val="002B3243"/>
    <w:rsid w:val="002B35D0"/>
    <w:rsid w:val="002B3673"/>
    <w:rsid w:val="002B3788"/>
    <w:rsid w:val="002B37E9"/>
    <w:rsid w:val="002B4054"/>
    <w:rsid w:val="002B4164"/>
    <w:rsid w:val="002B4497"/>
    <w:rsid w:val="002B44A4"/>
    <w:rsid w:val="002B4587"/>
    <w:rsid w:val="002B476D"/>
    <w:rsid w:val="002B47FC"/>
    <w:rsid w:val="002B4840"/>
    <w:rsid w:val="002B489C"/>
    <w:rsid w:val="002B4937"/>
    <w:rsid w:val="002B4A27"/>
    <w:rsid w:val="002B4BDF"/>
    <w:rsid w:val="002B4D02"/>
    <w:rsid w:val="002B5084"/>
    <w:rsid w:val="002B5145"/>
    <w:rsid w:val="002B52DE"/>
    <w:rsid w:val="002B541D"/>
    <w:rsid w:val="002B5488"/>
    <w:rsid w:val="002B56D9"/>
    <w:rsid w:val="002B5B6F"/>
    <w:rsid w:val="002B5BFA"/>
    <w:rsid w:val="002B5CC2"/>
    <w:rsid w:val="002B61DA"/>
    <w:rsid w:val="002B63C6"/>
    <w:rsid w:val="002B6740"/>
    <w:rsid w:val="002B6A17"/>
    <w:rsid w:val="002B6B83"/>
    <w:rsid w:val="002B6B86"/>
    <w:rsid w:val="002B6CBF"/>
    <w:rsid w:val="002B6D01"/>
    <w:rsid w:val="002B6D2E"/>
    <w:rsid w:val="002B6F07"/>
    <w:rsid w:val="002B6F2B"/>
    <w:rsid w:val="002B6F86"/>
    <w:rsid w:val="002B7124"/>
    <w:rsid w:val="002B74BD"/>
    <w:rsid w:val="002B76AB"/>
    <w:rsid w:val="002B76FA"/>
    <w:rsid w:val="002B7755"/>
    <w:rsid w:val="002B775A"/>
    <w:rsid w:val="002B788E"/>
    <w:rsid w:val="002B7971"/>
    <w:rsid w:val="002B7AF8"/>
    <w:rsid w:val="002B7C73"/>
    <w:rsid w:val="002B7C7E"/>
    <w:rsid w:val="002B7FA5"/>
    <w:rsid w:val="002C0025"/>
    <w:rsid w:val="002C01C3"/>
    <w:rsid w:val="002C03D6"/>
    <w:rsid w:val="002C0412"/>
    <w:rsid w:val="002C0462"/>
    <w:rsid w:val="002C0970"/>
    <w:rsid w:val="002C0B15"/>
    <w:rsid w:val="002C0C7D"/>
    <w:rsid w:val="002C0CD4"/>
    <w:rsid w:val="002C0D3B"/>
    <w:rsid w:val="002C0F5E"/>
    <w:rsid w:val="002C0FFA"/>
    <w:rsid w:val="002C1013"/>
    <w:rsid w:val="002C1140"/>
    <w:rsid w:val="002C12F3"/>
    <w:rsid w:val="002C20E7"/>
    <w:rsid w:val="002C29FC"/>
    <w:rsid w:val="002C2D95"/>
    <w:rsid w:val="002C2DD6"/>
    <w:rsid w:val="002C2F85"/>
    <w:rsid w:val="002C30D3"/>
    <w:rsid w:val="002C3577"/>
    <w:rsid w:val="002C441A"/>
    <w:rsid w:val="002C447D"/>
    <w:rsid w:val="002C49C5"/>
    <w:rsid w:val="002C4A97"/>
    <w:rsid w:val="002C4AEB"/>
    <w:rsid w:val="002C4CD9"/>
    <w:rsid w:val="002C4E0E"/>
    <w:rsid w:val="002C5274"/>
    <w:rsid w:val="002C52A4"/>
    <w:rsid w:val="002C52A5"/>
    <w:rsid w:val="002C52EA"/>
    <w:rsid w:val="002C5322"/>
    <w:rsid w:val="002C5580"/>
    <w:rsid w:val="002C56C0"/>
    <w:rsid w:val="002C576A"/>
    <w:rsid w:val="002C57BC"/>
    <w:rsid w:val="002C5835"/>
    <w:rsid w:val="002C5874"/>
    <w:rsid w:val="002C58D6"/>
    <w:rsid w:val="002C5D21"/>
    <w:rsid w:val="002C5D8B"/>
    <w:rsid w:val="002C5FEA"/>
    <w:rsid w:val="002C6221"/>
    <w:rsid w:val="002C6428"/>
    <w:rsid w:val="002C6530"/>
    <w:rsid w:val="002C6553"/>
    <w:rsid w:val="002C65C6"/>
    <w:rsid w:val="002C690A"/>
    <w:rsid w:val="002C6922"/>
    <w:rsid w:val="002C69FE"/>
    <w:rsid w:val="002C6CAD"/>
    <w:rsid w:val="002C6DE9"/>
    <w:rsid w:val="002C6E11"/>
    <w:rsid w:val="002C6F50"/>
    <w:rsid w:val="002C7565"/>
    <w:rsid w:val="002C7909"/>
    <w:rsid w:val="002C7CD3"/>
    <w:rsid w:val="002C7E13"/>
    <w:rsid w:val="002C7E6E"/>
    <w:rsid w:val="002D0059"/>
    <w:rsid w:val="002D01F3"/>
    <w:rsid w:val="002D05E4"/>
    <w:rsid w:val="002D066D"/>
    <w:rsid w:val="002D0EC1"/>
    <w:rsid w:val="002D0FE4"/>
    <w:rsid w:val="002D1226"/>
    <w:rsid w:val="002D1811"/>
    <w:rsid w:val="002D1885"/>
    <w:rsid w:val="002D197D"/>
    <w:rsid w:val="002D1C03"/>
    <w:rsid w:val="002D1E44"/>
    <w:rsid w:val="002D1EAC"/>
    <w:rsid w:val="002D22BF"/>
    <w:rsid w:val="002D2BE1"/>
    <w:rsid w:val="002D2DEC"/>
    <w:rsid w:val="002D2FE3"/>
    <w:rsid w:val="002D3294"/>
    <w:rsid w:val="002D34EC"/>
    <w:rsid w:val="002D3573"/>
    <w:rsid w:val="002D3810"/>
    <w:rsid w:val="002D3C92"/>
    <w:rsid w:val="002D3D70"/>
    <w:rsid w:val="002D3DEB"/>
    <w:rsid w:val="002D3DED"/>
    <w:rsid w:val="002D3F08"/>
    <w:rsid w:val="002D41E7"/>
    <w:rsid w:val="002D41F7"/>
    <w:rsid w:val="002D428A"/>
    <w:rsid w:val="002D42DD"/>
    <w:rsid w:val="002D4531"/>
    <w:rsid w:val="002D4543"/>
    <w:rsid w:val="002D47F9"/>
    <w:rsid w:val="002D497C"/>
    <w:rsid w:val="002D4BD4"/>
    <w:rsid w:val="002D4BF5"/>
    <w:rsid w:val="002D4D4E"/>
    <w:rsid w:val="002D4D72"/>
    <w:rsid w:val="002D51D3"/>
    <w:rsid w:val="002D5486"/>
    <w:rsid w:val="002D554F"/>
    <w:rsid w:val="002D5877"/>
    <w:rsid w:val="002D58AE"/>
    <w:rsid w:val="002D5C9A"/>
    <w:rsid w:val="002D5D0B"/>
    <w:rsid w:val="002D5E82"/>
    <w:rsid w:val="002D61B2"/>
    <w:rsid w:val="002D631D"/>
    <w:rsid w:val="002D6736"/>
    <w:rsid w:val="002D679D"/>
    <w:rsid w:val="002D6963"/>
    <w:rsid w:val="002D6CD6"/>
    <w:rsid w:val="002D6D88"/>
    <w:rsid w:val="002D71D4"/>
    <w:rsid w:val="002D72D8"/>
    <w:rsid w:val="002D77B2"/>
    <w:rsid w:val="002D77DD"/>
    <w:rsid w:val="002D7C91"/>
    <w:rsid w:val="002D7C9A"/>
    <w:rsid w:val="002D7CF8"/>
    <w:rsid w:val="002D7DB6"/>
    <w:rsid w:val="002D7DF6"/>
    <w:rsid w:val="002D7E28"/>
    <w:rsid w:val="002D7F10"/>
    <w:rsid w:val="002D7FB9"/>
    <w:rsid w:val="002E007E"/>
    <w:rsid w:val="002E022C"/>
    <w:rsid w:val="002E02E6"/>
    <w:rsid w:val="002E046F"/>
    <w:rsid w:val="002E0AB7"/>
    <w:rsid w:val="002E0AEE"/>
    <w:rsid w:val="002E0CEE"/>
    <w:rsid w:val="002E0D25"/>
    <w:rsid w:val="002E0F09"/>
    <w:rsid w:val="002E0F65"/>
    <w:rsid w:val="002E128A"/>
    <w:rsid w:val="002E14FF"/>
    <w:rsid w:val="002E1530"/>
    <w:rsid w:val="002E15A0"/>
    <w:rsid w:val="002E1627"/>
    <w:rsid w:val="002E1C00"/>
    <w:rsid w:val="002E1C05"/>
    <w:rsid w:val="002E218E"/>
    <w:rsid w:val="002E21BB"/>
    <w:rsid w:val="002E250C"/>
    <w:rsid w:val="002E26F9"/>
    <w:rsid w:val="002E270F"/>
    <w:rsid w:val="002E2999"/>
    <w:rsid w:val="002E2BC4"/>
    <w:rsid w:val="002E2D62"/>
    <w:rsid w:val="002E2EB3"/>
    <w:rsid w:val="002E3100"/>
    <w:rsid w:val="002E3961"/>
    <w:rsid w:val="002E3A04"/>
    <w:rsid w:val="002E3BC8"/>
    <w:rsid w:val="002E3C95"/>
    <w:rsid w:val="002E3D82"/>
    <w:rsid w:val="002E3F63"/>
    <w:rsid w:val="002E4000"/>
    <w:rsid w:val="002E40AA"/>
    <w:rsid w:val="002E41D7"/>
    <w:rsid w:val="002E4499"/>
    <w:rsid w:val="002E4AC6"/>
    <w:rsid w:val="002E4B59"/>
    <w:rsid w:val="002E4CEB"/>
    <w:rsid w:val="002E505D"/>
    <w:rsid w:val="002E5176"/>
    <w:rsid w:val="002E5507"/>
    <w:rsid w:val="002E58A6"/>
    <w:rsid w:val="002E5978"/>
    <w:rsid w:val="002E5BFA"/>
    <w:rsid w:val="002E611F"/>
    <w:rsid w:val="002E620C"/>
    <w:rsid w:val="002E6267"/>
    <w:rsid w:val="002E62EC"/>
    <w:rsid w:val="002E6435"/>
    <w:rsid w:val="002E67BC"/>
    <w:rsid w:val="002E6861"/>
    <w:rsid w:val="002E6D38"/>
    <w:rsid w:val="002E6E9D"/>
    <w:rsid w:val="002E7099"/>
    <w:rsid w:val="002E7560"/>
    <w:rsid w:val="002E79BD"/>
    <w:rsid w:val="002E7B21"/>
    <w:rsid w:val="002E7F52"/>
    <w:rsid w:val="002E7F99"/>
    <w:rsid w:val="002F08D4"/>
    <w:rsid w:val="002F0925"/>
    <w:rsid w:val="002F0A74"/>
    <w:rsid w:val="002F0ACF"/>
    <w:rsid w:val="002F0DB0"/>
    <w:rsid w:val="002F0F60"/>
    <w:rsid w:val="002F0FEB"/>
    <w:rsid w:val="002F10B2"/>
    <w:rsid w:val="002F1278"/>
    <w:rsid w:val="002F1326"/>
    <w:rsid w:val="002F13C9"/>
    <w:rsid w:val="002F1471"/>
    <w:rsid w:val="002F1593"/>
    <w:rsid w:val="002F175D"/>
    <w:rsid w:val="002F1C71"/>
    <w:rsid w:val="002F1C98"/>
    <w:rsid w:val="002F246B"/>
    <w:rsid w:val="002F2592"/>
    <w:rsid w:val="002F2771"/>
    <w:rsid w:val="002F2E67"/>
    <w:rsid w:val="002F3012"/>
    <w:rsid w:val="002F301E"/>
    <w:rsid w:val="002F31F4"/>
    <w:rsid w:val="002F37E0"/>
    <w:rsid w:val="002F3816"/>
    <w:rsid w:val="002F3825"/>
    <w:rsid w:val="002F39E0"/>
    <w:rsid w:val="002F3BB3"/>
    <w:rsid w:val="002F3C3E"/>
    <w:rsid w:val="002F40AF"/>
    <w:rsid w:val="002F4112"/>
    <w:rsid w:val="002F42D9"/>
    <w:rsid w:val="002F43D2"/>
    <w:rsid w:val="002F4552"/>
    <w:rsid w:val="002F458D"/>
    <w:rsid w:val="002F465A"/>
    <w:rsid w:val="002F465E"/>
    <w:rsid w:val="002F4EAD"/>
    <w:rsid w:val="002F5054"/>
    <w:rsid w:val="002F53EC"/>
    <w:rsid w:val="002F5462"/>
    <w:rsid w:val="002F548B"/>
    <w:rsid w:val="002F54AA"/>
    <w:rsid w:val="002F564A"/>
    <w:rsid w:val="002F5721"/>
    <w:rsid w:val="002F5790"/>
    <w:rsid w:val="002F5956"/>
    <w:rsid w:val="002F5A8E"/>
    <w:rsid w:val="002F5B4D"/>
    <w:rsid w:val="002F6061"/>
    <w:rsid w:val="002F60D8"/>
    <w:rsid w:val="002F6103"/>
    <w:rsid w:val="002F633F"/>
    <w:rsid w:val="002F6560"/>
    <w:rsid w:val="002F6601"/>
    <w:rsid w:val="002F6ACD"/>
    <w:rsid w:val="002F6AF9"/>
    <w:rsid w:val="002F6F50"/>
    <w:rsid w:val="002F7088"/>
    <w:rsid w:val="002F735C"/>
    <w:rsid w:val="002F7406"/>
    <w:rsid w:val="002F741F"/>
    <w:rsid w:val="002F75F1"/>
    <w:rsid w:val="002F7661"/>
    <w:rsid w:val="002F76FE"/>
    <w:rsid w:val="002F79A6"/>
    <w:rsid w:val="003002DE"/>
    <w:rsid w:val="003004EA"/>
    <w:rsid w:val="00300723"/>
    <w:rsid w:val="0030089A"/>
    <w:rsid w:val="00300938"/>
    <w:rsid w:val="00300AC6"/>
    <w:rsid w:val="00300CC2"/>
    <w:rsid w:val="00300F55"/>
    <w:rsid w:val="0030113A"/>
    <w:rsid w:val="00301189"/>
    <w:rsid w:val="003011EA"/>
    <w:rsid w:val="003013DF"/>
    <w:rsid w:val="00301444"/>
    <w:rsid w:val="00301658"/>
    <w:rsid w:val="00301E64"/>
    <w:rsid w:val="003029FA"/>
    <w:rsid w:val="00302DFE"/>
    <w:rsid w:val="0030309B"/>
    <w:rsid w:val="00303244"/>
    <w:rsid w:val="003034D1"/>
    <w:rsid w:val="0030374E"/>
    <w:rsid w:val="00303AF8"/>
    <w:rsid w:val="00303C65"/>
    <w:rsid w:val="00303D99"/>
    <w:rsid w:val="003040C0"/>
    <w:rsid w:val="0030446B"/>
    <w:rsid w:val="0030456D"/>
    <w:rsid w:val="0030461F"/>
    <w:rsid w:val="003049B4"/>
    <w:rsid w:val="00304D3A"/>
    <w:rsid w:val="00304DE1"/>
    <w:rsid w:val="003053EC"/>
    <w:rsid w:val="003054DB"/>
    <w:rsid w:val="0030563C"/>
    <w:rsid w:val="00305687"/>
    <w:rsid w:val="00305848"/>
    <w:rsid w:val="003058EA"/>
    <w:rsid w:val="003059F8"/>
    <w:rsid w:val="00305A07"/>
    <w:rsid w:val="00305C34"/>
    <w:rsid w:val="00305D15"/>
    <w:rsid w:val="00305D46"/>
    <w:rsid w:val="00305EEC"/>
    <w:rsid w:val="003060A8"/>
    <w:rsid w:val="0030610B"/>
    <w:rsid w:val="0030639B"/>
    <w:rsid w:val="00306842"/>
    <w:rsid w:val="00306853"/>
    <w:rsid w:val="00306A6B"/>
    <w:rsid w:val="00306C43"/>
    <w:rsid w:val="00306C9F"/>
    <w:rsid w:val="00306CF8"/>
    <w:rsid w:val="00306E52"/>
    <w:rsid w:val="00306F50"/>
    <w:rsid w:val="00306FB2"/>
    <w:rsid w:val="00306FB4"/>
    <w:rsid w:val="00307060"/>
    <w:rsid w:val="0030719E"/>
    <w:rsid w:val="00307350"/>
    <w:rsid w:val="00307389"/>
    <w:rsid w:val="003075AC"/>
    <w:rsid w:val="00307682"/>
    <w:rsid w:val="003076C9"/>
    <w:rsid w:val="00307717"/>
    <w:rsid w:val="00307C64"/>
    <w:rsid w:val="00307DF6"/>
    <w:rsid w:val="00307FD7"/>
    <w:rsid w:val="00307FDC"/>
    <w:rsid w:val="00310046"/>
    <w:rsid w:val="00310196"/>
    <w:rsid w:val="00310661"/>
    <w:rsid w:val="00310BE7"/>
    <w:rsid w:val="00310ECA"/>
    <w:rsid w:val="00311774"/>
    <w:rsid w:val="003118C5"/>
    <w:rsid w:val="003119B5"/>
    <w:rsid w:val="00311B6F"/>
    <w:rsid w:val="00311D08"/>
    <w:rsid w:val="00311F2F"/>
    <w:rsid w:val="003121C1"/>
    <w:rsid w:val="00312516"/>
    <w:rsid w:val="0031276D"/>
    <w:rsid w:val="003127AD"/>
    <w:rsid w:val="003127B1"/>
    <w:rsid w:val="003127B2"/>
    <w:rsid w:val="0031283C"/>
    <w:rsid w:val="00313069"/>
    <w:rsid w:val="0031353C"/>
    <w:rsid w:val="00313CA4"/>
    <w:rsid w:val="00313D51"/>
    <w:rsid w:val="00313DD7"/>
    <w:rsid w:val="00313E60"/>
    <w:rsid w:val="003141FF"/>
    <w:rsid w:val="00314303"/>
    <w:rsid w:val="00314537"/>
    <w:rsid w:val="003145A3"/>
    <w:rsid w:val="003145C7"/>
    <w:rsid w:val="003148CB"/>
    <w:rsid w:val="00314B70"/>
    <w:rsid w:val="00314BC9"/>
    <w:rsid w:val="00314BDF"/>
    <w:rsid w:val="00314F7B"/>
    <w:rsid w:val="00315335"/>
    <w:rsid w:val="00315345"/>
    <w:rsid w:val="0031552F"/>
    <w:rsid w:val="003155E5"/>
    <w:rsid w:val="003159F3"/>
    <w:rsid w:val="00315B09"/>
    <w:rsid w:val="00315B54"/>
    <w:rsid w:val="00315C25"/>
    <w:rsid w:val="0031604A"/>
    <w:rsid w:val="003160BC"/>
    <w:rsid w:val="003164D5"/>
    <w:rsid w:val="0031677E"/>
    <w:rsid w:val="003168E3"/>
    <w:rsid w:val="0031697F"/>
    <w:rsid w:val="00316AD7"/>
    <w:rsid w:val="00316B50"/>
    <w:rsid w:val="00316B62"/>
    <w:rsid w:val="00316DB1"/>
    <w:rsid w:val="00316DBE"/>
    <w:rsid w:val="00316DD6"/>
    <w:rsid w:val="003170B4"/>
    <w:rsid w:val="003170CD"/>
    <w:rsid w:val="0031761E"/>
    <w:rsid w:val="003176FB"/>
    <w:rsid w:val="00317879"/>
    <w:rsid w:val="00317988"/>
    <w:rsid w:val="00317C3B"/>
    <w:rsid w:val="00317CF7"/>
    <w:rsid w:val="00317E8F"/>
    <w:rsid w:val="00320286"/>
    <w:rsid w:val="003203E2"/>
    <w:rsid w:val="003209EB"/>
    <w:rsid w:val="00320D09"/>
    <w:rsid w:val="00320D63"/>
    <w:rsid w:val="00320ED2"/>
    <w:rsid w:val="00321003"/>
    <w:rsid w:val="0032109C"/>
    <w:rsid w:val="0032126C"/>
    <w:rsid w:val="003213CC"/>
    <w:rsid w:val="00321434"/>
    <w:rsid w:val="00321445"/>
    <w:rsid w:val="0032182C"/>
    <w:rsid w:val="0032199E"/>
    <w:rsid w:val="00321A73"/>
    <w:rsid w:val="00321B5A"/>
    <w:rsid w:val="00321C70"/>
    <w:rsid w:val="00321F53"/>
    <w:rsid w:val="003223CA"/>
    <w:rsid w:val="003225A4"/>
    <w:rsid w:val="0032286D"/>
    <w:rsid w:val="003229C1"/>
    <w:rsid w:val="00322AA0"/>
    <w:rsid w:val="00322AC0"/>
    <w:rsid w:val="00322E70"/>
    <w:rsid w:val="00322F06"/>
    <w:rsid w:val="0032305E"/>
    <w:rsid w:val="00323073"/>
    <w:rsid w:val="00323663"/>
    <w:rsid w:val="0032373B"/>
    <w:rsid w:val="003238CF"/>
    <w:rsid w:val="00323ABD"/>
    <w:rsid w:val="00323CB0"/>
    <w:rsid w:val="00323FEE"/>
    <w:rsid w:val="00324395"/>
    <w:rsid w:val="003248E2"/>
    <w:rsid w:val="00324C31"/>
    <w:rsid w:val="00324F49"/>
    <w:rsid w:val="00325037"/>
    <w:rsid w:val="003254ED"/>
    <w:rsid w:val="00325589"/>
    <w:rsid w:val="003258B6"/>
    <w:rsid w:val="00325A39"/>
    <w:rsid w:val="00325D6C"/>
    <w:rsid w:val="00325EA5"/>
    <w:rsid w:val="00325F4E"/>
    <w:rsid w:val="003261E6"/>
    <w:rsid w:val="003262CD"/>
    <w:rsid w:val="00326604"/>
    <w:rsid w:val="00326693"/>
    <w:rsid w:val="003267D0"/>
    <w:rsid w:val="0032687F"/>
    <w:rsid w:val="00326945"/>
    <w:rsid w:val="003269DF"/>
    <w:rsid w:val="00326B14"/>
    <w:rsid w:val="00326BE7"/>
    <w:rsid w:val="00326C8D"/>
    <w:rsid w:val="00326D0E"/>
    <w:rsid w:val="00326D86"/>
    <w:rsid w:val="00326DB7"/>
    <w:rsid w:val="00326F7C"/>
    <w:rsid w:val="00327331"/>
    <w:rsid w:val="003276E6"/>
    <w:rsid w:val="00327709"/>
    <w:rsid w:val="00327785"/>
    <w:rsid w:val="00330130"/>
    <w:rsid w:val="0033022D"/>
    <w:rsid w:val="00330C73"/>
    <w:rsid w:val="00330E06"/>
    <w:rsid w:val="00330E7F"/>
    <w:rsid w:val="00330F72"/>
    <w:rsid w:val="00330FFF"/>
    <w:rsid w:val="00331012"/>
    <w:rsid w:val="003311EC"/>
    <w:rsid w:val="00331343"/>
    <w:rsid w:val="003313B4"/>
    <w:rsid w:val="00331493"/>
    <w:rsid w:val="00331782"/>
    <w:rsid w:val="00331985"/>
    <w:rsid w:val="00331A2D"/>
    <w:rsid w:val="00331A70"/>
    <w:rsid w:val="00331BDA"/>
    <w:rsid w:val="00331D1F"/>
    <w:rsid w:val="00331DE9"/>
    <w:rsid w:val="00332294"/>
    <w:rsid w:val="003322BD"/>
    <w:rsid w:val="003325E3"/>
    <w:rsid w:val="00332A43"/>
    <w:rsid w:val="00332C59"/>
    <w:rsid w:val="00332C9E"/>
    <w:rsid w:val="00332CD1"/>
    <w:rsid w:val="00332D7C"/>
    <w:rsid w:val="00332D82"/>
    <w:rsid w:val="00332DA9"/>
    <w:rsid w:val="00332F41"/>
    <w:rsid w:val="00333790"/>
    <w:rsid w:val="00333A20"/>
    <w:rsid w:val="00333BC4"/>
    <w:rsid w:val="00333C5B"/>
    <w:rsid w:val="00333C67"/>
    <w:rsid w:val="00333CF0"/>
    <w:rsid w:val="00334074"/>
    <w:rsid w:val="0033412C"/>
    <w:rsid w:val="0033442C"/>
    <w:rsid w:val="0033451F"/>
    <w:rsid w:val="00334555"/>
    <w:rsid w:val="003345B8"/>
    <w:rsid w:val="00334652"/>
    <w:rsid w:val="00334C69"/>
    <w:rsid w:val="00334D50"/>
    <w:rsid w:val="0033554C"/>
    <w:rsid w:val="00335784"/>
    <w:rsid w:val="0033580C"/>
    <w:rsid w:val="00335878"/>
    <w:rsid w:val="00335D83"/>
    <w:rsid w:val="003360AE"/>
    <w:rsid w:val="00336734"/>
    <w:rsid w:val="003367CB"/>
    <w:rsid w:val="00336925"/>
    <w:rsid w:val="00336E2C"/>
    <w:rsid w:val="003370C4"/>
    <w:rsid w:val="0033731C"/>
    <w:rsid w:val="00337680"/>
    <w:rsid w:val="00337717"/>
    <w:rsid w:val="003377BF"/>
    <w:rsid w:val="00337899"/>
    <w:rsid w:val="00337C93"/>
    <w:rsid w:val="00337F37"/>
    <w:rsid w:val="0034017E"/>
    <w:rsid w:val="00340259"/>
    <w:rsid w:val="003404ED"/>
    <w:rsid w:val="00340515"/>
    <w:rsid w:val="00340519"/>
    <w:rsid w:val="00340562"/>
    <w:rsid w:val="00340A26"/>
    <w:rsid w:val="00340B78"/>
    <w:rsid w:val="00340CDF"/>
    <w:rsid w:val="00340D74"/>
    <w:rsid w:val="00340F1D"/>
    <w:rsid w:val="00341057"/>
    <w:rsid w:val="00341419"/>
    <w:rsid w:val="0034186B"/>
    <w:rsid w:val="00341A09"/>
    <w:rsid w:val="00341CFE"/>
    <w:rsid w:val="00341F2D"/>
    <w:rsid w:val="00342143"/>
    <w:rsid w:val="00342373"/>
    <w:rsid w:val="0034239E"/>
    <w:rsid w:val="00342488"/>
    <w:rsid w:val="003426CD"/>
    <w:rsid w:val="00342C56"/>
    <w:rsid w:val="00342D7E"/>
    <w:rsid w:val="0034344D"/>
    <w:rsid w:val="003437EF"/>
    <w:rsid w:val="0034389E"/>
    <w:rsid w:val="00343A40"/>
    <w:rsid w:val="00343E0B"/>
    <w:rsid w:val="00343F35"/>
    <w:rsid w:val="00344396"/>
    <w:rsid w:val="003449F7"/>
    <w:rsid w:val="00344DA8"/>
    <w:rsid w:val="00344DBB"/>
    <w:rsid w:val="00344F61"/>
    <w:rsid w:val="00344FF8"/>
    <w:rsid w:val="003452D6"/>
    <w:rsid w:val="003457EC"/>
    <w:rsid w:val="003458DF"/>
    <w:rsid w:val="00346300"/>
    <w:rsid w:val="0034635E"/>
    <w:rsid w:val="00346835"/>
    <w:rsid w:val="00346A78"/>
    <w:rsid w:val="00346EDD"/>
    <w:rsid w:val="00346FD2"/>
    <w:rsid w:val="0034708C"/>
    <w:rsid w:val="0034756C"/>
    <w:rsid w:val="003477E9"/>
    <w:rsid w:val="00347834"/>
    <w:rsid w:val="00347A18"/>
    <w:rsid w:val="00347A6F"/>
    <w:rsid w:val="00347B9E"/>
    <w:rsid w:val="00347CFE"/>
    <w:rsid w:val="00347F0A"/>
    <w:rsid w:val="00350098"/>
    <w:rsid w:val="00350109"/>
    <w:rsid w:val="0035093C"/>
    <w:rsid w:val="00350E1F"/>
    <w:rsid w:val="003516FB"/>
    <w:rsid w:val="00351821"/>
    <w:rsid w:val="0035194E"/>
    <w:rsid w:val="00351A21"/>
    <w:rsid w:val="00351B50"/>
    <w:rsid w:val="00351DEE"/>
    <w:rsid w:val="00351F2B"/>
    <w:rsid w:val="003520EE"/>
    <w:rsid w:val="00352228"/>
    <w:rsid w:val="003524DF"/>
    <w:rsid w:val="003527C4"/>
    <w:rsid w:val="00352B4D"/>
    <w:rsid w:val="00352BFE"/>
    <w:rsid w:val="00352D3C"/>
    <w:rsid w:val="00352F83"/>
    <w:rsid w:val="00353089"/>
    <w:rsid w:val="0035316B"/>
    <w:rsid w:val="00353184"/>
    <w:rsid w:val="00353436"/>
    <w:rsid w:val="003534A4"/>
    <w:rsid w:val="003536C7"/>
    <w:rsid w:val="00353A4E"/>
    <w:rsid w:val="00353E41"/>
    <w:rsid w:val="00353F71"/>
    <w:rsid w:val="00354101"/>
    <w:rsid w:val="003541DC"/>
    <w:rsid w:val="00354657"/>
    <w:rsid w:val="00354724"/>
    <w:rsid w:val="00354859"/>
    <w:rsid w:val="003548B1"/>
    <w:rsid w:val="00354915"/>
    <w:rsid w:val="00354962"/>
    <w:rsid w:val="00354A37"/>
    <w:rsid w:val="00354E69"/>
    <w:rsid w:val="003552FC"/>
    <w:rsid w:val="00355514"/>
    <w:rsid w:val="003557CE"/>
    <w:rsid w:val="003558D2"/>
    <w:rsid w:val="00355A37"/>
    <w:rsid w:val="00355AD3"/>
    <w:rsid w:val="00355B24"/>
    <w:rsid w:val="00355CF9"/>
    <w:rsid w:val="00356151"/>
    <w:rsid w:val="00356162"/>
    <w:rsid w:val="00356334"/>
    <w:rsid w:val="003563A2"/>
    <w:rsid w:val="00356787"/>
    <w:rsid w:val="0035684D"/>
    <w:rsid w:val="003569FF"/>
    <w:rsid w:val="00356AC6"/>
    <w:rsid w:val="00356F90"/>
    <w:rsid w:val="003570F2"/>
    <w:rsid w:val="00357435"/>
    <w:rsid w:val="00357679"/>
    <w:rsid w:val="00357B43"/>
    <w:rsid w:val="00357DCB"/>
    <w:rsid w:val="00357E07"/>
    <w:rsid w:val="00357E4F"/>
    <w:rsid w:val="0036024B"/>
    <w:rsid w:val="0036036F"/>
    <w:rsid w:val="003603BD"/>
    <w:rsid w:val="00360499"/>
    <w:rsid w:val="0036091F"/>
    <w:rsid w:val="00360B94"/>
    <w:rsid w:val="00360E4B"/>
    <w:rsid w:val="00360F16"/>
    <w:rsid w:val="003612B6"/>
    <w:rsid w:val="0036159E"/>
    <w:rsid w:val="00361889"/>
    <w:rsid w:val="00361955"/>
    <w:rsid w:val="00361E23"/>
    <w:rsid w:val="003622FD"/>
    <w:rsid w:val="0036241F"/>
    <w:rsid w:val="00362721"/>
    <w:rsid w:val="003627E8"/>
    <w:rsid w:val="0036297B"/>
    <w:rsid w:val="00362C82"/>
    <w:rsid w:val="00362E1B"/>
    <w:rsid w:val="00362FCF"/>
    <w:rsid w:val="0036364A"/>
    <w:rsid w:val="003636C3"/>
    <w:rsid w:val="00363ABD"/>
    <w:rsid w:val="00363E2A"/>
    <w:rsid w:val="00363FC4"/>
    <w:rsid w:val="0036450F"/>
    <w:rsid w:val="003645E3"/>
    <w:rsid w:val="0036464B"/>
    <w:rsid w:val="00364715"/>
    <w:rsid w:val="0036475D"/>
    <w:rsid w:val="003648A7"/>
    <w:rsid w:val="00364A3C"/>
    <w:rsid w:val="00364BA3"/>
    <w:rsid w:val="00364C6E"/>
    <w:rsid w:val="00364D5D"/>
    <w:rsid w:val="00365662"/>
    <w:rsid w:val="003658B4"/>
    <w:rsid w:val="0036595D"/>
    <w:rsid w:val="00365C93"/>
    <w:rsid w:val="00365CE5"/>
    <w:rsid w:val="003662AD"/>
    <w:rsid w:val="003663DA"/>
    <w:rsid w:val="003666A1"/>
    <w:rsid w:val="00366758"/>
    <w:rsid w:val="003669BF"/>
    <w:rsid w:val="00366B13"/>
    <w:rsid w:val="00366D14"/>
    <w:rsid w:val="00366D7E"/>
    <w:rsid w:val="00367485"/>
    <w:rsid w:val="0036750D"/>
    <w:rsid w:val="0036768E"/>
    <w:rsid w:val="003678A8"/>
    <w:rsid w:val="00367945"/>
    <w:rsid w:val="00367999"/>
    <w:rsid w:val="003679C0"/>
    <w:rsid w:val="00367A9D"/>
    <w:rsid w:val="00367B25"/>
    <w:rsid w:val="00367B41"/>
    <w:rsid w:val="00367B5F"/>
    <w:rsid w:val="00367E31"/>
    <w:rsid w:val="003704BF"/>
    <w:rsid w:val="00370873"/>
    <w:rsid w:val="00370970"/>
    <w:rsid w:val="00370C7D"/>
    <w:rsid w:val="00370F15"/>
    <w:rsid w:val="0037101F"/>
    <w:rsid w:val="003713F5"/>
    <w:rsid w:val="0037166D"/>
    <w:rsid w:val="00371A19"/>
    <w:rsid w:val="00371B86"/>
    <w:rsid w:val="00371E94"/>
    <w:rsid w:val="003720EE"/>
    <w:rsid w:val="00372238"/>
    <w:rsid w:val="0037235C"/>
    <w:rsid w:val="00372561"/>
    <w:rsid w:val="003725B9"/>
    <w:rsid w:val="0037288E"/>
    <w:rsid w:val="003728F4"/>
    <w:rsid w:val="00372997"/>
    <w:rsid w:val="003730DA"/>
    <w:rsid w:val="00373707"/>
    <w:rsid w:val="003738B8"/>
    <w:rsid w:val="0037397C"/>
    <w:rsid w:val="00373A2D"/>
    <w:rsid w:val="00373B22"/>
    <w:rsid w:val="00373B48"/>
    <w:rsid w:val="00373CCB"/>
    <w:rsid w:val="00373D92"/>
    <w:rsid w:val="00374139"/>
    <w:rsid w:val="003742C9"/>
    <w:rsid w:val="00374325"/>
    <w:rsid w:val="00374492"/>
    <w:rsid w:val="003745F1"/>
    <w:rsid w:val="00374642"/>
    <w:rsid w:val="00374764"/>
    <w:rsid w:val="003747B0"/>
    <w:rsid w:val="00374B9B"/>
    <w:rsid w:val="00374BC0"/>
    <w:rsid w:val="00374DA1"/>
    <w:rsid w:val="0037569D"/>
    <w:rsid w:val="00375814"/>
    <w:rsid w:val="00375858"/>
    <w:rsid w:val="00375EB8"/>
    <w:rsid w:val="00376317"/>
    <w:rsid w:val="00376362"/>
    <w:rsid w:val="003765F7"/>
    <w:rsid w:val="0037684C"/>
    <w:rsid w:val="0037690A"/>
    <w:rsid w:val="003769A4"/>
    <w:rsid w:val="00376A4C"/>
    <w:rsid w:val="00376CE3"/>
    <w:rsid w:val="00376DD8"/>
    <w:rsid w:val="00376E38"/>
    <w:rsid w:val="003770A6"/>
    <w:rsid w:val="003771AE"/>
    <w:rsid w:val="003771B5"/>
    <w:rsid w:val="00377213"/>
    <w:rsid w:val="003773E5"/>
    <w:rsid w:val="003774BC"/>
    <w:rsid w:val="003778E6"/>
    <w:rsid w:val="00377AE4"/>
    <w:rsid w:val="00377C8B"/>
    <w:rsid w:val="00377CDD"/>
    <w:rsid w:val="00377D6D"/>
    <w:rsid w:val="0038005E"/>
    <w:rsid w:val="00380128"/>
    <w:rsid w:val="0038039C"/>
    <w:rsid w:val="003806B4"/>
    <w:rsid w:val="00380A86"/>
    <w:rsid w:val="00380A9A"/>
    <w:rsid w:val="00380B2D"/>
    <w:rsid w:val="00380BC1"/>
    <w:rsid w:val="00380BDC"/>
    <w:rsid w:val="00380C95"/>
    <w:rsid w:val="00380CA7"/>
    <w:rsid w:val="0038107C"/>
    <w:rsid w:val="00381319"/>
    <w:rsid w:val="003814EC"/>
    <w:rsid w:val="00381638"/>
    <w:rsid w:val="00381702"/>
    <w:rsid w:val="003817E7"/>
    <w:rsid w:val="003819FB"/>
    <w:rsid w:val="00381A06"/>
    <w:rsid w:val="00381B99"/>
    <w:rsid w:val="00381BC5"/>
    <w:rsid w:val="00381BCB"/>
    <w:rsid w:val="00381E76"/>
    <w:rsid w:val="00382429"/>
    <w:rsid w:val="00382A26"/>
    <w:rsid w:val="00382C97"/>
    <w:rsid w:val="00382F29"/>
    <w:rsid w:val="003833EB"/>
    <w:rsid w:val="00383466"/>
    <w:rsid w:val="003837EF"/>
    <w:rsid w:val="00383B75"/>
    <w:rsid w:val="00383FEC"/>
    <w:rsid w:val="00384011"/>
    <w:rsid w:val="003841CB"/>
    <w:rsid w:val="00384513"/>
    <w:rsid w:val="00384C24"/>
    <w:rsid w:val="00384DEE"/>
    <w:rsid w:val="00384EB8"/>
    <w:rsid w:val="003850E5"/>
    <w:rsid w:val="003852D6"/>
    <w:rsid w:val="003853D7"/>
    <w:rsid w:val="003854B6"/>
    <w:rsid w:val="0038569D"/>
    <w:rsid w:val="003856F8"/>
    <w:rsid w:val="0038578C"/>
    <w:rsid w:val="0038582E"/>
    <w:rsid w:val="00385AA4"/>
    <w:rsid w:val="00385CAE"/>
    <w:rsid w:val="00385CF1"/>
    <w:rsid w:val="00385D71"/>
    <w:rsid w:val="0038617A"/>
    <w:rsid w:val="00386297"/>
    <w:rsid w:val="003863C7"/>
    <w:rsid w:val="00386934"/>
    <w:rsid w:val="003872CB"/>
    <w:rsid w:val="0038762B"/>
    <w:rsid w:val="0038777A"/>
    <w:rsid w:val="0038796C"/>
    <w:rsid w:val="00387CD5"/>
    <w:rsid w:val="00387D2F"/>
    <w:rsid w:val="00387E52"/>
    <w:rsid w:val="0039007B"/>
    <w:rsid w:val="0039012C"/>
    <w:rsid w:val="003902BD"/>
    <w:rsid w:val="00390473"/>
    <w:rsid w:val="0039047F"/>
    <w:rsid w:val="003906AC"/>
    <w:rsid w:val="00390A8B"/>
    <w:rsid w:val="00391081"/>
    <w:rsid w:val="00391327"/>
    <w:rsid w:val="0039159F"/>
    <w:rsid w:val="0039181B"/>
    <w:rsid w:val="00391998"/>
    <w:rsid w:val="00391C70"/>
    <w:rsid w:val="00391D40"/>
    <w:rsid w:val="00391E78"/>
    <w:rsid w:val="00391EE8"/>
    <w:rsid w:val="00391FAA"/>
    <w:rsid w:val="00392044"/>
    <w:rsid w:val="0039209D"/>
    <w:rsid w:val="0039212A"/>
    <w:rsid w:val="00392174"/>
    <w:rsid w:val="00392379"/>
    <w:rsid w:val="00392390"/>
    <w:rsid w:val="003923FD"/>
    <w:rsid w:val="003924C4"/>
    <w:rsid w:val="003928BC"/>
    <w:rsid w:val="003928C5"/>
    <w:rsid w:val="0039291E"/>
    <w:rsid w:val="0039350F"/>
    <w:rsid w:val="0039363C"/>
    <w:rsid w:val="00393674"/>
    <w:rsid w:val="003939BD"/>
    <w:rsid w:val="00393EB7"/>
    <w:rsid w:val="003940BA"/>
    <w:rsid w:val="003943B3"/>
    <w:rsid w:val="00394A2E"/>
    <w:rsid w:val="00394D45"/>
    <w:rsid w:val="00394E75"/>
    <w:rsid w:val="003953DA"/>
    <w:rsid w:val="00395423"/>
    <w:rsid w:val="0039558A"/>
    <w:rsid w:val="00395626"/>
    <w:rsid w:val="00395763"/>
    <w:rsid w:val="00395909"/>
    <w:rsid w:val="00395C34"/>
    <w:rsid w:val="00395C8C"/>
    <w:rsid w:val="00395DA3"/>
    <w:rsid w:val="00396001"/>
    <w:rsid w:val="00396118"/>
    <w:rsid w:val="003961FA"/>
    <w:rsid w:val="003963C8"/>
    <w:rsid w:val="003964DA"/>
    <w:rsid w:val="003968B4"/>
    <w:rsid w:val="003969F5"/>
    <w:rsid w:val="00396CD5"/>
    <w:rsid w:val="00396D8D"/>
    <w:rsid w:val="00397287"/>
    <w:rsid w:val="00397411"/>
    <w:rsid w:val="003976F6"/>
    <w:rsid w:val="00397814"/>
    <w:rsid w:val="0039783B"/>
    <w:rsid w:val="0039789B"/>
    <w:rsid w:val="003979A3"/>
    <w:rsid w:val="003979E7"/>
    <w:rsid w:val="00397A35"/>
    <w:rsid w:val="00397C16"/>
    <w:rsid w:val="00397EA4"/>
    <w:rsid w:val="003A000C"/>
    <w:rsid w:val="003A0040"/>
    <w:rsid w:val="003A0447"/>
    <w:rsid w:val="003A0510"/>
    <w:rsid w:val="003A0659"/>
    <w:rsid w:val="003A065A"/>
    <w:rsid w:val="003A0731"/>
    <w:rsid w:val="003A08F8"/>
    <w:rsid w:val="003A09B0"/>
    <w:rsid w:val="003A0A38"/>
    <w:rsid w:val="003A0AB6"/>
    <w:rsid w:val="003A0D06"/>
    <w:rsid w:val="003A0F6D"/>
    <w:rsid w:val="003A0F79"/>
    <w:rsid w:val="003A169D"/>
    <w:rsid w:val="003A17DD"/>
    <w:rsid w:val="003A1A95"/>
    <w:rsid w:val="003A20DB"/>
    <w:rsid w:val="003A2363"/>
    <w:rsid w:val="003A29DD"/>
    <w:rsid w:val="003A2A33"/>
    <w:rsid w:val="003A2D13"/>
    <w:rsid w:val="003A3494"/>
    <w:rsid w:val="003A36D3"/>
    <w:rsid w:val="003A3847"/>
    <w:rsid w:val="003A38A4"/>
    <w:rsid w:val="003A3B12"/>
    <w:rsid w:val="003A3BCD"/>
    <w:rsid w:val="003A3C1F"/>
    <w:rsid w:val="003A423C"/>
    <w:rsid w:val="003A4553"/>
    <w:rsid w:val="003A45B0"/>
    <w:rsid w:val="003A477B"/>
    <w:rsid w:val="003A494B"/>
    <w:rsid w:val="003A494E"/>
    <w:rsid w:val="003A4ADB"/>
    <w:rsid w:val="003A4BAD"/>
    <w:rsid w:val="003A4CE3"/>
    <w:rsid w:val="003A4E5B"/>
    <w:rsid w:val="003A4E8E"/>
    <w:rsid w:val="003A4F35"/>
    <w:rsid w:val="003A533D"/>
    <w:rsid w:val="003A534D"/>
    <w:rsid w:val="003A55D2"/>
    <w:rsid w:val="003A57A2"/>
    <w:rsid w:val="003A592C"/>
    <w:rsid w:val="003A5AE7"/>
    <w:rsid w:val="003A5C14"/>
    <w:rsid w:val="003A5DAC"/>
    <w:rsid w:val="003A644C"/>
    <w:rsid w:val="003A64B2"/>
    <w:rsid w:val="003A6702"/>
    <w:rsid w:val="003A680B"/>
    <w:rsid w:val="003A6827"/>
    <w:rsid w:val="003A6C2F"/>
    <w:rsid w:val="003A6EC8"/>
    <w:rsid w:val="003A6FD0"/>
    <w:rsid w:val="003A79A8"/>
    <w:rsid w:val="003A7AD0"/>
    <w:rsid w:val="003A7B30"/>
    <w:rsid w:val="003B0078"/>
    <w:rsid w:val="003B00A3"/>
    <w:rsid w:val="003B03B2"/>
    <w:rsid w:val="003B04B7"/>
    <w:rsid w:val="003B0601"/>
    <w:rsid w:val="003B06AE"/>
    <w:rsid w:val="003B0A0E"/>
    <w:rsid w:val="003B0C66"/>
    <w:rsid w:val="003B0E12"/>
    <w:rsid w:val="003B10B2"/>
    <w:rsid w:val="003B14C2"/>
    <w:rsid w:val="003B1B21"/>
    <w:rsid w:val="003B1DD3"/>
    <w:rsid w:val="003B20BF"/>
    <w:rsid w:val="003B2172"/>
    <w:rsid w:val="003B23B4"/>
    <w:rsid w:val="003B266C"/>
    <w:rsid w:val="003B28DC"/>
    <w:rsid w:val="003B2B1A"/>
    <w:rsid w:val="003B2E57"/>
    <w:rsid w:val="003B2F73"/>
    <w:rsid w:val="003B3379"/>
    <w:rsid w:val="003B343B"/>
    <w:rsid w:val="003B3492"/>
    <w:rsid w:val="003B3624"/>
    <w:rsid w:val="003B38CE"/>
    <w:rsid w:val="003B3C47"/>
    <w:rsid w:val="003B3F1D"/>
    <w:rsid w:val="003B3F96"/>
    <w:rsid w:val="003B4209"/>
    <w:rsid w:val="003B46CF"/>
    <w:rsid w:val="003B4797"/>
    <w:rsid w:val="003B4919"/>
    <w:rsid w:val="003B544F"/>
    <w:rsid w:val="003B59A4"/>
    <w:rsid w:val="003B5B2E"/>
    <w:rsid w:val="003B5CB8"/>
    <w:rsid w:val="003B6258"/>
    <w:rsid w:val="003B67C6"/>
    <w:rsid w:val="003B6AC8"/>
    <w:rsid w:val="003B6B51"/>
    <w:rsid w:val="003B71AF"/>
    <w:rsid w:val="003B7359"/>
    <w:rsid w:val="003B76D0"/>
    <w:rsid w:val="003B7760"/>
    <w:rsid w:val="003B7A31"/>
    <w:rsid w:val="003B7A87"/>
    <w:rsid w:val="003B7B8B"/>
    <w:rsid w:val="003B7C26"/>
    <w:rsid w:val="003B7C45"/>
    <w:rsid w:val="003B7E00"/>
    <w:rsid w:val="003C0121"/>
    <w:rsid w:val="003C02A2"/>
    <w:rsid w:val="003C0552"/>
    <w:rsid w:val="003C06F0"/>
    <w:rsid w:val="003C0EDE"/>
    <w:rsid w:val="003C1291"/>
    <w:rsid w:val="003C12AF"/>
    <w:rsid w:val="003C1581"/>
    <w:rsid w:val="003C1860"/>
    <w:rsid w:val="003C1918"/>
    <w:rsid w:val="003C1AA1"/>
    <w:rsid w:val="003C1CCB"/>
    <w:rsid w:val="003C1D18"/>
    <w:rsid w:val="003C228A"/>
    <w:rsid w:val="003C22DE"/>
    <w:rsid w:val="003C232E"/>
    <w:rsid w:val="003C2878"/>
    <w:rsid w:val="003C2ACC"/>
    <w:rsid w:val="003C2AFA"/>
    <w:rsid w:val="003C2B8C"/>
    <w:rsid w:val="003C2E88"/>
    <w:rsid w:val="003C2FFB"/>
    <w:rsid w:val="003C33C0"/>
    <w:rsid w:val="003C35C5"/>
    <w:rsid w:val="003C3633"/>
    <w:rsid w:val="003C3672"/>
    <w:rsid w:val="003C3B53"/>
    <w:rsid w:val="003C3FD8"/>
    <w:rsid w:val="003C3FDD"/>
    <w:rsid w:val="003C4247"/>
    <w:rsid w:val="003C42DD"/>
    <w:rsid w:val="003C44D3"/>
    <w:rsid w:val="003C466D"/>
    <w:rsid w:val="003C472E"/>
    <w:rsid w:val="003C484C"/>
    <w:rsid w:val="003C4BE4"/>
    <w:rsid w:val="003C4DE4"/>
    <w:rsid w:val="003C4E2F"/>
    <w:rsid w:val="003C4FB6"/>
    <w:rsid w:val="003C5005"/>
    <w:rsid w:val="003C5176"/>
    <w:rsid w:val="003C5284"/>
    <w:rsid w:val="003C54B7"/>
    <w:rsid w:val="003C5699"/>
    <w:rsid w:val="003C5736"/>
    <w:rsid w:val="003C5974"/>
    <w:rsid w:val="003C5A94"/>
    <w:rsid w:val="003C5A9A"/>
    <w:rsid w:val="003C5DCA"/>
    <w:rsid w:val="003C6253"/>
    <w:rsid w:val="003C683E"/>
    <w:rsid w:val="003C6A8D"/>
    <w:rsid w:val="003C6DE8"/>
    <w:rsid w:val="003C7631"/>
    <w:rsid w:val="003C7929"/>
    <w:rsid w:val="003C7B26"/>
    <w:rsid w:val="003C7B57"/>
    <w:rsid w:val="003C7B70"/>
    <w:rsid w:val="003C7D39"/>
    <w:rsid w:val="003C7F8B"/>
    <w:rsid w:val="003D027E"/>
    <w:rsid w:val="003D0559"/>
    <w:rsid w:val="003D090C"/>
    <w:rsid w:val="003D0CB1"/>
    <w:rsid w:val="003D0E45"/>
    <w:rsid w:val="003D0EC8"/>
    <w:rsid w:val="003D12EC"/>
    <w:rsid w:val="003D1431"/>
    <w:rsid w:val="003D14F3"/>
    <w:rsid w:val="003D16E6"/>
    <w:rsid w:val="003D16F1"/>
    <w:rsid w:val="003D1854"/>
    <w:rsid w:val="003D1A58"/>
    <w:rsid w:val="003D1A80"/>
    <w:rsid w:val="003D1F2A"/>
    <w:rsid w:val="003D20E4"/>
    <w:rsid w:val="003D21DC"/>
    <w:rsid w:val="003D223E"/>
    <w:rsid w:val="003D2401"/>
    <w:rsid w:val="003D268D"/>
    <w:rsid w:val="003D2AEF"/>
    <w:rsid w:val="003D2CB9"/>
    <w:rsid w:val="003D2DB2"/>
    <w:rsid w:val="003D2FA7"/>
    <w:rsid w:val="003D3127"/>
    <w:rsid w:val="003D3143"/>
    <w:rsid w:val="003D3250"/>
    <w:rsid w:val="003D32B3"/>
    <w:rsid w:val="003D3407"/>
    <w:rsid w:val="003D3503"/>
    <w:rsid w:val="003D353E"/>
    <w:rsid w:val="003D368F"/>
    <w:rsid w:val="003D371E"/>
    <w:rsid w:val="003D3B9E"/>
    <w:rsid w:val="003D3F6F"/>
    <w:rsid w:val="003D40AB"/>
    <w:rsid w:val="003D42CD"/>
    <w:rsid w:val="003D4309"/>
    <w:rsid w:val="003D454D"/>
    <w:rsid w:val="003D4627"/>
    <w:rsid w:val="003D49FE"/>
    <w:rsid w:val="003D4C1B"/>
    <w:rsid w:val="003D4CCF"/>
    <w:rsid w:val="003D509F"/>
    <w:rsid w:val="003D5171"/>
    <w:rsid w:val="003D54F2"/>
    <w:rsid w:val="003D56DC"/>
    <w:rsid w:val="003D5AEA"/>
    <w:rsid w:val="003D5CF8"/>
    <w:rsid w:val="003D5D4B"/>
    <w:rsid w:val="003D608A"/>
    <w:rsid w:val="003D6123"/>
    <w:rsid w:val="003D622C"/>
    <w:rsid w:val="003D661B"/>
    <w:rsid w:val="003D66B4"/>
    <w:rsid w:val="003D6794"/>
    <w:rsid w:val="003D688F"/>
    <w:rsid w:val="003D6A7E"/>
    <w:rsid w:val="003D6BE1"/>
    <w:rsid w:val="003D6F51"/>
    <w:rsid w:val="003D720A"/>
    <w:rsid w:val="003D7291"/>
    <w:rsid w:val="003D7311"/>
    <w:rsid w:val="003D743A"/>
    <w:rsid w:val="003D744E"/>
    <w:rsid w:val="003D75C0"/>
    <w:rsid w:val="003D7EEE"/>
    <w:rsid w:val="003E00DF"/>
    <w:rsid w:val="003E013B"/>
    <w:rsid w:val="003E03EF"/>
    <w:rsid w:val="003E04C1"/>
    <w:rsid w:val="003E04C3"/>
    <w:rsid w:val="003E04D5"/>
    <w:rsid w:val="003E0688"/>
    <w:rsid w:val="003E0BB7"/>
    <w:rsid w:val="003E0D4E"/>
    <w:rsid w:val="003E1075"/>
    <w:rsid w:val="003E1125"/>
    <w:rsid w:val="003E1139"/>
    <w:rsid w:val="003E115B"/>
    <w:rsid w:val="003E12B6"/>
    <w:rsid w:val="003E138D"/>
    <w:rsid w:val="003E13AF"/>
    <w:rsid w:val="003E13FF"/>
    <w:rsid w:val="003E15E3"/>
    <w:rsid w:val="003E1820"/>
    <w:rsid w:val="003E1A0E"/>
    <w:rsid w:val="003E1B7D"/>
    <w:rsid w:val="003E1D48"/>
    <w:rsid w:val="003E1EDA"/>
    <w:rsid w:val="003E20F5"/>
    <w:rsid w:val="003E22C5"/>
    <w:rsid w:val="003E23B3"/>
    <w:rsid w:val="003E242D"/>
    <w:rsid w:val="003E2497"/>
    <w:rsid w:val="003E26BB"/>
    <w:rsid w:val="003E299D"/>
    <w:rsid w:val="003E2C7D"/>
    <w:rsid w:val="003E326B"/>
    <w:rsid w:val="003E350D"/>
    <w:rsid w:val="003E3642"/>
    <w:rsid w:val="003E3839"/>
    <w:rsid w:val="003E3939"/>
    <w:rsid w:val="003E397E"/>
    <w:rsid w:val="003E43D0"/>
    <w:rsid w:val="003E49BA"/>
    <w:rsid w:val="003E4B9B"/>
    <w:rsid w:val="003E4E23"/>
    <w:rsid w:val="003E4F6C"/>
    <w:rsid w:val="003E4FDC"/>
    <w:rsid w:val="003E571D"/>
    <w:rsid w:val="003E5D06"/>
    <w:rsid w:val="003E5EB8"/>
    <w:rsid w:val="003E5F51"/>
    <w:rsid w:val="003E620F"/>
    <w:rsid w:val="003E6249"/>
    <w:rsid w:val="003E6AAD"/>
    <w:rsid w:val="003E6B7D"/>
    <w:rsid w:val="003E6D36"/>
    <w:rsid w:val="003E7658"/>
    <w:rsid w:val="003E788B"/>
    <w:rsid w:val="003E7E8D"/>
    <w:rsid w:val="003E7E9A"/>
    <w:rsid w:val="003E7EDE"/>
    <w:rsid w:val="003E7F2F"/>
    <w:rsid w:val="003F005E"/>
    <w:rsid w:val="003F01F1"/>
    <w:rsid w:val="003F04B6"/>
    <w:rsid w:val="003F051F"/>
    <w:rsid w:val="003F0652"/>
    <w:rsid w:val="003F0ADC"/>
    <w:rsid w:val="003F0DD8"/>
    <w:rsid w:val="003F0EAC"/>
    <w:rsid w:val="003F1059"/>
    <w:rsid w:val="003F1199"/>
    <w:rsid w:val="003F1516"/>
    <w:rsid w:val="003F1898"/>
    <w:rsid w:val="003F1B82"/>
    <w:rsid w:val="003F1D41"/>
    <w:rsid w:val="003F1D9A"/>
    <w:rsid w:val="003F1ED6"/>
    <w:rsid w:val="003F20C3"/>
    <w:rsid w:val="003F2224"/>
    <w:rsid w:val="003F2B11"/>
    <w:rsid w:val="003F318A"/>
    <w:rsid w:val="003F35CB"/>
    <w:rsid w:val="003F36D5"/>
    <w:rsid w:val="003F377A"/>
    <w:rsid w:val="003F3AF4"/>
    <w:rsid w:val="003F3B85"/>
    <w:rsid w:val="003F3D22"/>
    <w:rsid w:val="003F4073"/>
    <w:rsid w:val="003F46BE"/>
    <w:rsid w:val="003F47A2"/>
    <w:rsid w:val="003F496E"/>
    <w:rsid w:val="003F4C1C"/>
    <w:rsid w:val="003F4C30"/>
    <w:rsid w:val="003F4C9A"/>
    <w:rsid w:val="003F4CC2"/>
    <w:rsid w:val="003F4ED0"/>
    <w:rsid w:val="003F4EDF"/>
    <w:rsid w:val="003F4F6E"/>
    <w:rsid w:val="003F4FF4"/>
    <w:rsid w:val="003F525F"/>
    <w:rsid w:val="003F532B"/>
    <w:rsid w:val="003F533E"/>
    <w:rsid w:val="003F53AB"/>
    <w:rsid w:val="003F59CA"/>
    <w:rsid w:val="003F5ABE"/>
    <w:rsid w:val="003F5E97"/>
    <w:rsid w:val="003F65AD"/>
    <w:rsid w:val="003F6FF0"/>
    <w:rsid w:val="003F7034"/>
    <w:rsid w:val="003F72F2"/>
    <w:rsid w:val="003F7332"/>
    <w:rsid w:val="003F741B"/>
    <w:rsid w:val="003F7617"/>
    <w:rsid w:val="003F7694"/>
    <w:rsid w:val="003F7F0B"/>
    <w:rsid w:val="0040006D"/>
    <w:rsid w:val="00400756"/>
    <w:rsid w:val="00401182"/>
    <w:rsid w:val="004012CB"/>
    <w:rsid w:val="0040133C"/>
    <w:rsid w:val="00401450"/>
    <w:rsid w:val="0040163B"/>
    <w:rsid w:val="00401845"/>
    <w:rsid w:val="00401AFC"/>
    <w:rsid w:val="00401C61"/>
    <w:rsid w:val="00401DB8"/>
    <w:rsid w:val="00402088"/>
    <w:rsid w:val="004020D7"/>
    <w:rsid w:val="004021C3"/>
    <w:rsid w:val="00402325"/>
    <w:rsid w:val="00402395"/>
    <w:rsid w:val="00402A66"/>
    <w:rsid w:val="00402B62"/>
    <w:rsid w:val="00402D9F"/>
    <w:rsid w:val="00403122"/>
    <w:rsid w:val="00403270"/>
    <w:rsid w:val="0040359C"/>
    <w:rsid w:val="00403800"/>
    <w:rsid w:val="00403870"/>
    <w:rsid w:val="00403C6F"/>
    <w:rsid w:val="00403C70"/>
    <w:rsid w:val="0040400C"/>
    <w:rsid w:val="00404086"/>
    <w:rsid w:val="004041EF"/>
    <w:rsid w:val="00404297"/>
    <w:rsid w:val="004043BE"/>
    <w:rsid w:val="004043D8"/>
    <w:rsid w:val="0040472C"/>
    <w:rsid w:val="00404892"/>
    <w:rsid w:val="004048B9"/>
    <w:rsid w:val="00404911"/>
    <w:rsid w:val="00404EE8"/>
    <w:rsid w:val="004051B8"/>
    <w:rsid w:val="0040520F"/>
    <w:rsid w:val="004052BC"/>
    <w:rsid w:val="0040550A"/>
    <w:rsid w:val="0040557E"/>
    <w:rsid w:val="00405712"/>
    <w:rsid w:val="00405873"/>
    <w:rsid w:val="00405A0A"/>
    <w:rsid w:val="00405CEE"/>
    <w:rsid w:val="004064B0"/>
    <w:rsid w:val="004064C4"/>
    <w:rsid w:val="004066C3"/>
    <w:rsid w:val="00406B05"/>
    <w:rsid w:val="00406B15"/>
    <w:rsid w:val="00406BA0"/>
    <w:rsid w:val="0040710F"/>
    <w:rsid w:val="004071F7"/>
    <w:rsid w:val="004076AD"/>
    <w:rsid w:val="0040784D"/>
    <w:rsid w:val="00407863"/>
    <w:rsid w:val="004078B3"/>
    <w:rsid w:val="00407932"/>
    <w:rsid w:val="00407D29"/>
    <w:rsid w:val="00407E69"/>
    <w:rsid w:val="00407F04"/>
    <w:rsid w:val="00407F92"/>
    <w:rsid w:val="0040B7A0"/>
    <w:rsid w:val="00410094"/>
    <w:rsid w:val="004104B1"/>
    <w:rsid w:val="004106FE"/>
    <w:rsid w:val="0041076C"/>
    <w:rsid w:val="0041080C"/>
    <w:rsid w:val="00410916"/>
    <w:rsid w:val="00410919"/>
    <w:rsid w:val="00410A1E"/>
    <w:rsid w:val="00410A5A"/>
    <w:rsid w:val="00410A89"/>
    <w:rsid w:val="00410F04"/>
    <w:rsid w:val="00411266"/>
    <w:rsid w:val="0041178D"/>
    <w:rsid w:val="0041181D"/>
    <w:rsid w:val="00411A9F"/>
    <w:rsid w:val="00411AE5"/>
    <w:rsid w:val="00411DC6"/>
    <w:rsid w:val="00411E8D"/>
    <w:rsid w:val="0041208E"/>
    <w:rsid w:val="0041217B"/>
    <w:rsid w:val="0041264D"/>
    <w:rsid w:val="004126EB"/>
    <w:rsid w:val="00412903"/>
    <w:rsid w:val="00412A9E"/>
    <w:rsid w:val="00412BA1"/>
    <w:rsid w:val="00412EA0"/>
    <w:rsid w:val="0041310B"/>
    <w:rsid w:val="004132AE"/>
    <w:rsid w:val="004135D1"/>
    <w:rsid w:val="0041364D"/>
    <w:rsid w:val="00413763"/>
    <w:rsid w:val="00413825"/>
    <w:rsid w:val="00413896"/>
    <w:rsid w:val="00413A64"/>
    <w:rsid w:val="00413B67"/>
    <w:rsid w:val="00413C7C"/>
    <w:rsid w:val="00413C7D"/>
    <w:rsid w:val="00413F3A"/>
    <w:rsid w:val="00413FE7"/>
    <w:rsid w:val="004140B6"/>
    <w:rsid w:val="004149DC"/>
    <w:rsid w:val="00414A58"/>
    <w:rsid w:val="00414F0A"/>
    <w:rsid w:val="00414F2C"/>
    <w:rsid w:val="00415294"/>
    <w:rsid w:val="004153C2"/>
    <w:rsid w:val="0041554A"/>
    <w:rsid w:val="0041567E"/>
    <w:rsid w:val="004159FA"/>
    <w:rsid w:val="00415C77"/>
    <w:rsid w:val="004160B6"/>
    <w:rsid w:val="00416269"/>
    <w:rsid w:val="00416422"/>
    <w:rsid w:val="0041680D"/>
    <w:rsid w:val="00417171"/>
    <w:rsid w:val="004171C9"/>
    <w:rsid w:val="004175C2"/>
    <w:rsid w:val="004179AF"/>
    <w:rsid w:val="00417C7E"/>
    <w:rsid w:val="00417D85"/>
    <w:rsid w:val="00417ECC"/>
    <w:rsid w:val="00417F1C"/>
    <w:rsid w:val="0042007D"/>
    <w:rsid w:val="00420124"/>
    <w:rsid w:val="00420362"/>
    <w:rsid w:val="00420452"/>
    <w:rsid w:val="00420469"/>
    <w:rsid w:val="004204B8"/>
    <w:rsid w:val="004206BB"/>
    <w:rsid w:val="00420771"/>
    <w:rsid w:val="0042090B"/>
    <w:rsid w:val="00420A32"/>
    <w:rsid w:val="00420B9B"/>
    <w:rsid w:val="00420BE8"/>
    <w:rsid w:val="00420C1B"/>
    <w:rsid w:val="00420CBD"/>
    <w:rsid w:val="00420F6F"/>
    <w:rsid w:val="004213EA"/>
    <w:rsid w:val="004215D4"/>
    <w:rsid w:val="004217FE"/>
    <w:rsid w:val="00421846"/>
    <w:rsid w:val="00421AF0"/>
    <w:rsid w:val="00421C97"/>
    <w:rsid w:val="00421F45"/>
    <w:rsid w:val="00422157"/>
    <w:rsid w:val="00422194"/>
    <w:rsid w:val="00422341"/>
    <w:rsid w:val="004224B2"/>
    <w:rsid w:val="00422955"/>
    <w:rsid w:val="00422959"/>
    <w:rsid w:val="0042298D"/>
    <w:rsid w:val="00422E0B"/>
    <w:rsid w:val="00422E1B"/>
    <w:rsid w:val="00422E3C"/>
    <w:rsid w:val="00422FC2"/>
    <w:rsid w:val="004230D0"/>
    <w:rsid w:val="0042318D"/>
    <w:rsid w:val="0042341B"/>
    <w:rsid w:val="00423782"/>
    <w:rsid w:val="00423A4C"/>
    <w:rsid w:val="00423DB2"/>
    <w:rsid w:val="00424318"/>
    <w:rsid w:val="00424571"/>
    <w:rsid w:val="00424721"/>
    <w:rsid w:val="00424800"/>
    <w:rsid w:val="00424862"/>
    <w:rsid w:val="0042486C"/>
    <w:rsid w:val="00424B36"/>
    <w:rsid w:val="00424C92"/>
    <w:rsid w:val="00424E30"/>
    <w:rsid w:val="00424E8C"/>
    <w:rsid w:val="00424F28"/>
    <w:rsid w:val="0042506B"/>
    <w:rsid w:val="004251A9"/>
    <w:rsid w:val="004251D5"/>
    <w:rsid w:val="0042532C"/>
    <w:rsid w:val="0042537B"/>
    <w:rsid w:val="00425393"/>
    <w:rsid w:val="004254B6"/>
    <w:rsid w:val="004255BD"/>
    <w:rsid w:val="00425813"/>
    <w:rsid w:val="004258F0"/>
    <w:rsid w:val="0042593E"/>
    <w:rsid w:val="00425B1B"/>
    <w:rsid w:val="00425F05"/>
    <w:rsid w:val="004260FE"/>
    <w:rsid w:val="004261AD"/>
    <w:rsid w:val="004261AF"/>
    <w:rsid w:val="00426225"/>
    <w:rsid w:val="00426322"/>
    <w:rsid w:val="00426401"/>
    <w:rsid w:val="0042659E"/>
    <w:rsid w:val="004265FB"/>
    <w:rsid w:val="00426644"/>
    <w:rsid w:val="00426693"/>
    <w:rsid w:val="004266B2"/>
    <w:rsid w:val="00426743"/>
    <w:rsid w:val="004267AB"/>
    <w:rsid w:val="004269CB"/>
    <w:rsid w:val="00426B89"/>
    <w:rsid w:val="00426BEC"/>
    <w:rsid w:val="00426CFA"/>
    <w:rsid w:val="00426F04"/>
    <w:rsid w:val="0042730C"/>
    <w:rsid w:val="00427484"/>
    <w:rsid w:val="004278A5"/>
    <w:rsid w:val="00427A8E"/>
    <w:rsid w:val="00427AA9"/>
    <w:rsid w:val="00427B45"/>
    <w:rsid w:val="00427DC5"/>
    <w:rsid w:val="00427FD6"/>
    <w:rsid w:val="004303CF"/>
    <w:rsid w:val="004303EE"/>
    <w:rsid w:val="004304FA"/>
    <w:rsid w:val="004306EA"/>
    <w:rsid w:val="004306EF"/>
    <w:rsid w:val="00430735"/>
    <w:rsid w:val="0043087A"/>
    <w:rsid w:val="004308A2"/>
    <w:rsid w:val="00430B1F"/>
    <w:rsid w:val="00430B93"/>
    <w:rsid w:val="00430D6A"/>
    <w:rsid w:val="0043115E"/>
    <w:rsid w:val="004311A1"/>
    <w:rsid w:val="0043125E"/>
    <w:rsid w:val="00431330"/>
    <w:rsid w:val="004314CB"/>
    <w:rsid w:val="004314E1"/>
    <w:rsid w:val="004315B5"/>
    <w:rsid w:val="00431770"/>
    <w:rsid w:val="00431780"/>
    <w:rsid w:val="0043195F"/>
    <w:rsid w:val="00431A87"/>
    <w:rsid w:val="00431B2F"/>
    <w:rsid w:val="00431B34"/>
    <w:rsid w:val="00432002"/>
    <w:rsid w:val="004323E2"/>
    <w:rsid w:val="00432407"/>
    <w:rsid w:val="00432748"/>
    <w:rsid w:val="00432906"/>
    <w:rsid w:val="00432AE8"/>
    <w:rsid w:val="00433066"/>
    <w:rsid w:val="004334DC"/>
    <w:rsid w:val="00433502"/>
    <w:rsid w:val="00433641"/>
    <w:rsid w:val="00433C9C"/>
    <w:rsid w:val="004341BA"/>
    <w:rsid w:val="004343E0"/>
    <w:rsid w:val="004344E5"/>
    <w:rsid w:val="004344F0"/>
    <w:rsid w:val="00434BCA"/>
    <w:rsid w:val="00434D15"/>
    <w:rsid w:val="00434E68"/>
    <w:rsid w:val="00434F03"/>
    <w:rsid w:val="00435022"/>
    <w:rsid w:val="00435132"/>
    <w:rsid w:val="00435244"/>
    <w:rsid w:val="004356DB"/>
    <w:rsid w:val="004357E6"/>
    <w:rsid w:val="004359C1"/>
    <w:rsid w:val="00435A0A"/>
    <w:rsid w:val="00435C60"/>
    <w:rsid w:val="00435CE3"/>
    <w:rsid w:val="00435D30"/>
    <w:rsid w:val="004362C8"/>
    <w:rsid w:val="00436407"/>
    <w:rsid w:val="004364BF"/>
    <w:rsid w:val="00436915"/>
    <w:rsid w:val="004369A6"/>
    <w:rsid w:val="00436BEA"/>
    <w:rsid w:val="00436C03"/>
    <w:rsid w:val="00436CFA"/>
    <w:rsid w:val="00436D0F"/>
    <w:rsid w:val="00436E4A"/>
    <w:rsid w:val="00436F27"/>
    <w:rsid w:val="00436F2D"/>
    <w:rsid w:val="0043749E"/>
    <w:rsid w:val="004376FD"/>
    <w:rsid w:val="00437819"/>
    <w:rsid w:val="00437906"/>
    <w:rsid w:val="00437932"/>
    <w:rsid w:val="0043795F"/>
    <w:rsid w:val="00437BF1"/>
    <w:rsid w:val="00437F08"/>
    <w:rsid w:val="00440164"/>
    <w:rsid w:val="0044031B"/>
    <w:rsid w:val="00440582"/>
    <w:rsid w:val="004406F6"/>
    <w:rsid w:val="0044080B"/>
    <w:rsid w:val="00440A51"/>
    <w:rsid w:val="00440CE6"/>
    <w:rsid w:val="00440E38"/>
    <w:rsid w:val="00440F28"/>
    <w:rsid w:val="0044117C"/>
    <w:rsid w:val="0044122E"/>
    <w:rsid w:val="004412B1"/>
    <w:rsid w:val="004412B5"/>
    <w:rsid w:val="0044133D"/>
    <w:rsid w:val="004413EB"/>
    <w:rsid w:val="004415F2"/>
    <w:rsid w:val="004417ED"/>
    <w:rsid w:val="00441835"/>
    <w:rsid w:val="00441B87"/>
    <w:rsid w:val="0044221A"/>
    <w:rsid w:val="0044221F"/>
    <w:rsid w:val="0044269E"/>
    <w:rsid w:val="004427DE"/>
    <w:rsid w:val="00442B37"/>
    <w:rsid w:val="00442E1C"/>
    <w:rsid w:val="00442F77"/>
    <w:rsid w:val="0044341F"/>
    <w:rsid w:val="0044388E"/>
    <w:rsid w:val="00443A8B"/>
    <w:rsid w:val="00443A9C"/>
    <w:rsid w:val="00443CCA"/>
    <w:rsid w:val="00443E04"/>
    <w:rsid w:val="00444253"/>
    <w:rsid w:val="00444363"/>
    <w:rsid w:val="00444368"/>
    <w:rsid w:val="004445A2"/>
    <w:rsid w:val="00444A50"/>
    <w:rsid w:val="00444C3F"/>
    <w:rsid w:val="00444EA5"/>
    <w:rsid w:val="00444FB8"/>
    <w:rsid w:val="00445072"/>
    <w:rsid w:val="00445298"/>
    <w:rsid w:val="00445440"/>
    <w:rsid w:val="0044558B"/>
    <w:rsid w:val="00445690"/>
    <w:rsid w:val="0044574B"/>
    <w:rsid w:val="004458E9"/>
    <w:rsid w:val="0044596A"/>
    <w:rsid w:val="00445B1A"/>
    <w:rsid w:val="00445BDC"/>
    <w:rsid w:val="00445E94"/>
    <w:rsid w:val="0044647E"/>
    <w:rsid w:val="004464F5"/>
    <w:rsid w:val="0044656B"/>
    <w:rsid w:val="004466C6"/>
    <w:rsid w:val="00446751"/>
    <w:rsid w:val="00446780"/>
    <w:rsid w:val="0044682D"/>
    <w:rsid w:val="00446E7A"/>
    <w:rsid w:val="00446E81"/>
    <w:rsid w:val="00447487"/>
    <w:rsid w:val="0044766D"/>
    <w:rsid w:val="00447729"/>
    <w:rsid w:val="004479F2"/>
    <w:rsid w:val="00447BCF"/>
    <w:rsid w:val="00447C65"/>
    <w:rsid w:val="00447CE1"/>
    <w:rsid w:val="004506EF"/>
    <w:rsid w:val="004507A5"/>
    <w:rsid w:val="004509E3"/>
    <w:rsid w:val="00450A11"/>
    <w:rsid w:val="00450B4C"/>
    <w:rsid w:val="00450B98"/>
    <w:rsid w:val="00450DD0"/>
    <w:rsid w:val="00451148"/>
    <w:rsid w:val="004515C4"/>
    <w:rsid w:val="00451663"/>
    <w:rsid w:val="004517E9"/>
    <w:rsid w:val="004518C7"/>
    <w:rsid w:val="00451A28"/>
    <w:rsid w:val="00451AD9"/>
    <w:rsid w:val="00451D41"/>
    <w:rsid w:val="00451F10"/>
    <w:rsid w:val="00451F6D"/>
    <w:rsid w:val="00452260"/>
    <w:rsid w:val="00452414"/>
    <w:rsid w:val="0045249A"/>
    <w:rsid w:val="004526ED"/>
    <w:rsid w:val="004527E3"/>
    <w:rsid w:val="0045287E"/>
    <w:rsid w:val="00452AC8"/>
    <w:rsid w:val="00452BA1"/>
    <w:rsid w:val="00452BD2"/>
    <w:rsid w:val="00452E54"/>
    <w:rsid w:val="00452EE0"/>
    <w:rsid w:val="00452F12"/>
    <w:rsid w:val="004531C4"/>
    <w:rsid w:val="00453339"/>
    <w:rsid w:val="004536FB"/>
    <w:rsid w:val="004536FF"/>
    <w:rsid w:val="004539FB"/>
    <w:rsid w:val="00453A1C"/>
    <w:rsid w:val="00453B34"/>
    <w:rsid w:val="00453BCD"/>
    <w:rsid w:val="00453E9D"/>
    <w:rsid w:val="00453EDF"/>
    <w:rsid w:val="00454195"/>
    <w:rsid w:val="00454212"/>
    <w:rsid w:val="004543CF"/>
    <w:rsid w:val="00454806"/>
    <w:rsid w:val="00454A9D"/>
    <w:rsid w:val="00454BF6"/>
    <w:rsid w:val="00454C4B"/>
    <w:rsid w:val="00454D36"/>
    <w:rsid w:val="004550E9"/>
    <w:rsid w:val="00455250"/>
    <w:rsid w:val="004554EA"/>
    <w:rsid w:val="004558CD"/>
    <w:rsid w:val="00455F75"/>
    <w:rsid w:val="00456108"/>
    <w:rsid w:val="0045628C"/>
    <w:rsid w:val="0045630D"/>
    <w:rsid w:val="004565B5"/>
    <w:rsid w:val="00456699"/>
    <w:rsid w:val="004566F1"/>
    <w:rsid w:val="004567D9"/>
    <w:rsid w:val="004569B8"/>
    <w:rsid w:val="00456BBB"/>
    <w:rsid w:val="00456E72"/>
    <w:rsid w:val="004570DE"/>
    <w:rsid w:val="0045714F"/>
    <w:rsid w:val="0045722E"/>
    <w:rsid w:val="004572DF"/>
    <w:rsid w:val="0045741B"/>
    <w:rsid w:val="0045773A"/>
    <w:rsid w:val="00457938"/>
    <w:rsid w:val="00457989"/>
    <w:rsid w:val="00457A69"/>
    <w:rsid w:val="00457B57"/>
    <w:rsid w:val="00457C3E"/>
    <w:rsid w:val="00457C4F"/>
    <w:rsid w:val="00457E15"/>
    <w:rsid w:val="0046007C"/>
    <w:rsid w:val="004600D1"/>
    <w:rsid w:val="004602F7"/>
    <w:rsid w:val="00460683"/>
    <w:rsid w:val="0046080B"/>
    <w:rsid w:val="00460B45"/>
    <w:rsid w:val="00460C30"/>
    <w:rsid w:val="00460C98"/>
    <w:rsid w:val="00460EA6"/>
    <w:rsid w:val="00460EFC"/>
    <w:rsid w:val="00460F88"/>
    <w:rsid w:val="004610AD"/>
    <w:rsid w:val="00461105"/>
    <w:rsid w:val="004612CA"/>
    <w:rsid w:val="00461322"/>
    <w:rsid w:val="004614B7"/>
    <w:rsid w:val="0046179B"/>
    <w:rsid w:val="00461A45"/>
    <w:rsid w:val="00461A7A"/>
    <w:rsid w:val="00461B11"/>
    <w:rsid w:val="00461EBD"/>
    <w:rsid w:val="00462082"/>
    <w:rsid w:val="00462289"/>
    <w:rsid w:val="0046238B"/>
    <w:rsid w:val="0046240B"/>
    <w:rsid w:val="004626D8"/>
    <w:rsid w:val="00462885"/>
    <w:rsid w:val="00462B7B"/>
    <w:rsid w:val="00462BDE"/>
    <w:rsid w:val="00462D6D"/>
    <w:rsid w:val="0046306E"/>
    <w:rsid w:val="004637A2"/>
    <w:rsid w:val="004638E9"/>
    <w:rsid w:val="004639FB"/>
    <w:rsid w:val="00463D34"/>
    <w:rsid w:val="00463E10"/>
    <w:rsid w:val="0046415F"/>
    <w:rsid w:val="004643AF"/>
    <w:rsid w:val="004643F0"/>
    <w:rsid w:val="00464420"/>
    <w:rsid w:val="0046453F"/>
    <w:rsid w:val="0046455A"/>
    <w:rsid w:val="0046469E"/>
    <w:rsid w:val="00464930"/>
    <w:rsid w:val="00464FD2"/>
    <w:rsid w:val="00464FD8"/>
    <w:rsid w:val="0046537B"/>
    <w:rsid w:val="004653D3"/>
    <w:rsid w:val="00465446"/>
    <w:rsid w:val="00465469"/>
    <w:rsid w:val="0046564C"/>
    <w:rsid w:val="0046591A"/>
    <w:rsid w:val="0046598A"/>
    <w:rsid w:val="00465B3F"/>
    <w:rsid w:val="00465EF7"/>
    <w:rsid w:val="004661C1"/>
    <w:rsid w:val="0046665E"/>
    <w:rsid w:val="00466A79"/>
    <w:rsid w:val="00466DCC"/>
    <w:rsid w:val="0046706D"/>
    <w:rsid w:val="00467195"/>
    <w:rsid w:val="004671AD"/>
    <w:rsid w:val="004671CA"/>
    <w:rsid w:val="0046723F"/>
    <w:rsid w:val="004672DF"/>
    <w:rsid w:val="00467C32"/>
    <w:rsid w:val="0047009C"/>
    <w:rsid w:val="00470B5A"/>
    <w:rsid w:val="00470CF6"/>
    <w:rsid w:val="00470D88"/>
    <w:rsid w:val="00470EFA"/>
    <w:rsid w:val="00471047"/>
    <w:rsid w:val="004711C9"/>
    <w:rsid w:val="00471289"/>
    <w:rsid w:val="004712AC"/>
    <w:rsid w:val="004718BD"/>
    <w:rsid w:val="00471B96"/>
    <w:rsid w:val="00471E11"/>
    <w:rsid w:val="00471EA0"/>
    <w:rsid w:val="00471F32"/>
    <w:rsid w:val="00471F3F"/>
    <w:rsid w:val="00471F50"/>
    <w:rsid w:val="004720A9"/>
    <w:rsid w:val="0047213B"/>
    <w:rsid w:val="004724B5"/>
    <w:rsid w:val="00472B1F"/>
    <w:rsid w:val="00472DC9"/>
    <w:rsid w:val="00472F89"/>
    <w:rsid w:val="0047311D"/>
    <w:rsid w:val="0047315A"/>
    <w:rsid w:val="0047315D"/>
    <w:rsid w:val="00473213"/>
    <w:rsid w:val="00473262"/>
    <w:rsid w:val="004732C4"/>
    <w:rsid w:val="00473543"/>
    <w:rsid w:val="004735C8"/>
    <w:rsid w:val="00473614"/>
    <w:rsid w:val="0047361E"/>
    <w:rsid w:val="0047364B"/>
    <w:rsid w:val="004736CE"/>
    <w:rsid w:val="00473886"/>
    <w:rsid w:val="004739DF"/>
    <w:rsid w:val="00473D99"/>
    <w:rsid w:val="00474014"/>
    <w:rsid w:val="004740EC"/>
    <w:rsid w:val="0047419F"/>
    <w:rsid w:val="004742D6"/>
    <w:rsid w:val="00474401"/>
    <w:rsid w:val="00474643"/>
    <w:rsid w:val="0047467E"/>
    <w:rsid w:val="0047469B"/>
    <w:rsid w:val="004746F2"/>
    <w:rsid w:val="00474830"/>
    <w:rsid w:val="00474853"/>
    <w:rsid w:val="00474A6D"/>
    <w:rsid w:val="00474D34"/>
    <w:rsid w:val="00474E90"/>
    <w:rsid w:val="0047503D"/>
    <w:rsid w:val="00475211"/>
    <w:rsid w:val="00475351"/>
    <w:rsid w:val="00475719"/>
    <w:rsid w:val="004758CB"/>
    <w:rsid w:val="00475986"/>
    <w:rsid w:val="004759F9"/>
    <w:rsid w:val="00475A8E"/>
    <w:rsid w:val="00475AE0"/>
    <w:rsid w:val="00475DE3"/>
    <w:rsid w:val="00475FC0"/>
    <w:rsid w:val="00476727"/>
    <w:rsid w:val="004769BF"/>
    <w:rsid w:val="00476DED"/>
    <w:rsid w:val="00476E60"/>
    <w:rsid w:val="00477522"/>
    <w:rsid w:val="00477646"/>
    <w:rsid w:val="00477740"/>
    <w:rsid w:val="00477850"/>
    <w:rsid w:val="00477C30"/>
    <w:rsid w:val="00477DD8"/>
    <w:rsid w:val="0048002C"/>
    <w:rsid w:val="00480202"/>
    <w:rsid w:val="00480389"/>
    <w:rsid w:val="0048042B"/>
    <w:rsid w:val="004805DE"/>
    <w:rsid w:val="00480909"/>
    <w:rsid w:val="00480A85"/>
    <w:rsid w:val="00480BE4"/>
    <w:rsid w:val="00480BF7"/>
    <w:rsid w:val="00480DCC"/>
    <w:rsid w:val="00481421"/>
    <w:rsid w:val="004815AC"/>
    <w:rsid w:val="00481671"/>
    <w:rsid w:val="00481B37"/>
    <w:rsid w:val="00482102"/>
    <w:rsid w:val="0048220B"/>
    <w:rsid w:val="00482278"/>
    <w:rsid w:val="00482BD0"/>
    <w:rsid w:val="00483185"/>
    <w:rsid w:val="004833BE"/>
    <w:rsid w:val="00483480"/>
    <w:rsid w:val="00483696"/>
    <w:rsid w:val="0048381F"/>
    <w:rsid w:val="004838D0"/>
    <w:rsid w:val="00483A41"/>
    <w:rsid w:val="00483B6E"/>
    <w:rsid w:val="00483FF6"/>
    <w:rsid w:val="004843D6"/>
    <w:rsid w:val="004844CF"/>
    <w:rsid w:val="00484AC0"/>
    <w:rsid w:val="00484B9F"/>
    <w:rsid w:val="0048523F"/>
    <w:rsid w:val="00485369"/>
    <w:rsid w:val="00485648"/>
    <w:rsid w:val="00485689"/>
    <w:rsid w:val="004857C6"/>
    <w:rsid w:val="004857E0"/>
    <w:rsid w:val="00485B99"/>
    <w:rsid w:val="00485C17"/>
    <w:rsid w:val="00485C1B"/>
    <w:rsid w:val="00485C27"/>
    <w:rsid w:val="00485CD9"/>
    <w:rsid w:val="00485DB6"/>
    <w:rsid w:val="00485DEC"/>
    <w:rsid w:val="00485E4C"/>
    <w:rsid w:val="00485F9F"/>
    <w:rsid w:val="004860A3"/>
    <w:rsid w:val="004863D1"/>
    <w:rsid w:val="004865C5"/>
    <w:rsid w:val="00486736"/>
    <w:rsid w:val="00486BAC"/>
    <w:rsid w:val="00486CD4"/>
    <w:rsid w:val="00486DC3"/>
    <w:rsid w:val="00487179"/>
    <w:rsid w:val="00487415"/>
    <w:rsid w:val="00487494"/>
    <w:rsid w:val="00487593"/>
    <w:rsid w:val="00487CA8"/>
    <w:rsid w:val="00487D2B"/>
    <w:rsid w:val="00487D75"/>
    <w:rsid w:val="00487E2D"/>
    <w:rsid w:val="00487E6F"/>
    <w:rsid w:val="0049001B"/>
    <w:rsid w:val="004903DB"/>
    <w:rsid w:val="004909EF"/>
    <w:rsid w:val="00490FF9"/>
    <w:rsid w:val="004913B4"/>
    <w:rsid w:val="00491778"/>
    <w:rsid w:val="004918A8"/>
    <w:rsid w:val="004919E1"/>
    <w:rsid w:val="00491AE4"/>
    <w:rsid w:val="00491B06"/>
    <w:rsid w:val="00491F52"/>
    <w:rsid w:val="00491F7F"/>
    <w:rsid w:val="00491FF9"/>
    <w:rsid w:val="00492028"/>
    <w:rsid w:val="0049203A"/>
    <w:rsid w:val="0049227D"/>
    <w:rsid w:val="004927A2"/>
    <w:rsid w:val="0049285A"/>
    <w:rsid w:val="00492D18"/>
    <w:rsid w:val="00492D56"/>
    <w:rsid w:val="00492E65"/>
    <w:rsid w:val="00492E85"/>
    <w:rsid w:val="00492F74"/>
    <w:rsid w:val="00493011"/>
    <w:rsid w:val="0049305F"/>
    <w:rsid w:val="00493436"/>
    <w:rsid w:val="0049377A"/>
    <w:rsid w:val="004939F9"/>
    <w:rsid w:val="00493AF5"/>
    <w:rsid w:val="00493AF9"/>
    <w:rsid w:val="00493E22"/>
    <w:rsid w:val="00493F22"/>
    <w:rsid w:val="00494097"/>
    <w:rsid w:val="00494102"/>
    <w:rsid w:val="00494443"/>
    <w:rsid w:val="0049451E"/>
    <w:rsid w:val="0049461C"/>
    <w:rsid w:val="0049471E"/>
    <w:rsid w:val="0049472D"/>
    <w:rsid w:val="00494AF6"/>
    <w:rsid w:val="00494C1B"/>
    <w:rsid w:val="00494C60"/>
    <w:rsid w:val="00494D2A"/>
    <w:rsid w:val="00494E0A"/>
    <w:rsid w:val="00494EC9"/>
    <w:rsid w:val="004951A3"/>
    <w:rsid w:val="00495576"/>
    <w:rsid w:val="00495621"/>
    <w:rsid w:val="00495667"/>
    <w:rsid w:val="00495746"/>
    <w:rsid w:val="0049574B"/>
    <w:rsid w:val="00495A91"/>
    <w:rsid w:val="00495E4C"/>
    <w:rsid w:val="00495EF7"/>
    <w:rsid w:val="004964F8"/>
    <w:rsid w:val="0049664B"/>
    <w:rsid w:val="004969C3"/>
    <w:rsid w:val="00496BDE"/>
    <w:rsid w:val="00496CE5"/>
    <w:rsid w:val="00497245"/>
    <w:rsid w:val="004977DB"/>
    <w:rsid w:val="0049780F"/>
    <w:rsid w:val="00497B72"/>
    <w:rsid w:val="00497C12"/>
    <w:rsid w:val="00497D80"/>
    <w:rsid w:val="00497E7C"/>
    <w:rsid w:val="004A022D"/>
    <w:rsid w:val="004A039C"/>
    <w:rsid w:val="004A04D0"/>
    <w:rsid w:val="004A0551"/>
    <w:rsid w:val="004A0742"/>
    <w:rsid w:val="004A0B72"/>
    <w:rsid w:val="004A0BD1"/>
    <w:rsid w:val="004A0C78"/>
    <w:rsid w:val="004A0DCC"/>
    <w:rsid w:val="004A0FFA"/>
    <w:rsid w:val="004A1248"/>
    <w:rsid w:val="004A132C"/>
    <w:rsid w:val="004A135B"/>
    <w:rsid w:val="004A1427"/>
    <w:rsid w:val="004A1B30"/>
    <w:rsid w:val="004A1E03"/>
    <w:rsid w:val="004A1F1A"/>
    <w:rsid w:val="004A1F3C"/>
    <w:rsid w:val="004A20E9"/>
    <w:rsid w:val="004A24C0"/>
    <w:rsid w:val="004A29A7"/>
    <w:rsid w:val="004A2EFD"/>
    <w:rsid w:val="004A31BC"/>
    <w:rsid w:val="004A3315"/>
    <w:rsid w:val="004A3353"/>
    <w:rsid w:val="004A36A9"/>
    <w:rsid w:val="004A3904"/>
    <w:rsid w:val="004A397F"/>
    <w:rsid w:val="004A3BDD"/>
    <w:rsid w:val="004A3C6C"/>
    <w:rsid w:val="004A3CE5"/>
    <w:rsid w:val="004A3E15"/>
    <w:rsid w:val="004A3EDB"/>
    <w:rsid w:val="004A3F26"/>
    <w:rsid w:val="004A4313"/>
    <w:rsid w:val="004A4474"/>
    <w:rsid w:val="004A4547"/>
    <w:rsid w:val="004A45BB"/>
    <w:rsid w:val="004A4803"/>
    <w:rsid w:val="004A4895"/>
    <w:rsid w:val="004A4B2F"/>
    <w:rsid w:val="004A4D60"/>
    <w:rsid w:val="004A4EB8"/>
    <w:rsid w:val="004A5C36"/>
    <w:rsid w:val="004A6129"/>
    <w:rsid w:val="004A6288"/>
    <w:rsid w:val="004A654E"/>
    <w:rsid w:val="004A68F2"/>
    <w:rsid w:val="004A6938"/>
    <w:rsid w:val="004A6DE9"/>
    <w:rsid w:val="004A6E22"/>
    <w:rsid w:val="004A6F0D"/>
    <w:rsid w:val="004A6FD7"/>
    <w:rsid w:val="004A7007"/>
    <w:rsid w:val="004A7262"/>
    <w:rsid w:val="004A799E"/>
    <w:rsid w:val="004A7A5C"/>
    <w:rsid w:val="004A7F09"/>
    <w:rsid w:val="004B082A"/>
    <w:rsid w:val="004B0AD4"/>
    <w:rsid w:val="004B0CE9"/>
    <w:rsid w:val="004B1537"/>
    <w:rsid w:val="004B2047"/>
    <w:rsid w:val="004B2360"/>
    <w:rsid w:val="004B2459"/>
    <w:rsid w:val="004B269E"/>
    <w:rsid w:val="004B2FE9"/>
    <w:rsid w:val="004B34BD"/>
    <w:rsid w:val="004B3852"/>
    <w:rsid w:val="004B38FA"/>
    <w:rsid w:val="004B3971"/>
    <w:rsid w:val="004B3C81"/>
    <w:rsid w:val="004B3DEC"/>
    <w:rsid w:val="004B3FFD"/>
    <w:rsid w:val="004B40F3"/>
    <w:rsid w:val="004B4115"/>
    <w:rsid w:val="004B415F"/>
    <w:rsid w:val="004B4301"/>
    <w:rsid w:val="004B44AF"/>
    <w:rsid w:val="004B45A0"/>
    <w:rsid w:val="004B4653"/>
    <w:rsid w:val="004B46F4"/>
    <w:rsid w:val="004B477B"/>
    <w:rsid w:val="004B478D"/>
    <w:rsid w:val="004B4AA6"/>
    <w:rsid w:val="004B4CA2"/>
    <w:rsid w:val="004B4CE8"/>
    <w:rsid w:val="004B4D01"/>
    <w:rsid w:val="004B4E40"/>
    <w:rsid w:val="004B4FAA"/>
    <w:rsid w:val="004B5086"/>
    <w:rsid w:val="004B50DB"/>
    <w:rsid w:val="004B50E0"/>
    <w:rsid w:val="004B541C"/>
    <w:rsid w:val="004B5581"/>
    <w:rsid w:val="004B57AF"/>
    <w:rsid w:val="004B57F1"/>
    <w:rsid w:val="004B5DB3"/>
    <w:rsid w:val="004B5E4C"/>
    <w:rsid w:val="004B5EF0"/>
    <w:rsid w:val="004B6166"/>
    <w:rsid w:val="004B6244"/>
    <w:rsid w:val="004B6258"/>
    <w:rsid w:val="004B64BA"/>
    <w:rsid w:val="004B6517"/>
    <w:rsid w:val="004B6545"/>
    <w:rsid w:val="004B65CD"/>
    <w:rsid w:val="004B66A4"/>
    <w:rsid w:val="004B6E7B"/>
    <w:rsid w:val="004B6FA0"/>
    <w:rsid w:val="004B71FF"/>
    <w:rsid w:val="004B7275"/>
    <w:rsid w:val="004B727A"/>
    <w:rsid w:val="004B770C"/>
    <w:rsid w:val="004B7B76"/>
    <w:rsid w:val="004B7B7E"/>
    <w:rsid w:val="004B7FB4"/>
    <w:rsid w:val="004B7FED"/>
    <w:rsid w:val="004C06F2"/>
    <w:rsid w:val="004C0D31"/>
    <w:rsid w:val="004C0ECF"/>
    <w:rsid w:val="004C0F10"/>
    <w:rsid w:val="004C10D0"/>
    <w:rsid w:val="004C148E"/>
    <w:rsid w:val="004C1520"/>
    <w:rsid w:val="004C191C"/>
    <w:rsid w:val="004C1C9E"/>
    <w:rsid w:val="004C1D75"/>
    <w:rsid w:val="004C2515"/>
    <w:rsid w:val="004C2616"/>
    <w:rsid w:val="004C26F4"/>
    <w:rsid w:val="004C29A0"/>
    <w:rsid w:val="004C2A42"/>
    <w:rsid w:val="004C2AC4"/>
    <w:rsid w:val="004C2AEE"/>
    <w:rsid w:val="004C2B0E"/>
    <w:rsid w:val="004C2B18"/>
    <w:rsid w:val="004C2C4E"/>
    <w:rsid w:val="004C2C85"/>
    <w:rsid w:val="004C2E07"/>
    <w:rsid w:val="004C2E12"/>
    <w:rsid w:val="004C2E23"/>
    <w:rsid w:val="004C358A"/>
    <w:rsid w:val="004C386F"/>
    <w:rsid w:val="004C3960"/>
    <w:rsid w:val="004C3A25"/>
    <w:rsid w:val="004C3BBD"/>
    <w:rsid w:val="004C3CDD"/>
    <w:rsid w:val="004C3F1B"/>
    <w:rsid w:val="004C40C5"/>
    <w:rsid w:val="004C4184"/>
    <w:rsid w:val="004C4294"/>
    <w:rsid w:val="004C438B"/>
    <w:rsid w:val="004C472D"/>
    <w:rsid w:val="004C4A9C"/>
    <w:rsid w:val="004C4BED"/>
    <w:rsid w:val="004C4C26"/>
    <w:rsid w:val="004C4D75"/>
    <w:rsid w:val="004C5822"/>
    <w:rsid w:val="004C5A45"/>
    <w:rsid w:val="004C5B1C"/>
    <w:rsid w:val="004C5DC1"/>
    <w:rsid w:val="004C655C"/>
    <w:rsid w:val="004C6589"/>
    <w:rsid w:val="004C6996"/>
    <w:rsid w:val="004C6A3F"/>
    <w:rsid w:val="004C6A93"/>
    <w:rsid w:val="004C6DB3"/>
    <w:rsid w:val="004C744F"/>
    <w:rsid w:val="004C753C"/>
    <w:rsid w:val="004C77AB"/>
    <w:rsid w:val="004C7870"/>
    <w:rsid w:val="004C7AE1"/>
    <w:rsid w:val="004C7DDB"/>
    <w:rsid w:val="004C7E81"/>
    <w:rsid w:val="004D001C"/>
    <w:rsid w:val="004D03D2"/>
    <w:rsid w:val="004D04E5"/>
    <w:rsid w:val="004D04E6"/>
    <w:rsid w:val="004D0AB4"/>
    <w:rsid w:val="004D0B38"/>
    <w:rsid w:val="004D0FDA"/>
    <w:rsid w:val="004D11B8"/>
    <w:rsid w:val="004D126E"/>
    <w:rsid w:val="004D12CF"/>
    <w:rsid w:val="004D1416"/>
    <w:rsid w:val="004D159E"/>
    <w:rsid w:val="004D17EB"/>
    <w:rsid w:val="004D19BF"/>
    <w:rsid w:val="004D1B7A"/>
    <w:rsid w:val="004D1E83"/>
    <w:rsid w:val="004D1F57"/>
    <w:rsid w:val="004D2027"/>
    <w:rsid w:val="004D2059"/>
    <w:rsid w:val="004D2089"/>
    <w:rsid w:val="004D2189"/>
    <w:rsid w:val="004D21C7"/>
    <w:rsid w:val="004D2270"/>
    <w:rsid w:val="004D27F4"/>
    <w:rsid w:val="004D29A3"/>
    <w:rsid w:val="004D29C2"/>
    <w:rsid w:val="004D3052"/>
    <w:rsid w:val="004D3147"/>
    <w:rsid w:val="004D3446"/>
    <w:rsid w:val="004D34DE"/>
    <w:rsid w:val="004D3CA2"/>
    <w:rsid w:val="004D3D6E"/>
    <w:rsid w:val="004D4094"/>
    <w:rsid w:val="004D41A0"/>
    <w:rsid w:val="004D41C0"/>
    <w:rsid w:val="004D427E"/>
    <w:rsid w:val="004D4349"/>
    <w:rsid w:val="004D44D6"/>
    <w:rsid w:val="004D45D3"/>
    <w:rsid w:val="004D49FC"/>
    <w:rsid w:val="004D4A24"/>
    <w:rsid w:val="004D4AD3"/>
    <w:rsid w:val="004D4D22"/>
    <w:rsid w:val="004D4E09"/>
    <w:rsid w:val="004D4F7E"/>
    <w:rsid w:val="004D519C"/>
    <w:rsid w:val="004D51A3"/>
    <w:rsid w:val="004D5202"/>
    <w:rsid w:val="004D5493"/>
    <w:rsid w:val="004D581E"/>
    <w:rsid w:val="004D6129"/>
    <w:rsid w:val="004D61DB"/>
    <w:rsid w:val="004D6CAE"/>
    <w:rsid w:val="004D6E06"/>
    <w:rsid w:val="004D6EF5"/>
    <w:rsid w:val="004D6F75"/>
    <w:rsid w:val="004D7149"/>
    <w:rsid w:val="004D768A"/>
    <w:rsid w:val="004D768C"/>
    <w:rsid w:val="004D7790"/>
    <w:rsid w:val="004D7C51"/>
    <w:rsid w:val="004D7D7D"/>
    <w:rsid w:val="004D7F47"/>
    <w:rsid w:val="004E05BA"/>
    <w:rsid w:val="004E0ADA"/>
    <w:rsid w:val="004E1448"/>
    <w:rsid w:val="004E17D3"/>
    <w:rsid w:val="004E1AF5"/>
    <w:rsid w:val="004E1BB9"/>
    <w:rsid w:val="004E1BF8"/>
    <w:rsid w:val="004E1E29"/>
    <w:rsid w:val="004E1E2B"/>
    <w:rsid w:val="004E204E"/>
    <w:rsid w:val="004E20D1"/>
    <w:rsid w:val="004E2131"/>
    <w:rsid w:val="004E2171"/>
    <w:rsid w:val="004E27D1"/>
    <w:rsid w:val="004E2B15"/>
    <w:rsid w:val="004E2B62"/>
    <w:rsid w:val="004E2DFF"/>
    <w:rsid w:val="004E2FCD"/>
    <w:rsid w:val="004E30FD"/>
    <w:rsid w:val="004E319A"/>
    <w:rsid w:val="004E3448"/>
    <w:rsid w:val="004E366B"/>
    <w:rsid w:val="004E37DC"/>
    <w:rsid w:val="004E3A80"/>
    <w:rsid w:val="004E3C75"/>
    <w:rsid w:val="004E3C89"/>
    <w:rsid w:val="004E3F4D"/>
    <w:rsid w:val="004E3FBB"/>
    <w:rsid w:val="004E407D"/>
    <w:rsid w:val="004E4549"/>
    <w:rsid w:val="004E47B0"/>
    <w:rsid w:val="004E4803"/>
    <w:rsid w:val="004E4851"/>
    <w:rsid w:val="004E4C84"/>
    <w:rsid w:val="004E4D99"/>
    <w:rsid w:val="004E512E"/>
    <w:rsid w:val="004E51AC"/>
    <w:rsid w:val="004E5B39"/>
    <w:rsid w:val="004E5EFE"/>
    <w:rsid w:val="004E5FB3"/>
    <w:rsid w:val="004E6007"/>
    <w:rsid w:val="004E6291"/>
    <w:rsid w:val="004E62EC"/>
    <w:rsid w:val="004E637E"/>
    <w:rsid w:val="004E6817"/>
    <w:rsid w:val="004E69BB"/>
    <w:rsid w:val="004E6CB7"/>
    <w:rsid w:val="004E6D6F"/>
    <w:rsid w:val="004E7071"/>
    <w:rsid w:val="004E71AE"/>
    <w:rsid w:val="004E788D"/>
    <w:rsid w:val="004E7A65"/>
    <w:rsid w:val="004E7BE0"/>
    <w:rsid w:val="004E7F21"/>
    <w:rsid w:val="004F00B0"/>
    <w:rsid w:val="004F01C9"/>
    <w:rsid w:val="004F0434"/>
    <w:rsid w:val="004F068C"/>
    <w:rsid w:val="004F07C4"/>
    <w:rsid w:val="004F07E5"/>
    <w:rsid w:val="004F0879"/>
    <w:rsid w:val="004F08DF"/>
    <w:rsid w:val="004F0AB7"/>
    <w:rsid w:val="004F0AE0"/>
    <w:rsid w:val="004F0D15"/>
    <w:rsid w:val="004F0F05"/>
    <w:rsid w:val="004F148C"/>
    <w:rsid w:val="004F160C"/>
    <w:rsid w:val="004F16B3"/>
    <w:rsid w:val="004F1B76"/>
    <w:rsid w:val="004F1DCF"/>
    <w:rsid w:val="004F1DDC"/>
    <w:rsid w:val="004F1EA2"/>
    <w:rsid w:val="004F1EDA"/>
    <w:rsid w:val="004F1F4D"/>
    <w:rsid w:val="004F21BC"/>
    <w:rsid w:val="004F22AA"/>
    <w:rsid w:val="004F2B8C"/>
    <w:rsid w:val="004F2BAA"/>
    <w:rsid w:val="004F2CA6"/>
    <w:rsid w:val="004F2DDF"/>
    <w:rsid w:val="004F2E0D"/>
    <w:rsid w:val="004F2E74"/>
    <w:rsid w:val="004F2E93"/>
    <w:rsid w:val="004F310F"/>
    <w:rsid w:val="004F3643"/>
    <w:rsid w:val="004F3D3F"/>
    <w:rsid w:val="004F3DB9"/>
    <w:rsid w:val="004F3EF2"/>
    <w:rsid w:val="004F406D"/>
    <w:rsid w:val="004F4078"/>
    <w:rsid w:val="004F41C5"/>
    <w:rsid w:val="004F4363"/>
    <w:rsid w:val="004F47A0"/>
    <w:rsid w:val="004F47B4"/>
    <w:rsid w:val="004F4881"/>
    <w:rsid w:val="004F4A4B"/>
    <w:rsid w:val="004F4A83"/>
    <w:rsid w:val="004F4EAF"/>
    <w:rsid w:val="004F532A"/>
    <w:rsid w:val="004F54B8"/>
    <w:rsid w:val="004F5917"/>
    <w:rsid w:val="004F59CB"/>
    <w:rsid w:val="004F5B99"/>
    <w:rsid w:val="004F5BDC"/>
    <w:rsid w:val="004F5D58"/>
    <w:rsid w:val="004F5E42"/>
    <w:rsid w:val="004F5E59"/>
    <w:rsid w:val="004F5FC2"/>
    <w:rsid w:val="004F608A"/>
    <w:rsid w:val="004F6171"/>
    <w:rsid w:val="004F61D0"/>
    <w:rsid w:val="004F636E"/>
    <w:rsid w:val="004F63E6"/>
    <w:rsid w:val="004F6688"/>
    <w:rsid w:val="004F68CF"/>
    <w:rsid w:val="004F6917"/>
    <w:rsid w:val="004F6BB0"/>
    <w:rsid w:val="004F72C0"/>
    <w:rsid w:val="004F73DA"/>
    <w:rsid w:val="004F7445"/>
    <w:rsid w:val="004F74E3"/>
    <w:rsid w:val="004F75D9"/>
    <w:rsid w:val="004F7673"/>
    <w:rsid w:val="004F76C4"/>
    <w:rsid w:val="004F7CF7"/>
    <w:rsid w:val="004F7DE4"/>
    <w:rsid w:val="004F7F0F"/>
    <w:rsid w:val="0050018C"/>
    <w:rsid w:val="005001A0"/>
    <w:rsid w:val="0050043B"/>
    <w:rsid w:val="005004C0"/>
    <w:rsid w:val="00500878"/>
    <w:rsid w:val="00500BDB"/>
    <w:rsid w:val="00500D0D"/>
    <w:rsid w:val="00500FD6"/>
    <w:rsid w:val="00501039"/>
    <w:rsid w:val="00501183"/>
    <w:rsid w:val="005011C2"/>
    <w:rsid w:val="0050131E"/>
    <w:rsid w:val="005015AA"/>
    <w:rsid w:val="00501660"/>
    <w:rsid w:val="00501938"/>
    <w:rsid w:val="005019C7"/>
    <w:rsid w:val="00501AA9"/>
    <w:rsid w:val="00501C9D"/>
    <w:rsid w:val="00501EFF"/>
    <w:rsid w:val="00501F41"/>
    <w:rsid w:val="00501FD5"/>
    <w:rsid w:val="00502052"/>
    <w:rsid w:val="0050208F"/>
    <w:rsid w:val="005021D2"/>
    <w:rsid w:val="00502272"/>
    <w:rsid w:val="0050228B"/>
    <w:rsid w:val="005022C4"/>
    <w:rsid w:val="0050235E"/>
    <w:rsid w:val="005024C0"/>
    <w:rsid w:val="005025FC"/>
    <w:rsid w:val="005026EC"/>
    <w:rsid w:val="00502ACB"/>
    <w:rsid w:val="00502AE0"/>
    <w:rsid w:val="00502AE9"/>
    <w:rsid w:val="00502C05"/>
    <w:rsid w:val="00502E04"/>
    <w:rsid w:val="00502ED7"/>
    <w:rsid w:val="005030D3"/>
    <w:rsid w:val="005031B3"/>
    <w:rsid w:val="00503535"/>
    <w:rsid w:val="00503720"/>
    <w:rsid w:val="00503729"/>
    <w:rsid w:val="00503730"/>
    <w:rsid w:val="00503E35"/>
    <w:rsid w:val="00503E41"/>
    <w:rsid w:val="005041C0"/>
    <w:rsid w:val="005042FC"/>
    <w:rsid w:val="0050477C"/>
    <w:rsid w:val="005047B7"/>
    <w:rsid w:val="0050489A"/>
    <w:rsid w:val="005049CA"/>
    <w:rsid w:val="00504B7E"/>
    <w:rsid w:val="00504C3F"/>
    <w:rsid w:val="00504C45"/>
    <w:rsid w:val="00504E8D"/>
    <w:rsid w:val="005050F4"/>
    <w:rsid w:val="005051CA"/>
    <w:rsid w:val="00505353"/>
    <w:rsid w:val="00505A75"/>
    <w:rsid w:val="00505AB8"/>
    <w:rsid w:val="00505CE4"/>
    <w:rsid w:val="00505F06"/>
    <w:rsid w:val="00505FB1"/>
    <w:rsid w:val="00505FE5"/>
    <w:rsid w:val="00506252"/>
    <w:rsid w:val="0050632E"/>
    <w:rsid w:val="00506367"/>
    <w:rsid w:val="005065EB"/>
    <w:rsid w:val="005067EE"/>
    <w:rsid w:val="0050685A"/>
    <w:rsid w:val="005068AC"/>
    <w:rsid w:val="00506B29"/>
    <w:rsid w:val="00506B2A"/>
    <w:rsid w:val="00506B87"/>
    <w:rsid w:val="00506BDC"/>
    <w:rsid w:val="00506D40"/>
    <w:rsid w:val="00506F58"/>
    <w:rsid w:val="005071B9"/>
    <w:rsid w:val="005073B0"/>
    <w:rsid w:val="0050752E"/>
    <w:rsid w:val="005075FE"/>
    <w:rsid w:val="005076DA"/>
    <w:rsid w:val="00507735"/>
    <w:rsid w:val="00507AE2"/>
    <w:rsid w:val="00507CBA"/>
    <w:rsid w:val="00507CC5"/>
    <w:rsid w:val="00507E03"/>
    <w:rsid w:val="00507E66"/>
    <w:rsid w:val="0051012C"/>
    <w:rsid w:val="005104C0"/>
    <w:rsid w:val="005107C0"/>
    <w:rsid w:val="00510901"/>
    <w:rsid w:val="00510985"/>
    <w:rsid w:val="00510B55"/>
    <w:rsid w:val="00511318"/>
    <w:rsid w:val="0051140E"/>
    <w:rsid w:val="00511719"/>
    <w:rsid w:val="00511AD4"/>
    <w:rsid w:val="00511D31"/>
    <w:rsid w:val="00511D87"/>
    <w:rsid w:val="00511DA7"/>
    <w:rsid w:val="005121EA"/>
    <w:rsid w:val="005123EB"/>
    <w:rsid w:val="005124E9"/>
    <w:rsid w:val="0051268D"/>
    <w:rsid w:val="0051269F"/>
    <w:rsid w:val="005127D1"/>
    <w:rsid w:val="00512BAE"/>
    <w:rsid w:val="00512BDF"/>
    <w:rsid w:val="00512D41"/>
    <w:rsid w:val="00512E6D"/>
    <w:rsid w:val="005130F9"/>
    <w:rsid w:val="00513212"/>
    <w:rsid w:val="00513264"/>
    <w:rsid w:val="005138B9"/>
    <w:rsid w:val="005139D6"/>
    <w:rsid w:val="00513ADE"/>
    <w:rsid w:val="00513D4A"/>
    <w:rsid w:val="00514098"/>
    <w:rsid w:val="0051433C"/>
    <w:rsid w:val="005143DC"/>
    <w:rsid w:val="005145ED"/>
    <w:rsid w:val="00514759"/>
    <w:rsid w:val="00514BE6"/>
    <w:rsid w:val="00514C0F"/>
    <w:rsid w:val="00514EB7"/>
    <w:rsid w:val="00514FC8"/>
    <w:rsid w:val="00515073"/>
    <w:rsid w:val="005150BE"/>
    <w:rsid w:val="005152DF"/>
    <w:rsid w:val="005155C8"/>
    <w:rsid w:val="00515BE5"/>
    <w:rsid w:val="00515D66"/>
    <w:rsid w:val="00515DA6"/>
    <w:rsid w:val="00515FB7"/>
    <w:rsid w:val="0051600A"/>
    <w:rsid w:val="005161F9"/>
    <w:rsid w:val="0051626C"/>
    <w:rsid w:val="005163E3"/>
    <w:rsid w:val="00516ABE"/>
    <w:rsid w:val="00516BE5"/>
    <w:rsid w:val="00516E21"/>
    <w:rsid w:val="00516EBF"/>
    <w:rsid w:val="00516EF2"/>
    <w:rsid w:val="0051722A"/>
    <w:rsid w:val="005173B0"/>
    <w:rsid w:val="00517613"/>
    <w:rsid w:val="005176D5"/>
    <w:rsid w:val="00517731"/>
    <w:rsid w:val="00517916"/>
    <w:rsid w:val="00517973"/>
    <w:rsid w:val="005179FF"/>
    <w:rsid w:val="00517B85"/>
    <w:rsid w:val="00517BB7"/>
    <w:rsid w:val="00517C7D"/>
    <w:rsid w:val="00517EBD"/>
    <w:rsid w:val="005200FA"/>
    <w:rsid w:val="00520199"/>
    <w:rsid w:val="00520364"/>
    <w:rsid w:val="00520499"/>
    <w:rsid w:val="00520620"/>
    <w:rsid w:val="00520727"/>
    <w:rsid w:val="00520814"/>
    <w:rsid w:val="00520A61"/>
    <w:rsid w:val="00520B8B"/>
    <w:rsid w:val="00520CB8"/>
    <w:rsid w:val="00520CDF"/>
    <w:rsid w:val="00520CF9"/>
    <w:rsid w:val="00520D4E"/>
    <w:rsid w:val="00520DEC"/>
    <w:rsid w:val="00520FFA"/>
    <w:rsid w:val="00521450"/>
    <w:rsid w:val="00521487"/>
    <w:rsid w:val="00521854"/>
    <w:rsid w:val="005221BB"/>
    <w:rsid w:val="005223E4"/>
    <w:rsid w:val="005224A4"/>
    <w:rsid w:val="00522743"/>
    <w:rsid w:val="00522D7E"/>
    <w:rsid w:val="00522DC1"/>
    <w:rsid w:val="00522E79"/>
    <w:rsid w:val="00522EA9"/>
    <w:rsid w:val="0052300A"/>
    <w:rsid w:val="00523182"/>
    <w:rsid w:val="0052323D"/>
    <w:rsid w:val="00523706"/>
    <w:rsid w:val="00523845"/>
    <w:rsid w:val="005239C8"/>
    <w:rsid w:val="00523C33"/>
    <w:rsid w:val="00523D8F"/>
    <w:rsid w:val="00523E46"/>
    <w:rsid w:val="005243FD"/>
    <w:rsid w:val="0052454A"/>
    <w:rsid w:val="005246BE"/>
    <w:rsid w:val="0052473C"/>
    <w:rsid w:val="005247C1"/>
    <w:rsid w:val="005248B7"/>
    <w:rsid w:val="00524904"/>
    <w:rsid w:val="00524D39"/>
    <w:rsid w:val="005256B0"/>
    <w:rsid w:val="00525727"/>
    <w:rsid w:val="0052575F"/>
    <w:rsid w:val="00525B2D"/>
    <w:rsid w:val="00525D26"/>
    <w:rsid w:val="00525DB3"/>
    <w:rsid w:val="00525E41"/>
    <w:rsid w:val="00525E69"/>
    <w:rsid w:val="00526007"/>
    <w:rsid w:val="005260A6"/>
    <w:rsid w:val="00526467"/>
    <w:rsid w:val="005267B2"/>
    <w:rsid w:val="00526863"/>
    <w:rsid w:val="00526A90"/>
    <w:rsid w:val="00526B06"/>
    <w:rsid w:val="00526D31"/>
    <w:rsid w:val="00526D57"/>
    <w:rsid w:val="00526F37"/>
    <w:rsid w:val="00526F50"/>
    <w:rsid w:val="005270B3"/>
    <w:rsid w:val="005270F9"/>
    <w:rsid w:val="00527310"/>
    <w:rsid w:val="00527BD1"/>
    <w:rsid w:val="00527CC9"/>
    <w:rsid w:val="00527EE2"/>
    <w:rsid w:val="00530216"/>
    <w:rsid w:val="00530529"/>
    <w:rsid w:val="0053085A"/>
    <w:rsid w:val="005309EA"/>
    <w:rsid w:val="00530B1C"/>
    <w:rsid w:val="00530CD4"/>
    <w:rsid w:val="00530E34"/>
    <w:rsid w:val="00530F06"/>
    <w:rsid w:val="00531303"/>
    <w:rsid w:val="0053146B"/>
    <w:rsid w:val="005316DA"/>
    <w:rsid w:val="00531726"/>
    <w:rsid w:val="00531780"/>
    <w:rsid w:val="00531B94"/>
    <w:rsid w:val="00531B9A"/>
    <w:rsid w:val="00531BE1"/>
    <w:rsid w:val="00531C18"/>
    <w:rsid w:val="0053205B"/>
    <w:rsid w:val="00532083"/>
    <w:rsid w:val="00532224"/>
    <w:rsid w:val="005324BF"/>
    <w:rsid w:val="005325B7"/>
    <w:rsid w:val="005326E1"/>
    <w:rsid w:val="00532976"/>
    <w:rsid w:val="00532B88"/>
    <w:rsid w:val="00532FC7"/>
    <w:rsid w:val="00533044"/>
    <w:rsid w:val="00533430"/>
    <w:rsid w:val="005336E5"/>
    <w:rsid w:val="0053387E"/>
    <w:rsid w:val="00533933"/>
    <w:rsid w:val="00533D1B"/>
    <w:rsid w:val="005341A3"/>
    <w:rsid w:val="00534689"/>
    <w:rsid w:val="0053478A"/>
    <w:rsid w:val="005347E7"/>
    <w:rsid w:val="00534A00"/>
    <w:rsid w:val="00534C2D"/>
    <w:rsid w:val="00534D29"/>
    <w:rsid w:val="00534DEE"/>
    <w:rsid w:val="00534F74"/>
    <w:rsid w:val="00534FBE"/>
    <w:rsid w:val="00535219"/>
    <w:rsid w:val="005352CB"/>
    <w:rsid w:val="00535321"/>
    <w:rsid w:val="00535378"/>
    <w:rsid w:val="00535477"/>
    <w:rsid w:val="00535A1E"/>
    <w:rsid w:val="00535E93"/>
    <w:rsid w:val="00535F24"/>
    <w:rsid w:val="0053652B"/>
    <w:rsid w:val="0053695E"/>
    <w:rsid w:val="00536AB8"/>
    <w:rsid w:val="00536E08"/>
    <w:rsid w:val="00536E74"/>
    <w:rsid w:val="00536F8E"/>
    <w:rsid w:val="00536F9E"/>
    <w:rsid w:val="00537034"/>
    <w:rsid w:val="0053705D"/>
    <w:rsid w:val="005370F0"/>
    <w:rsid w:val="00537237"/>
    <w:rsid w:val="00537830"/>
    <w:rsid w:val="00537863"/>
    <w:rsid w:val="005379FF"/>
    <w:rsid w:val="00537C29"/>
    <w:rsid w:val="00537C7A"/>
    <w:rsid w:val="00537CC5"/>
    <w:rsid w:val="00537DA0"/>
    <w:rsid w:val="005401D3"/>
    <w:rsid w:val="005404C7"/>
    <w:rsid w:val="00540515"/>
    <w:rsid w:val="005405DB"/>
    <w:rsid w:val="00540F2F"/>
    <w:rsid w:val="005410F4"/>
    <w:rsid w:val="00541480"/>
    <w:rsid w:val="0054171B"/>
    <w:rsid w:val="0054178E"/>
    <w:rsid w:val="0054189F"/>
    <w:rsid w:val="00541A15"/>
    <w:rsid w:val="00541A1F"/>
    <w:rsid w:val="00541AB4"/>
    <w:rsid w:val="00541B24"/>
    <w:rsid w:val="00541C65"/>
    <w:rsid w:val="00542022"/>
    <w:rsid w:val="00542505"/>
    <w:rsid w:val="0054257D"/>
    <w:rsid w:val="00542DFE"/>
    <w:rsid w:val="005430CF"/>
    <w:rsid w:val="0054311D"/>
    <w:rsid w:val="005431EC"/>
    <w:rsid w:val="00543358"/>
    <w:rsid w:val="005437C8"/>
    <w:rsid w:val="005437F2"/>
    <w:rsid w:val="00543A4D"/>
    <w:rsid w:val="00543BA8"/>
    <w:rsid w:val="00543C6E"/>
    <w:rsid w:val="00543CD1"/>
    <w:rsid w:val="00543F1E"/>
    <w:rsid w:val="00543F61"/>
    <w:rsid w:val="00543FDA"/>
    <w:rsid w:val="00544102"/>
    <w:rsid w:val="005445C6"/>
    <w:rsid w:val="0054477D"/>
    <w:rsid w:val="00544D71"/>
    <w:rsid w:val="00544DD5"/>
    <w:rsid w:val="005450BC"/>
    <w:rsid w:val="00545446"/>
    <w:rsid w:val="00545483"/>
    <w:rsid w:val="00545830"/>
    <w:rsid w:val="0054586C"/>
    <w:rsid w:val="00545890"/>
    <w:rsid w:val="00545972"/>
    <w:rsid w:val="00545C5F"/>
    <w:rsid w:val="00545C6B"/>
    <w:rsid w:val="00545DD1"/>
    <w:rsid w:val="00545DE7"/>
    <w:rsid w:val="005460DD"/>
    <w:rsid w:val="00546415"/>
    <w:rsid w:val="00546513"/>
    <w:rsid w:val="0054664D"/>
    <w:rsid w:val="00546821"/>
    <w:rsid w:val="0054684E"/>
    <w:rsid w:val="00546D9F"/>
    <w:rsid w:val="00546EEA"/>
    <w:rsid w:val="005471ED"/>
    <w:rsid w:val="00547634"/>
    <w:rsid w:val="00547938"/>
    <w:rsid w:val="00547EEF"/>
    <w:rsid w:val="00550248"/>
    <w:rsid w:val="00550657"/>
    <w:rsid w:val="005506DB"/>
    <w:rsid w:val="0055073D"/>
    <w:rsid w:val="0055087E"/>
    <w:rsid w:val="005509BE"/>
    <w:rsid w:val="00550C00"/>
    <w:rsid w:val="00550C53"/>
    <w:rsid w:val="00550C74"/>
    <w:rsid w:val="00550C7C"/>
    <w:rsid w:val="00550D63"/>
    <w:rsid w:val="00550DAD"/>
    <w:rsid w:val="005513D7"/>
    <w:rsid w:val="00551627"/>
    <w:rsid w:val="005518BF"/>
    <w:rsid w:val="00551917"/>
    <w:rsid w:val="00551940"/>
    <w:rsid w:val="00551DCE"/>
    <w:rsid w:val="005521A7"/>
    <w:rsid w:val="00552431"/>
    <w:rsid w:val="0055249B"/>
    <w:rsid w:val="00552544"/>
    <w:rsid w:val="0055260E"/>
    <w:rsid w:val="005528B3"/>
    <w:rsid w:val="00552B76"/>
    <w:rsid w:val="005532DC"/>
    <w:rsid w:val="005532F4"/>
    <w:rsid w:val="00553902"/>
    <w:rsid w:val="00553E65"/>
    <w:rsid w:val="00553FC9"/>
    <w:rsid w:val="0055405C"/>
    <w:rsid w:val="00554251"/>
    <w:rsid w:val="00554660"/>
    <w:rsid w:val="00554661"/>
    <w:rsid w:val="0055474A"/>
    <w:rsid w:val="005547CD"/>
    <w:rsid w:val="00554B9A"/>
    <w:rsid w:val="00554CBA"/>
    <w:rsid w:val="00554E0D"/>
    <w:rsid w:val="00554EF7"/>
    <w:rsid w:val="00554F5A"/>
    <w:rsid w:val="0055523F"/>
    <w:rsid w:val="00555292"/>
    <w:rsid w:val="00555506"/>
    <w:rsid w:val="005559B2"/>
    <w:rsid w:val="005559F7"/>
    <w:rsid w:val="00555A98"/>
    <w:rsid w:val="00555C25"/>
    <w:rsid w:val="00555E41"/>
    <w:rsid w:val="00556076"/>
    <w:rsid w:val="00556314"/>
    <w:rsid w:val="0055645D"/>
    <w:rsid w:val="0055655B"/>
    <w:rsid w:val="005565C3"/>
    <w:rsid w:val="00556637"/>
    <w:rsid w:val="00556942"/>
    <w:rsid w:val="00556B56"/>
    <w:rsid w:val="00556B61"/>
    <w:rsid w:val="00556BED"/>
    <w:rsid w:val="00556D58"/>
    <w:rsid w:val="00556DF9"/>
    <w:rsid w:val="00556F72"/>
    <w:rsid w:val="005571A8"/>
    <w:rsid w:val="00557550"/>
    <w:rsid w:val="00557822"/>
    <w:rsid w:val="0055788E"/>
    <w:rsid w:val="005578DE"/>
    <w:rsid w:val="00557975"/>
    <w:rsid w:val="00557A27"/>
    <w:rsid w:val="00560196"/>
    <w:rsid w:val="0056045B"/>
    <w:rsid w:val="00560681"/>
    <w:rsid w:val="005606A3"/>
    <w:rsid w:val="00560CB2"/>
    <w:rsid w:val="00560EEA"/>
    <w:rsid w:val="00561013"/>
    <w:rsid w:val="0056121F"/>
    <w:rsid w:val="00561242"/>
    <w:rsid w:val="0056134C"/>
    <w:rsid w:val="00561573"/>
    <w:rsid w:val="00561686"/>
    <w:rsid w:val="0056179D"/>
    <w:rsid w:val="00561B29"/>
    <w:rsid w:val="00561C9B"/>
    <w:rsid w:val="00561EC6"/>
    <w:rsid w:val="00561F31"/>
    <w:rsid w:val="00562037"/>
    <w:rsid w:val="005620B5"/>
    <w:rsid w:val="0056234F"/>
    <w:rsid w:val="00562357"/>
    <w:rsid w:val="00562462"/>
    <w:rsid w:val="005624E2"/>
    <w:rsid w:val="00562738"/>
    <w:rsid w:val="00562B16"/>
    <w:rsid w:val="00562EBC"/>
    <w:rsid w:val="005631B4"/>
    <w:rsid w:val="005633AF"/>
    <w:rsid w:val="00563A06"/>
    <w:rsid w:val="00563A35"/>
    <w:rsid w:val="00563B3C"/>
    <w:rsid w:val="00563C6F"/>
    <w:rsid w:val="00564009"/>
    <w:rsid w:val="00564048"/>
    <w:rsid w:val="0056439C"/>
    <w:rsid w:val="005646A8"/>
    <w:rsid w:val="0056499A"/>
    <w:rsid w:val="00564B28"/>
    <w:rsid w:val="00564F21"/>
    <w:rsid w:val="00565141"/>
    <w:rsid w:val="00565202"/>
    <w:rsid w:val="0056535B"/>
    <w:rsid w:val="005653E2"/>
    <w:rsid w:val="0056548C"/>
    <w:rsid w:val="005659DD"/>
    <w:rsid w:val="00565B51"/>
    <w:rsid w:val="00565D3F"/>
    <w:rsid w:val="00566039"/>
    <w:rsid w:val="00566315"/>
    <w:rsid w:val="00566385"/>
    <w:rsid w:val="00566529"/>
    <w:rsid w:val="0056654A"/>
    <w:rsid w:val="005665CD"/>
    <w:rsid w:val="0056672A"/>
    <w:rsid w:val="00566A06"/>
    <w:rsid w:val="00566A1E"/>
    <w:rsid w:val="00566A45"/>
    <w:rsid w:val="00566A91"/>
    <w:rsid w:val="00566BCB"/>
    <w:rsid w:val="00566D28"/>
    <w:rsid w:val="00566D46"/>
    <w:rsid w:val="00566F78"/>
    <w:rsid w:val="005670B0"/>
    <w:rsid w:val="0056725D"/>
    <w:rsid w:val="005674C1"/>
    <w:rsid w:val="00567BE4"/>
    <w:rsid w:val="00567C64"/>
    <w:rsid w:val="00567CB4"/>
    <w:rsid w:val="00567DC1"/>
    <w:rsid w:val="00567DD1"/>
    <w:rsid w:val="00567E4C"/>
    <w:rsid w:val="00567F5B"/>
    <w:rsid w:val="00570188"/>
    <w:rsid w:val="005702A6"/>
    <w:rsid w:val="0057055D"/>
    <w:rsid w:val="00570927"/>
    <w:rsid w:val="00570C84"/>
    <w:rsid w:val="00570CA2"/>
    <w:rsid w:val="00570EB3"/>
    <w:rsid w:val="00571418"/>
    <w:rsid w:val="005715F8"/>
    <w:rsid w:val="00571BEE"/>
    <w:rsid w:val="00572078"/>
    <w:rsid w:val="00572293"/>
    <w:rsid w:val="00572403"/>
    <w:rsid w:val="00572755"/>
    <w:rsid w:val="0057278F"/>
    <w:rsid w:val="00572815"/>
    <w:rsid w:val="00572959"/>
    <w:rsid w:val="00572D36"/>
    <w:rsid w:val="0057325B"/>
    <w:rsid w:val="00573279"/>
    <w:rsid w:val="005734F5"/>
    <w:rsid w:val="00573556"/>
    <w:rsid w:val="00573629"/>
    <w:rsid w:val="005737C3"/>
    <w:rsid w:val="00573966"/>
    <w:rsid w:val="00573A54"/>
    <w:rsid w:val="00573C0D"/>
    <w:rsid w:val="00573D18"/>
    <w:rsid w:val="00573D21"/>
    <w:rsid w:val="00573D2F"/>
    <w:rsid w:val="00573DDF"/>
    <w:rsid w:val="00573EAF"/>
    <w:rsid w:val="005748DD"/>
    <w:rsid w:val="00574C50"/>
    <w:rsid w:val="00574D1B"/>
    <w:rsid w:val="00574D36"/>
    <w:rsid w:val="005756D4"/>
    <w:rsid w:val="00575914"/>
    <w:rsid w:val="00575C28"/>
    <w:rsid w:val="00575DBD"/>
    <w:rsid w:val="00576131"/>
    <w:rsid w:val="005761BC"/>
    <w:rsid w:val="005761DB"/>
    <w:rsid w:val="00576252"/>
    <w:rsid w:val="00576AFC"/>
    <w:rsid w:val="00576B06"/>
    <w:rsid w:val="00576CCB"/>
    <w:rsid w:val="00577032"/>
    <w:rsid w:val="00577256"/>
    <w:rsid w:val="00577392"/>
    <w:rsid w:val="00577501"/>
    <w:rsid w:val="0057750B"/>
    <w:rsid w:val="00577598"/>
    <w:rsid w:val="0057777D"/>
    <w:rsid w:val="0057790E"/>
    <w:rsid w:val="00577938"/>
    <w:rsid w:val="00577A3B"/>
    <w:rsid w:val="00577BF3"/>
    <w:rsid w:val="00577CF5"/>
    <w:rsid w:val="005801A4"/>
    <w:rsid w:val="00580218"/>
    <w:rsid w:val="00580332"/>
    <w:rsid w:val="0058075C"/>
    <w:rsid w:val="005807C2"/>
    <w:rsid w:val="00580C36"/>
    <w:rsid w:val="00581223"/>
    <w:rsid w:val="00581416"/>
    <w:rsid w:val="0058154E"/>
    <w:rsid w:val="00581586"/>
    <w:rsid w:val="00581B33"/>
    <w:rsid w:val="00582027"/>
    <w:rsid w:val="00582182"/>
    <w:rsid w:val="00582400"/>
    <w:rsid w:val="00582591"/>
    <w:rsid w:val="00582A85"/>
    <w:rsid w:val="00582E81"/>
    <w:rsid w:val="00582F3C"/>
    <w:rsid w:val="00582F73"/>
    <w:rsid w:val="00582FAF"/>
    <w:rsid w:val="005832BA"/>
    <w:rsid w:val="0058361A"/>
    <w:rsid w:val="005839A2"/>
    <w:rsid w:val="00583C3D"/>
    <w:rsid w:val="00583EA3"/>
    <w:rsid w:val="00584385"/>
    <w:rsid w:val="005843DE"/>
    <w:rsid w:val="00584F39"/>
    <w:rsid w:val="00584FBC"/>
    <w:rsid w:val="00585110"/>
    <w:rsid w:val="0058518D"/>
    <w:rsid w:val="00585333"/>
    <w:rsid w:val="00585A59"/>
    <w:rsid w:val="00585AE3"/>
    <w:rsid w:val="00585AFD"/>
    <w:rsid w:val="00585CAC"/>
    <w:rsid w:val="00585D82"/>
    <w:rsid w:val="00585D8C"/>
    <w:rsid w:val="005863EC"/>
    <w:rsid w:val="005868D6"/>
    <w:rsid w:val="00586A06"/>
    <w:rsid w:val="00587116"/>
    <w:rsid w:val="00587129"/>
    <w:rsid w:val="005872C0"/>
    <w:rsid w:val="0058757F"/>
    <w:rsid w:val="00587A46"/>
    <w:rsid w:val="00587A78"/>
    <w:rsid w:val="00587C87"/>
    <w:rsid w:val="00587D89"/>
    <w:rsid w:val="00587E03"/>
    <w:rsid w:val="00587E0E"/>
    <w:rsid w:val="005901D1"/>
    <w:rsid w:val="00590353"/>
    <w:rsid w:val="00590507"/>
    <w:rsid w:val="00590916"/>
    <w:rsid w:val="0059097B"/>
    <w:rsid w:val="00590991"/>
    <w:rsid w:val="00590CEB"/>
    <w:rsid w:val="00590E9B"/>
    <w:rsid w:val="00591037"/>
    <w:rsid w:val="0059107A"/>
    <w:rsid w:val="005911D8"/>
    <w:rsid w:val="005912FE"/>
    <w:rsid w:val="00591554"/>
    <w:rsid w:val="005916E4"/>
    <w:rsid w:val="00591A9D"/>
    <w:rsid w:val="00591AC8"/>
    <w:rsid w:val="00591B01"/>
    <w:rsid w:val="00591C13"/>
    <w:rsid w:val="00591C8B"/>
    <w:rsid w:val="00591CE1"/>
    <w:rsid w:val="00591D6E"/>
    <w:rsid w:val="00591DD8"/>
    <w:rsid w:val="005920DE"/>
    <w:rsid w:val="00592103"/>
    <w:rsid w:val="00592422"/>
    <w:rsid w:val="005926F6"/>
    <w:rsid w:val="00592B11"/>
    <w:rsid w:val="00592E6C"/>
    <w:rsid w:val="0059305D"/>
    <w:rsid w:val="00593412"/>
    <w:rsid w:val="0059359D"/>
    <w:rsid w:val="00593627"/>
    <w:rsid w:val="00593A84"/>
    <w:rsid w:val="00593BF7"/>
    <w:rsid w:val="00593DE1"/>
    <w:rsid w:val="005940CE"/>
    <w:rsid w:val="00594294"/>
    <w:rsid w:val="005943AC"/>
    <w:rsid w:val="0059454D"/>
    <w:rsid w:val="005946EA"/>
    <w:rsid w:val="0059485C"/>
    <w:rsid w:val="00594B78"/>
    <w:rsid w:val="00594BFE"/>
    <w:rsid w:val="00594E25"/>
    <w:rsid w:val="00594EF8"/>
    <w:rsid w:val="00594F17"/>
    <w:rsid w:val="00594F89"/>
    <w:rsid w:val="005951BD"/>
    <w:rsid w:val="005953C8"/>
    <w:rsid w:val="0059544A"/>
    <w:rsid w:val="00595534"/>
    <w:rsid w:val="0059555B"/>
    <w:rsid w:val="0059581D"/>
    <w:rsid w:val="005959E3"/>
    <w:rsid w:val="00595A59"/>
    <w:rsid w:val="00595BE1"/>
    <w:rsid w:val="00595BE7"/>
    <w:rsid w:val="00596155"/>
    <w:rsid w:val="0059616A"/>
    <w:rsid w:val="0059628D"/>
    <w:rsid w:val="005967D7"/>
    <w:rsid w:val="00596826"/>
    <w:rsid w:val="0059682F"/>
    <w:rsid w:val="005969FB"/>
    <w:rsid w:val="00596AE3"/>
    <w:rsid w:val="00596C22"/>
    <w:rsid w:val="00596E9E"/>
    <w:rsid w:val="00596EB6"/>
    <w:rsid w:val="00597031"/>
    <w:rsid w:val="00597092"/>
    <w:rsid w:val="005970EB"/>
    <w:rsid w:val="00597180"/>
    <w:rsid w:val="005971CA"/>
    <w:rsid w:val="00597307"/>
    <w:rsid w:val="0059771E"/>
    <w:rsid w:val="00597ACA"/>
    <w:rsid w:val="00597BDD"/>
    <w:rsid w:val="00597BE0"/>
    <w:rsid w:val="00597CE0"/>
    <w:rsid w:val="00597D5B"/>
    <w:rsid w:val="00597EE4"/>
    <w:rsid w:val="005A007D"/>
    <w:rsid w:val="005A015E"/>
    <w:rsid w:val="005A0254"/>
    <w:rsid w:val="005A04B2"/>
    <w:rsid w:val="005A055A"/>
    <w:rsid w:val="005A057E"/>
    <w:rsid w:val="005A081E"/>
    <w:rsid w:val="005A09BC"/>
    <w:rsid w:val="005A0CA8"/>
    <w:rsid w:val="005A0CFA"/>
    <w:rsid w:val="005A0DB5"/>
    <w:rsid w:val="005A0E84"/>
    <w:rsid w:val="005A117F"/>
    <w:rsid w:val="005A131C"/>
    <w:rsid w:val="005A14CD"/>
    <w:rsid w:val="005A15AB"/>
    <w:rsid w:val="005A16F5"/>
    <w:rsid w:val="005A1A89"/>
    <w:rsid w:val="005A1AE9"/>
    <w:rsid w:val="005A1BCC"/>
    <w:rsid w:val="005A1D04"/>
    <w:rsid w:val="005A1D0C"/>
    <w:rsid w:val="005A219B"/>
    <w:rsid w:val="005A23E6"/>
    <w:rsid w:val="005A29C8"/>
    <w:rsid w:val="005A2B05"/>
    <w:rsid w:val="005A2BE3"/>
    <w:rsid w:val="005A2CF5"/>
    <w:rsid w:val="005A2DAF"/>
    <w:rsid w:val="005A3219"/>
    <w:rsid w:val="005A32CA"/>
    <w:rsid w:val="005A32D0"/>
    <w:rsid w:val="005A33F9"/>
    <w:rsid w:val="005A3506"/>
    <w:rsid w:val="005A35A4"/>
    <w:rsid w:val="005A3E09"/>
    <w:rsid w:val="005A3E0E"/>
    <w:rsid w:val="005A4046"/>
    <w:rsid w:val="005A41E4"/>
    <w:rsid w:val="005A430F"/>
    <w:rsid w:val="005A43C6"/>
    <w:rsid w:val="005A4893"/>
    <w:rsid w:val="005A4A99"/>
    <w:rsid w:val="005A4C09"/>
    <w:rsid w:val="005A4E39"/>
    <w:rsid w:val="005A4FDE"/>
    <w:rsid w:val="005A500A"/>
    <w:rsid w:val="005A5151"/>
    <w:rsid w:val="005A52BF"/>
    <w:rsid w:val="005A58FA"/>
    <w:rsid w:val="005A5950"/>
    <w:rsid w:val="005A59B5"/>
    <w:rsid w:val="005A5AF5"/>
    <w:rsid w:val="005A5D2B"/>
    <w:rsid w:val="005A6222"/>
    <w:rsid w:val="005A6361"/>
    <w:rsid w:val="005A67B8"/>
    <w:rsid w:val="005A6812"/>
    <w:rsid w:val="005A6A6E"/>
    <w:rsid w:val="005A6B8F"/>
    <w:rsid w:val="005A6CF3"/>
    <w:rsid w:val="005A6EAA"/>
    <w:rsid w:val="005A6FBE"/>
    <w:rsid w:val="005A7050"/>
    <w:rsid w:val="005A71CB"/>
    <w:rsid w:val="005A72DE"/>
    <w:rsid w:val="005A74B1"/>
    <w:rsid w:val="005B00B8"/>
    <w:rsid w:val="005B037C"/>
    <w:rsid w:val="005B059E"/>
    <w:rsid w:val="005B06E6"/>
    <w:rsid w:val="005B0820"/>
    <w:rsid w:val="005B08F3"/>
    <w:rsid w:val="005B0923"/>
    <w:rsid w:val="005B107C"/>
    <w:rsid w:val="005B111A"/>
    <w:rsid w:val="005B1338"/>
    <w:rsid w:val="005B1519"/>
    <w:rsid w:val="005B15A4"/>
    <w:rsid w:val="005B16A8"/>
    <w:rsid w:val="005B17F5"/>
    <w:rsid w:val="005B1859"/>
    <w:rsid w:val="005B187B"/>
    <w:rsid w:val="005B2016"/>
    <w:rsid w:val="005B2097"/>
    <w:rsid w:val="005B2156"/>
    <w:rsid w:val="005B2217"/>
    <w:rsid w:val="005B233D"/>
    <w:rsid w:val="005B2588"/>
    <w:rsid w:val="005B2665"/>
    <w:rsid w:val="005B290E"/>
    <w:rsid w:val="005B2BA0"/>
    <w:rsid w:val="005B2BDD"/>
    <w:rsid w:val="005B2C89"/>
    <w:rsid w:val="005B2DCB"/>
    <w:rsid w:val="005B2E7B"/>
    <w:rsid w:val="005B2EF9"/>
    <w:rsid w:val="005B2F03"/>
    <w:rsid w:val="005B2F95"/>
    <w:rsid w:val="005B33F1"/>
    <w:rsid w:val="005B35CA"/>
    <w:rsid w:val="005B3798"/>
    <w:rsid w:val="005B37AC"/>
    <w:rsid w:val="005B3A39"/>
    <w:rsid w:val="005B4215"/>
    <w:rsid w:val="005B4244"/>
    <w:rsid w:val="005B4586"/>
    <w:rsid w:val="005B4629"/>
    <w:rsid w:val="005B464F"/>
    <w:rsid w:val="005B490C"/>
    <w:rsid w:val="005B4D40"/>
    <w:rsid w:val="005B4FEE"/>
    <w:rsid w:val="005B50DC"/>
    <w:rsid w:val="005B51ED"/>
    <w:rsid w:val="005B5235"/>
    <w:rsid w:val="005B5492"/>
    <w:rsid w:val="005B5658"/>
    <w:rsid w:val="005B578B"/>
    <w:rsid w:val="005B5905"/>
    <w:rsid w:val="005B59C2"/>
    <w:rsid w:val="005B5B79"/>
    <w:rsid w:val="005B5D79"/>
    <w:rsid w:val="005B6005"/>
    <w:rsid w:val="005B601A"/>
    <w:rsid w:val="005B605E"/>
    <w:rsid w:val="005B61E3"/>
    <w:rsid w:val="005B62C2"/>
    <w:rsid w:val="005B67E2"/>
    <w:rsid w:val="005B6B53"/>
    <w:rsid w:val="005B6BF9"/>
    <w:rsid w:val="005B6E04"/>
    <w:rsid w:val="005B71E9"/>
    <w:rsid w:val="005B72A4"/>
    <w:rsid w:val="005B73EC"/>
    <w:rsid w:val="005B7C2D"/>
    <w:rsid w:val="005B7D85"/>
    <w:rsid w:val="005B7DAA"/>
    <w:rsid w:val="005B7E9A"/>
    <w:rsid w:val="005B7FA4"/>
    <w:rsid w:val="005C0144"/>
    <w:rsid w:val="005C0328"/>
    <w:rsid w:val="005C04EA"/>
    <w:rsid w:val="005C0BCA"/>
    <w:rsid w:val="005C0E31"/>
    <w:rsid w:val="005C0F13"/>
    <w:rsid w:val="005C0F5A"/>
    <w:rsid w:val="005C108F"/>
    <w:rsid w:val="005C16C6"/>
    <w:rsid w:val="005C176D"/>
    <w:rsid w:val="005C1885"/>
    <w:rsid w:val="005C19F3"/>
    <w:rsid w:val="005C1D36"/>
    <w:rsid w:val="005C209A"/>
    <w:rsid w:val="005C256D"/>
    <w:rsid w:val="005C27AF"/>
    <w:rsid w:val="005C27BF"/>
    <w:rsid w:val="005C27FC"/>
    <w:rsid w:val="005C2967"/>
    <w:rsid w:val="005C2BE2"/>
    <w:rsid w:val="005C2C43"/>
    <w:rsid w:val="005C2F42"/>
    <w:rsid w:val="005C32BB"/>
    <w:rsid w:val="005C3432"/>
    <w:rsid w:val="005C34A5"/>
    <w:rsid w:val="005C3714"/>
    <w:rsid w:val="005C399D"/>
    <w:rsid w:val="005C4226"/>
    <w:rsid w:val="005C4447"/>
    <w:rsid w:val="005C453F"/>
    <w:rsid w:val="005C4841"/>
    <w:rsid w:val="005C4A22"/>
    <w:rsid w:val="005C4D6A"/>
    <w:rsid w:val="005C5079"/>
    <w:rsid w:val="005C52A1"/>
    <w:rsid w:val="005C533C"/>
    <w:rsid w:val="005C5439"/>
    <w:rsid w:val="005C5C13"/>
    <w:rsid w:val="005C5FDA"/>
    <w:rsid w:val="005C6044"/>
    <w:rsid w:val="005C60B1"/>
    <w:rsid w:val="005C61C2"/>
    <w:rsid w:val="005C62A3"/>
    <w:rsid w:val="005C6345"/>
    <w:rsid w:val="005C6383"/>
    <w:rsid w:val="005C64D7"/>
    <w:rsid w:val="005C6940"/>
    <w:rsid w:val="005C6B4A"/>
    <w:rsid w:val="005C6F31"/>
    <w:rsid w:val="005C708B"/>
    <w:rsid w:val="005C713C"/>
    <w:rsid w:val="005C764F"/>
    <w:rsid w:val="005C7865"/>
    <w:rsid w:val="005C78CE"/>
    <w:rsid w:val="005C7CC4"/>
    <w:rsid w:val="005C7DF6"/>
    <w:rsid w:val="005C7F28"/>
    <w:rsid w:val="005D010C"/>
    <w:rsid w:val="005D04B7"/>
    <w:rsid w:val="005D0773"/>
    <w:rsid w:val="005D1257"/>
    <w:rsid w:val="005D1275"/>
    <w:rsid w:val="005D127E"/>
    <w:rsid w:val="005D12F1"/>
    <w:rsid w:val="005D1347"/>
    <w:rsid w:val="005D13B5"/>
    <w:rsid w:val="005D1A34"/>
    <w:rsid w:val="005D1B38"/>
    <w:rsid w:val="005D1DD7"/>
    <w:rsid w:val="005D1E11"/>
    <w:rsid w:val="005D1E79"/>
    <w:rsid w:val="005D209E"/>
    <w:rsid w:val="005D241B"/>
    <w:rsid w:val="005D244F"/>
    <w:rsid w:val="005D24DF"/>
    <w:rsid w:val="005D24E9"/>
    <w:rsid w:val="005D270D"/>
    <w:rsid w:val="005D28B7"/>
    <w:rsid w:val="005D2B5D"/>
    <w:rsid w:val="005D2D3C"/>
    <w:rsid w:val="005D3143"/>
    <w:rsid w:val="005D35FC"/>
    <w:rsid w:val="005D37D1"/>
    <w:rsid w:val="005D3CA2"/>
    <w:rsid w:val="005D3D65"/>
    <w:rsid w:val="005D3ED5"/>
    <w:rsid w:val="005D3ED8"/>
    <w:rsid w:val="005D44CA"/>
    <w:rsid w:val="005D465D"/>
    <w:rsid w:val="005D48A2"/>
    <w:rsid w:val="005D48F2"/>
    <w:rsid w:val="005D4BFE"/>
    <w:rsid w:val="005D4C12"/>
    <w:rsid w:val="005D4C8C"/>
    <w:rsid w:val="005D4E72"/>
    <w:rsid w:val="005D4F44"/>
    <w:rsid w:val="005D5499"/>
    <w:rsid w:val="005D550E"/>
    <w:rsid w:val="005D5512"/>
    <w:rsid w:val="005D571C"/>
    <w:rsid w:val="005D57D7"/>
    <w:rsid w:val="005D585C"/>
    <w:rsid w:val="005D585E"/>
    <w:rsid w:val="005D5880"/>
    <w:rsid w:val="005D5C7B"/>
    <w:rsid w:val="005D5E98"/>
    <w:rsid w:val="005D6438"/>
    <w:rsid w:val="005D65D4"/>
    <w:rsid w:val="005D6648"/>
    <w:rsid w:val="005D6B9F"/>
    <w:rsid w:val="005D6BC4"/>
    <w:rsid w:val="005D6C35"/>
    <w:rsid w:val="005D6C9E"/>
    <w:rsid w:val="005D6D56"/>
    <w:rsid w:val="005D72C6"/>
    <w:rsid w:val="005D738C"/>
    <w:rsid w:val="005D73F3"/>
    <w:rsid w:val="005D770F"/>
    <w:rsid w:val="005D7732"/>
    <w:rsid w:val="005D77DA"/>
    <w:rsid w:val="005D7818"/>
    <w:rsid w:val="005D78E4"/>
    <w:rsid w:val="005D7A8C"/>
    <w:rsid w:val="005D7C0A"/>
    <w:rsid w:val="005E02C7"/>
    <w:rsid w:val="005E02DE"/>
    <w:rsid w:val="005E0307"/>
    <w:rsid w:val="005E0374"/>
    <w:rsid w:val="005E0728"/>
    <w:rsid w:val="005E0CED"/>
    <w:rsid w:val="005E0D90"/>
    <w:rsid w:val="005E0E7F"/>
    <w:rsid w:val="005E1363"/>
    <w:rsid w:val="005E16FF"/>
    <w:rsid w:val="005E1776"/>
    <w:rsid w:val="005E1813"/>
    <w:rsid w:val="005E19A3"/>
    <w:rsid w:val="005E1A1E"/>
    <w:rsid w:val="005E1AAF"/>
    <w:rsid w:val="005E1D1A"/>
    <w:rsid w:val="005E1DD1"/>
    <w:rsid w:val="005E1DF9"/>
    <w:rsid w:val="005E2035"/>
    <w:rsid w:val="005E2200"/>
    <w:rsid w:val="005E25D8"/>
    <w:rsid w:val="005E2791"/>
    <w:rsid w:val="005E2A88"/>
    <w:rsid w:val="005E2AE4"/>
    <w:rsid w:val="005E2C38"/>
    <w:rsid w:val="005E2C51"/>
    <w:rsid w:val="005E2DF6"/>
    <w:rsid w:val="005E2E68"/>
    <w:rsid w:val="005E2FFE"/>
    <w:rsid w:val="005E33C2"/>
    <w:rsid w:val="005E3449"/>
    <w:rsid w:val="005E3501"/>
    <w:rsid w:val="005E3A38"/>
    <w:rsid w:val="005E3E75"/>
    <w:rsid w:val="005E3F9F"/>
    <w:rsid w:val="005E4314"/>
    <w:rsid w:val="005E46D5"/>
    <w:rsid w:val="005E474C"/>
    <w:rsid w:val="005E4846"/>
    <w:rsid w:val="005E492E"/>
    <w:rsid w:val="005E4A4A"/>
    <w:rsid w:val="005E4C72"/>
    <w:rsid w:val="005E4EAA"/>
    <w:rsid w:val="005E4EE3"/>
    <w:rsid w:val="005E5001"/>
    <w:rsid w:val="005E508F"/>
    <w:rsid w:val="005E50CA"/>
    <w:rsid w:val="005E514F"/>
    <w:rsid w:val="005E5524"/>
    <w:rsid w:val="005E5586"/>
    <w:rsid w:val="005E5835"/>
    <w:rsid w:val="005E5A19"/>
    <w:rsid w:val="005E5A8D"/>
    <w:rsid w:val="005E5CAE"/>
    <w:rsid w:val="005E5CCF"/>
    <w:rsid w:val="005E5E87"/>
    <w:rsid w:val="005E5F02"/>
    <w:rsid w:val="005E5F86"/>
    <w:rsid w:val="005E6327"/>
    <w:rsid w:val="005E6B6B"/>
    <w:rsid w:val="005E6DDF"/>
    <w:rsid w:val="005E6F31"/>
    <w:rsid w:val="005E71A9"/>
    <w:rsid w:val="005E72AA"/>
    <w:rsid w:val="005E73D7"/>
    <w:rsid w:val="005E7622"/>
    <w:rsid w:val="005E775F"/>
    <w:rsid w:val="005E777D"/>
    <w:rsid w:val="005E7B61"/>
    <w:rsid w:val="005E7D44"/>
    <w:rsid w:val="005E7DC2"/>
    <w:rsid w:val="005F013A"/>
    <w:rsid w:val="005F035A"/>
    <w:rsid w:val="005F043A"/>
    <w:rsid w:val="005F0C2E"/>
    <w:rsid w:val="005F0DDD"/>
    <w:rsid w:val="005F0E80"/>
    <w:rsid w:val="005F0FBB"/>
    <w:rsid w:val="005F1172"/>
    <w:rsid w:val="005F12E8"/>
    <w:rsid w:val="005F130F"/>
    <w:rsid w:val="005F137C"/>
    <w:rsid w:val="005F15A2"/>
    <w:rsid w:val="005F17EA"/>
    <w:rsid w:val="005F187D"/>
    <w:rsid w:val="005F1AA0"/>
    <w:rsid w:val="005F1BED"/>
    <w:rsid w:val="005F1CD8"/>
    <w:rsid w:val="005F1CDB"/>
    <w:rsid w:val="005F1CF9"/>
    <w:rsid w:val="005F1E2E"/>
    <w:rsid w:val="005F2296"/>
    <w:rsid w:val="005F233A"/>
    <w:rsid w:val="005F2427"/>
    <w:rsid w:val="005F2460"/>
    <w:rsid w:val="005F25BE"/>
    <w:rsid w:val="005F2AF8"/>
    <w:rsid w:val="005F2E04"/>
    <w:rsid w:val="005F30AD"/>
    <w:rsid w:val="005F329D"/>
    <w:rsid w:val="005F3568"/>
    <w:rsid w:val="005F3BE6"/>
    <w:rsid w:val="005F3D7B"/>
    <w:rsid w:val="005F40B7"/>
    <w:rsid w:val="005F417B"/>
    <w:rsid w:val="005F4326"/>
    <w:rsid w:val="005F46C1"/>
    <w:rsid w:val="005F4C95"/>
    <w:rsid w:val="005F4D76"/>
    <w:rsid w:val="005F4E38"/>
    <w:rsid w:val="005F525A"/>
    <w:rsid w:val="005F5274"/>
    <w:rsid w:val="005F5379"/>
    <w:rsid w:val="005F5394"/>
    <w:rsid w:val="005F53CC"/>
    <w:rsid w:val="005F54F5"/>
    <w:rsid w:val="005F5755"/>
    <w:rsid w:val="005F57A0"/>
    <w:rsid w:val="005F58C6"/>
    <w:rsid w:val="005F5D6E"/>
    <w:rsid w:val="005F5FB2"/>
    <w:rsid w:val="005F605D"/>
    <w:rsid w:val="005F611A"/>
    <w:rsid w:val="005F61BA"/>
    <w:rsid w:val="005F622D"/>
    <w:rsid w:val="005F6559"/>
    <w:rsid w:val="005F67B9"/>
    <w:rsid w:val="005F67F7"/>
    <w:rsid w:val="005F68FD"/>
    <w:rsid w:val="005F6FB0"/>
    <w:rsid w:val="005F7303"/>
    <w:rsid w:val="005F74C0"/>
    <w:rsid w:val="005F7642"/>
    <w:rsid w:val="005F7722"/>
    <w:rsid w:val="005F77A1"/>
    <w:rsid w:val="005F7B4A"/>
    <w:rsid w:val="005F7CB7"/>
    <w:rsid w:val="005F7D23"/>
    <w:rsid w:val="006001CA"/>
    <w:rsid w:val="00600423"/>
    <w:rsid w:val="00600824"/>
    <w:rsid w:val="006009D4"/>
    <w:rsid w:val="00600B90"/>
    <w:rsid w:val="00600D30"/>
    <w:rsid w:val="0060165D"/>
    <w:rsid w:val="00601792"/>
    <w:rsid w:val="006017A8"/>
    <w:rsid w:val="006017F2"/>
    <w:rsid w:val="0060180C"/>
    <w:rsid w:val="006019BC"/>
    <w:rsid w:val="00601B73"/>
    <w:rsid w:val="00601BC6"/>
    <w:rsid w:val="00601DA8"/>
    <w:rsid w:val="00601F56"/>
    <w:rsid w:val="00602060"/>
    <w:rsid w:val="00602808"/>
    <w:rsid w:val="00602A02"/>
    <w:rsid w:val="00602FB3"/>
    <w:rsid w:val="0060320D"/>
    <w:rsid w:val="006033A6"/>
    <w:rsid w:val="00603698"/>
    <w:rsid w:val="006036E8"/>
    <w:rsid w:val="0060371A"/>
    <w:rsid w:val="00603744"/>
    <w:rsid w:val="006038D0"/>
    <w:rsid w:val="00603C99"/>
    <w:rsid w:val="00603FD5"/>
    <w:rsid w:val="00604563"/>
    <w:rsid w:val="00604617"/>
    <w:rsid w:val="00604628"/>
    <w:rsid w:val="0060467C"/>
    <w:rsid w:val="00604792"/>
    <w:rsid w:val="00604A4B"/>
    <w:rsid w:val="00604D03"/>
    <w:rsid w:val="00604D9A"/>
    <w:rsid w:val="006050F6"/>
    <w:rsid w:val="00605199"/>
    <w:rsid w:val="006053C0"/>
    <w:rsid w:val="006054E8"/>
    <w:rsid w:val="006056DD"/>
    <w:rsid w:val="006057E5"/>
    <w:rsid w:val="006058FC"/>
    <w:rsid w:val="006059B1"/>
    <w:rsid w:val="00605D01"/>
    <w:rsid w:val="00605D1B"/>
    <w:rsid w:val="00605F12"/>
    <w:rsid w:val="006060E0"/>
    <w:rsid w:val="00606301"/>
    <w:rsid w:val="00606382"/>
    <w:rsid w:val="0060654C"/>
    <w:rsid w:val="00606610"/>
    <w:rsid w:val="0060679F"/>
    <w:rsid w:val="00606819"/>
    <w:rsid w:val="00606AD4"/>
    <w:rsid w:val="00606ADA"/>
    <w:rsid w:val="00606BCE"/>
    <w:rsid w:val="00606D0F"/>
    <w:rsid w:val="00606F62"/>
    <w:rsid w:val="00606F99"/>
    <w:rsid w:val="00607226"/>
    <w:rsid w:val="00607337"/>
    <w:rsid w:val="0060735F"/>
    <w:rsid w:val="00607495"/>
    <w:rsid w:val="006074A1"/>
    <w:rsid w:val="00607D57"/>
    <w:rsid w:val="006102AF"/>
    <w:rsid w:val="00610478"/>
    <w:rsid w:val="00610867"/>
    <w:rsid w:val="006109F8"/>
    <w:rsid w:val="00610B98"/>
    <w:rsid w:val="00610C68"/>
    <w:rsid w:val="00610CDD"/>
    <w:rsid w:val="00610DC5"/>
    <w:rsid w:val="0061111E"/>
    <w:rsid w:val="00611157"/>
    <w:rsid w:val="0061170E"/>
    <w:rsid w:val="00611A83"/>
    <w:rsid w:val="00611B89"/>
    <w:rsid w:val="00611BA9"/>
    <w:rsid w:val="00611DCC"/>
    <w:rsid w:val="00612153"/>
    <w:rsid w:val="006121F1"/>
    <w:rsid w:val="006126A0"/>
    <w:rsid w:val="006126B6"/>
    <w:rsid w:val="006127C5"/>
    <w:rsid w:val="00612833"/>
    <w:rsid w:val="006128EF"/>
    <w:rsid w:val="00612A4F"/>
    <w:rsid w:val="00612D76"/>
    <w:rsid w:val="00612EA1"/>
    <w:rsid w:val="00612FB3"/>
    <w:rsid w:val="006131CB"/>
    <w:rsid w:val="006131F0"/>
    <w:rsid w:val="0061321B"/>
    <w:rsid w:val="00613249"/>
    <w:rsid w:val="0061342B"/>
    <w:rsid w:val="0061366C"/>
    <w:rsid w:val="006136FE"/>
    <w:rsid w:val="00613817"/>
    <w:rsid w:val="006138D5"/>
    <w:rsid w:val="00614062"/>
    <w:rsid w:val="006140E6"/>
    <w:rsid w:val="0061410B"/>
    <w:rsid w:val="00614520"/>
    <w:rsid w:val="0061457D"/>
    <w:rsid w:val="006146E3"/>
    <w:rsid w:val="006147F5"/>
    <w:rsid w:val="00614B84"/>
    <w:rsid w:val="00614C0C"/>
    <w:rsid w:val="00614C3B"/>
    <w:rsid w:val="00614D60"/>
    <w:rsid w:val="006154E0"/>
    <w:rsid w:val="006155BA"/>
    <w:rsid w:val="006155C7"/>
    <w:rsid w:val="0061562A"/>
    <w:rsid w:val="006157C0"/>
    <w:rsid w:val="00615B01"/>
    <w:rsid w:val="00615DA7"/>
    <w:rsid w:val="00615EF1"/>
    <w:rsid w:val="00616125"/>
    <w:rsid w:val="0061615F"/>
    <w:rsid w:val="006162F0"/>
    <w:rsid w:val="006163E3"/>
    <w:rsid w:val="0061651A"/>
    <w:rsid w:val="006167E3"/>
    <w:rsid w:val="0061692E"/>
    <w:rsid w:val="00616A44"/>
    <w:rsid w:val="00616B13"/>
    <w:rsid w:val="00616BA8"/>
    <w:rsid w:val="00616DD6"/>
    <w:rsid w:val="0061720C"/>
    <w:rsid w:val="00617321"/>
    <w:rsid w:val="00617622"/>
    <w:rsid w:val="0061769C"/>
    <w:rsid w:val="006176A6"/>
    <w:rsid w:val="006177F9"/>
    <w:rsid w:val="006178CE"/>
    <w:rsid w:val="006178DF"/>
    <w:rsid w:val="006179A4"/>
    <w:rsid w:val="00617DC7"/>
    <w:rsid w:val="00617E13"/>
    <w:rsid w:val="00617E8C"/>
    <w:rsid w:val="00620228"/>
    <w:rsid w:val="00620333"/>
    <w:rsid w:val="0062035B"/>
    <w:rsid w:val="0062077C"/>
    <w:rsid w:val="00620AB5"/>
    <w:rsid w:val="00620CD5"/>
    <w:rsid w:val="00621B30"/>
    <w:rsid w:val="00621E00"/>
    <w:rsid w:val="00621E45"/>
    <w:rsid w:val="006220A9"/>
    <w:rsid w:val="00622259"/>
    <w:rsid w:val="00622583"/>
    <w:rsid w:val="00622678"/>
    <w:rsid w:val="0062275B"/>
    <w:rsid w:val="00622760"/>
    <w:rsid w:val="006228A2"/>
    <w:rsid w:val="00622939"/>
    <w:rsid w:val="006229DD"/>
    <w:rsid w:val="00622D78"/>
    <w:rsid w:val="00622E9F"/>
    <w:rsid w:val="00622F87"/>
    <w:rsid w:val="0062313C"/>
    <w:rsid w:val="00623218"/>
    <w:rsid w:val="0062386E"/>
    <w:rsid w:val="00623986"/>
    <w:rsid w:val="00623F9F"/>
    <w:rsid w:val="00624347"/>
    <w:rsid w:val="00624562"/>
    <w:rsid w:val="00624AF7"/>
    <w:rsid w:val="00624C55"/>
    <w:rsid w:val="00624C5E"/>
    <w:rsid w:val="00625346"/>
    <w:rsid w:val="006255D9"/>
    <w:rsid w:val="0062566C"/>
    <w:rsid w:val="00625BDB"/>
    <w:rsid w:val="00625C25"/>
    <w:rsid w:val="00625C30"/>
    <w:rsid w:val="00625C70"/>
    <w:rsid w:val="00625C9F"/>
    <w:rsid w:val="00625F04"/>
    <w:rsid w:val="0062628B"/>
    <w:rsid w:val="00626464"/>
    <w:rsid w:val="00626622"/>
    <w:rsid w:val="006266A3"/>
    <w:rsid w:val="006266C9"/>
    <w:rsid w:val="00626FD8"/>
    <w:rsid w:val="00627038"/>
    <w:rsid w:val="00627055"/>
    <w:rsid w:val="006271BD"/>
    <w:rsid w:val="006272D4"/>
    <w:rsid w:val="0062731E"/>
    <w:rsid w:val="006273F4"/>
    <w:rsid w:val="0062743E"/>
    <w:rsid w:val="00627986"/>
    <w:rsid w:val="00627ABE"/>
    <w:rsid w:val="00627E6F"/>
    <w:rsid w:val="006300E4"/>
    <w:rsid w:val="0063030D"/>
    <w:rsid w:val="00630449"/>
    <w:rsid w:val="00630954"/>
    <w:rsid w:val="00630A03"/>
    <w:rsid w:val="00630A53"/>
    <w:rsid w:val="00630BDA"/>
    <w:rsid w:val="00630FB6"/>
    <w:rsid w:val="006310A5"/>
    <w:rsid w:val="006310B8"/>
    <w:rsid w:val="00631545"/>
    <w:rsid w:val="0063155C"/>
    <w:rsid w:val="00631591"/>
    <w:rsid w:val="00631672"/>
    <w:rsid w:val="00631877"/>
    <w:rsid w:val="00631AE5"/>
    <w:rsid w:val="00631E52"/>
    <w:rsid w:val="00631FB3"/>
    <w:rsid w:val="006326E5"/>
    <w:rsid w:val="0063277E"/>
    <w:rsid w:val="00633053"/>
    <w:rsid w:val="006331EC"/>
    <w:rsid w:val="0063358F"/>
    <w:rsid w:val="0063391B"/>
    <w:rsid w:val="00633A5F"/>
    <w:rsid w:val="00633B6B"/>
    <w:rsid w:val="00633D86"/>
    <w:rsid w:val="00633F18"/>
    <w:rsid w:val="00633FC6"/>
    <w:rsid w:val="006343A0"/>
    <w:rsid w:val="0063461C"/>
    <w:rsid w:val="0063464C"/>
    <w:rsid w:val="006346B1"/>
    <w:rsid w:val="0063474E"/>
    <w:rsid w:val="00634814"/>
    <w:rsid w:val="00634944"/>
    <w:rsid w:val="006349C5"/>
    <w:rsid w:val="00634B9E"/>
    <w:rsid w:val="00634CEF"/>
    <w:rsid w:val="00634D6A"/>
    <w:rsid w:val="00634DC9"/>
    <w:rsid w:val="00634EE0"/>
    <w:rsid w:val="00634FA7"/>
    <w:rsid w:val="00634FB1"/>
    <w:rsid w:val="00635043"/>
    <w:rsid w:val="0063538E"/>
    <w:rsid w:val="00635442"/>
    <w:rsid w:val="00635612"/>
    <w:rsid w:val="0063567E"/>
    <w:rsid w:val="006357F9"/>
    <w:rsid w:val="006359BC"/>
    <w:rsid w:val="00635B05"/>
    <w:rsid w:val="00635DFD"/>
    <w:rsid w:val="00635EFB"/>
    <w:rsid w:val="0063629A"/>
    <w:rsid w:val="006365D1"/>
    <w:rsid w:val="00636600"/>
    <w:rsid w:val="0063668E"/>
    <w:rsid w:val="0063696A"/>
    <w:rsid w:val="00636F54"/>
    <w:rsid w:val="0063746F"/>
    <w:rsid w:val="00637668"/>
    <w:rsid w:val="00637A91"/>
    <w:rsid w:val="00637B71"/>
    <w:rsid w:val="00637C67"/>
    <w:rsid w:val="00637FC3"/>
    <w:rsid w:val="00637FD8"/>
    <w:rsid w:val="00640150"/>
    <w:rsid w:val="006401A1"/>
    <w:rsid w:val="006401E7"/>
    <w:rsid w:val="006404D5"/>
    <w:rsid w:val="00640657"/>
    <w:rsid w:val="006409AB"/>
    <w:rsid w:val="00640ABC"/>
    <w:rsid w:val="00640D4E"/>
    <w:rsid w:val="00640D6D"/>
    <w:rsid w:val="00640DAE"/>
    <w:rsid w:val="00640DEA"/>
    <w:rsid w:val="00640E39"/>
    <w:rsid w:val="006412D1"/>
    <w:rsid w:val="006413E8"/>
    <w:rsid w:val="00641503"/>
    <w:rsid w:val="006418A6"/>
    <w:rsid w:val="00641985"/>
    <w:rsid w:val="00641B66"/>
    <w:rsid w:val="00641F02"/>
    <w:rsid w:val="00641FD4"/>
    <w:rsid w:val="006421BB"/>
    <w:rsid w:val="00642743"/>
    <w:rsid w:val="00642790"/>
    <w:rsid w:val="00642B24"/>
    <w:rsid w:val="00642C54"/>
    <w:rsid w:val="00642E8B"/>
    <w:rsid w:val="0064319E"/>
    <w:rsid w:val="006432C4"/>
    <w:rsid w:val="00643356"/>
    <w:rsid w:val="0064385C"/>
    <w:rsid w:val="00643B26"/>
    <w:rsid w:val="00644120"/>
    <w:rsid w:val="0064424F"/>
    <w:rsid w:val="00644640"/>
    <w:rsid w:val="00644A0A"/>
    <w:rsid w:val="00644B6B"/>
    <w:rsid w:val="00644B73"/>
    <w:rsid w:val="00644CC1"/>
    <w:rsid w:val="00644E66"/>
    <w:rsid w:val="00644E71"/>
    <w:rsid w:val="00644E73"/>
    <w:rsid w:val="00644EAF"/>
    <w:rsid w:val="006450C8"/>
    <w:rsid w:val="006453E3"/>
    <w:rsid w:val="0064561C"/>
    <w:rsid w:val="006456D1"/>
    <w:rsid w:val="006459D2"/>
    <w:rsid w:val="006461B4"/>
    <w:rsid w:val="006462B9"/>
    <w:rsid w:val="006463BD"/>
    <w:rsid w:val="006463DF"/>
    <w:rsid w:val="006464CD"/>
    <w:rsid w:val="0064650B"/>
    <w:rsid w:val="0064663B"/>
    <w:rsid w:val="00646670"/>
    <w:rsid w:val="00646875"/>
    <w:rsid w:val="00646B4F"/>
    <w:rsid w:val="00646C31"/>
    <w:rsid w:val="006476F5"/>
    <w:rsid w:val="0064793B"/>
    <w:rsid w:val="00647E01"/>
    <w:rsid w:val="00647EEE"/>
    <w:rsid w:val="00647F5E"/>
    <w:rsid w:val="00650060"/>
    <w:rsid w:val="00650285"/>
    <w:rsid w:val="00650353"/>
    <w:rsid w:val="0065042F"/>
    <w:rsid w:val="006504EC"/>
    <w:rsid w:val="006506C2"/>
    <w:rsid w:val="006508C1"/>
    <w:rsid w:val="00650B26"/>
    <w:rsid w:val="00650B69"/>
    <w:rsid w:val="00650D85"/>
    <w:rsid w:val="00651205"/>
    <w:rsid w:val="0065125D"/>
    <w:rsid w:val="00651293"/>
    <w:rsid w:val="006512B5"/>
    <w:rsid w:val="006513C5"/>
    <w:rsid w:val="0065153F"/>
    <w:rsid w:val="00651616"/>
    <w:rsid w:val="006516C4"/>
    <w:rsid w:val="006517A7"/>
    <w:rsid w:val="00651811"/>
    <w:rsid w:val="006519AB"/>
    <w:rsid w:val="00651BDE"/>
    <w:rsid w:val="00651EE7"/>
    <w:rsid w:val="00651FDF"/>
    <w:rsid w:val="00652017"/>
    <w:rsid w:val="0065201D"/>
    <w:rsid w:val="00652073"/>
    <w:rsid w:val="00652224"/>
    <w:rsid w:val="006524C7"/>
    <w:rsid w:val="0065252C"/>
    <w:rsid w:val="0065257C"/>
    <w:rsid w:val="00652591"/>
    <w:rsid w:val="006527AB"/>
    <w:rsid w:val="00652847"/>
    <w:rsid w:val="006528C9"/>
    <w:rsid w:val="00652940"/>
    <w:rsid w:val="006529C0"/>
    <w:rsid w:val="006529EC"/>
    <w:rsid w:val="00652A31"/>
    <w:rsid w:val="00652A39"/>
    <w:rsid w:val="00652B34"/>
    <w:rsid w:val="00652C5A"/>
    <w:rsid w:val="00652EEC"/>
    <w:rsid w:val="00652FCA"/>
    <w:rsid w:val="00653266"/>
    <w:rsid w:val="006535A2"/>
    <w:rsid w:val="00653ADB"/>
    <w:rsid w:val="00653B11"/>
    <w:rsid w:val="00653C43"/>
    <w:rsid w:val="00653F28"/>
    <w:rsid w:val="00654133"/>
    <w:rsid w:val="00654229"/>
    <w:rsid w:val="0065427F"/>
    <w:rsid w:val="006545C1"/>
    <w:rsid w:val="006545FF"/>
    <w:rsid w:val="006547A2"/>
    <w:rsid w:val="00654AE9"/>
    <w:rsid w:val="00654B31"/>
    <w:rsid w:val="00654B5C"/>
    <w:rsid w:val="00654D18"/>
    <w:rsid w:val="00654EBD"/>
    <w:rsid w:val="006553FD"/>
    <w:rsid w:val="0065562F"/>
    <w:rsid w:val="00655681"/>
    <w:rsid w:val="00655F64"/>
    <w:rsid w:val="006566BA"/>
    <w:rsid w:val="00656ABA"/>
    <w:rsid w:val="00656AFC"/>
    <w:rsid w:val="00656BA0"/>
    <w:rsid w:val="00656E73"/>
    <w:rsid w:val="00656FA9"/>
    <w:rsid w:val="00656FF1"/>
    <w:rsid w:val="006571D1"/>
    <w:rsid w:val="006572B5"/>
    <w:rsid w:val="006574A6"/>
    <w:rsid w:val="00657794"/>
    <w:rsid w:val="006577B1"/>
    <w:rsid w:val="00657AFA"/>
    <w:rsid w:val="00657C1E"/>
    <w:rsid w:val="00657F99"/>
    <w:rsid w:val="00660081"/>
    <w:rsid w:val="006600F9"/>
    <w:rsid w:val="006601CA"/>
    <w:rsid w:val="006603E2"/>
    <w:rsid w:val="006605AE"/>
    <w:rsid w:val="0066060E"/>
    <w:rsid w:val="006609EC"/>
    <w:rsid w:val="00660A31"/>
    <w:rsid w:val="00660A7B"/>
    <w:rsid w:val="00660EBD"/>
    <w:rsid w:val="00661401"/>
    <w:rsid w:val="006614B1"/>
    <w:rsid w:val="006615E6"/>
    <w:rsid w:val="006616C5"/>
    <w:rsid w:val="0066173C"/>
    <w:rsid w:val="00661914"/>
    <w:rsid w:val="00661AA2"/>
    <w:rsid w:val="00661B4B"/>
    <w:rsid w:val="0066229C"/>
    <w:rsid w:val="00662401"/>
    <w:rsid w:val="00662626"/>
    <w:rsid w:val="00662C0E"/>
    <w:rsid w:val="00662DE6"/>
    <w:rsid w:val="00662EFE"/>
    <w:rsid w:val="00662F1E"/>
    <w:rsid w:val="00662F41"/>
    <w:rsid w:val="00663041"/>
    <w:rsid w:val="0066308E"/>
    <w:rsid w:val="00663114"/>
    <w:rsid w:val="006633DD"/>
    <w:rsid w:val="006634CB"/>
    <w:rsid w:val="0066384C"/>
    <w:rsid w:val="0066393F"/>
    <w:rsid w:val="006639CD"/>
    <w:rsid w:val="00663AC4"/>
    <w:rsid w:val="00663B7E"/>
    <w:rsid w:val="00664057"/>
    <w:rsid w:val="0066411C"/>
    <w:rsid w:val="006641E2"/>
    <w:rsid w:val="00664310"/>
    <w:rsid w:val="00664596"/>
    <w:rsid w:val="00664953"/>
    <w:rsid w:val="00664A42"/>
    <w:rsid w:val="00664CD2"/>
    <w:rsid w:val="00664D7D"/>
    <w:rsid w:val="00664DC3"/>
    <w:rsid w:val="00664DD1"/>
    <w:rsid w:val="006650B7"/>
    <w:rsid w:val="006651BD"/>
    <w:rsid w:val="006651FA"/>
    <w:rsid w:val="006652F5"/>
    <w:rsid w:val="006658A1"/>
    <w:rsid w:val="00665CF2"/>
    <w:rsid w:val="00665E70"/>
    <w:rsid w:val="00665EAF"/>
    <w:rsid w:val="006660D9"/>
    <w:rsid w:val="006661A3"/>
    <w:rsid w:val="006661D4"/>
    <w:rsid w:val="00666277"/>
    <w:rsid w:val="006667D1"/>
    <w:rsid w:val="00666890"/>
    <w:rsid w:val="006669F6"/>
    <w:rsid w:val="00666A1C"/>
    <w:rsid w:val="00666ACF"/>
    <w:rsid w:val="00666BDC"/>
    <w:rsid w:val="00667023"/>
    <w:rsid w:val="00667078"/>
    <w:rsid w:val="00667132"/>
    <w:rsid w:val="0066722C"/>
    <w:rsid w:val="006673E8"/>
    <w:rsid w:val="0066778C"/>
    <w:rsid w:val="00667A38"/>
    <w:rsid w:val="00667BCF"/>
    <w:rsid w:val="00667C7A"/>
    <w:rsid w:val="00667EC7"/>
    <w:rsid w:val="0067011E"/>
    <w:rsid w:val="006703A9"/>
    <w:rsid w:val="006704D4"/>
    <w:rsid w:val="00670832"/>
    <w:rsid w:val="00670A6A"/>
    <w:rsid w:val="00670ADF"/>
    <w:rsid w:val="00670C2A"/>
    <w:rsid w:val="00670C38"/>
    <w:rsid w:val="00670EE7"/>
    <w:rsid w:val="00670F1B"/>
    <w:rsid w:val="006711D8"/>
    <w:rsid w:val="00671349"/>
    <w:rsid w:val="006713B6"/>
    <w:rsid w:val="00671845"/>
    <w:rsid w:val="006718AF"/>
    <w:rsid w:val="006719A7"/>
    <w:rsid w:val="00671BFA"/>
    <w:rsid w:val="00671D59"/>
    <w:rsid w:val="00671DEE"/>
    <w:rsid w:val="00671EC0"/>
    <w:rsid w:val="00672025"/>
    <w:rsid w:val="006720EA"/>
    <w:rsid w:val="00672245"/>
    <w:rsid w:val="00672287"/>
    <w:rsid w:val="006722B9"/>
    <w:rsid w:val="00672300"/>
    <w:rsid w:val="006728E4"/>
    <w:rsid w:val="006728F4"/>
    <w:rsid w:val="00672BD5"/>
    <w:rsid w:val="00672D51"/>
    <w:rsid w:val="00672D88"/>
    <w:rsid w:val="00672E46"/>
    <w:rsid w:val="0067345B"/>
    <w:rsid w:val="0067379A"/>
    <w:rsid w:val="0067385F"/>
    <w:rsid w:val="00673C52"/>
    <w:rsid w:val="00673DFB"/>
    <w:rsid w:val="00673E4F"/>
    <w:rsid w:val="00673E6F"/>
    <w:rsid w:val="00673F31"/>
    <w:rsid w:val="006741B4"/>
    <w:rsid w:val="006747B2"/>
    <w:rsid w:val="00674DEA"/>
    <w:rsid w:val="00674E86"/>
    <w:rsid w:val="00675085"/>
    <w:rsid w:val="0067520B"/>
    <w:rsid w:val="00675314"/>
    <w:rsid w:val="00675965"/>
    <w:rsid w:val="00675E3F"/>
    <w:rsid w:val="00675FCB"/>
    <w:rsid w:val="0067643A"/>
    <w:rsid w:val="0067658F"/>
    <w:rsid w:val="006766F4"/>
    <w:rsid w:val="0067675C"/>
    <w:rsid w:val="00676764"/>
    <w:rsid w:val="0067694D"/>
    <w:rsid w:val="00676951"/>
    <w:rsid w:val="00676A9D"/>
    <w:rsid w:val="00676BE6"/>
    <w:rsid w:val="00676F08"/>
    <w:rsid w:val="00676F15"/>
    <w:rsid w:val="00676F48"/>
    <w:rsid w:val="00677124"/>
    <w:rsid w:val="006771EE"/>
    <w:rsid w:val="0067725C"/>
    <w:rsid w:val="0067770B"/>
    <w:rsid w:val="00677BF2"/>
    <w:rsid w:val="00677C8E"/>
    <w:rsid w:val="00677F53"/>
    <w:rsid w:val="006800FA"/>
    <w:rsid w:val="00680170"/>
    <w:rsid w:val="006802FA"/>
    <w:rsid w:val="006807D9"/>
    <w:rsid w:val="00680B1A"/>
    <w:rsid w:val="00680CEC"/>
    <w:rsid w:val="00680F82"/>
    <w:rsid w:val="00681056"/>
    <w:rsid w:val="0068106E"/>
    <w:rsid w:val="006814D5"/>
    <w:rsid w:val="00681989"/>
    <w:rsid w:val="006819F1"/>
    <w:rsid w:val="00681C17"/>
    <w:rsid w:val="0068210C"/>
    <w:rsid w:val="006824F8"/>
    <w:rsid w:val="00682632"/>
    <w:rsid w:val="00682787"/>
    <w:rsid w:val="00682A6A"/>
    <w:rsid w:val="00682B13"/>
    <w:rsid w:val="00682E20"/>
    <w:rsid w:val="00682E2C"/>
    <w:rsid w:val="00682FB4"/>
    <w:rsid w:val="00683718"/>
    <w:rsid w:val="00683758"/>
    <w:rsid w:val="00683905"/>
    <w:rsid w:val="006839CB"/>
    <w:rsid w:val="00683CE4"/>
    <w:rsid w:val="00683DBB"/>
    <w:rsid w:val="00683DD2"/>
    <w:rsid w:val="00683EA7"/>
    <w:rsid w:val="00683F88"/>
    <w:rsid w:val="0068409E"/>
    <w:rsid w:val="00684329"/>
    <w:rsid w:val="0068437D"/>
    <w:rsid w:val="00684432"/>
    <w:rsid w:val="00684676"/>
    <w:rsid w:val="00684B74"/>
    <w:rsid w:val="00684CEE"/>
    <w:rsid w:val="00684D75"/>
    <w:rsid w:val="006850BB"/>
    <w:rsid w:val="00685158"/>
    <w:rsid w:val="00685207"/>
    <w:rsid w:val="00685400"/>
    <w:rsid w:val="00685568"/>
    <w:rsid w:val="0068571C"/>
    <w:rsid w:val="006859F6"/>
    <w:rsid w:val="00685CCD"/>
    <w:rsid w:val="00686056"/>
    <w:rsid w:val="00686428"/>
    <w:rsid w:val="006865A7"/>
    <w:rsid w:val="00686638"/>
    <w:rsid w:val="00686D31"/>
    <w:rsid w:val="00686FEB"/>
    <w:rsid w:val="00687181"/>
    <w:rsid w:val="0068723D"/>
    <w:rsid w:val="00687307"/>
    <w:rsid w:val="00687331"/>
    <w:rsid w:val="006873E9"/>
    <w:rsid w:val="006877F1"/>
    <w:rsid w:val="00687DF5"/>
    <w:rsid w:val="00687EC8"/>
    <w:rsid w:val="00687FEB"/>
    <w:rsid w:val="0069002D"/>
    <w:rsid w:val="006900F9"/>
    <w:rsid w:val="00690766"/>
    <w:rsid w:val="00690829"/>
    <w:rsid w:val="00690AFC"/>
    <w:rsid w:val="00690E34"/>
    <w:rsid w:val="006910D6"/>
    <w:rsid w:val="006914A4"/>
    <w:rsid w:val="0069190A"/>
    <w:rsid w:val="00691956"/>
    <w:rsid w:val="00691A07"/>
    <w:rsid w:val="00691B09"/>
    <w:rsid w:val="00691C32"/>
    <w:rsid w:val="00691D34"/>
    <w:rsid w:val="00691E61"/>
    <w:rsid w:val="00691EB4"/>
    <w:rsid w:val="0069205D"/>
    <w:rsid w:val="006922A0"/>
    <w:rsid w:val="006926E0"/>
    <w:rsid w:val="006928DF"/>
    <w:rsid w:val="006929A2"/>
    <w:rsid w:val="00692A39"/>
    <w:rsid w:val="00692B11"/>
    <w:rsid w:val="00692D5E"/>
    <w:rsid w:val="00692EF1"/>
    <w:rsid w:val="006931FC"/>
    <w:rsid w:val="006935D8"/>
    <w:rsid w:val="0069371E"/>
    <w:rsid w:val="00693721"/>
    <w:rsid w:val="006937ED"/>
    <w:rsid w:val="006939E8"/>
    <w:rsid w:val="00693A8E"/>
    <w:rsid w:val="00693AC4"/>
    <w:rsid w:val="00693F0B"/>
    <w:rsid w:val="00694001"/>
    <w:rsid w:val="006942C7"/>
    <w:rsid w:val="00694BB8"/>
    <w:rsid w:val="00694CF0"/>
    <w:rsid w:val="00694D1B"/>
    <w:rsid w:val="00694F86"/>
    <w:rsid w:val="006952E1"/>
    <w:rsid w:val="00695310"/>
    <w:rsid w:val="0069536F"/>
    <w:rsid w:val="00695418"/>
    <w:rsid w:val="00695527"/>
    <w:rsid w:val="00695628"/>
    <w:rsid w:val="006958A8"/>
    <w:rsid w:val="006959F0"/>
    <w:rsid w:val="00695A4F"/>
    <w:rsid w:val="00695AFD"/>
    <w:rsid w:val="00695B4C"/>
    <w:rsid w:val="00695B99"/>
    <w:rsid w:val="00695BF4"/>
    <w:rsid w:val="00695DBA"/>
    <w:rsid w:val="00695E2D"/>
    <w:rsid w:val="00695F3F"/>
    <w:rsid w:val="0069607F"/>
    <w:rsid w:val="006964E8"/>
    <w:rsid w:val="0069694D"/>
    <w:rsid w:val="00696984"/>
    <w:rsid w:val="00696AC0"/>
    <w:rsid w:val="00696B27"/>
    <w:rsid w:val="00696B2B"/>
    <w:rsid w:val="00696C24"/>
    <w:rsid w:val="00696C33"/>
    <w:rsid w:val="00696E3D"/>
    <w:rsid w:val="00696E9F"/>
    <w:rsid w:val="006972D3"/>
    <w:rsid w:val="006973D2"/>
    <w:rsid w:val="006973E7"/>
    <w:rsid w:val="0069749F"/>
    <w:rsid w:val="006974B1"/>
    <w:rsid w:val="00697501"/>
    <w:rsid w:val="006975FF"/>
    <w:rsid w:val="00697690"/>
    <w:rsid w:val="006976AF"/>
    <w:rsid w:val="006976BB"/>
    <w:rsid w:val="00697C11"/>
    <w:rsid w:val="00697C12"/>
    <w:rsid w:val="00697C82"/>
    <w:rsid w:val="00697E09"/>
    <w:rsid w:val="00697EF0"/>
    <w:rsid w:val="006A01FE"/>
    <w:rsid w:val="006A0274"/>
    <w:rsid w:val="006A04D4"/>
    <w:rsid w:val="006A067C"/>
    <w:rsid w:val="006A076C"/>
    <w:rsid w:val="006A0867"/>
    <w:rsid w:val="006A0987"/>
    <w:rsid w:val="006A0A93"/>
    <w:rsid w:val="006A0E5B"/>
    <w:rsid w:val="006A0EA7"/>
    <w:rsid w:val="006A1103"/>
    <w:rsid w:val="006A12A6"/>
    <w:rsid w:val="006A12F9"/>
    <w:rsid w:val="006A153F"/>
    <w:rsid w:val="006A178D"/>
    <w:rsid w:val="006A17E4"/>
    <w:rsid w:val="006A1B8D"/>
    <w:rsid w:val="006A1EBE"/>
    <w:rsid w:val="006A2080"/>
    <w:rsid w:val="006A2450"/>
    <w:rsid w:val="006A2570"/>
    <w:rsid w:val="006A25C0"/>
    <w:rsid w:val="006A29E3"/>
    <w:rsid w:val="006A2E86"/>
    <w:rsid w:val="006A304A"/>
    <w:rsid w:val="006A3296"/>
    <w:rsid w:val="006A33C5"/>
    <w:rsid w:val="006A3831"/>
    <w:rsid w:val="006A3B5A"/>
    <w:rsid w:val="006A3DC2"/>
    <w:rsid w:val="006A3ECD"/>
    <w:rsid w:val="006A42BF"/>
    <w:rsid w:val="006A430E"/>
    <w:rsid w:val="006A473D"/>
    <w:rsid w:val="006A4792"/>
    <w:rsid w:val="006A47C9"/>
    <w:rsid w:val="006A4928"/>
    <w:rsid w:val="006A49CD"/>
    <w:rsid w:val="006A4AA0"/>
    <w:rsid w:val="006A4D24"/>
    <w:rsid w:val="006A50C3"/>
    <w:rsid w:val="006A50FE"/>
    <w:rsid w:val="006A55BA"/>
    <w:rsid w:val="006A5C19"/>
    <w:rsid w:val="006A5D4B"/>
    <w:rsid w:val="006A5E43"/>
    <w:rsid w:val="006A5E59"/>
    <w:rsid w:val="006A5FAB"/>
    <w:rsid w:val="006A6416"/>
    <w:rsid w:val="006A6564"/>
    <w:rsid w:val="006A6645"/>
    <w:rsid w:val="006A66CE"/>
    <w:rsid w:val="006A6A6F"/>
    <w:rsid w:val="006A6C70"/>
    <w:rsid w:val="006A6D1E"/>
    <w:rsid w:val="006A6D72"/>
    <w:rsid w:val="006A6F4B"/>
    <w:rsid w:val="006A6F66"/>
    <w:rsid w:val="006A6F73"/>
    <w:rsid w:val="006A73C6"/>
    <w:rsid w:val="006A74E7"/>
    <w:rsid w:val="006A76BD"/>
    <w:rsid w:val="006A77E8"/>
    <w:rsid w:val="006A7964"/>
    <w:rsid w:val="006A7990"/>
    <w:rsid w:val="006A7B46"/>
    <w:rsid w:val="006A7C01"/>
    <w:rsid w:val="006A7DDA"/>
    <w:rsid w:val="006B0349"/>
    <w:rsid w:val="006B0393"/>
    <w:rsid w:val="006B0513"/>
    <w:rsid w:val="006B0553"/>
    <w:rsid w:val="006B06A9"/>
    <w:rsid w:val="006B06B6"/>
    <w:rsid w:val="006B080F"/>
    <w:rsid w:val="006B08F5"/>
    <w:rsid w:val="006B0D20"/>
    <w:rsid w:val="006B0D6E"/>
    <w:rsid w:val="006B10FF"/>
    <w:rsid w:val="006B14EC"/>
    <w:rsid w:val="006B16D4"/>
    <w:rsid w:val="006B16E0"/>
    <w:rsid w:val="006B186A"/>
    <w:rsid w:val="006B1985"/>
    <w:rsid w:val="006B19FC"/>
    <w:rsid w:val="006B1B49"/>
    <w:rsid w:val="006B1B73"/>
    <w:rsid w:val="006B1EC1"/>
    <w:rsid w:val="006B2148"/>
    <w:rsid w:val="006B2155"/>
    <w:rsid w:val="006B2188"/>
    <w:rsid w:val="006B2308"/>
    <w:rsid w:val="006B24BB"/>
    <w:rsid w:val="006B2579"/>
    <w:rsid w:val="006B25AE"/>
    <w:rsid w:val="006B25E9"/>
    <w:rsid w:val="006B2754"/>
    <w:rsid w:val="006B2767"/>
    <w:rsid w:val="006B2A23"/>
    <w:rsid w:val="006B2C18"/>
    <w:rsid w:val="006B2E15"/>
    <w:rsid w:val="006B2FAF"/>
    <w:rsid w:val="006B30D1"/>
    <w:rsid w:val="006B312D"/>
    <w:rsid w:val="006B3198"/>
    <w:rsid w:val="006B35EC"/>
    <w:rsid w:val="006B3774"/>
    <w:rsid w:val="006B3A35"/>
    <w:rsid w:val="006B3A6D"/>
    <w:rsid w:val="006B3EF2"/>
    <w:rsid w:val="006B3F4B"/>
    <w:rsid w:val="006B3F51"/>
    <w:rsid w:val="006B4227"/>
    <w:rsid w:val="006B4501"/>
    <w:rsid w:val="006B46D3"/>
    <w:rsid w:val="006B4746"/>
    <w:rsid w:val="006B4816"/>
    <w:rsid w:val="006B48D6"/>
    <w:rsid w:val="006B49CC"/>
    <w:rsid w:val="006B51AE"/>
    <w:rsid w:val="006B5523"/>
    <w:rsid w:val="006B5554"/>
    <w:rsid w:val="006B55F9"/>
    <w:rsid w:val="006B5651"/>
    <w:rsid w:val="006B567A"/>
    <w:rsid w:val="006B5C52"/>
    <w:rsid w:val="006B5CF0"/>
    <w:rsid w:val="006B5FD5"/>
    <w:rsid w:val="006B63BF"/>
    <w:rsid w:val="006B6485"/>
    <w:rsid w:val="006B659A"/>
    <w:rsid w:val="006B68C0"/>
    <w:rsid w:val="006B6A08"/>
    <w:rsid w:val="006B6AA2"/>
    <w:rsid w:val="006B6AE1"/>
    <w:rsid w:val="006B6D6A"/>
    <w:rsid w:val="006B6E3B"/>
    <w:rsid w:val="006B6F4C"/>
    <w:rsid w:val="006B7AA4"/>
    <w:rsid w:val="006C02E4"/>
    <w:rsid w:val="006C052C"/>
    <w:rsid w:val="006C06F3"/>
    <w:rsid w:val="006C09C0"/>
    <w:rsid w:val="006C0C5F"/>
    <w:rsid w:val="006C0D2F"/>
    <w:rsid w:val="006C0DDA"/>
    <w:rsid w:val="006C0F33"/>
    <w:rsid w:val="006C1304"/>
    <w:rsid w:val="006C1372"/>
    <w:rsid w:val="006C14F3"/>
    <w:rsid w:val="006C16C4"/>
    <w:rsid w:val="006C17C3"/>
    <w:rsid w:val="006C19C9"/>
    <w:rsid w:val="006C1AE6"/>
    <w:rsid w:val="006C1B2B"/>
    <w:rsid w:val="006C1B91"/>
    <w:rsid w:val="006C20E2"/>
    <w:rsid w:val="006C2401"/>
    <w:rsid w:val="006C240D"/>
    <w:rsid w:val="006C2B1C"/>
    <w:rsid w:val="006C2B5C"/>
    <w:rsid w:val="006C2CA5"/>
    <w:rsid w:val="006C3410"/>
    <w:rsid w:val="006C3582"/>
    <w:rsid w:val="006C3711"/>
    <w:rsid w:val="006C3B05"/>
    <w:rsid w:val="006C3B2A"/>
    <w:rsid w:val="006C3D94"/>
    <w:rsid w:val="006C435E"/>
    <w:rsid w:val="006C43DE"/>
    <w:rsid w:val="006C45D7"/>
    <w:rsid w:val="006C4820"/>
    <w:rsid w:val="006C48A7"/>
    <w:rsid w:val="006C4960"/>
    <w:rsid w:val="006C4ABF"/>
    <w:rsid w:val="006C4F55"/>
    <w:rsid w:val="006C5062"/>
    <w:rsid w:val="006C509F"/>
    <w:rsid w:val="006C5356"/>
    <w:rsid w:val="006C5391"/>
    <w:rsid w:val="006C53D2"/>
    <w:rsid w:val="006C541B"/>
    <w:rsid w:val="006C56FE"/>
    <w:rsid w:val="006C57DF"/>
    <w:rsid w:val="006C597E"/>
    <w:rsid w:val="006C59F3"/>
    <w:rsid w:val="006C5AD3"/>
    <w:rsid w:val="006C5BEE"/>
    <w:rsid w:val="006C5C30"/>
    <w:rsid w:val="006C5C3F"/>
    <w:rsid w:val="006C5CBD"/>
    <w:rsid w:val="006C5DF6"/>
    <w:rsid w:val="006C5EA0"/>
    <w:rsid w:val="006C5EDA"/>
    <w:rsid w:val="006C5F24"/>
    <w:rsid w:val="006C617F"/>
    <w:rsid w:val="006C627E"/>
    <w:rsid w:val="006C646B"/>
    <w:rsid w:val="006C6F47"/>
    <w:rsid w:val="006C71DB"/>
    <w:rsid w:val="006C7346"/>
    <w:rsid w:val="006C7405"/>
    <w:rsid w:val="006C74B8"/>
    <w:rsid w:val="006C75B7"/>
    <w:rsid w:val="006C779C"/>
    <w:rsid w:val="006C77BD"/>
    <w:rsid w:val="006C7838"/>
    <w:rsid w:val="006C7A5B"/>
    <w:rsid w:val="006C7C4D"/>
    <w:rsid w:val="006D002C"/>
    <w:rsid w:val="006D0193"/>
    <w:rsid w:val="006D0214"/>
    <w:rsid w:val="006D0383"/>
    <w:rsid w:val="006D045F"/>
    <w:rsid w:val="006D0666"/>
    <w:rsid w:val="006D0849"/>
    <w:rsid w:val="006D0A17"/>
    <w:rsid w:val="006D0B85"/>
    <w:rsid w:val="006D0E07"/>
    <w:rsid w:val="006D0E73"/>
    <w:rsid w:val="006D1220"/>
    <w:rsid w:val="006D16E3"/>
    <w:rsid w:val="006D1945"/>
    <w:rsid w:val="006D1AF5"/>
    <w:rsid w:val="006D1BBE"/>
    <w:rsid w:val="006D1D13"/>
    <w:rsid w:val="006D2116"/>
    <w:rsid w:val="006D230C"/>
    <w:rsid w:val="006D2666"/>
    <w:rsid w:val="006D2715"/>
    <w:rsid w:val="006D28A4"/>
    <w:rsid w:val="006D2BAF"/>
    <w:rsid w:val="006D3041"/>
    <w:rsid w:val="006D34C1"/>
    <w:rsid w:val="006D3811"/>
    <w:rsid w:val="006D389F"/>
    <w:rsid w:val="006D3C5A"/>
    <w:rsid w:val="006D3C67"/>
    <w:rsid w:val="006D4011"/>
    <w:rsid w:val="006D413B"/>
    <w:rsid w:val="006D416C"/>
    <w:rsid w:val="006D444A"/>
    <w:rsid w:val="006D44EC"/>
    <w:rsid w:val="006D4791"/>
    <w:rsid w:val="006D48A0"/>
    <w:rsid w:val="006D49FA"/>
    <w:rsid w:val="006D4AF9"/>
    <w:rsid w:val="006D4CAC"/>
    <w:rsid w:val="006D4DA7"/>
    <w:rsid w:val="006D4F2D"/>
    <w:rsid w:val="006D4FBF"/>
    <w:rsid w:val="006D5536"/>
    <w:rsid w:val="006D5819"/>
    <w:rsid w:val="006D586B"/>
    <w:rsid w:val="006D5A42"/>
    <w:rsid w:val="006D5A9A"/>
    <w:rsid w:val="006D5D55"/>
    <w:rsid w:val="006D5DB5"/>
    <w:rsid w:val="006D5DC8"/>
    <w:rsid w:val="006D6022"/>
    <w:rsid w:val="006D60ED"/>
    <w:rsid w:val="006D612D"/>
    <w:rsid w:val="006D6308"/>
    <w:rsid w:val="006D6A17"/>
    <w:rsid w:val="006D6A6C"/>
    <w:rsid w:val="006D6A81"/>
    <w:rsid w:val="006D6BE1"/>
    <w:rsid w:val="006D6BF0"/>
    <w:rsid w:val="006D6C6F"/>
    <w:rsid w:val="006D6D6E"/>
    <w:rsid w:val="006D6F4E"/>
    <w:rsid w:val="006D6FFC"/>
    <w:rsid w:val="006D7184"/>
    <w:rsid w:val="006D73A2"/>
    <w:rsid w:val="006D73F5"/>
    <w:rsid w:val="006D7504"/>
    <w:rsid w:val="006D7696"/>
    <w:rsid w:val="006D7711"/>
    <w:rsid w:val="006D7AD1"/>
    <w:rsid w:val="006D7B89"/>
    <w:rsid w:val="006D7E44"/>
    <w:rsid w:val="006E02B1"/>
    <w:rsid w:val="006E03E6"/>
    <w:rsid w:val="006E0563"/>
    <w:rsid w:val="006E0937"/>
    <w:rsid w:val="006E099C"/>
    <w:rsid w:val="006E0DCB"/>
    <w:rsid w:val="006E0E13"/>
    <w:rsid w:val="006E0FF5"/>
    <w:rsid w:val="006E144A"/>
    <w:rsid w:val="006E18B6"/>
    <w:rsid w:val="006E1900"/>
    <w:rsid w:val="006E1943"/>
    <w:rsid w:val="006E19BD"/>
    <w:rsid w:val="006E1F50"/>
    <w:rsid w:val="006E21C7"/>
    <w:rsid w:val="006E2243"/>
    <w:rsid w:val="006E22AB"/>
    <w:rsid w:val="006E22FF"/>
    <w:rsid w:val="006E2361"/>
    <w:rsid w:val="006E239A"/>
    <w:rsid w:val="006E24F8"/>
    <w:rsid w:val="006E280A"/>
    <w:rsid w:val="006E2A55"/>
    <w:rsid w:val="006E2B5A"/>
    <w:rsid w:val="006E2EF5"/>
    <w:rsid w:val="006E348C"/>
    <w:rsid w:val="006E422A"/>
    <w:rsid w:val="006E43C5"/>
    <w:rsid w:val="006E4463"/>
    <w:rsid w:val="006E449D"/>
    <w:rsid w:val="006E44CD"/>
    <w:rsid w:val="006E4559"/>
    <w:rsid w:val="006E4561"/>
    <w:rsid w:val="006E499F"/>
    <w:rsid w:val="006E4B12"/>
    <w:rsid w:val="006E4B9C"/>
    <w:rsid w:val="006E5134"/>
    <w:rsid w:val="006E53DB"/>
    <w:rsid w:val="006E562B"/>
    <w:rsid w:val="006E5690"/>
    <w:rsid w:val="006E5873"/>
    <w:rsid w:val="006E595D"/>
    <w:rsid w:val="006E59C8"/>
    <w:rsid w:val="006E5B12"/>
    <w:rsid w:val="006E5CDA"/>
    <w:rsid w:val="006E61DE"/>
    <w:rsid w:val="006E62F5"/>
    <w:rsid w:val="006E640E"/>
    <w:rsid w:val="006E65C4"/>
    <w:rsid w:val="006E6684"/>
    <w:rsid w:val="006E698D"/>
    <w:rsid w:val="006E6AF6"/>
    <w:rsid w:val="006E6F78"/>
    <w:rsid w:val="006E704C"/>
    <w:rsid w:val="006E7464"/>
    <w:rsid w:val="006E74B9"/>
    <w:rsid w:val="006E7906"/>
    <w:rsid w:val="006E7AC9"/>
    <w:rsid w:val="006E7B41"/>
    <w:rsid w:val="006E7DE5"/>
    <w:rsid w:val="006E7E82"/>
    <w:rsid w:val="006E7F48"/>
    <w:rsid w:val="006F01B3"/>
    <w:rsid w:val="006F030D"/>
    <w:rsid w:val="006F058B"/>
    <w:rsid w:val="006F0593"/>
    <w:rsid w:val="006F075F"/>
    <w:rsid w:val="006F0860"/>
    <w:rsid w:val="006F096C"/>
    <w:rsid w:val="006F0991"/>
    <w:rsid w:val="006F0C4D"/>
    <w:rsid w:val="006F0CB7"/>
    <w:rsid w:val="006F0E2E"/>
    <w:rsid w:val="006F12D5"/>
    <w:rsid w:val="006F13F6"/>
    <w:rsid w:val="006F1448"/>
    <w:rsid w:val="006F16F1"/>
    <w:rsid w:val="006F1793"/>
    <w:rsid w:val="006F17C0"/>
    <w:rsid w:val="006F181C"/>
    <w:rsid w:val="006F1C1E"/>
    <w:rsid w:val="006F1EB8"/>
    <w:rsid w:val="006F2282"/>
    <w:rsid w:val="006F24D5"/>
    <w:rsid w:val="006F284C"/>
    <w:rsid w:val="006F29ED"/>
    <w:rsid w:val="006F2DBB"/>
    <w:rsid w:val="006F2E48"/>
    <w:rsid w:val="006F3010"/>
    <w:rsid w:val="006F3069"/>
    <w:rsid w:val="006F3099"/>
    <w:rsid w:val="006F313E"/>
    <w:rsid w:val="006F3430"/>
    <w:rsid w:val="006F3952"/>
    <w:rsid w:val="006F3985"/>
    <w:rsid w:val="006F3FCA"/>
    <w:rsid w:val="006F421B"/>
    <w:rsid w:val="006F43CA"/>
    <w:rsid w:val="006F452D"/>
    <w:rsid w:val="006F47F5"/>
    <w:rsid w:val="006F4BE0"/>
    <w:rsid w:val="006F4DD5"/>
    <w:rsid w:val="006F5192"/>
    <w:rsid w:val="006F51D6"/>
    <w:rsid w:val="006F53EF"/>
    <w:rsid w:val="006F53F7"/>
    <w:rsid w:val="006F54BF"/>
    <w:rsid w:val="006F54F8"/>
    <w:rsid w:val="006F563B"/>
    <w:rsid w:val="006F575C"/>
    <w:rsid w:val="006F5966"/>
    <w:rsid w:val="006F5A1F"/>
    <w:rsid w:val="006F5ABE"/>
    <w:rsid w:val="006F5D24"/>
    <w:rsid w:val="006F5E0F"/>
    <w:rsid w:val="006F6237"/>
    <w:rsid w:val="006F631D"/>
    <w:rsid w:val="006F6366"/>
    <w:rsid w:val="006F63A0"/>
    <w:rsid w:val="006F6407"/>
    <w:rsid w:val="006F65BF"/>
    <w:rsid w:val="006F6702"/>
    <w:rsid w:val="006F6984"/>
    <w:rsid w:val="006F729E"/>
    <w:rsid w:val="006F7424"/>
    <w:rsid w:val="006F774A"/>
    <w:rsid w:val="006F77A1"/>
    <w:rsid w:val="006F7B9D"/>
    <w:rsid w:val="00700149"/>
    <w:rsid w:val="0070015F"/>
    <w:rsid w:val="00700227"/>
    <w:rsid w:val="0070025A"/>
    <w:rsid w:val="007002EF"/>
    <w:rsid w:val="00700373"/>
    <w:rsid w:val="00700469"/>
    <w:rsid w:val="007007A3"/>
    <w:rsid w:val="00700918"/>
    <w:rsid w:val="007009C8"/>
    <w:rsid w:val="00700A18"/>
    <w:rsid w:val="00700A57"/>
    <w:rsid w:val="00700D56"/>
    <w:rsid w:val="00701017"/>
    <w:rsid w:val="00701207"/>
    <w:rsid w:val="00701363"/>
    <w:rsid w:val="00701386"/>
    <w:rsid w:val="00701569"/>
    <w:rsid w:val="007017C3"/>
    <w:rsid w:val="00701877"/>
    <w:rsid w:val="00701B51"/>
    <w:rsid w:val="00701B6D"/>
    <w:rsid w:val="00701BFA"/>
    <w:rsid w:val="007022FD"/>
    <w:rsid w:val="007023D2"/>
    <w:rsid w:val="0070287C"/>
    <w:rsid w:val="00702A13"/>
    <w:rsid w:val="00702A1C"/>
    <w:rsid w:val="00702A36"/>
    <w:rsid w:val="00702D10"/>
    <w:rsid w:val="00702D2D"/>
    <w:rsid w:val="00702EBB"/>
    <w:rsid w:val="0070354E"/>
    <w:rsid w:val="007036A1"/>
    <w:rsid w:val="007037DC"/>
    <w:rsid w:val="007038F8"/>
    <w:rsid w:val="00703ABB"/>
    <w:rsid w:val="00703AD1"/>
    <w:rsid w:val="00703B2C"/>
    <w:rsid w:val="00703BCE"/>
    <w:rsid w:val="00703C9A"/>
    <w:rsid w:val="00703CDA"/>
    <w:rsid w:val="00703D9E"/>
    <w:rsid w:val="007040F9"/>
    <w:rsid w:val="00704C59"/>
    <w:rsid w:val="00704D25"/>
    <w:rsid w:val="00704F65"/>
    <w:rsid w:val="0070512D"/>
    <w:rsid w:val="00705170"/>
    <w:rsid w:val="0070520A"/>
    <w:rsid w:val="007053A2"/>
    <w:rsid w:val="007053D4"/>
    <w:rsid w:val="007056D2"/>
    <w:rsid w:val="007056D5"/>
    <w:rsid w:val="00705766"/>
    <w:rsid w:val="007057E0"/>
    <w:rsid w:val="00705D98"/>
    <w:rsid w:val="007062B3"/>
    <w:rsid w:val="00706369"/>
    <w:rsid w:val="007063D0"/>
    <w:rsid w:val="0070672E"/>
    <w:rsid w:val="0070674F"/>
    <w:rsid w:val="00706865"/>
    <w:rsid w:val="00706907"/>
    <w:rsid w:val="00706AD3"/>
    <w:rsid w:val="00706E89"/>
    <w:rsid w:val="0070710C"/>
    <w:rsid w:val="00707354"/>
    <w:rsid w:val="0070747C"/>
    <w:rsid w:val="0070765B"/>
    <w:rsid w:val="00707A5D"/>
    <w:rsid w:val="00707F05"/>
    <w:rsid w:val="00707FAB"/>
    <w:rsid w:val="0071018E"/>
    <w:rsid w:val="00710543"/>
    <w:rsid w:val="00710618"/>
    <w:rsid w:val="007106CF"/>
    <w:rsid w:val="007108E8"/>
    <w:rsid w:val="00710A00"/>
    <w:rsid w:val="00710B5D"/>
    <w:rsid w:val="00710CF2"/>
    <w:rsid w:val="00710DFF"/>
    <w:rsid w:val="00710F18"/>
    <w:rsid w:val="00710F27"/>
    <w:rsid w:val="007112D0"/>
    <w:rsid w:val="007116EC"/>
    <w:rsid w:val="0071177C"/>
    <w:rsid w:val="0071177F"/>
    <w:rsid w:val="0071179C"/>
    <w:rsid w:val="00711851"/>
    <w:rsid w:val="007118FB"/>
    <w:rsid w:val="007119D7"/>
    <w:rsid w:val="00711B1C"/>
    <w:rsid w:val="00711B91"/>
    <w:rsid w:val="0071230C"/>
    <w:rsid w:val="00712635"/>
    <w:rsid w:val="007126A3"/>
    <w:rsid w:val="007126AE"/>
    <w:rsid w:val="00712773"/>
    <w:rsid w:val="007127F9"/>
    <w:rsid w:val="007129F7"/>
    <w:rsid w:val="00712A59"/>
    <w:rsid w:val="007138CB"/>
    <w:rsid w:val="00713AE9"/>
    <w:rsid w:val="00713AF1"/>
    <w:rsid w:val="00713E2A"/>
    <w:rsid w:val="0071415E"/>
    <w:rsid w:val="007141FE"/>
    <w:rsid w:val="00714236"/>
    <w:rsid w:val="00714707"/>
    <w:rsid w:val="00714778"/>
    <w:rsid w:val="0071558E"/>
    <w:rsid w:val="007155D0"/>
    <w:rsid w:val="0071566A"/>
    <w:rsid w:val="00715A86"/>
    <w:rsid w:val="00715F63"/>
    <w:rsid w:val="0071629F"/>
    <w:rsid w:val="007162C7"/>
    <w:rsid w:val="007162E2"/>
    <w:rsid w:val="00716444"/>
    <w:rsid w:val="007166BD"/>
    <w:rsid w:val="007168FD"/>
    <w:rsid w:val="00716950"/>
    <w:rsid w:val="00716DFF"/>
    <w:rsid w:val="00716E82"/>
    <w:rsid w:val="00716EA1"/>
    <w:rsid w:val="00716F5A"/>
    <w:rsid w:val="0071714E"/>
    <w:rsid w:val="007172D9"/>
    <w:rsid w:val="007172F5"/>
    <w:rsid w:val="00717376"/>
    <w:rsid w:val="00717C94"/>
    <w:rsid w:val="00717FA5"/>
    <w:rsid w:val="007204BD"/>
    <w:rsid w:val="0072072A"/>
    <w:rsid w:val="00720888"/>
    <w:rsid w:val="00720B2F"/>
    <w:rsid w:val="00720BB7"/>
    <w:rsid w:val="00720D68"/>
    <w:rsid w:val="0072106A"/>
    <w:rsid w:val="0072138D"/>
    <w:rsid w:val="0072144E"/>
    <w:rsid w:val="00721559"/>
    <w:rsid w:val="00721707"/>
    <w:rsid w:val="0072177E"/>
    <w:rsid w:val="0072189B"/>
    <w:rsid w:val="00721986"/>
    <w:rsid w:val="007219DF"/>
    <w:rsid w:val="00721AE6"/>
    <w:rsid w:val="00721FF4"/>
    <w:rsid w:val="007222FB"/>
    <w:rsid w:val="0072252F"/>
    <w:rsid w:val="007227EC"/>
    <w:rsid w:val="0072289F"/>
    <w:rsid w:val="00722AD5"/>
    <w:rsid w:val="00722CFD"/>
    <w:rsid w:val="00722DB3"/>
    <w:rsid w:val="007230C9"/>
    <w:rsid w:val="007235B4"/>
    <w:rsid w:val="0072360C"/>
    <w:rsid w:val="00723B6B"/>
    <w:rsid w:val="00723F7C"/>
    <w:rsid w:val="00724262"/>
    <w:rsid w:val="007245DB"/>
    <w:rsid w:val="007246B8"/>
    <w:rsid w:val="007246F7"/>
    <w:rsid w:val="007249D6"/>
    <w:rsid w:val="007249F3"/>
    <w:rsid w:val="00724DB3"/>
    <w:rsid w:val="00724ECA"/>
    <w:rsid w:val="00724FA0"/>
    <w:rsid w:val="0072501A"/>
    <w:rsid w:val="007252DA"/>
    <w:rsid w:val="00725383"/>
    <w:rsid w:val="0072540A"/>
    <w:rsid w:val="0072556C"/>
    <w:rsid w:val="007255EB"/>
    <w:rsid w:val="00725666"/>
    <w:rsid w:val="0072580E"/>
    <w:rsid w:val="0072595C"/>
    <w:rsid w:val="00725A31"/>
    <w:rsid w:val="00725C21"/>
    <w:rsid w:val="0072606F"/>
    <w:rsid w:val="007265AC"/>
    <w:rsid w:val="00726639"/>
    <w:rsid w:val="00726895"/>
    <w:rsid w:val="007268C4"/>
    <w:rsid w:val="0072691A"/>
    <w:rsid w:val="007269FB"/>
    <w:rsid w:val="00726D06"/>
    <w:rsid w:val="00726DF5"/>
    <w:rsid w:val="0072710F"/>
    <w:rsid w:val="007271B9"/>
    <w:rsid w:val="00727464"/>
    <w:rsid w:val="0072746D"/>
    <w:rsid w:val="0072749B"/>
    <w:rsid w:val="0072774F"/>
    <w:rsid w:val="007279FA"/>
    <w:rsid w:val="00727BA8"/>
    <w:rsid w:val="00727DD9"/>
    <w:rsid w:val="00730014"/>
    <w:rsid w:val="0073017D"/>
    <w:rsid w:val="007306AE"/>
    <w:rsid w:val="00730DBC"/>
    <w:rsid w:val="007312AA"/>
    <w:rsid w:val="00731587"/>
    <w:rsid w:val="007316D6"/>
    <w:rsid w:val="00731EA8"/>
    <w:rsid w:val="0073228C"/>
    <w:rsid w:val="00732384"/>
    <w:rsid w:val="007326E7"/>
    <w:rsid w:val="007329F3"/>
    <w:rsid w:val="00732A2A"/>
    <w:rsid w:val="00732C62"/>
    <w:rsid w:val="00732D65"/>
    <w:rsid w:val="007331AD"/>
    <w:rsid w:val="007331D6"/>
    <w:rsid w:val="007332BF"/>
    <w:rsid w:val="00733398"/>
    <w:rsid w:val="00733836"/>
    <w:rsid w:val="00733A2E"/>
    <w:rsid w:val="00733C78"/>
    <w:rsid w:val="00733D88"/>
    <w:rsid w:val="00734174"/>
    <w:rsid w:val="00734494"/>
    <w:rsid w:val="00734518"/>
    <w:rsid w:val="007345F2"/>
    <w:rsid w:val="00734A45"/>
    <w:rsid w:val="00734B76"/>
    <w:rsid w:val="00734C1B"/>
    <w:rsid w:val="00734CE2"/>
    <w:rsid w:val="00734D2B"/>
    <w:rsid w:val="00734E6E"/>
    <w:rsid w:val="00734E94"/>
    <w:rsid w:val="00735151"/>
    <w:rsid w:val="00735366"/>
    <w:rsid w:val="00735A4B"/>
    <w:rsid w:val="00735D2C"/>
    <w:rsid w:val="00735D44"/>
    <w:rsid w:val="00735DDF"/>
    <w:rsid w:val="00735DE3"/>
    <w:rsid w:val="00735F50"/>
    <w:rsid w:val="00735F97"/>
    <w:rsid w:val="00735FFA"/>
    <w:rsid w:val="00736073"/>
    <w:rsid w:val="007364A6"/>
    <w:rsid w:val="00736725"/>
    <w:rsid w:val="007367C6"/>
    <w:rsid w:val="00736845"/>
    <w:rsid w:val="00736BDE"/>
    <w:rsid w:val="00736CCF"/>
    <w:rsid w:val="00736DFE"/>
    <w:rsid w:val="007373F5"/>
    <w:rsid w:val="00737461"/>
    <w:rsid w:val="00737786"/>
    <w:rsid w:val="007378B0"/>
    <w:rsid w:val="00737988"/>
    <w:rsid w:val="00737A70"/>
    <w:rsid w:val="00737A84"/>
    <w:rsid w:val="00737C4B"/>
    <w:rsid w:val="00737C92"/>
    <w:rsid w:val="00737F1F"/>
    <w:rsid w:val="00737FA8"/>
    <w:rsid w:val="007401F5"/>
    <w:rsid w:val="0074023A"/>
    <w:rsid w:val="007406A4"/>
    <w:rsid w:val="007406B4"/>
    <w:rsid w:val="0074088D"/>
    <w:rsid w:val="00740904"/>
    <w:rsid w:val="00740A4C"/>
    <w:rsid w:val="00740B5B"/>
    <w:rsid w:val="00740C0A"/>
    <w:rsid w:val="00740EEE"/>
    <w:rsid w:val="00740F68"/>
    <w:rsid w:val="0074109D"/>
    <w:rsid w:val="0074125A"/>
    <w:rsid w:val="00741277"/>
    <w:rsid w:val="007412D3"/>
    <w:rsid w:val="007415E5"/>
    <w:rsid w:val="00741636"/>
    <w:rsid w:val="0074165A"/>
    <w:rsid w:val="00741751"/>
    <w:rsid w:val="00741932"/>
    <w:rsid w:val="00741938"/>
    <w:rsid w:val="00741A93"/>
    <w:rsid w:val="0074205D"/>
    <w:rsid w:val="0074225B"/>
    <w:rsid w:val="007422DD"/>
    <w:rsid w:val="00742380"/>
    <w:rsid w:val="0074257C"/>
    <w:rsid w:val="007425B4"/>
    <w:rsid w:val="007425FB"/>
    <w:rsid w:val="007427E5"/>
    <w:rsid w:val="00742815"/>
    <w:rsid w:val="007428E3"/>
    <w:rsid w:val="00742954"/>
    <w:rsid w:val="00742AFC"/>
    <w:rsid w:val="00742B78"/>
    <w:rsid w:val="00742F40"/>
    <w:rsid w:val="00743AE0"/>
    <w:rsid w:val="00743AED"/>
    <w:rsid w:val="00743C0E"/>
    <w:rsid w:val="00743EEC"/>
    <w:rsid w:val="00744269"/>
    <w:rsid w:val="007443ED"/>
    <w:rsid w:val="0074441C"/>
    <w:rsid w:val="00744763"/>
    <w:rsid w:val="00744860"/>
    <w:rsid w:val="007448F7"/>
    <w:rsid w:val="00744A36"/>
    <w:rsid w:val="00744A77"/>
    <w:rsid w:val="00744F36"/>
    <w:rsid w:val="00745518"/>
    <w:rsid w:val="0074574C"/>
    <w:rsid w:val="0074582F"/>
    <w:rsid w:val="007458A9"/>
    <w:rsid w:val="007459E8"/>
    <w:rsid w:val="00745B51"/>
    <w:rsid w:val="00745CBC"/>
    <w:rsid w:val="00745D2F"/>
    <w:rsid w:val="00745EAD"/>
    <w:rsid w:val="00746057"/>
    <w:rsid w:val="007460A4"/>
    <w:rsid w:val="0074624B"/>
    <w:rsid w:val="00746282"/>
    <w:rsid w:val="007463AD"/>
    <w:rsid w:val="007464A5"/>
    <w:rsid w:val="007464BE"/>
    <w:rsid w:val="0074657D"/>
    <w:rsid w:val="00746998"/>
    <w:rsid w:val="00746B22"/>
    <w:rsid w:val="00746BB1"/>
    <w:rsid w:val="00747287"/>
    <w:rsid w:val="00747444"/>
    <w:rsid w:val="00747522"/>
    <w:rsid w:val="00747565"/>
    <w:rsid w:val="007475E7"/>
    <w:rsid w:val="00747655"/>
    <w:rsid w:val="0074785D"/>
    <w:rsid w:val="00747ABA"/>
    <w:rsid w:val="00747BA0"/>
    <w:rsid w:val="00747F9D"/>
    <w:rsid w:val="00750059"/>
    <w:rsid w:val="00750211"/>
    <w:rsid w:val="00750292"/>
    <w:rsid w:val="00750344"/>
    <w:rsid w:val="00750393"/>
    <w:rsid w:val="007503FE"/>
    <w:rsid w:val="00750409"/>
    <w:rsid w:val="00750456"/>
    <w:rsid w:val="00750C1C"/>
    <w:rsid w:val="00750C55"/>
    <w:rsid w:val="00750D3B"/>
    <w:rsid w:val="00750E22"/>
    <w:rsid w:val="0075106A"/>
    <w:rsid w:val="00751368"/>
    <w:rsid w:val="00751465"/>
    <w:rsid w:val="0075146D"/>
    <w:rsid w:val="00751488"/>
    <w:rsid w:val="007516F0"/>
    <w:rsid w:val="00751B16"/>
    <w:rsid w:val="00751C07"/>
    <w:rsid w:val="00751C29"/>
    <w:rsid w:val="00751C6D"/>
    <w:rsid w:val="00751F66"/>
    <w:rsid w:val="00751F85"/>
    <w:rsid w:val="00752169"/>
    <w:rsid w:val="00752257"/>
    <w:rsid w:val="0075234C"/>
    <w:rsid w:val="0075270A"/>
    <w:rsid w:val="0075290E"/>
    <w:rsid w:val="00752A46"/>
    <w:rsid w:val="00752E21"/>
    <w:rsid w:val="00752EA8"/>
    <w:rsid w:val="00752F41"/>
    <w:rsid w:val="0075303E"/>
    <w:rsid w:val="0075318F"/>
    <w:rsid w:val="00753399"/>
    <w:rsid w:val="00753500"/>
    <w:rsid w:val="00753501"/>
    <w:rsid w:val="0075363D"/>
    <w:rsid w:val="00753704"/>
    <w:rsid w:val="007538DA"/>
    <w:rsid w:val="00753903"/>
    <w:rsid w:val="00753A99"/>
    <w:rsid w:val="00753C80"/>
    <w:rsid w:val="00753F23"/>
    <w:rsid w:val="00753F33"/>
    <w:rsid w:val="00753FF2"/>
    <w:rsid w:val="00754103"/>
    <w:rsid w:val="007542E7"/>
    <w:rsid w:val="00754574"/>
    <w:rsid w:val="007546E6"/>
    <w:rsid w:val="00754904"/>
    <w:rsid w:val="00754ED4"/>
    <w:rsid w:val="00754F16"/>
    <w:rsid w:val="0075505D"/>
    <w:rsid w:val="007550AB"/>
    <w:rsid w:val="0075556B"/>
    <w:rsid w:val="007557B8"/>
    <w:rsid w:val="00755DFD"/>
    <w:rsid w:val="00755E6D"/>
    <w:rsid w:val="00755FA8"/>
    <w:rsid w:val="007563CF"/>
    <w:rsid w:val="007564A3"/>
    <w:rsid w:val="007564E4"/>
    <w:rsid w:val="007568D5"/>
    <w:rsid w:val="00756AF1"/>
    <w:rsid w:val="00756D40"/>
    <w:rsid w:val="00756D85"/>
    <w:rsid w:val="00756ECB"/>
    <w:rsid w:val="0075724C"/>
    <w:rsid w:val="007573AD"/>
    <w:rsid w:val="00757446"/>
    <w:rsid w:val="00757449"/>
    <w:rsid w:val="0075754D"/>
    <w:rsid w:val="007575C4"/>
    <w:rsid w:val="00757784"/>
    <w:rsid w:val="00757A07"/>
    <w:rsid w:val="00760079"/>
    <w:rsid w:val="007604D1"/>
    <w:rsid w:val="0076066C"/>
    <w:rsid w:val="007609D1"/>
    <w:rsid w:val="00760A5F"/>
    <w:rsid w:val="00760CA2"/>
    <w:rsid w:val="00760F67"/>
    <w:rsid w:val="0076112D"/>
    <w:rsid w:val="00761438"/>
    <w:rsid w:val="007614F5"/>
    <w:rsid w:val="00761603"/>
    <w:rsid w:val="00761FAC"/>
    <w:rsid w:val="0076205E"/>
    <w:rsid w:val="007621E5"/>
    <w:rsid w:val="00762261"/>
    <w:rsid w:val="0076228B"/>
    <w:rsid w:val="00762397"/>
    <w:rsid w:val="00762508"/>
    <w:rsid w:val="00762565"/>
    <w:rsid w:val="007625D2"/>
    <w:rsid w:val="007626D4"/>
    <w:rsid w:val="007629C6"/>
    <w:rsid w:val="00763182"/>
    <w:rsid w:val="007631B8"/>
    <w:rsid w:val="007631CA"/>
    <w:rsid w:val="0076367B"/>
    <w:rsid w:val="00763690"/>
    <w:rsid w:val="00763B8F"/>
    <w:rsid w:val="00763CC4"/>
    <w:rsid w:val="00763DC1"/>
    <w:rsid w:val="00763F21"/>
    <w:rsid w:val="00764062"/>
    <w:rsid w:val="00764083"/>
    <w:rsid w:val="007645A6"/>
    <w:rsid w:val="00764859"/>
    <w:rsid w:val="007648DE"/>
    <w:rsid w:val="007649CC"/>
    <w:rsid w:val="00764C3A"/>
    <w:rsid w:val="00764C84"/>
    <w:rsid w:val="00764D09"/>
    <w:rsid w:val="00764FD0"/>
    <w:rsid w:val="007653DA"/>
    <w:rsid w:val="00765408"/>
    <w:rsid w:val="00765473"/>
    <w:rsid w:val="0076554E"/>
    <w:rsid w:val="0076559F"/>
    <w:rsid w:val="0076572F"/>
    <w:rsid w:val="00765A87"/>
    <w:rsid w:val="0076603E"/>
    <w:rsid w:val="0076614E"/>
    <w:rsid w:val="007661E0"/>
    <w:rsid w:val="00766445"/>
    <w:rsid w:val="0076659F"/>
    <w:rsid w:val="007666D2"/>
    <w:rsid w:val="00766962"/>
    <w:rsid w:val="00766AB4"/>
    <w:rsid w:val="00766B4B"/>
    <w:rsid w:val="00766D76"/>
    <w:rsid w:val="00766D83"/>
    <w:rsid w:val="00766DC9"/>
    <w:rsid w:val="00766F51"/>
    <w:rsid w:val="007670C1"/>
    <w:rsid w:val="007672C6"/>
    <w:rsid w:val="00767582"/>
    <w:rsid w:val="00767737"/>
    <w:rsid w:val="0076774E"/>
    <w:rsid w:val="007677FD"/>
    <w:rsid w:val="0076784E"/>
    <w:rsid w:val="007678B2"/>
    <w:rsid w:val="00767B4A"/>
    <w:rsid w:val="00767D61"/>
    <w:rsid w:val="007709B2"/>
    <w:rsid w:val="00770AB8"/>
    <w:rsid w:val="00770C15"/>
    <w:rsid w:val="00770EB4"/>
    <w:rsid w:val="00770FA8"/>
    <w:rsid w:val="00771577"/>
    <w:rsid w:val="00771844"/>
    <w:rsid w:val="007718DA"/>
    <w:rsid w:val="00771DD6"/>
    <w:rsid w:val="00771E28"/>
    <w:rsid w:val="00771E30"/>
    <w:rsid w:val="00771F9C"/>
    <w:rsid w:val="00772126"/>
    <w:rsid w:val="00772196"/>
    <w:rsid w:val="00772593"/>
    <w:rsid w:val="007727F3"/>
    <w:rsid w:val="007728A0"/>
    <w:rsid w:val="00772A59"/>
    <w:rsid w:val="00772ACB"/>
    <w:rsid w:val="00772CEC"/>
    <w:rsid w:val="0077308A"/>
    <w:rsid w:val="0077347D"/>
    <w:rsid w:val="007734AD"/>
    <w:rsid w:val="00773725"/>
    <w:rsid w:val="007738B8"/>
    <w:rsid w:val="00773945"/>
    <w:rsid w:val="00773D94"/>
    <w:rsid w:val="00773DC6"/>
    <w:rsid w:val="00773E77"/>
    <w:rsid w:val="00773F8F"/>
    <w:rsid w:val="00773FEF"/>
    <w:rsid w:val="00774028"/>
    <w:rsid w:val="0077405B"/>
    <w:rsid w:val="007740C5"/>
    <w:rsid w:val="007743DC"/>
    <w:rsid w:val="00774561"/>
    <w:rsid w:val="00774761"/>
    <w:rsid w:val="007747A5"/>
    <w:rsid w:val="007747DF"/>
    <w:rsid w:val="00774B6A"/>
    <w:rsid w:val="00774F33"/>
    <w:rsid w:val="00775006"/>
    <w:rsid w:val="00775274"/>
    <w:rsid w:val="007752A3"/>
    <w:rsid w:val="007753D0"/>
    <w:rsid w:val="0077554C"/>
    <w:rsid w:val="0077580B"/>
    <w:rsid w:val="00775866"/>
    <w:rsid w:val="0077594B"/>
    <w:rsid w:val="00775D88"/>
    <w:rsid w:val="00775D93"/>
    <w:rsid w:val="00775F5E"/>
    <w:rsid w:val="0077609E"/>
    <w:rsid w:val="007761BB"/>
    <w:rsid w:val="00776646"/>
    <w:rsid w:val="00776A8D"/>
    <w:rsid w:val="00776D4A"/>
    <w:rsid w:val="0077747B"/>
    <w:rsid w:val="00777558"/>
    <w:rsid w:val="00777565"/>
    <w:rsid w:val="0077774E"/>
    <w:rsid w:val="0077791F"/>
    <w:rsid w:val="00777BAE"/>
    <w:rsid w:val="00777D20"/>
    <w:rsid w:val="00777F11"/>
    <w:rsid w:val="00780130"/>
    <w:rsid w:val="00780138"/>
    <w:rsid w:val="0078041A"/>
    <w:rsid w:val="007809AE"/>
    <w:rsid w:val="00780ABF"/>
    <w:rsid w:val="00780AC6"/>
    <w:rsid w:val="00780AE2"/>
    <w:rsid w:val="00780BA3"/>
    <w:rsid w:val="00780C36"/>
    <w:rsid w:val="00780FA2"/>
    <w:rsid w:val="00781311"/>
    <w:rsid w:val="0078163E"/>
    <w:rsid w:val="007817CD"/>
    <w:rsid w:val="0078183B"/>
    <w:rsid w:val="00781849"/>
    <w:rsid w:val="007819BE"/>
    <w:rsid w:val="00781BDD"/>
    <w:rsid w:val="00782543"/>
    <w:rsid w:val="00782694"/>
    <w:rsid w:val="007826A9"/>
    <w:rsid w:val="00782908"/>
    <w:rsid w:val="00782BBB"/>
    <w:rsid w:val="00782BF7"/>
    <w:rsid w:val="00782D4C"/>
    <w:rsid w:val="00783060"/>
    <w:rsid w:val="007835EC"/>
    <w:rsid w:val="0078373A"/>
    <w:rsid w:val="007837DC"/>
    <w:rsid w:val="00783819"/>
    <w:rsid w:val="0078385D"/>
    <w:rsid w:val="007839E8"/>
    <w:rsid w:val="00783A85"/>
    <w:rsid w:val="00783CB5"/>
    <w:rsid w:val="00783FD0"/>
    <w:rsid w:val="0078432F"/>
    <w:rsid w:val="0078463C"/>
    <w:rsid w:val="00784883"/>
    <w:rsid w:val="00784F90"/>
    <w:rsid w:val="00784FB2"/>
    <w:rsid w:val="007854F9"/>
    <w:rsid w:val="00785921"/>
    <w:rsid w:val="007863E3"/>
    <w:rsid w:val="00786495"/>
    <w:rsid w:val="00786B2D"/>
    <w:rsid w:val="00786BD5"/>
    <w:rsid w:val="00786F7C"/>
    <w:rsid w:val="00787107"/>
    <w:rsid w:val="00787377"/>
    <w:rsid w:val="00787975"/>
    <w:rsid w:val="00787BDE"/>
    <w:rsid w:val="00787D26"/>
    <w:rsid w:val="00787D5D"/>
    <w:rsid w:val="00790077"/>
    <w:rsid w:val="0079062D"/>
    <w:rsid w:val="00790862"/>
    <w:rsid w:val="00790BFE"/>
    <w:rsid w:val="00790DC5"/>
    <w:rsid w:val="00791116"/>
    <w:rsid w:val="0079144A"/>
    <w:rsid w:val="007915DB"/>
    <w:rsid w:val="007917F0"/>
    <w:rsid w:val="00791915"/>
    <w:rsid w:val="00791A99"/>
    <w:rsid w:val="00791C4D"/>
    <w:rsid w:val="00792069"/>
    <w:rsid w:val="00792336"/>
    <w:rsid w:val="00792398"/>
    <w:rsid w:val="007924DA"/>
    <w:rsid w:val="0079251A"/>
    <w:rsid w:val="0079263C"/>
    <w:rsid w:val="00792704"/>
    <w:rsid w:val="0079283F"/>
    <w:rsid w:val="00792AC9"/>
    <w:rsid w:val="00792B6E"/>
    <w:rsid w:val="00792C61"/>
    <w:rsid w:val="00792EC0"/>
    <w:rsid w:val="00792F28"/>
    <w:rsid w:val="00792F9C"/>
    <w:rsid w:val="0079305A"/>
    <w:rsid w:val="0079327C"/>
    <w:rsid w:val="007932E6"/>
    <w:rsid w:val="00793314"/>
    <w:rsid w:val="00793587"/>
    <w:rsid w:val="007935E6"/>
    <w:rsid w:val="00793C67"/>
    <w:rsid w:val="00793F4B"/>
    <w:rsid w:val="00793FE8"/>
    <w:rsid w:val="007944B2"/>
    <w:rsid w:val="007944C7"/>
    <w:rsid w:val="00794938"/>
    <w:rsid w:val="00794CD5"/>
    <w:rsid w:val="007950F2"/>
    <w:rsid w:val="00795275"/>
    <w:rsid w:val="00795467"/>
    <w:rsid w:val="007955A9"/>
    <w:rsid w:val="00795630"/>
    <w:rsid w:val="00795C2F"/>
    <w:rsid w:val="00795D4A"/>
    <w:rsid w:val="0079605C"/>
    <w:rsid w:val="007966B1"/>
    <w:rsid w:val="0079679A"/>
    <w:rsid w:val="00796D09"/>
    <w:rsid w:val="00796DE6"/>
    <w:rsid w:val="007971EC"/>
    <w:rsid w:val="00797514"/>
    <w:rsid w:val="007975CC"/>
    <w:rsid w:val="00797616"/>
    <w:rsid w:val="0079768C"/>
    <w:rsid w:val="007976FB"/>
    <w:rsid w:val="0079777A"/>
    <w:rsid w:val="00797AF6"/>
    <w:rsid w:val="00797B01"/>
    <w:rsid w:val="00797C6B"/>
    <w:rsid w:val="00797D62"/>
    <w:rsid w:val="007A0096"/>
    <w:rsid w:val="007A0148"/>
    <w:rsid w:val="007A071F"/>
    <w:rsid w:val="007A0746"/>
    <w:rsid w:val="007A0B3D"/>
    <w:rsid w:val="007A0C8F"/>
    <w:rsid w:val="007A0C93"/>
    <w:rsid w:val="007A1421"/>
    <w:rsid w:val="007A1483"/>
    <w:rsid w:val="007A1A5E"/>
    <w:rsid w:val="007A1A9C"/>
    <w:rsid w:val="007A1B0F"/>
    <w:rsid w:val="007A1D43"/>
    <w:rsid w:val="007A25A3"/>
    <w:rsid w:val="007A2B20"/>
    <w:rsid w:val="007A3215"/>
    <w:rsid w:val="007A3232"/>
    <w:rsid w:val="007A32A0"/>
    <w:rsid w:val="007A338C"/>
    <w:rsid w:val="007A3441"/>
    <w:rsid w:val="007A3526"/>
    <w:rsid w:val="007A3611"/>
    <w:rsid w:val="007A3660"/>
    <w:rsid w:val="007A37E4"/>
    <w:rsid w:val="007A38B5"/>
    <w:rsid w:val="007A3BF9"/>
    <w:rsid w:val="007A3CB6"/>
    <w:rsid w:val="007A3D04"/>
    <w:rsid w:val="007A3D61"/>
    <w:rsid w:val="007A3E09"/>
    <w:rsid w:val="007A3E23"/>
    <w:rsid w:val="007A4158"/>
    <w:rsid w:val="007A41BE"/>
    <w:rsid w:val="007A4225"/>
    <w:rsid w:val="007A42EF"/>
    <w:rsid w:val="007A46AE"/>
    <w:rsid w:val="007A4A04"/>
    <w:rsid w:val="007A4BCB"/>
    <w:rsid w:val="007A4CBB"/>
    <w:rsid w:val="007A4E9B"/>
    <w:rsid w:val="007A5133"/>
    <w:rsid w:val="007A53FA"/>
    <w:rsid w:val="007A55D9"/>
    <w:rsid w:val="007A55E0"/>
    <w:rsid w:val="007A5660"/>
    <w:rsid w:val="007A5731"/>
    <w:rsid w:val="007A590B"/>
    <w:rsid w:val="007A5DF9"/>
    <w:rsid w:val="007A5E2F"/>
    <w:rsid w:val="007A5F3D"/>
    <w:rsid w:val="007A63CB"/>
    <w:rsid w:val="007A6405"/>
    <w:rsid w:val="007A644E"/>
    <w:rsid w:val="007A646C"/>
    <w:rsid w:val="007A66A7"/>
    <w:rsid w:val="007A6A5F"/>
    <w:rsid w:val="007A6D36"/>
    <w:rsid w:val="007A6FA9"/>
    <w:rsid w:val="007A725E"/>
    <w:rsid w:val="007A72CE"/>
    <w:rsid w:val="007A7353"/>
    <w:rsid w:val="007A7789"/>
    <w:rsid w:val="007A778C"/>
    <w:rsid w:val="007A7833"/>
    <w:rsid w:val="007A7C86"/>
    <w:rsid w:val="007A7CA8"/>
    <w:rsid w:val="007A7DFB"/>
    <w:rsid w:val="007B01A7"/>
    <w:rsid w:val="007B025F"/>
    <w:rsid w:val="007B02CA"/>
    <w:rsid w:val="007B0423"/>
    <w:rsid w:val="007B0486"/>
    <w:rsid w:val="007B06A3"/>
    <w:rsid w:val="007B06D8"/>
    <w:rsid w:val="007B075E"/>
    <w:rsid w:val="007B096A"/>
    <w:rsid w:val="007B0ABA"/>
    <w:rsid w:val="007B0BA0"/>
    <w:rsid w:val="007B0C04"/>
    <w:rsid w:val="007B0D0B"/>
    <w:rsid w:val="007B0D8A"/>
    <w:rsid w:val="007B0F53"/>
    <w:rsid w:val="007B14A0"/>
    <w:rsid w:val="007B15E9"/>
    <w:rsid w:val="007B19BB"/>
    <w:rsid w:val="007B1A24"/>
    <w:rsid w:val="007B1B2D"/>
    <w:rsid w:val="007B1B62"/>
    <w:rsid w:val="007B1BE9"/>
    <w:rsid w:val="007B1E8A"/>
    <w:rsid w:val="007B1F92"/>
    <w:rsid w:val="007B1FC2"/>
    <w:rsid w:val="007B2273"/>
    <w:rsid w:val="007B238A"/>
    <w:rsid w:val="007B2501"/>
    <w:rsid w:val="007B29C4"/>
    <w:rsid w:val="007B29D3"/>
    <w:rsid w:val="007B2AD6"/>
    <w:rsid w:val="007B2B28"/>
    <w:rsid w:val="007B2C64"/>
    <w:rsid w:val="007B2CBE"/>
    <w:rsid w:val="007B2EE5"/>
    <w:rsid w:val="007B2FB1"/>
    <w:rsid w:val="007B307F"/>
    <w:rsid w:val="007B30C3"/>
    <w:rsid w:val="007B32B1"/>
    <w:rsid w:val="007B32CE"/>
    <w:rsid w:val="007B3382"/>
    <w:rsid w:val="007B33D4"/>
    <w:rsid w:val="007B3549"/>
    <w:rsid w:val="007B3707"/>
    <w:rsid w:val="007B3A2A"/>
    <w:rsid w:val="007B3D09"/>
    <w:rsid w:val="007B3F82"/>
    <w:rsid w:val="007B3FD3"/>
    <w:rsid w:val="007B4041"/>
    <w:rsid w:val="007B41CD"/>
    <w:rsid w:val="007B4261"/>
    <w:rsid w:val="007B45E6"/>
    <w:rsid w:val="007B4896"/>
    <w:rsid w:val="007B49EE"/>
    <w:rsid w:val="007B4A19"/>
    <w:rsid w:val="007B4B81"/>
    <w:rsid w:val="007B4D57"/>
    <w:rsid w:val="007B4F0A"/>
    <w:rsid w:val="007B5208"/>
    <w:rsid w:val="007B55D7"/>
    <w:rsid w:val="007B5625"/>
    <w:rsid w:val="007B566C"/>
    <w:rsid w:val="007B593E"/>
    <w:rsid w:val="007B5C42"/>
    <w:rsid w:val="007B5D6F"/>
    <w:rsid w:val="007B5DFA"/>
    <w:rsid w:val="007B5E23"/>
    <w:rsid w:val="007B5E56"/>
    <w:rsid w:val="007B5FED"/>
    <w:rsid w:val="007B6220"/>
    <w:rsid w:val="007B639C"/>
    <w:rsid w:val="007B641B"/>
    <w:rsid w:val="007B6633"/>
    <w:rsid w:val="007B67AA"/>
    <w:rsid w:val="007B6B56"/>
    <w:rsid w:val="007B6C30"/>
    <w:rsid w:val="007B6D41"/>
    <w:rsid w:val="007B6EDB"/>
    <w:rsid w:val="007B6F8F"/>
    <w:rsid w:val="007B73DB"/>
    <w:rsid w:val="007B7A6B"/>
    <w:rsid w:val="007B7EAD"/>
    <w:rsid w:val="007C008A"/>
    <w:rsid w:val="007C0C20"/>
    <w:rsid w:val="007C0DC8"/>
    <w:rsid w:val="007C106A"/>
    <w:rsid w:val="007C1150"/>
    <w:rsid w:val="007C117C"/>
    <w:rsid w:val="007C11A9"/>
    <w:rsid w:val="007C12DB"/>
    <w:rsid w:val="007C15AC"/>
    <w:rsid w:val="007C15C1"/>
    <w:rsid w:val="007C1760"/>
    <w:rsid w:val="007C18CD"/>
    <w:rsid w:val="007C1B25"/>
    <w:rsid w:val="007C1BD9"/>
    <w:rsid w:val="007C1F16"/>
    <w:rsid w:val="007C2053"/>
    <w:rsid w:val="007C2625"/>
    <w:rsid w:val="007C2832"/>
    <w:rsid w:val="007C2BA9"/>
    <w:rsid w:val="007C2BCD"/>
    <w:rsid w:val="007C2CAC"/>
    <w:rsid w:val="007C2DBF"/>
    <w:rsid w:val="007C2E6E"/>
    <w:rsid w:val="007C3009"/>
    <w:rsid w:val="007C308D"/>
    <w:rsid w:val="007C3251"/>
    <w:rsid w:val="007C32C7"/>
    <w:rsid w:val="007C33FF"/>
    <w:rsid w:val="007C349B"/>
    <w:rsid w:val="007C382D"/>
    <w:rsid w:val="007C3D4F"/>
    <w:rsid w:val="007C3FC4"/>
    <w:rsid w:val="007C4146"/>
    <w:rsid w:val="007C423E"/>
    <w:rsid w:val="007C45DB"/>
    <w:rsid w:val="007C45F5"/>
    <w:rsid w:val="007C4601"/>
    <w:rsid w:val="007C471E"/>
    <w:rsid w:val="007C4840"/>
    <w:rsid w:val="007C484D"/>
    <w:rsid w:val="007C4A18"/>
    <w:rsid w:val="007C4BDC"/>
    <w:rsid w:val="007C4C0A"/>
    <w:rsid w:val="007C4D20"/>
    <w:rsid w:val="007C50A5"/>
    <w:rsid w:val="007C5197"/>
    <w:rsid w:val="007C5311"/>
    <w:rsid w:val="007C5670"/>
    <w:rsid w:val="007C5709"/>
    <w:rsid w:val="007C5764"/>
    <w:rsid w:val="007C67B4"/>
    <w:rsid w:val="007C685F"/>
    <w:rsid w:val="007C6A33"/>
    <w:rsid w:val="007C6C4D"/>
    <w:rsid w:val="007C6C80"/>
    <w:rsid w:val="007C6F2A"/>
    <w:rsid w:val="007C7618"/>
    <w:rsid w:val="007C780A"/>
    <w:rsid w:val="007C7944"/>
    <w:rsid w:val="007C7A39"/>
    <w:rsid w:val="007C7B1E"/>
    <w:rsid w:val="007C7C55"/>
    <w:rsid w:val="007D0176"/>
    <w:rsid w:val="007D0193"/>
    <w:rsid w:val="007D0220"/>
    <w:rsid w:val="007D05EA"/>
    <w:rsid w:val="007D05FC"/>
    <w:rsid w:val="007D0632"/>
    <w:rsid w:val="007D0788"/>
    <w:rsid w:val="007D07C4"/>
    <w:rsid w:val="007D07D8"/>
    <w:rsid w:val="007D0DD9"/>
    <w:rsid w:val="007D106B"/>
    <w:rsid w:val="007D12DC"/>
    <w:rsid w:val="007D1316"/>
    <w:rsid w:val="007D18BF"/>
    <w:rsid w:val="007D190A"/>
    <w:rsid w:val="007D22BC"/>
    <w:rsid w:val="007D2429"/>
    <w:rsid w:val="007D2862"/>
    <w:rsid w:val="007D2C1F"/>
    <w:rsid w:val="007D2D28"/>
    <w:rsid w:val="007D2E6F"/>
    <w:rsid w:val="007D2EF7"/>
    <w:rsid w:val="007D2F50"/>
    <w:rsid w:val="007D2FC7"/>
    <w:rsid w:val="007D33F2"/>
    <w:rsid w:val="007D341B"/>
    <w:rsid w:val="007D3501"/>
    <w:rsid w:val="007D36D3"/>
    <w:rsid w:val="007D37FA"/>
    <w:rsid w:val="007D38C6"/>
    <w:rsid w:val="007D3DBB"/>
    <w:rsid w:val="007D4285"/>
    <w:rsid w:val="007D42F7"/>
    <w:rsid w:val="007D43BA"/>
    <w:rsid w:val="007D45E9"/>
    <w:rsid w:val="007D469F"/>
    <w:rsid w:val="007D4777"/>
    <w:rsid w:val="007D4B47"/>
    <w:rsid w:val="007D4C1D"/>
    <w:rsid w:val="007D5350"/>
    <w:rsid w:val="007D566A"/>
    <w:rsid w:val="007D5777"/>
    <w:rsid w:val="007D578B"/>
    <w:rsid w:val="007D5792"/>
    <w:rsid w:val="007D597C"/>
    <w:rsid w:val="007D5B14"/>
    <w:rsid w:val="007D5B70"/>
    <w:rsid w:val="007D5CDF"/>
    <w:rsid w:val="007D6208"/>
    <w:rsid w:val="007D6308"/>
    <w:rsid w:val="007D6366"/>
    <w:rsid w:val="007D63B7"/>
    <w:rsid w:val="007D6429"/>
    <w:rsid w:val="007D6599"/>
    <w:rsid w:val="007D6618"/>
    <w:rsid w:val="007D66E8"/>
    <w:rsid w:val="007D6711"/>
    <w:rsid w:val="007D67CE"/>
    <w:rsid w:val="007D6D53"/>
    <w:rsid w:val="007D73FD"/>
    <w:rsid w:val="007D74DA"/>
    <w:rsid w:val="007D7A4E"/>
    <w:rsid w:val="007D7BA9"/>
    <w:rsid w:val="007D7BAB"/>
    <w:rsid w:val="007D7D2A"/>
    <w:rsid w:val="007D7FA6"/>
    <w:rsid w:val="007D7FD5"/>
    <w:rsid w:val="007E006C"/>
    <w:rsid w:val="007E034A"/>
    <w:rsid w:val="007E03C0"/>
    <w:rsid w:val="007E0580"/>
    <w:rsid w:val="007E0636"/>
    <w:rsid w:val="007E06AC"/>
    <w:rsid w:val="007E0796"/>
    <w:rsid w:val="007E0904"/>
    <w:rsid w:val="007E0AE4"/>
    <w:rsid w:val="007E0C45"/>
    <w:rsid w:val="007E0D87"/>
    <w:rsid w:val="007E0E6C"/>
    <w:rsid w:val="007E0FCE"/>
    <w:rsid w:val="007E141E"/>
    <w:rsid w:val="007E15ED"/>
    <w:rsid w:val="007E1A6E"/>
    <w:rsid w:val="007E1BD5"/>
    <w:rsid w:val="007E1F69"/>
    <w:rsid w:val="007E2034"/>
    <w:rsid w:val="007E210E"/>
    <w:rsid w:val="007E2520"/>
    <w:rsid w:val="007E2765"/>
    <w:rsid w:val="007E27D4"/>
    <w:rsid w:val="007E2836"/>
    <w:rsid w:val="007E2AAD"/>
    <w:rsid w:val="007E2B18"/>
    <w:rsid w:val="007E2B59"/>
    <w:rsid w:val="007E2C17"/>
    <w:rsid w:val="007E2D61"/>
    <w:rsid w:val="007E2D76"/>
    <w:rsid w:val="007E2EAC"/>
    <w:rsid w:val="007E34BA"/>
    <w:rsid w:val="007E34BC"/>
    <w:rsid w:val="007E3E5F"/>
    <w:rsid w:val="007E3F67"/>
    <w:rsid w:val="007E451F"/>
    <w:rsid w:val="007E4CC6"/>
    <w:rsid w:val="007E4DBA"/>
    <w:rsid w:val="007E4F74"/>
    <w:rsid w:val="007E5128"/>
    <w:rsid w:val="007E53BE"/>
    <w:rsid w:val="007E562B"/>
    <w:rsid w:val="007E568A"/>
    <w:rsid w:val="007E574E"/>
    <w:rsid w:val="007E57EF"/>
    <w:rsid w:val="007E597E"/>
    <w:rsid w:val="007E5A2A"/>
    <w:rsid w:val="007E5A83"/>
    <w:rsid w:val="007E5AAD"/>
    <w:rsid w:val="007E5DC9"/>
    <w:rsid w:val="007E638D"/>
    <w:rsid w:val="007E67AD"/>
    <w:rsid w:val="007E67D6"/>
    <w:rsid w:val="007E6E14"/>
    <w:rsid w:val="007E739C"/>
    <w:rsid w:val="007E7670"/>
    <w:rsid w:val="007E7866"/>
    <w:rsid w:val="007E7A21"/>
    <w:rsid w:val="007E7C97"/>
    <w:rsid w:val="007E7D93"/>
    <w:rsid w:val="007E7DCD"/>
    <w:rsid w:val="007F00C5"/>
    <w:rsid w:val="007F0128"/>
    <w:rsid w:val="007F0164"/>
    <w:rsid w:val="007F03DC"/>
    <w:rsid w:val="007F04C9"/>
    <w:rsid w:val="007F0639"/>
    <w:rsid w:val="007F094C"/>
    <w:rsid w:val="007F0CB6"/>
    <w:rsid w:val="007F0D03"/>
    <w:rsid w:val="007F12D3"/>
    <w:rsid w:val="007F1648"/>
    <w:rsid w:val="007F169C"/>
    <w:rsid w:val="007F1950"/>
    <w:rsid w:val="007F1A24"/>
    <w:rsid w:val="007F1BDD"/>
    <w:rsid w:val="007F1F5E"/>
    <w:rsid w:val="007F2028"/>
    <w:rsid w:val="007F2062"/>
    <w:rsid w:val="007F2203"/>
    <w:rsid w:val="007F23D9"/>
    <w:rsid w:val="007F2616"/>
    <w:rsid w:val="007F276A"/>
    <w:rsid w:val="007F2825"/>
    <w:rsid w:val="007F2922"/>
    <w:rsid w:val="007F3260"/>
    <w:rsid w:val="007F36C9"/>
    <w:rsid w:val="007F387F"/>
    <w:rsid w:val="007F3893"/>
    <w:rsid w:val="007F38FD"/>
    <w:rsid w:val="007F39A8"/>
    <w:rsid w:val="007F39CE"/>
    <w:rsid w:val="007F3EC0"/>
    <w:rsid w:val="007F42CC"/>
    <w:rsid w:val="007F43B2"/>
    <w:rsid w:val="007F477A"/>
    <w:rsid w:val="007F4828"/>
    <w:rsid w:val="007F4863"/>
    <w:rsid w:val="007F48A2"/>
    <w:rsid w:val="007F4B68"/>
    <w:rsid w:val="007F4CAD"/>
    <w:rsid w:val="007F51DB"/>
    <w:rsid w:val="007F52C8"/>
    <w:rsid w:val="007F530C"/>
    <w:rsid w:val="007F5725"/>
    <w:rsid w:val="007F5737"/>
    <w:rsid w:val="007F59CC"/>
    <w:rsid w:val="007F5BDC"/>
    <w:rsid w:val="007F5C75"/>
    <w:rsid w:val="007F5CF7"/>
    <w:rsid w:val="007F6061"/>
    <w:rsid w:val="007F609B"/>
    <w:rsid w:val="007F66AB"/>
    <w:rsid w:val="007F677E"/>
    <w:rsid w:val="007F67B3"/>
    <w:rsid w:val="007F6CBD"/>
    <w:rsid w:val="007F6E7A"/>
    <w:rsid w:val="007F7135"/>
    <w:rsid w:val="007F7A8C"/>
    <w:rsid w:val="007F7E3B"/>
    <w:rsid w:val="0080001F"/>
    <w:rsid w:val="0080011D"/>
    <w:rsid w:val="008002BC"/>
    <w:rsid w:val="00800493"/>
    <w:rsid w:val="00800521"/>
    <w:rsid w:val="008005C1"/>
    <w:rsid w:val="008005C8"/>
    <w:rsid w:val="008006BE"/>
    <w:rsid w:val="00800D78"/>
    <w:rsid w:val="008011BE"/>
    <w:rsid w:val="00801372"/>
    <w:rsid w:val="00801400"/>
    <w:rsid w:val="00801660"/>
    <w:rsid w:val="0080173E"/>
    <w:rsid w:val="00801779"/>
    <w:rsid w:val="0080179F"/>
    <w:rsid w:val="00801A7C"/>
    <w:rsid w:val="00801B7C"/>
    <w:rsid w:val="00801BA6"/>
    <w:rsid w:val="00801FD2"/>
    <w:rsid w:val="00802866"/>
    <w:rsid w:val="00802AA8"/>
    <w:rsid w:val="00802C84"/>
    <w:rsid w:val="00802CB8"/>
    <w:rsid w:val="00802D54"/>
    <w:rsid w:val="008033BA"/>
    <w:rsid w:val="008033F3"/>
    <w:rsid w:val="00803616"/>
    <w:rsid w:val="008036E9"/>
    <w:rsid w:val="00803818"/>
    <w:rsid w:val="008038C4"/>
    <w:rsid w:val="0080397A"/>
    <w:rsid w:val="00803A91"/>
    <w:rsid w:val="00803AA1"/>
    <w:rsid w:val="00803AAF"/>
    <w:rsid w:val="00803AF9"/>
    <w:rsid w:val="00803BCA"/>
    <w:rsid w:val="00803E24"/>
    <w:rsid w:val="00804553"/>
    <w:rsid w:val="0080468E"/>
    <w:rsid w:val="008048B6"/>
    <w:rsid w:val="00804938"/>
    <w:rsid w:val="00804C2C"/>
    <w:rsid w:val="00805452"/>
    <w:rsid w:val="00805471"/>
    <w:rsid w:val="00805501"/>
    <w:rsid w:val="00805742"/>
    <w:rsid w:val="0080589A"/>
    <w:rsid w:val="00805AEA"/>
    <w:rsid w:val="00805C3F"/>
    <w:rsid w:val="00805CE0"/>
    <w:rsid w:val="00805CFF"/>
    <w:rsid w:val="00805F3A"/>
    <w:rsid w:val="008060BE"/>
    <w:rsid w:val="008060C9"/>
    <w:rsid w:val="00806393"/>
    <w:rsid w:val="008063A5"/>
    <w:rsid w:val="00806414"/>
    <w:rsid w:val="008064ED"/>
    <w:rsid w:val="008067D5"/>
    <w:rsid w:val="008067EF"/>
    <w:rsid w:val="00806A8A"/>
    <w:rsid w:val="00806E7C"/>
    <w:rsid w:val="00807054"/>
    <w:rsid w:val="0080710D"/>
    <w:rsid w:val="0080728A"/>
    <w:rsid w:val="0080731E"/>
    <w:rsid w:val="008076F8"/>
    <w:rsid w:val="00807847"/>
    <w:rsid w:val="00807B19"/>
    <w:rsid w:val="00807E58"/>
    <w:rsid w:val="00807F2F"/>
    <w:rsid w:val="008102B8"/>
    <w:rsid w:val="008103F6"/>
    <w:rsid w:val="00810509"/>
    <w:rsid w:val="00810543"/>
    <w:rsid w:val="00810655"/>
    <w:rsid w:val="00810856"/>
    <w:rsid w:val="00810AB3"/>
    <w:rsid w:val="00810BE8"/>
    <w:rsid w:val="00810CB1"/>
    <w:rsid w:val="00810DC9"/>
    <w:rsid w:val="00810E9B"/>
    <w:rsid w:val="00811241"/>
    <w:rsid w:val="0081131E"/>
    <w:rsid w:val="008115CB"/>
    <w:rsid w:val="0081184D"/>
    <w:rsid w:val="008118CC"/>
    <w:rsid w:val="0081193D"/>
    <w:rsid w:val="00811F4D"/>
    <w:rsid w:val="00811F8F"/>
    <w:rsid w:val="0081201C"/>
    <w:rsid w:val="008120C3"/>
    <w:rsid w:val="008121D9"/>
    <w:rsid w:val="00812274"/>
    <w:rsid w:val="00812A70"/>
    <w:rsid w:val="008131E0"/>
    <w:rsid w:val="008132D6"/>
    <w:rsid w:val="008132EC"/>
    <w:rsid w:val="008132FF"/>
    <w:rsid w:val="008133A0"/>
    <w:rsid w:val="008133E5"/>
    <w:rsid w:val="0081356D"/>
    <w:rsid w:val="00813AC3"/>
    <w:rsid w:val="00813AEA"/>
    <w:rsid w:val="00813B10"/>
    <w:rsid w:val="00813DBC"/>
    <w:rsid w:val="00813F7A"/>
    <w:rsid w:val="00813FCD"/>
    <w:rsid w:val="0081404F"/>
    <w:rsid w:val="00814371"/>
    <w:rsid w:val="0081442C"/>
    <w:rsid w:val="008144F4"/>
    <w:rsid w:val="00814639"/>
    <w:rsid w:val="008149C8"/>
    <w:rsid w:val="008149D0"/>
    <w:rsid w:val="00814CAA"/>
    <w:rsid w:val="00814DB0"/>
    <w:rsid w:val="00814E8B"/>
    <w:rsid w:val="00815569"/>
    <w:rsid w:val="00815612"/>
    <w:rsid w:val="00815CDC"/>
    <w:rsid w:val="00815D33"/>
    <w:rsid w:val="00815EA5"/>
    <w:rsid w:val="0081607D"/>
    <w:rsid w:val="00816187"/>
    <w:rsid w:val="008161E9"/>
    <w:rsid w:val="008165D6"/>
    <w:rsid w:val="00816A03"/>
    <w:rsid w:val="00816C71"/>
    <w:rsid w:val="00816DBF"/>
    <w:rsid w:val="008170A8"/>
    <w:rsid w:val="00817535"/>
    <w:rsid w:val="00817795"/>
    <w:rsid w:val="00817F5B"/>
    <w:rsid w:val="00820160"/>
    <w:rsid w:val="008204E8"/>
    <w:rsid w:val="0082057E"/>
    <w:rsid w:val="00820616"/>
    <w:rsid w:val="00820887"/>
    <w:rsid w:val="00820895"/>
    <w:rsid w:val="00820AAE"/>
    <w:rsid w:val="00820B76"/>
    <w:rsid w:val="00820CAB"/>
    <w:rsid w:val="00820D76"/>
    <w:rsid w:val="00820DB1"/>
    <w:rsid w:val="00821069"/>
    <w:rsid w:val="008210FD"/>
    <w:rsid w:val="008211E0"/>
    <w:rsid w:val="0082175C"/>
    <w:rsid w:val="00821A92"/>
    <w:rsid w:val="00821F18"/>
    <w:rsid w:val="008226F2"/>
    <w:rsid w:val="0082293B"/>
    <w:rsid w:val="00822995"/>
    <w:rsid w:val="00822C05"/>
    <w:rsid w:val="00822D75"/>
    <w:rsid w:val="00822E34"/>
    <w:rsid w:val="00822E38"/>
    <w:rsid w:val="00822FC7"/>
    <w:rsid w:val="008230C1"/>
    <w:rsid w:val="0082317E"/>
    <w:rsid w:val="00823304"/>
    <w:rsid w:val="00823694"/>
    <w:rsid w:val="008236FC"/>
    <w:rsid w:val="00823702"/>
    <w:rsid w:val="00823801"/>
    <w:rsid w:val="00823BD1"/>
    <w:rsid w:val="00823C01"/>
    <w:rsid w:val="00823CB0"/>
    <w:rsid w:val="00823CF0"/>
    <w:rsid w:val="008241C8"/>
    <w:rsid w:val="008243D5"/>
    <w:rsid w:val="0082441C"/>
    <w:rsid w:val="008244CD"/>
    <w:rsid w:val="008245AE"/>
    <w:rsid w:val="00824E0B"/>
    <w:rsid w:val="008250E6"/>
    <w:rsid w:val="008253BA"/>
    <w:rsid w:val="00825541"/>
    <w:rsid w:val="0082568E"/>
    <w:rsid w:val="0082575E"/>
    <w:rsid w:val="008259E1"/>
    <w:rsid w:val="00825CB7"/>
    <w:rsid w:val="00826051"/>
    <w:rsid w:val="0082612B"/>
    <w:rsid w:val="008262DF"/>
    <w:rsid w:val="00826317"/>
    <w:rsid w:val="00826911"/>
    <w:rsid w:val="00826EFD"/>
    <w:rsid w:val="00827096"/>
    <w:rsid w:val="00827196"/>
    <w:rsid w:val="00827208"/>
    <w:rsid w:val="0082743C"/>
    <w:rsid w:val="0082787B"/>
    <w:rsid w:val="00827C69"/>
    <w:rsid w:val="00827D28"/>
    <w:rsid w:val="00827ECA"/>
    <w:rsid w:val="00827F97"/>
    <w:rsid w:val="00830124"/>
    <w:rsid w:val="00830416"/>
    <w:rsid w:val="0083066E"/>
    <w:rsid w:val="008307CC"/>
    <w:rsid w:val="00830B3D"/>
    <w:rsid w:val="00830C4E"/>
    <w:rsid w:val="0083119B"/>
    <w:rsid w:val="008317D8"/>
    <w:rsid w:val="00831809"/>
    <w:rsid w:val="008319C9"/>
    <w:rsid w:val="00831A19"/>
    <w:rsid w:val="00831AEF"/>
    <w:rsid w:val="00831C70"/>
    <w:rsid w:val="0083212C"/>
    <w:rsid w:val="008326E5"/>
    <w:rsid w:val="0083276E"/>
    <w:rsid w:val="00832C99"/>
    <w:rsid w:val="00832D24"/>
    <w:rsid w:val="00833708"/>
    <w:rsid w:val="00833D12"/>
    <w:rsid w:val="00833D7F"/>
    <w:rsid w:val="00833FDF"/>
    <w:rsid w:val="00834043"/>
    <w:rsid w:val="00834062"/>
    <w:rsid w:val="008340A0"/>
    <w:rsid w:val="00834457"/>
    <w:rsid w:val="008344A5"/>
    <w:rsid w:val="008346C3"/>
    <w:rsid w:val="00834775"/>
    <w:rsid w:val="00834A2D"/>
    <w:rsid w:val="00834BA7"/>
    <w:rsid w:val="00834BDB"/>
    <w:rsid w:val="00834EED"/>
    <w:rsid w:val="008351DE"/>
    <w:rsid w:val="008353E1"/>
    <w:rsid w:val="00835676"/>
    <w:rsid w:val="00835771"/>
    <w:rsid w:val="00835A69"/>
    <w:rsid w:val="00835C59"/>
    <w:rsid w:val="00835E62"/>
    <w:rsid w:val="008360C4"/>
    <w:rsid w:val="00836164"/>
    <w:rsid w:val="00836174"/>
    <w:rsid w:val="00836301"/>
    <w:rsid w:val="008366FB"/>
    <w:rsid w:val="00836790"/>
    <w:rsid w:val="00836862"/>
    <w:rsid w:val="008368A0"/>
    <w:rsid w:val="008368E0"/>
    <w:rsid w:val="00836AAF"/>
    <w:rsid w:val="00836B5C"/>
    <w:rsid w:val="00836C02"/>
    <w:rsid w:val="00836C26"/>
    <w:rsid w:val="00836D4F"/>
    <w:rsid w:val="00837148"/>
    <w:rsid w:val="008372A0"/>
    <w:rsid w:val="0083746A"/>
    <w:rsid w:val="008374CA"/>
    <w:rsid w:val="00837560"/>
    <w:rsid w:val="008375A8"/>
    <w:rsid w:val="00837807"/>
    <w:rsid w:val="008378AA"/>
    <w:rsid w:val="008379BF"/>
    <w:rsid w:val="0084028E"/>
    <w:rsid w:val="00840317"/>
    <w:rsid w:val="0084048B"/>
    <w:rsid w:val="0084058B"/>
    <w:rsid w:val="008406D6"/>
    <w:rsid w:val="008407DD"/>
    <w:rsid w:val="00840BF5"/>
    <w:rsid w:val="00840D13"/>
    <w:rsid w:val="00841660"/>
    <w:rsid w:val="0084194D"/>
    <w:rsid w:val="00841BF9"/>
    <w:rsid w:val="00841C50"/>
    <w:rsid w:val="00841C84"/>
    <w:rsid w:val="00841CAA"/>
    <w:rsid w:val="00841EC4"/>
    <w:rsid w:val="00841F13"/>
    <w:rsid w:val="008421CD"/>
    <w:rsid w:val="008421DA"/>
    <w:rsid w:val="00842239"/>
    <w:rsid w:val="0084226B"/>
    <w:rsid w:val="00842383"/>
    <w:rsid w:val="008424E6"/>
    <w:rsid w:val="008425C3"/>
    <w:rsid w:val="00842808"/>
    <w:rsid w:val="00842864"/>
    <w:rsid w:val="00842F5F"/>
    <w:rsid w:val="00843526"/>
    <w:rsid w:val="0084379A"/>
    <w:rsid w:val="008437A3"/>
    <w:rsid w:val="0084389C"/>
    <w:rsid w:val="0084396D"/>
    <w:rsid w:val="00843971"/>
    <w:rsid w:val="008439E3"/>
    <w:rsid w:val="00843A6A"/>
    <w:rsid w:val="00843D9E"/>
    <w:rsid w:val="0084452A"/>
    <w:rsid w:val="00844603"/>
    <w:rsid w:val="00844877"/>
    <w:rsid w:val="00844A63"/>
    <w:rsid w:val="00844BA9"/>
    <w:rsid w:val="00844E1C"/>
    <w:rsid w:val="00844EAD"/>
    <w:rsid w:val="00844EF7"/>
    <w:rsid w:val="00845169"/>
    <w:rsid w:val="008454AD"/>
    <w:rsid w:val="00845521"/>
    <w:rsid w:val="00845561"/>
    <w:rsid w:val="00845597"/>
    <w:rsid w:val="008457DB"/>
    <w:rsid w:val="00845866"/>
    <w:rsid w:val="00845A04"/>
    <w:rsid w:val="00845E85"/>
    <w:rsid w:val="00845EBA"/>
    <w:rsid w:val="00846026"/>
    <w:rsid w:val="00846068"/>
    <w:rsid w:val="008460AB"/>
    <w:rsid w:val="0084614E"/>
    <w:rsid w:val="00846265"/>
    <w:rsid w:val="00846717"/>
    <w:rsid w:val="00846736"/>
    <w:rsid w:val="00846817"/>
    <w:rsid w:val="008468C0"/>
    <w:rsid w:val="008468E3"/>
    <w:rsid w:val="00846B2F"/>
    <w:rsid w:val="00846D2A"/>
    <w:rsid w:val="00846D99"/>
    <w:rsid w:val="0084703A"/>
    <w:rsid w:val="008470E2"/>
    <w:rsid w:val="00847649"/>
    <w:rsid w:val="00847B16"/>
    <w:rsid w:val="00847B90"/>
    <w:rsid w:val="00847BFF"/>
    <w:rsid w:val="00847D00"/>
    <w:rsid w:val="00847D72"/>
    <w:rsid w:val="0085005B"/>
    <w:rsid w:val="008501D7"/>
    <w:rsid w:val="00850441"/>
    <w:rsid w:val="0085088A"/>
    <w:rsid w:val="00850E30"/>
    <w:rsid w:val="00851149"/>
    <w:rsid w:val="00851151"/>
    <w:rsid w:val="008512C0"/>
    <w:rsid w:val="0085138E"/>
    <w:rsid w:val="008515B7"/>
    <w:rsid w:val="008515D3"/>
    <w:rsid w:val="008517C8"/>
    <w:rsid w:val="008517DD"/>
    <w:rsid w:val="00851BE3"/>
    <w:rsid w:val="00851F02"/>
    <w:rsid w:val="00852110"/>
    <w:rsid w:val="00852177"/>
    <w:rsid w:val="00852425"/>
    <w:rsid w:val="008524CA"/>
    <w:rsid w:val="008524D4"/>
    <w:rsid w:val="0085251C"/>
    <w:rsid w:val="0085290A"/>
    <w:rsid w:val="00852A60"/>
    <w:rsid w:val="00852B30"/>
    <w:rsid w:val="00852BB2"/>
    <w:rsid w:val="00852C7B"/>
    <w:rsid w:val="00852D05"/>
    <w:rsid w:val="00853102"/>
    <w:rsid w:val="008532B2"/>
    <w:rsid w:val="0085342F"/>
    <w:rsid w:val="008538F7"/>
    <w:rsid w:val="00853A30"/>
    <w:rsid w:val="00853C5A"/>
    <w:rsid w:val="00853D38"/>
    <w:rsid w:val="00853E1C"/>
    <w:rsid w:val="00853F95"/>
    <w:rsid w:val="008544F7"/>
    <w:rsid w:val="00854645"/>
    <w:rsid w:val="00854828"/>
    <w:rsid w:val="008548FB"/>
    <w:rsid w:val="00854B00"/>
    <w:rsid w:val="00854B98"/>
    <w:rsid w:val="00855316"/>
    <w:rsid w:val="00855549"/>
    <w:rsid w:val="0085572E"/>
    <w:rsid w:val="00855A9A"/>
    <w:rsid w:val="00855F92"/>
    <w:rsid w:val="00856926"/>
    <w:rsid w:val="008569B6"/>
    <w:rsid w:val="00856A0E"/>
    <w:rsid w:val="00856F6B"/>
    <w:rsid w:val="00857216"/>
    <w:rsid w:val="0085769D"/>
    <w:rsid w:val="0085770B"/>
    <w:rsid w:val="008578F9"/>
    <w:rsid w:val="00857B07"/>
    <w:rsid w:val="00857C4F"/>
    <w:rsid w:val="00857F44"/>
    <w:rsid w:val="008603F4"/>
    <w:rsid w:val="008604FE"/>
    <w:rsid w:val="00860C49"/>
    <w:rsid w:val="00860D82"/>
    <w:rsid w:val="008610E9"/>
    <w:rsid w:val="0086131F"/>
    <w:rsid w:val="0086158A"/>
    <w:rsid w:val="008615AD"/>
    <w:rsid w:val="00861826"/>
    <w:rsid w:val="00861A77"/>
    <w:rsid w:val="00861AC3"/>
    <w:rsid w:val="00861AC7"/>
    <w:rsid w:val="00862001"/>
    <w:rsid w:val="0086200B"/>
    <w:rsid w:val="00862056"/>
    <w:rsid w:val="008621CD"/>
    <w:rsid w:val="008626A2"/>
    <w:rsid w:val="008627F1"/>
    <w:rsid w:val="008628DB"/>
    <w:rsid w:val="00862E7D"/>
    <w:rsid w:val="00863142"/>
    <w:rsid w:val="008631CE"/>
    <w:rsid w:val="00863285"/>
    <w:rsid w:val="0086393A"/>
    <w:rsid w:val="0086397F"/>
    <w:rsid w:val="00863AA7"/>
    <w:rsid w:val="00863AEC"/>
    <w:rsid w:val="00863B5E"/>
    <w:rsid w:val="00863D5A"/>
    <w:rsid w:val="00863EB5"/>
    <w:rsid w:val="00863ECB"/>
    <w:rsid w:val="00864238"/>
    <w:rsid w:val="00864240"/>
    <w:rsid w:val="0086427F"/>
    <w:rsid w:val="0086443E"/>
    <w:rsid w:val="00864522"/>
    <w:rsid w:val="008645F5"/>
    <w:rsid w:val="008647D2"/>
    <w:rsid w:val="00864809"/>
    <w:rsid w:val="008648DB"/>
    <w:rsid w:val="008648FE"/>
    <w:rsid w:val="00864DDD"/>
    <w:rsid w:val="00864DE4"/>
    <w:rsid w:val="00864E34"/>
    <w:rsid w:val="00864F4D"/>
    <w:rsid w:val="00864F5E"/>
    <w:rsid w:val="00865001"/>
    <w:rsid w:val="0086533D"/>
    <w:rsid w:val="008653BE"/>
    <w:rsid w:val="00865675"/>
    <w:rsid w:val="008657CF"/>
    <w:rsid w:val="00865CAF"/>
    <w:rsid w:val="00865E1C"/>
    <w:rsid w:val="00865E72"/>
    <w:rsid w:val="00865FA8"/>
    <w:rsid w:val="00866011"/>
    <w:rsid w:val="008661CC"/>
    <w:rsid w:val="00866219"/>
    <w:rsid w:val="008664DE"/>
    <w:rsid w:val="008664F9"/>
    <w:rsid w:val="00866945"/>
    <w:rsid w:val="00866959"/>
    <w:rsid w:val="00866A1B"/>
    <w:rsid w:val="00866AD9"/>
    <w:rsid w:val="00866E95"/>
    <w:rsid w:val="00866F07"/>
    <w:rsid w:val="00866F7C"/>
    <w:rsid w:val="00867441"/>
    <w:rsid w:val="00867497"/>
    <w:rsid w:val="00867693"/>
    <w:rsid w:val="008677E4"/>
    <w:rsid w:val="0086787A"/>
    <w:rsid w:val="008678B6"/>
    <w:rsid w:val="00867A7D"/>
    <w:rsid w:val="00867ACA"/>
    <w:rsid w:val="00870180"/>
    <w:rsid w:val="0087033F"/>
    <w:rsid w:val="0087038C"/>
    <w:rsid w:val="008703AF"/>
    <w:rsid w:val="00870EDC"/>
    <w:rsid w:val="00870F92"/>
    <w:rsid w:val="00870FDB"/>
    <w:rsid w:val="0087109E"/>
    <w:rsid w:val="0087111C"/>
    <w:rsid w:val="00871285"/>
    <w:rsid w:val="008713DA"/>
    <w:rsid w:val="008716CA"/>
    <w:rsid w:val="00871BE3"/>
    <w:rsid w:val="00871BFF"/>
    <w:rsid w:val="00871D56"/>
    <w:rsid w:val="00871FEC"/>
    <w:rsid w:val="00872230"/>
    <w:rsid w:val="008722BE"/>
    <w:rsid w:val="00872534"/>
    <w:rsid w:val="00872618"/>
    <w:rsid w:val="00872631"/>
    <w:rsid w:val="0087267B"/>
    <w:rsid w:val="00872AD4"/>
    <w:rsid w:val="00872AD8"/>
    <w:rsid w:val="00872B7D"/>
    <w:rsid w:val="00872B89"/>
    <w:rsid w:val="00872CBC"/>
    <w:rsid w:val="00872F6D"/>
    <w:rsid w:val="00872FD2"/>
    <w:rsid w:val="00873353"/>
    <w:rsid w:val="008734DF"/>
    <w:rsid w:val="008737CC"/>
    <w:rsid w:val="00873CA3"/>
    <w:rsid w:val="00873D35"/>
    <w:rsid w:val="00873D44"/>
    <w:rsid w:val="00873DC0"/>
    <w:rsid w:val="00873E0E"/>
    <w:rsid w:val="00873E97"/>
    <w:rsid w:val="00873F1F"/>
    <w:rsid w:val="00874691"/>
    <w:rsid w:val="00874835"/>
    <w:rsid w:val="00874981"/>
    <w:rsid w:val="00874E4B"/>
    <w:rsid w:val="008751FC"/>
    <w:rsid w:val="008753E9"/>
    <w:rsid w:val="0087571A"/>
    <w:rsid w:val="0087575D"/>
    <w:rsid w:val="008758F3"/>
    <w:rsid w:val="0087591E"/>
    <w:rsid w:val="00875A2F"/>
    <w:rsid w:val="00875A86"/>
    <w:rsid w:val="00875E96"/>
    <w:rsid w:val="00876341"/>
    <w:rsid w:val="0087635C"/>
    <w:rsid w:val="00876384"/>
    <w:rsid w:val="00876614"/>
    <w:rsid w:val="00876636"/>
    <w:rsid w:val="00876869"/>
    <w:rsid w:val="00876C41"/>
    <w:rsid w:val="00876E46"/>
    <w:rsid w:val="00877132"/>
    <w:rsid w:val="008771D1"/>
    <w:rsid w:val="0087741C"/>
    <w:rsid w:val="0087755F"/>
    <w:rsid w:val="0087767D"/>
    <w:rsid w:val="008776B5"/>
    <w:rsid w:val="008778AC"/>
    <w:rsid w:val="00877A28"/>
    <w:rsid w:val="00877A59"/>
    <w:rsid w:val="00877B0B"/>
    <w:rsid w:val="00877C2A"/>
    <w:rsid w:val="00877C3A"/>
    <w:rsid w:val="00877E26"/>
    <w:rsid w:val="00877FFB"/>
    <w:rsid w:val="008802CC"/>
    <w:rsid w:val="0088040F"/>
    <w:rsid w:val="0088078A"/>
    <w:rsid w:val="0088096F"/>
    <w:rsid w:val="00880976"/>
    <w:rsid w:val="00880BAF"/>
    <w:rsid w:val="00880CDE"/>
    <w:rsid w:val="00880DC4"/>
    <w:rsid w:val="00880E3A"/>
    <w:rsid w:val="00880EB7"/>
    <w:rsid w:val="00881029"/>
    <w:rsid w:val="00881497"/>
    <w:rsid w:val="008815A7"/>
    <w:rsid w:val="00881737"/>
    <w:rsid w:val="008818A6"/>
    <w:rsid w:val="00881988"/>
    <w:rsid w:val="00881C81"/>
    <w:rsid w:val="008825A9"/>
    <w:rsid w:val="0088282C"/>
    <w:rsid w:val="0088289F"/>
    <w:rsid w:val="00882968"/>
    <w:rsid w:val="00882DAD"/>
    <w:rsid w:val="008830F2"/>
    <w:rsid w:val="0088380D"/>
    <w:rsid w:val="008839AE"/>
    <w:rsid w:val="00883CDC"/>
    <w:rsid w:val="00883D8C"/>
    <w:rsid w:val="00883E3E"/>
    <w:rsid w:val="00884265"/>
    <w:rsid w:val="008842F6"/>
    <w:rsid w:val="00884362"/>
    <w:rsid w:val="0088475F"/>
    <w:rsid w:val="00884881"/>
    <w:rsid w:val="00884B55"/>
    <w:rsid w:val="00885031"/>
    <w:rsid w:val="0088523A"/>
    <w:rsid w:val="008856B2"/>
    <w:rsid w:val="00885ADB"/>
    <w:rsid w:val="0088605A"/>
    <w:rsid w:val="008860A1"/>
    <w:rsid w:val="0088650C"/>
    <w:rsid w:val="00886586"/>
    <w:rsid w:val="008868E2"/>
    <w:rsid w:val="00886B01"/>
    <w:rsid w:val="00886E63"/>
    <w:rsid w:val="00887389"/>
    <w:rsid w:val="00887594"/>
    <w:rsid w:val="008875F9"/>
    <w:rsid w:val="00887779"/>
    <w:rsid w:val="00887991"/>
    <w:rsid w:val="00887A60"/>
    <w:rsid w:val="00887D5A"/>
    <w:rsid w:val="00887DA8"/>
    <w:rsid w:val="00890309"/>
    <w:rsid w:val="008907B5"/>
    <w:rsid w:val="00890AE6"/>
    <w:rsid w:val="00890BB1"/>
    <w:rsid w:val="00890CA7"/>
    <w:rsid w:val="00890E93"/>
    <w:rsid w:val="00890EA7"/>
    <w:rsid w:val="00890FC0"/>
    <w:rsid w:val="008911A4"/>
    <w:rsid w:val="00891210"/>
    <w:rsid w:val="00891373"/>
    <w:rsid w:val="008915EF"/>
    <w:rsid w:val="00891684"/>
    <w:rsid w:val="008916E0"/>
    <w:rsid w:val="00891726"/>
    <w:rsid w:val="00891AC4"/>
    <w:rsid w:val="00891EC6"/>
    <w:rsid w:val="00891EF5"/>
    <w:rsid w:val="0089236C"/>
    <w:rsid w:val="008926AC"/>
    <w:rsid w:val="00892975"/>
    <w:rsid w:val="008929C7"/>
    <w:rsid w:val="008929C9"/>
    <w:rsid w:val="00892A67"/>
    <w:rsid w:val="00892C05"/>
    <w:rsid w:val="00892C09"/>
    <w:rsid w:val="00892DA5"/>
    <w:rsid w:val="00892E65"/>
    <w:rsid w:val="00893221"/>
    <w:rsid w:val="008937F9"/>
    <w:rsid w:val="0089396B"/>
    <w:rsid w:val="00893A4F"/>
    <w:rsid w:val="00893BC9"/>
    <w:rsid w:val="00893DC2"/>
    <w:rsid w:val="008941D9"/>
    <w:rsid w:val="008943B5"/>
    <w:rsid w:val="008948D1"/>
    <w:rsid w:val="00894977"/>
    <w:rsid w:val="008949FE"/>
    <w:rsid w:val="00894A67"/>
    <w:rsid w:val="00894BB4"/>
    <w:rsid w:val="00894C41"/>
    <w:rsid w:val="00894F9A"/>
    <w:rsid w:val="00894FFC"/>
    <w:rsid w:val="00895011"/>
    <w:rsid w:val="008950FE"/>
    <w:rsid w:val="0089522F"/>
    <w:rsid w:val="008956C8"/>
    <w:rsid w:val="008958D1"/>
    <w:rsid w:val="00895AF8"/>
    <w:rsid w:val="00895B3B"/>
    <w:rsid w:val="00895C28"/>
    <w:rsid w:val="0089611F"/>
    <w:rsid w:val="008966FE"/>
    <w:rsid w:val="00896735"/>
    <w:rsid w:val="00896BD0"/>
    <w:rsid w:val="00896D99"/>
    <w:rsid w:val="00896E7E"/>
    <w:rsid w:val="00896F82"/>
    <w:rsid w:val="00897090"/>
    <w:rsid w:val="00897127"/>
    <w:rsid w:val="008975DB"/>
    <w:rsid w:val="008975E2"/>
    <w:rsid w:val="00897733"/>
    <w:rsid w:val="00897AB1"/>
    <w:rsid w:val="00897B2E"/>
    <w:rsid w:val="008A0057"/>
    <w:rsid w:val="008A00EF"/>
    <w:rsid w:val="008A084B"/>
    <w:rsid w:val="008A089E"/>
    <w:rsid w:val="008A08CC"/>
    <w:rsid w:val="008A0A4A"/>
    <w:rsid w:val="008A0C5D"/>
    <w:rsid w:val="008A0CF6"/>
    <w:rsid w:val="008A0D9F"/>
    <w:rsid w:val="008A0E1C"/>
    <w:rsid w:val="008A102B"/>
    <w:rsid w:val="008A1511"/>
    <w:rsid w:val="008A1626"/>
    <w:rsid w:val="008A1899"/>
    <w:rsid w:val="008A1E69"/>
    <w:rsid w:val="008A2184"/>
    <w:rsid w:val="008A232D"/>
    <w:rsid w:val="008A2412"/>
    <w:rsid w:val="008A275F"/>
    <w:rsid w:val="008A278E"/>
    <w:rsid w:val="008A2A04"/>
    <w:rsid w:val="008A2BCF"/>
    <w:rsid w:val="008A3105"/>
    <w:rsid w:val="008A3534"/>
    <w:rsid w:val="008A3746"/>
    <w:rsid w:val="008A37C4"/>
    <w:rsid w:val="008A39DC"/>
    <w:rsid w:val="008A3BEE"/>
    <w:rsid w:val="008A3DFE"/>
    <w:rsid w:val="008A42DD"/>
    <w:rsid w:val="008A4360"/>
    <w:rsid w:val="008A4628"/>
    <w:rsid w:val="008A46E6"/>
    <w:rsid w:val="008A495F"/>
    <w:rsid w:val="008A4A4B"/>
    <w:rsid w:val="008A4B20"/>
    <w:rsid w:val="008A4C86"/>
    <w:rsid w:val="008A4D49"/>
    <w:rsid w:val="008A5331"/>
    <w:rsid w:val="008A562E"/>
    <w:rsid w:val="008A58F1"/>
    <w:rsid w:val="008A5B49"/>
    <w:rsid w:val="008A5CF6"/>
    <w:rsid w:val="008A5DAC"/>
    <w:rsid w:val="008A5E24"/>
    <w:rsid w:val="008A620D"/>
    <w:rsid w:val="008A6283"/>
    <w:rsid w:val="008A63CD"/>
    <w:rsid w:val="008A69E6"/>
    <w:rsid w:val="008A6A34"/>
    <w:rsid w:val="008A6C17"/>
    <w:rsid w:val="008A6DE2"/>
    <w:rsid w:val="008A6F14"/>
    <w:rsid w:val="008A70A5"/>
    <w:rsid w:val="008A7254"/>
    <w:rsid w:val="008A72A0"/>
    <w:rsid w:val="008A7321"/>
    <w:rsid w:val="008A7555"/>
    <w:rsid w:val="008A75A4"/>
    <w:rsid w:val="008A767B"/>
    <w:rsid w:val="008A77A4"/>
    <w:rsid w:val="008A79D0"/>
    <w:rsid w:val="008A7AD0"/>
    <w:rsid w:val="008A7B9C"/>
    <w:rsid w:val="008A7C56"/>
    <w:rsid w:val="008A7E69"/>
    <w:rsid w:val="008B0139"/>
    <w:rsid w:val="008B0308"/>
    <w:rsid w:val="008B047A"/>
    <w:rsid w:val="008B06D4"/>
    <w:rsid w:val="008B0B4E"/>
    <w:rsid w:val="008B0B72"/>
    <w:rsid w:val="008B0BA4"/>
    <w:rsid w:val="008B0C66"/>
    <w:rsid w:val="008B0FA2"/>
    <w:rsid w:val="008B1396"/>
    <w:rsid w:val="008B149C"/>
    <w:rsid w:val="008B14B8"/>
    <w:rsid w:val="008B162F"/>
    <w:rsid w:val="008B1895"/>
    <w:rsid w:val="008B1A74"/>
    <w:rsid w:val="008B1B35"/>
    <w:rsid w:val="008B1B3F"/>
    <w:rsid w:val="008B1C1F"/>
    <w:rsid w:val="008B1CFB"/>
    <w:rsid w:val="008B1F01"/>
    <w:rsid w:val="008B2068"/>
    <w:rsid w:val="008B20E8"/>
    <w:rsid w:val="008B2106"/>
    <w:rsid w:val="008B22B0"/>
    <w:rsid w:val="008B2364"/>
    <w:rsid w:val="008B26AA"/>
    <w:rsid w:val="008B26AD"/>
    <w:rsid w:val="008B26FD"/>
    <w:rsid w:val="008B2830"/>
    <w:rsid w:val="008B2D2F"/>
    <w:rsid w:val="008B2D40"/>
    <w:rsid w:val="008B2DE7"/>
    <w:rsid w:val="008B2E86"/>
    <w:rsid w:val="008B2FFD"/>
    <w:rsid w:val="008B3882"/>
    <w:rsid w:val="008B3946"/>
    <w:rsid w:val="008B3A7D"/>
    <w:rsid w:val="008B3C00"/>
    <w:rsid w:val="008B3E54"/>
    <w:rsid w:val="008B3FA5"/>
    <w:rsid w:val="008B417B"/>
    <w:rsid w:val="008B446E"/>
    <w:rsid w:val="008B44C5"/>
    <w:rsid w:val="008B44E0"/>
    <w:rsid w:val="008B474A"/>
    <w:rsid w:val="008B4818"/>
    <w:rsid w:val="008B4982"/>
    <w:rsid w:val="008B4C0B"/>
    <w:rsid w:val="008B4CD9"/>
    <w:rsid w:val="008B5002"/>
    <w:rsid w:val="008B502E"/>
    <w:rsid w:val="008B5247"/>
    <w:rsid w:val="008B542F"/>
    <w:rsid w:val="008B5779"/>
    <w:rsid w:val="008B58C4"/>
    <w:rsid w:val="008B58DE"/>
    <w:rsid w:val="008B5B03"/>
    <w:rsid w:val="008B5B31"/>
    <w:rsid w:val="008B5B4F"/>
    <w:rsid w:val="008B60A1"/>
    <w:rsid w:val="008B62DD"/>
    <w:rsid w:val="008B634B"/>
    <w:rsid w:val="008B66BE"/>
    <w:rsid w:val="008B6837"/>
    <w:rsid w:val="008B6BE6"/>
    <w:rsid w:val="008B7164"/>
    <w:rsid w:val="008B7309"/>
    <w:rsid w:val="008B7359"/>
    <w:rsid w:val="008B740C"/>
    <w:rsid w:val="008B767E"/>
    <w:rsid w:val="008B76B6"/>
    <w:rsid w:val="008C0341"/>
    <w:rsid w:val="008C0451"/>
    <w:rsid w:val="008C0A55"/>
    <w:rsid w:val="008C0CA5"/>
    <w:rsid w:val="008C0EAA"/>
    <w:rsid w:val="008C1329"/>
    <w:rsid w:val="008C13A1"/>
    <w:rsid w:val="008C1652"/>
    <w:rsid w:val="008C16DC"/>
    <w:rsid w:val="008C174E"/>
    <w:rsid w:val="008C17DB"/>
    <w:rsid w:val="008C19DA"/>
    <w:rsid w:val="008C1CC6"/>
    <w:rsid w:val="008C1D31"/>
    <w:rsid w:val="008C218F"/>
    <w:rsid w:val="008C2276"/>
    <w:rsid w:val="008C23C3"/>
    <w:rsid w:val="008C23C6"/>
    <w:rsid w:val="008C24D1"/>
    <w:rsid w:val="008C25DB"/>
    <w:rsid w:val="008C2727"/>
    <w:rsid w:val="008C2840"/>
    <w:rsid w:val="008C28C4"/>
    <w:rsid w:val="008C2C89"/>
    <w:rsid w:val="008C2DEB"/>
    <w:rsid w:val="008C303E"/>
    <w:rsid w:val="008C3228"/>
    <w:rsid w:val="008C3255"/>
    <w:rsid w:val="008C3A74"/>
    <w:rsid w:val="008C3C31"/>
    <w:rsid w:val="008C3FB7"/>
    <w:rsid w:val="008C4002"/>
    <w:rsid w:val="008C403D"/>
    <w:rsid w:val="008C463B"/>
    <w:rsid w:val="008C498D"/>
    <w:rsid w:val="008C4A9E"/>
    <w:rsid w:val="008C4B54"/>
    <w:rsid w:val="008C4C79"/>
    <w:rsid w:val="008C4F86"/>
    <w:rsid w:val="008C51F9"/>
    <w:rsid w:val="008C5511"/>
    <w:rsid w:val="008C56E7"/>
    <w:rsid w:val="008C56F4"/>
    <w:rsid w:val="008C5A91"/>
    <w:rsid w:val="008C603D"/>
    <w:rsid w:val="008C6207"/>
    <w:rsid w:val="008C6285"/>
    <w:rsid w:val="008C63A9"/>
    <w:rsid w:val="008C63F5"/>
    <w:rsid w:val="008C65DC"/>
    <w:rsid w:val="008C66A1"/>
    <w:rsid w:val="008C68DD"/>
    <w:rsid w:val="008C6A4A"/>
    <w:rsid w:val="008C6AA1"/>
    <w:rsid w:val="008C6E2F"/>
    <w:rsid w:val="008C71FA"/>
    <w:rsid w:val="008C729C"/>
    <w:rsid w:val="008C7371"/>
    <w:rsid w:val="008C7408"/>
    <w:rsid w:val="008C7763"/>
    <w:rsid w:val="008C77A5"/>
    <w:rsid w:val="008C78EE"/>
    <w:rsid w:val="008C7AE4"/>
    <w:rsid w:val="008C7E33"/>
    <w:rsid w:val="008C7E56"/>
    <w:rsid w:val="008D0083"/>
    <w:rsid w:val="008D030B"/>
    <w:rsid w:val="008D0360"/>
    <w:rsid w:val="008D03B9"/>
    <w:rsid w:val="008D045D"/>
    <w:rsid w:val="008D053E"/>
    <w:rsid w:val="008D061C"/>
    <w:rsid w:val="008D0BDB"/>
    <w:rsid w:val="008D0CA3"/>
    <w:rsid w:val="008D0D84"/>
    <w:rsid w:val="008D14E1"/>
    <w:rsid w:val="008D183C"/>
    <w:rsid w:val="008D193C"/>
    <w:rsid w:val="008D1E23"/>
    <w:rsid w:val="008D2811"/>
    <w:rsid w:val="008D281D"/>
    <w:rsid w:val="008D288A"/>
    <w:rsid w:val="008D2957"/>
    <w:rsid w:val="008D2A43"/>
    <w:rsid w:val="008D2AF0"/>
    <w:rsid w:val="008D2D50"/>
    <w:rsid w:val="008D32FF"/>
    <w:rsid w:val="008D33A8"/>
    <w:rsid w:val="008D34CB"/>
    <w:rsid w:val="008D36CD"/>
    <w:rsid w:val="008D3A26"/>
    <w:rsid w:val="008D3A9F"/>
    <w:rsid w:val="008D3D28"/>
    <w:rsid w:val="008D3D67"/>
    <w:rsid w:val="008D3EA5"/>
    <w:rsid w:val="008D3EBC"/>
    <w:rsid w:val="008D3FC8"/>
    <w:rsid w:val="008D44E6"/>
    <w:rsid w:val="008D456D"/>
    <w:rsid w:val="008D4B11"/>
    <w:rsid w:val="008D4B6E"/>
    <w:rsid w:val="008D4F60"/>
    <w:rsid w:val="008D506F"/>
    <w:rsid w:val="008D52AB"/>
    <w:rsid w:val="008D5566"/>
    <w:rsid w:val="008D5925"/>
    <w:rsid w:val="008D64B4"/>
    <w:rsid w:val="008D64D1"/>
    <w:rsid w:val="008D6551"/>
    <w:rsid w:val="008D656B"/>
    <w:rsid w:val="008D6E81"/>
    <w:rsid w:val="008D733D"/>
    <w:rsid w:val="008D7366"/>
    <w:rsid w:val="008D74F8"/>
    <w:rsid w:val="008D74FB"/>
    <w:rsid w:val="008D77F3"/>
    <w:rsid w:val="008D7930"/>
    <w:rsid w:val="008D7A5F"/>
    <w:rsid w:val="008D7C63"/>
    <w:rsid w:val="008D7CEA"/>
    <w:rsid w:val="008D7ED0"/>
    <w:rsid w:val="008E01C3"/>
    <w:rsid w:val="008E04F7"/>
    <w:rsid w:val="008E05D5"/>
    <w:rsid w:val="008E0709"/>
    <w:rsid w:val="008E0782"/>
    <w:rsid w:val="008E09BA"/>
    <w:rsid w:val="008E0BC1"/>
    <w:rsid w:val="008E0C3F"/>
    <w:rsid w:val="008E0E86"/>
    <w:rsid w:val="008E0F73"/>
    <w:rsid w:val="008E0FB3"/>
    <w:rsid w:val="008E1858"/>
    <w:rsid w:val="008E1BCB"/>
    <w:rsid w:val="008E1CBB"/>
    <w:rsid w:val="008E212C"/>
    <w:rsid w:val="008E23FF"/>
    <w:rsid w:val="008E283A"/>
    <w:rsid w:val="008E28D7"/>
    <w:rsid w:val="008E298E"/>
    <w:rsid w:val="008E2DA5"/>
    <w:rsid w:val="008E32D0"/>
    <w:rsid w:val="008E3796"/>
    <w:rsid w:val="008E3DF7"/>
    <w:rsid w:val="008E3F1F"/>
    <w:rsid w:val="008E407A"/>
    <w:rsid w:val="008E4482"/>
    <w:rsid w:val="008E4780"/>
    <w:rsid w:val="008E48F0"/>
    <w:rsid w:val="008E49D2"/>
    <w:rsid w:val="008E4BD8"/>
    <w:rsid w:val="008E4E24"/>
    <w:rsid w:val="008E504F"/>
    <w:rsid w:val="008E518E"/>
    <w:rsid w:val="008E55F5"/>
    <w:rsid w:val="008E5A69"/>
    <w:rsid w:val="008E5EC9"/>
    <w:rsid w:val="008E6000"/>
    <w:rsid w:val="008E6736"/>
    <w:rsid w:val="008E67FD"/>
    <w:rsid w:val="008E6ABC"/>
    <w:rsid w:val="008E6CFF"/>
    <w:rsid w:val="008E6FB3"/>
    <w:rsid w:val="008E6FE4"/>
    <w:rsid w:val="008E701F"/>
    <w:rsid w:val="008E7441"/>
    <w:rsid w:val="008E74B7"/>
    <w:rsid w:val="008E784F"/>
    <w:rsid w:val="008E79F1"/>
    <w:rsid w:val="008E7B8E"/>
    <w:rsid w:val="008E7D92"/>
    <w:rsid w:val="008E7DC1"/>
    <w:rsid w:val="008E7DEE"/>
    <w:rsid w:val="008E7ED3"/>
    <w:rsid w:val="008F00E6"/>
    <w:rsid w:val="008F011F"/>
    <w:rsid w:val="008F0242"/>
    <w:rsid w:val="008F02AF"/>
    <w:rsid w:val="008F04DB"/>
    <w:rsid w:val="008F09F9"/>
    <w:rsid w:val="008F0CD2"/>
    <w:rsid w:val="008F0EB5"/>
    <w:rsid w:val="008F0F94"/>
    <w:rsid w:val="008F131D"/>
    <w:rsid w:val="008F1528"/>
    <w:rsid w:val="008F171E"/>
    <w:rsid w:val="008F175D"/>
    <w:rsid w:val="008F17CD"/>
    <w:rsid w:val="008F182E"/>
    <w:rsid w:val="008F1993"/>
    <w:rsid w:val="008F1A06"/>
    <w:rsid w:val="008F1CA8"/>
    <w:rsid w:val="008F1D3D"/>
    <w:rsid w:val="008F1D66"/>
    <w:rsid w:val="008F20D5"/>
    <w:rsid w:val="008F2135"/>
    <w:rsid w:val="008F2261"/>
    <w:rsid w:val="008F27EF"/>
    <w:rsid w:val="008F2A05"/>
    <w:rsid w:val="008F2AA6"/>
    <w:rsid w:val="008F2D25"/>
    <w:rsid w:val="008F2E9C"/>
    <w:rsid w:val="008F31BA"/>
    <w:rsid w:val="008F31C4"/>
    <w:rsid w:val="008F34CD"/>
    <w:rsid w:val="008F350D"/>
    <w:rsid w:val="008F3511"/>
    <w:rsid w:val="008F3862"/>
    <w:rsid w:val="008F39EF"/>
    <w:rsid w:val="008F3AF0"/>
    <w:rsid w:val="008F3D52"/>
    <w:rsid w:val="008F3E74"/>
    <w:rsid w:val="008F4267"/>
    <w:rsid w:val="008F4275"/>
    <w:rsid w:val="008F4517"/>
    <w:rsid w:val="008F451C"/>
    <w:rsid w:val="008F4C33"/>
    <w:rsid w:val="008F4D17"/>
    <w:rsid w:val="008F52AB"/>
    <w:rsid w:val="008F5320"/>
    <w:rsid w:val="008F5389"/>
    <w:rsid w:val="008F53D0"/>
    <w:rsid w:val="008F5448"/>
    <w:rsid w:val="008F591C"/>
    <w:rsid w:val="008F5B40"/>
    <w:rsid w:val="008F5D0D"/>
    <w:rsid w:val="008F5DCD"/>
    <w:rsid w:val="008F5DF7"/>
    <w:rsid w:val="008F5E9B"/>
    <w:rsid w:val="008F5FB2"/>
    <w:rsid w:val="008F60EE"/>
    <w:rsid w:val="008F6127"/>
    <w:rsid w:val="008F614D"/>
    <w:rsid w:val="008F6180"/>
    <w:rsid w:val="008F6302"/>
    <w:rsid w:val="008F6340"/>
    <w:rsid w:val="008F643D"/>
    <w:rsid w:val="008F66C6"/>
    <w:rsid w:val="008F6AF4"/>
    <w:rsid w:val="008F7031"/>
    <w:rsid w:val="008F7096"/>
    <w:rsid w:val="008F735B"/>
    <w:rsid w:val="008F76C3"/>
    <w:rsid w:val="008F7742"/>
    <w:rsid w:val="008F77F2"/>
    <w:rsid w:val="008F78E4"/>
    <w:rsid w:val="008F79CF"/>
    <w:rsid w:val="008F7AD8"/>
    <w:rsid w:val="008F7DD3"/>
    <w:rsid w:val="00900009"/>
    <w:rsid w:val="009001B5"/>
    <w:rsid w:val="0090046D"/>
    <w:rsid w:val="00900554"/>
    <w:rsid w:val="009005B1"/>
    <w:rsid w:val="00900644"/>
    <w:rsid w:val="0090082E"/>
    <w:rsid w:val="00900B7E"/>
    <w:rsid w:val="00900E2A"/>
    <w:rsid w:val="00900EBF"/>
    <w:rsid w:val="009010DB"/>
    <w:rsid w:val="009015DC"/>
    <w:rsid w:val="00902121"/>
    <w:rsid w:val="00902130"/>
    <w:rsid w:val="009023B1"/>
    <w:rsid w:val="009026F0"/>
    <w:rsid w:val="009028DD"/>
    <w:rsid w:val="0090297E"/>
    <w:rsid w:val="00902B7C"/>
    <w:rsid w:val="00902D5B"/>
    <w:rsid w:val="00902E63"/>
    <w:rsid w:val="00903C1B"/>
    <w:rsid w:val="00903CF8"/>
    <w:rsid w:val="00903E3A"/>
    <w:rsid w:val="00904097"/>
    <w:rsid w:val="0090412F"/>
    <w:rsid w:val="0090443F"/>
    <w:rsid w:val="00904506"/>
    <w:rsid w:val="00904647"/>
    <w:rsid w:val="00904A38"/>
    <w:rsid w:val="00904A5F"/>
    <w:rsid w:val="00904E1C"/>
    <w:rsid w:val="00904E75"/>
    <w:rsid w:val="009053F7"/>
    <w:rsid w:val="00905422"/>
    <w:rsid w:val="00905661"/>
    <w:rsid w:val="00905708"/>
    <w:rsid w:val="0090573A"/>
    <w:rsid w:val="009057BA"/>
    <w:rsid w:val="0090590D"/>
    <w:rsid w:val="00905A26"/>
    <w:rsid w:val="00905B98"/>
    <w:rsid w:val="00905F0C"/>
    <w:rsid w:val="00906292"/>
    <w:rsid w:val="00906650"/>
    <w:rsid w:val="00906EE3"/>
    <w:rsid w:val="00907170"/>
    <w:rsid w:val="009079EA"/>
    <w:rsid w:val="00907AED"/>
    <w:rsid w:val="00907C32"/>
    <w:rsid w:val="00907D16"/>
    <w:rsid w:val="00907E28"/>
    <w:rsid w:val="00907EE4"/>
    <w:rsid w:val="009100C3"/>
    <w:rsid w:val="009101DD"/>
    <w:rsid w:val="009104B8"/>
    <w:rsid w:val="00910564"/>
    <w:rsid w:val="0091087B"/>
    <w:rsid w:val="009108CC"/>
    <w:rsid w:val="00910927"/>
    <w:rsid w:val="009113F8"/>
    <w:rsid w:val="0091191B"/>
    <w:rsid w:val="00911AF2"/>
    <w:rsid w:val="00911D7F"/>
    <w:rsid w:val="00911EE0"/>
    <w:rsid w:val="00912042"/>
    <w:rsid w:val="00912151"/>
    <w:rsid w:val="0091215A"/>
    <w:rsid w:val="00912545"/>
    <w:rsid w:val="00912595"/>
    <w:rsid w:val="009127A0"/>
    <w:rsid w:val="00912936"/>
    <w:rsid w:val="00912A1F"/>
    <w:rsid w:val="00912B56"/>
    <w:rsid w:val="00912C4C"/>
    <w:rsid w:val="0091342F"/>
    <w:rsid w:val="00913761"/>
    <w:rsid w:val="00913790"/>
    <w:rsid w:val="00913894"/>
    <w:rsid w:val="00914069"/>
    <w:rsid w:val="00914133"/>
    <w:rsid w:val="009141BA"/>
    <w:rsid w:val="009141E4"/>
    <w:rsid w:val="00914440"/>
    <w:rsid w:val="009147CD"/>
    <w:rsid w:val="00914814"/>
    <w:rsid w:val="00914905"/>
    <w:rsid w:val="00914A8B"/>
    <w:rsid w:val="00914BE5"/>
    <w:rsid w:val="00915477"/>
    <w:rsid w:val="0091565E"/>
    <w:rsid w:val="009157D6"/>
    <w:rsid w:val="00915838"/>
    <w:rsid w:val="009158E8"/>
    <w:rsid w:val="0091596C"/>
    <w:rsid w:val="00915AA0"/>
    <w:rsid w:val="00915B8E"/>
    <w:rsid w:val="00915CD8"/>
    <w:rsid w:val="00915E0A"/>
    <w:rsid w:val="00915EE0"/>
    <w:rsid w:val="0091617F"/>
    <w:rsid w:val="009162E8"/>
    <w:rsid w:val="009162E9"/>
    <w:rsid w:val="0091655D"/>
    <w:rsid w:val="0091696A"/>
    <w:rsid w:val="00916B9F"/>
    <w:rsid w:val="00916BFB"/>
    <w:rsid w:val="00916D1A"/>
    <w:rsid w:val="00916DDF"/>
    <w:rsid w:val="00916DFC"/>
    <w:rsid w:val="00916E0F"/>
    <w:rsid w:val="00916ED8"/>
    <w:rsid w:val="009170B2"/>
    <w:rsid w:val="009174B5"/>
    <w:rsid w:val="00917664"/>
    <w:rsid w:val="009176FB"/>
    <w:rsid w:val="00917734"/>
    <w:rsid w:val="009177FE"/>
    <w:rsid w:val="009179B0"/>
    <w:rsid w:val="00917AFF"/>
    <w:rsid w:val="00917C69"/>
    <w:rsid w:val="009205B6"/>
    <w:rsid w:val="009206CB"/>
    <w:rsid w:val="00920839"/>
    <w:rsid w:val="00921478"/>
    <w:rsid w:val="0092156B"/>
    <w:rsid w:val="00921603"/>
    <w:rsid w:val="00921E86"/>
    <w:rsid w:val="00922046"/>
    <w:rsid w:val="009220A5"/>
    <w:rsid w:val="00922158"/>
    <w:rsid w:val="009226C7"/>
    <w:rsid w:val="00922748"/>
    <w:rsid w:val="0092288E"/>
    <w:rsid w:val="00922CA0"/>
    <w:rsid w:val="00922E03"/>
    <w:rsid w:val="00923258"/>
    <w:rsid w:val="009232DC"/>
    <w:rsid w:val="00923513"/>
    <w:rsid w:val="00923603"/>
    <w:rsid w:val="009236B0"/>
    <w:rsid w:val="00923A7B"/>
    <w:rsid w:val="00923E5D"/>
    <w:rsid w:val="00923EC0"/>
    <w:rsid w:val="00923F53"/>
    <w:rsid w:val="009243C6"/>
    <w:rsid w:val="00924482"/>
    <w:rsid w:val="00924645"/>
    <w:rsid w:val="009247A8"/>
    <w:rsid w:val="00924AF1"/>
    <w:rsid w:val="009250AE"/>
    <w:rsid w:val="009250B6"/>
    <w:rsid w:val="0092518E"/>
    <w:rsid w:val="00925273"/>
    <w:rsid w:val="0092553C"/>
    <w:rsid w:val="00925849"/>
    <w:rsid w:val="009258CF"/>
    <w:rsid w:val="00925C45"/>
    <w:rsid w:val="0092601E"/>
    <w:rsid w:val="009260B5"/>
    <w:rsid w:val="0092617B"/>
    <w:rsid w:val="009262EE"/>
    <w:rsid w:val="009263BA"/>
    <w:rsid w:val="009267A3"/>
    <w:rsid w:val="00926936"/>
    <w:rsid w:val="00926A19"/>
    <w:rsid w:val="00926F2C"/>
    <w:rsid w:val="009270C5"/>
    <w:rsid w:val="0092712B"/>
    <w:rsid w:val="009271AC"/>
    <w:rsid w:val="009273C8"/>
    <w:rsid w:val="00927443"/>
    <w:rsid w:val="00927621"/>
    <w:rsid w:val="00927854"/>
    <w:rsid w:val="00930094"/>
    <w:rsid w:val="0093018F"/>
    <w:rsid w:val="00930258"/>
    <w:rsid w:val="00930275"/>
    <w:rsid w:val="009302F0"/>
    <w:rsid w:val="00930387"/>
    <w:rsid w:val="00930726"/>
    <w:rsid w:val="009307DC"/>
    <w:rsid w:val="0093080C"/>
    <w:rsid w:val="009308D3"/>
    <w:rsid w:val="009309EC"/>
    <w:rsid w:val="00930A39"/>
    <w:rsid w:val="00930E09"/>
    <w:rsid w:val="00930E4F"/>
    <w:rsid w:val="00931AF8"/>
    <w:rsid w:val="00931B19"/>
    <w:rsid w:val="00931DD9"/>
    <w:rsid w:val="00931DFA"/>
    <w:rsid w:val="00931EBD"/>
    <w:rsid w:val="00931EF0"/>
    <w:rsid w:val="00931F30"/>
    <w:rsid w:val="0093212C"/>
    <w:rsid w:val="0093297E"/>
    <w:rsid w:val="00932D68"/>
    <w:rsid w:val="00932DB7"/>
    <w:rsid w:val="00932FFD"/>
    <w:rsid w:val="00933059"/>
    <w:rsid w:val="009330CB"/>
    <w:rsid w:val="00933123"/>
    <w:rsid w:val="00933347"/>
    <w:rsid w:val="009334D3"/>
    <w:rsid w:val="00933764"/>
    <w:rsid w:val="009337D4"/>
    <w:rsid w:val="00933E5C"/>
    <w:rsid w:val="00933F71"/>
    <w:rsid w:val="00933F9B"/>
    <w:rsid w:val="00934208"/>
    <w:rsid w:val="00934237"/>
    <w:rsid w:val="009344CD"/>
    <w:rsid w:val="009346DF"/>
    <w:rsid w:val="00934DD8"/>
    <w:rsid w:val="00934E09"/>
    <w:rsid w:val="00934EF8"/>
    <w:rsid w:val="00934FC1"/>
    <w:rsid w:val="009350F0"/>
    <w:rsid w:val="00935119"/>
    <w:rsid w:val="009351FB"/>
    <w:rsid w:val="0093521A"/>
    <w:rsid w:val="00935496"/>
    <w:rsid w:val="00935540"/>
    <w:rsid w:val="00935676"/>
    <w:rsid w:val="0093594B"/>
    <w:rsid w:val="00935CC4"/>
    <w:rsid w:val="009360E4"/>
    <w:rsid w:val="009362DC"/>
    <w:rsid w:val="00936411"/>
    <w:rsid w:val="00936439"/>
    <w:rsid w:val="00936F6D"/>
    <w:rsid w:val="009370EE"/>
    <w:rsid w:val="00937261"/>
    <w:rsid w:val="009372DD"/>
    <w:rsid w:val="0093731D"/>
    <w:rsid w:val="009375FC"/>
    <w:rsid w:val="00937705"/>
    <w:rsid w:val="009377AF"/>
    <w:rsid w:val="00937946"/>
    <w:rsid w:val="00937994"/>
    <w:rsid w:val="00937C4F"/>
    <w:rsid w:val="00937FCB"/>
    <w:rsid w:val="00940064"/>
    <w:rsid w:val="00940306"/>
    <w:rsid w:val="00940357"/>
    <w:rsid w:val="009405CD"/>
    <w:rsid w:val="0094062B"/>
    <w:rsid w:val="009407D7"/>
    <w:rsid w:val="00940A18"/>
    <w:rsid w:val="00940BAF"/>
    <w:rsid w:val="00940D54"/>
    <w:rsid w:val="00941310"/>
    <w:rsid w:val="00941348"/>
    <w:rsid w:val="00941645"/>
    <w:rsid w:val="00941768"/>
    <w:rsid w:val="009419A4"/>
    <w:rsid w:val="00941CDB"/>
    <w:rsid w:val="00941D18"/>
    <w:rsid w:val="0094212A"/>
    <w:rsid w:val="00942174"/>
    <w:rsid w:val="00942181"/>
    <w:rsid w:val="00942312"/>
    <w:rsid w:val="0094235E"/>
    <w:rsid w:val="009425E6"/>
    <w:rsid w:val="00942709"/>
    <w:rsid w:val="00942AB5"/>
    <w:rsid w:val="00942C87"/>
    <w:rsid w:val="00942CE8"/>
    <w:rsid w:val="00942F5F"/>
    <w:rsid w:val="009432FF"/>
    <w:rsid w:val="0094357E"/>
    <w:rsid w:val="00943641"/>
    <w:rsid w:val="0094365D"/>
    <w:rsid w:val="00943960"/>
    <w:rsid w:val="00943C24"/>
    <w:rsid w:val="00943D07"/>
    <w:rsid w:val="00943F3C"/>
    <w:rsid w:val="00943FFB"/>
    <w:rsid w:val="00944134"/>
    <w:rsid w:val="00944266"/>
    <w:rsid w:val="009447F7"/>
    <w:rsid w:val="00944856"/>
    <w:rsid w:val="00944869"/>
    <w:rsid w:val="00944A58"/>
    <w:rsid w:val="00944B55"/>
    <w:rsid w:val="00944C01"/>
    <w:rsid w:val="00944D19"/>
    <w:rsid w:val="00944D88"/>
    <w:rsid w:val="00944EBE"/>
    <w:rsid w:val="00944ED6"/>
    <w:rsid w:val="00945090"/>
    <w:rsid w:val="009450E4"/>
    <w:rsid w:val="00945423"/>
    <w:rsid w:val="0094572D"/>
    <w:rsid w:val="009457EC"/>
    <w:rsid w:val="00945990"/>
    <w:rsid w:val="00945D3D"/>
    <w:rsid w:val="00945E15"/>
    <w:rsid w:val="00945F30"/>
    <w:rsid w:val="00945F38"/>
    <w:rsid w:val="00946109"/>
    <w:rsid w:val="00946334"/>
    <w:rsid w:val="00946357"/>
    <w:rsid w:val="00946371"/>
    <w:rsid w:val="0094667F"/>
    <w:rsid w:val="009466D2"/>
    <w:rsid w:val="0094691A"/>
    <w:rsid w:val="00946A70"/>
    <w:rsid w:val="00946D17"/>
    <w:rsid w:val="00946EA6"/>
    <w:rsid w:val="00946FF3"/>
    <w:rsid w:val="00947437"/>
    <w:rsid w:val="00947732"/>
    <w:rsid w:val="00947A70"/>
    <w:rsid w:val="00947BF9"/>
    <w:rsid w:val="00947E7A"/>
    <w:rsid w:val="00950101"/>
    <w:rsid w:val="009502AB"/>
    <w:rsid w:val="00950375"/>
    <w:rsid w:val="009503A6"/>
    <w:rsid w:val="00950477"/>
    <w:rsid w:val="0095063D"/>
    <w:rsid w:val="009509CB"/>
    <w:rsid w:val="00950CA4"/>
    <w:rsid w:val="00950D3D"/>
    <w:rsid w:val="009521B0"/>
    <w:rsid w:val="00952291"/>
    <w:rsid w:val="0095239D"/>
    <w:rsid w:val="009527D2"/>
    <w:rsid w:val="00952892"/>
    <w:rsid w:val="0095293C"/>
    <w:rsid w:val="009529C2"/>
    <w:rsid w:val="00952CF7"/>
    <w:rsid w:val="00952DA9"/>
    <w:rsid w:val="00952E44"/>
    <w:rsid w:val="00952E5C"/>
    <w:rsid w:val="00953121"/>
    <w:rsid w:val="00953447"/>
    <w:rsid w:val="009534DE"/>
    <w:rsid w:val="009537B0"/>
    <w:rsid w:val="00953848"/>
    <w:rsid w:val="00953B52"/>
    <w:rsid w:val="00953E7D"/>
    <w:rsid w:val="00954084"/>
    <w:rsid w:val="00954507"/>
    <w:rsid w:val="00954921"/>
    <w:rsid w:val="009549E9"/>
    <w:rsid w:val="00954B83"/>
    <w:rsid w:val="00954B88"/>
    <w:rsid w:val="00954D9A"/>
    <w:rsid w:val="009552CC"/>
    <w:rsid w:val="00955808"/>
    <w:rsid w:val="00955903"/>
    <w:rsid w:val="00955A8A"/>
    <w:rsid w:val="00955AAE"/>
    <w:rsid w:val="00955AE8"/>
    <w:rsid w:val="00955F23"/>
    <w:rsid w:val="00956168"/>
    <w:rsid w:val="00956391"/>
    <w:rsid w:val="0095697B"/>
    <w:rsid w:val="00957078"/>
    <w:rsid w:val="00957206"/>
    <w:rsid w:val="009577F9"/>
    <w:rsid w:val="00957BA0"/>
    <w:rsid w:val="00957C31"/>
    <w:rsid w:val="00957DC0"/>
    <w:rsid w:val="009600EB"/>
    <w:rsid w:val="00960369"/>
    <w:rsid w:val="0096045B"/>
    <w:rsid w:val="009606E4"/>
    <w:rsid w:val="0096075D"/>
    <w:rsid w:val="009608A6"/>
    <w:rsid w:val="00960ADB"/>
    <w:rsid w:val="00960B58"/>
    <w:rsid w:val="00960D73"/>
    <w:rsid w:val="0096107A"/>
    <w:rsid w:val="0096110D"/>
    <w:rsid w:val="00961216"/>
    <w:rsid w:val="0096147A"/>
    <w:rsid w:val="00961604"/>
    <w:rsid w:val="00961863"/>
    <w:rsid w:val="0096189F"/>
    <w:rsid w:val="009618E9"/>
    <w:rsid w:val="00961962"/>
    <w:rsid w:val="00961A0E"/>
    <w:rsid w:val="0096226C"/>
    <w:rsid w:val="009623D3"/>
    <w:rsid w:val="009625B6"/>
    <w:rsid w:val="009625FB"/>
    <w:rsid w:val="00962AA9"/>
    <w:rsid w:val="00962BF0"/>
    <w:rsid w:val="009631EF"/>
    <w:rsid w:val="00963290"/>
    <w:rsid w:val="009633B2"/>
    <w:rsid w:val="00963953"/>
    <w:rsid w:val="009641DE"/>
    <w:rsid w:val="00964252"/>
    <w:rsid w:val="009645ED"/>
    <w:rsid w:val="009647F5"/>
    <w:rsid w:val="009648AF"/>
    <w:rsid w:val="00964984"/>
    <w:rsid w:val="00964AD5"/>
    <w:rsid w:val="0096512C"/>
    <w:rsid w:val="00965217"/>
    <w:rsid w:val="00965265"/>
    <w:rsid w:val="0096532F"/>
    <w:rsid w:val="00965354"/>
    <w:rsid w:val="0096592F"/>
    <w:rsid w:val="00965AA4"/>
    <w:rsid w:val="00965E67"/>
    <w:rsid w:val="00965EFD"/>
    <w:rsid w:val="0096671E"/>
    <w:rsid w:val="009667E4"/>
    <w:rsid w:val="009669C2"/>
    <w:rsid w:val="00966C16"/>
    <w:rsid w:val="00966D52"/>
    <w:rsid w:val="00966D9B"/>
    <w:rsid w:val="00966D9C"/>
    <w:rsid w:val="00967106"/>
    <w:rsid w:val="009671BA"/>
    <w:rsid w:val="00967223"/>
    <w:rsid w:val="00967232"/>
    <w:rsid w:val="0096750B"/>
    <w:rsid w:val="00967679"/>
    <w:rsid w:val="009676B2"/>
    <w:rsid w:val="009676EE"/>
    <w:rsid w:val="00967927"/>
    <w:rsid w:val="00967CA8"/>
    <w:rsid w:val="00967F13"/>
    <w:rsid w:val="009705A1"/>
    <w:rsid w:val="00970821"/>
    <w:rsid w:val="00970C0E"/>
    <w:rsid w:val="00970DB3"/>
    <w:rsid w:val="009711DB"/>
    <w:rsid w:val="009712A3"/>
    <w:rsid w:val="00971653"/>
    <w:rsid w:val="00971BF2"/>
    <w:rsid w:val="00972617"/>
    <w:rsid w:val="00972928"/>
    <w:rsid w:val="00972B3A"/>
    <w:rsid w:val="00972B4E"/>
    <w:rsid w:val="00972D62"/>
    <w:rsid w:val="00972F65"/>
    <w:rsid w:val="00973064"/>
    <w:rsid w:val="009730F5"/>
    <w:rsid w:val="009733CD"/>
    <w:rsid w:val="00973B13"/>
    <w:rsid w:val="00973B34"/>
    <w:rsid w:val="00973BA7"/>
    <w:rsid w:val="00973F15"/>
    <w:rsid w:val="00973F20"/>
    <w:rsid w:val="0097413B"/>
    <w:rsid w:val="0097415E"/>
    <w:rsid w:val="00974160"/>
    <w:rsid w:val="009742C9"/>
    <w:rsid w:val="009743F5"/>
    <w:rsid w:val="00974525"/>
    <w:rsid w:val="00974696"/>
    <w:rsid w:val="0097481D"/>
    <w:rsid w:val="00974DB5"/>
    <w:rsid w:val="0097511D"/>
    <w:rsid w:val="0097513F"/>
    <w:rsid w:val="0097522F"/>
    <w:rsid w:val="009752E4"/>
    <w:rsid w:val="0097537F"/>
    <w:rsid w:val="00975468"/>
    <w:rsid w:val="0097548F"/>
    <w:rsid w:val="009756C4"/>
    <w:rsid w:val="00975795"/>
    <w:rsid w:val="00975948"/>
    <w:rsid w:val="00975ADE"/>
    <w:rsid w:val="00975B4E"/>
    <w:rsid w:val="00975CED"/>
    <w:rsid w:val="00975D3A"/>
    <w:rsid w:val="00975E5E"/>
    <w:rsid w:val="00976620"/>
    <w:rsid w:val="00976624"/>
    <w:rsid w:val="00976783"/>
    <w:rsid w:val="00976809"/>
    <w:rsid w:val="0097684C"/>
    <w:rsid w:val="00976ADA"/>
    <w:rsid w:val="00976ADF"/>
    <w:rsid w:val="00976DA1"/>
    <w:rsid w:val="00977440"/>
    <w:rsid w:val="00977559"/>
    <w:rsid w:val="009777B8"/>
    <w:rsid w:val="00977954"/>
    <w:rsid w:val="00977BEA"/>
    <w:rsid w:val="00977D73"/>
    <w:rsid w:val="00977E24"/>
    <w:rsid w:val="00977F74"/>
    <w:rsid w:val="0098013B"/>
    <w:rsid w:val="00980262"/>
    <w:rsid w:val="00980392"/>
    <w:rsid w:val="00980526"/>
    <w:rsid w:val="009805AE"/>
    <w:rsid w:val="00980CBC"/>
    <w:rsid w:val="00980CC1"/>
    <w:rsid w:val="00980E19"/>
    <w:rsid w:val="00980EE1"/>
    <w:rsid w:val="00981018"/>
    <w:rsid w:val="0098129C"/>
    <w:rsid w:val="00981343"/>
    <w:rsid w:val="00981911"/>
    <w:rsid w:val="0098196B"/>
    <w:rsid w:val="00981AAE"/>
    <w:rsid w:val="00981AC1"/>
    <w:rsid w:val="00981CA8"/>
    <w:rsid w:val="00981E97"/>
    <w:rsid w:val="009822A2"/>
    <w:rsid w:val="00982459"/>
    <w:rsid w:val="009825B0"/>
    <w:rsid w:val="009826ED"/>
    <w:rsid w:val="00982826"/>
    <w:rsid w:val="009829BF"/>
    <w:rsid w:val="00982FF1"/>
    <w:rsid w:val="00983032"/>
    <w:rsid w:val="009830E1"/>
    <w:rsid w:val="00983929"/>
    <w:rsid w:val="00983A25"/>
    <w:rsid w:val="00983B03"/>
    <w:rsid w:val="00983B25"/>
    <w:rsid w:val="00983E2A"/>
    <w:rsid w:val="00983EB4"/>
    <w:rsid w:val="00984380"/>
    <w:rsid w:val="009844F8"/>
    <w:rsid w:val="00984634"/>
    <w:rsid w:val="00984896"/>
    <w:rsid w:val="00984A08"/>
    <w:rsid w:val="00984ACA"/>
    <w:rsid w:val="00984B48"/>
    <w:rsid w:val="0098507B"/>
    <w:rsid w:val="009851BF"/>
    <w:rsid w:val="0098533A"/>
    <w:rsid w:val="009855BA"/>
    <w:rsid w:val="0098579E"/>
    <w:rsid w:val="0098597B"/>
    <w:rsid w:val="00985A07"/>
    <w:rsid w:val="00985ADE"/>
    <w:rsid w:val="00986172"/>
    <w:rsid w:val="00986522"/>
    <w:rsid w:val="00986797"/>
    <w:rsid w:val="0098699F"/>
    <w:rsid w:val="009869D7"/>
    <w:rsid w:val="00986B1B"/>
    <w:rsid w:val="00986EA9"/>
    <w:rsid w:val="00986F35"/>
    <w:rsid w:val="00986F8B"/>
    <w:rsid w:val="00987031"/>
    <w:rsid w:val="00987132"/>
    <w:rsid w:val="0098734C"/>
    <w:rsid w:val="00987438"/>
    <w:rsid w:val="0098767D"/>
    <w:rsid w:val="0098775E"/>
    <w:rsid w:val="0098793C"/>
    <w:rsid w:val="00987943"/>
    <w:rsid w:val="00987B76"/>
    <w:rsid w:val="00987D5D"/>
    <w:rsid w:val="00987EEF"/>
    <w:rsid w:val="00990045"/>
    <w:rsid w:val="00990508"/>
    <w:rsid w:val="0099089E"/>
    <w:rsid w:val="00990AA0"/>
    <w:rsid w:val="00990B53"/>
    <w:rsid w:val="009914A6"/>
    <w:rsid w:val="00991538"/>
    <w:rsid w:val="009916C5"/>
    <w:rsid w:val="009916D0"/>
    <w:rsid w:val="00991E3A"/>
    <w:rsid w:val="0099211D"/>
    <w:rsid w:val="00992170"/>
    <w:rsid w:val="00992372"/>
    <w:rsid w:val="0099238F"/>
    <w:rsid w:val="009926A9"/>
    <w:rsid w:val="00992933"/>
    <w:rsid w:val="009929B4"/>
    <w:rsid w:val="00992B1C"/>
    <w:rsid w:val="00992BC5"/>
    <w:rsid w:val="00992C22"/>
    <w:rsid w:val="00992D0C"/>
    <w:rsid w:val="009930B5"/>
    <w:rsid w:val="0099311B"/>
    <w:rsid w:val="009932F4"/>
    <w:rsid w:val="009934FF"/>
    <w:rsid w:val="009936AE"/>
    <w:rsid w:val="0099372E"/>
    <w:rsid w:val="009937A2"/>
    <w:rsid w:val="009939FE"/>
    <w:rsid w:val="00993DE8"/>
    <w:rsid w:val="00993E42"/>
    <w:rsid w:val="009944D9"/>
    <w:rsid w:val="0099495A"/>
    <w:rsid w:val="00994BE8"/>
    <w:rsid w:val="00994C96"/>
    <w:rsid w:val="00994CA9"/>
    <w:rsid w:val="00995104"/>
    <w:rsid w:val="009955EC"/>
    <w:rsid w:val="0099560D"/>
    <w:rsid w:val="00995D19"/>
    <w:rsid w:val="00995D60"/>
    <w:rsid w:val="00995DDF"/>
    <w:rsid w:val="00995E32"/>
    <w:rsid w:val="00996013"/>
    <w:rsid w:val="009960A1"/>
    <w:rsid w:val="009962A3"/>
    <w:rsid w:val="00996641"/>
    <w:rsid w:val="00996658"/>
    <w:rsid w:val="00996D39"/>
    <w:rsid w:val="00997134"/>
    <w:rsid w:val="00997793"/>
    <w:rsid w:val="00997986"/>
    <w:rsid w:val="00997ED7"/>
    <w:rsid w:val="009A006C"/>
    <w:rsid w:val="009A038A"/>
    <w:rsid w:val="009A03A8"/>
    <w:rsid w:val="009A0454"/>
    <w:rsid w:val="009A0464"/>
    <w:rsid w:val="009A052C"/>
    <w:rsid w:val="009A059B"/>
    <w:rsid w:val="009A06B6"/>
    <w:rsid w:val="009A06CB"/>
    <w:rsid w:val="009A0737"/>
    <w:rsid w:val="009A074F"/>
    <w:rsid w:val="009A083E"/>
    <w:rsid w:val="009A08A5"/>
    <w:rsid w:val="009A08C9"/>
    <w:rsid w:val="009A0930"/>
    <w:rsid w:val="009A0AE3"/>
    <w:rsid w:val="009A0B99"/>
    <w:rsid w:val="009A0CD5"/>
    <w:rsid w:val="009A0F4A"/>
    <w:rsid w:val="009A0FC7"/>
    <w:rsid w:val="009A138D"/>
    <w:rsid w:val="009A13D5"/>
    <w:rsid w:val="009A1C30"/>
    <w:rsid w:val="009A1E85"/>
    <w:rsid w:val="009A1F08"/>
    <w:rsid w:val="009A1FC2"/>
    <w:rsid w:val="009A227D"/>
    <w:rsid w:val="009A24C6"/>
    <w:rsid w:val="009A279E"/>
    <w:rsid w:val="009A27A3"/>
    <w:rsid w:val="009A29A2"/>
    <w:rsid w:val="009A2E0B"/>
    <w:rsid w:val="009A3048"/>
    <w:rsid w:val="009A32ED"/>
    <w:rsid w:val="009A3329"/>
    <w:rsid w:val="009A33AF"/>
    <w:rsid w:val="009A3582"/>
    <w:rsid w:val="009A3805"/>
    <w:rsid w:val="009A3AA2"/>
    <w:rsid w:val="009A3B68"/>
    <w:rsid w:val="009A3EC0"/>
    <w:rsid w:val="009A3F5A"/>
    <w:rsid w:val="009A43D3"/>
    <w:rsid w:val="009A44A5"/>
    <w:rsid w:val="009A462D"/>
    <w:rsid w:val="009A48CD"/>
    <w:rsid w:val="009A5421"/>
    <w:rsid w:val="009A566E"/>
    <w:rsid w:val="009A57C7"/>
    <w:rsid w:val="009A57DE"/>
    <w:rsid w:val="009A5977"/>
    <w:rsid w:val="009A5CA6"/>
    <w:rsid w:val="009A5CBD"/>
    <w:rsid w:val="009A5D88"/>
    <w:rsid w:val="009A5E29"/>
    <w:rsid w:val="009A6119"/>
    <w:rsid w:val="009A613A"/>
    <w:rsid w:val="009A6160"/>
    <w:rsid w:val="009A61C1"/>
    <w:rsid w:val="009A6202"/>
    <w:rsid w:val="009A649A"/>
    <w:rsid w:val="009A65EA"/>
    <w:rsid w:val="009A6613"/>
    <w:rsid w:val="009A6748"/>
    <w:rsid w:val="009A6789"/>
    <w:rsid w:val="009A6BE5"/>
    <w:rsid w:val="009A6D0D"/>
    <w:rsid w:val="009A6E9E"/>
    <w:rsid w:val="009A71A9"/>
    <w:rsid w:val="009A720B"/>
    <w:rsid w:val="009A7238"/>
    <w:rsid w:val="009A763A"/>
    <w:rsid w:val="009A76EB"/>
    <w:rsid w:val="009A77AB"/>
    <w:rsid w:val="009A7876"/>
    <w:rsid w:val="009A7F5A"/>
    <w:rsid w:val="009B006C"/>
    <w:rsid w:val="009B04AF"/>
    <w:rsid w:val="009B058D"/>
    <w:rsid w:val="009B06A9"/>
    <w:rsid w:val="009B06F2"/>
    <w:rsid w:val="009B0B69"/>
    <w:rsid w:val="009B139F"/>
    <w:rsid w:val="009B1402"/>
    <w:rsid w:val="009B15AC"/>
    <w:rsid w:val="009B165D"/>
    <w:rsid w:val="009B189E"/>
    <w:rsid w:val="009B18F1"/>
    <w:rsid w:val="009B1914"/>
    <w:rsid w:val="009B1B9C"/>
    <w:rsid w:val="009B1DAE"/>
    <w:rsid w:val="009B2139"/>
    <w:rsid w:val="009B2248"/>
    <w:rsid w:val="009B237D"/>
    <w:rsid w:val="009B25F1"/>
    <w:rsid w:val="009B27AF"/>
    <w:rsid w:val="009B27C8"/>
    <w:rsid w:val="009B2BF2"/>
    <w:rsid w:val="009B2D95"/>
    <w:rsid w:val="009B3047"/>
    <w:rsid w:val="009B3241"/>
    <w:rsid w:val="009B3337"/>
    <w:rsid w:val="009B34EC"/>
    <w:rsid w:val="009B35B1"/>
    <w:rsid w:val="009B36C1"/>
    <w:rsid w:val="009B39EB"/>
    <w:rsid w:val="009B39EF"/>
    <w:rsid w:val="009B3D34"/>
    <w:rsid w:val="009B3D5E"/>
    <w:rsid w:val="009B3EBD"/>
    <w:rsid w:val="009B4048"/>
    <w:rsid w:val="009B4102"/>
    <w:rsid w:val="009B4562"/>
    <w:rsid w:val="009B4A4B"/>
    <w:rsid w:val="009B4E53"/>
    <w:rsid w:val="009B54E7"/>
    <w:rsid w:val="009B552A"/>
    <w:rsid w:val="009B582A"/>
    <w:rsid w:val="009B58B9"/>
    <w:rsid w:val="009B592D"/>
    <w:rsid w:val="009B59B0"/>
    <w:rsid w:val="009B5AB0"/>
    <w:rsid w:val="009B5D29"/>
    <w:rsid w:val="009B5E3E"/>
    <w:rsid w:val="009B5EF0"/>
    <w:rsid w:val="009B5FAC"/>
    <w:rsid w:val="009B60B8"/>
    <w:rsid w:val="009B6488"/>
    <w:rsid w:val="009B659D"/>
    <w:rsid w:val="009B6683"/>
    <w:rsid w:val="009B67DC"/>
    <w:rsid w:val="009B6AB2"/>
    <w:rsid w:val="009B6C60"/>
    <w:rsid w:val="009B6E9F"/>
    <w:rsid w:val="009B6EBC"/>
    <w:rsid w:val="009B6F45"/>
    <w:rsid w:val="009B6F94"/>
    <w:rsid w:val="009B7385"/>
    <w:rsid w:val="009B7473"/>
    <w:rsid w:val="009B7569"/>
    <w:rsid w:val="009B7D2E"/>
    <w:rsid w:val="009B7EB6"/>
    <w:rsid w:val="009B7F7D"/>
    <w:rsid w:val="009C019B"/>
    <w:rsid w:val="009C01F3"/>
    <w:rsid w:val="009C054E"/>
    <w:rsid w:val="009C05E0"/>
    <w:rsid w:val="009C065A"/>
    <w:rsid w:val="009C066C"/>
    <w:rsid w:val="009C0B33"/>
    <w:rsid w:val="009C0DA3"/>
    <w:rsid w:val="009C0F1B"/>
    <w:rsid w:val="009C0F71"/>
    <w:rsid w:val="009C1120"/>
    <w:rsid w:val="009C16DF"/>
    <w:rsid w:val="009C1784"/>
    <w:rsid w:val="009C1E1C"/>
    <w:rsid w:val="009C1FF8"/>
    <w:rsid w:val="009C202B"/>
    <w:rsid w:val="009C2390"/>
    <w:rsid w:val="009C2421"/>
    <w:rsid w:val="009C24D1"/>
    <w:rsid w:val="009C254A"/>
    <w:rsid w:val="009C25AB"/>
    <w:rsid w:val="009C2808"/>
    <w:rsid w:val="009C2924"/>
    <w:rsid w:val="009C2996"/>
    <w:rsid w:val="009C2B92"/>
    <w:rsid w:val="009C2BE3"/>
    <w:rsid w:val="009C2DFC"/>
    <w:rsid w:val="009C2EA2"/>
    <w:rsid w:val="009C2FFF"/>
    <w:rsid w:val="009C3485"/>
    <w:rsid w:val="009C3DD2"/>
    <w:rsid w:val="009C3F11"/>
    <w:rsid w:val="009C3FEE"/>
    <w:rsid w:val="009C3FFB"/>
    <w:rsid w:val="009C403B"/>
    <w:rsid w:val="009C4081"/>
    <w:rsid w:val="009C428B"/>
    <w:rsid w:val="009C44B3"/>
    <w:rsid w:val="009C4658"/>
    <w:rsid w:val="009C4790"/>
    <w:rsid w:val="009C47B4"/>
    <w:rsid w:val="009C4ACF"/>
    <w:rsid w:val="009C4B4F"/>
    <w:rsid w:val="009C4ECD"/>
    <w:rsid w:val="009C5007"/>
    <w:rsid w:val="009C516E"/>
    <w:rsid w:val="009C544B"/>
    <w:rsid w:val="009C5659"/>
    <w:rsid w:val="009C5B11"/>
    <w:rsid w:val="009C6044"/>
    <w:rsid w:val="009C62AD"/>
    <w:rsid w:val="009C64BE"/>
    <w:rsid w:val="009C653D"/>
    <w:rsid w:val="009C6566"/>
    <w:rsid w:val="009C65FF"/>
    <w:rsid w:val="009C673E"/>
    <w:rsid w:val="009C6789"/>
    <w:rsid w:val="009C68CB"/>
    <w:rsid w:val="009C6A7F"/>
    <w:rsid w:val="009C6EA0"/>
    <w:rsid w:val="009C72B8"/>
    <w:rsid w:val="009C73DF"/>
    <w:rsid w:val="009C7754"/>
    <w:rsid w:val="009C78CA"/>
    <w:rsid w:val="009C7BD4"/>
    <w:rsid w:val="009C7BF9"/>
    <w:rsid w:val="009C7DFC"/>
    <w:rsid w:val="009C7E6D"/>
    <w:rsid w:val="009D006B"/>
    <w:rsid w:val="009D015E"/>
    <w:rsid w:val="009D0166"/>
    <w:rsid w:val="009D01A3"/>
    <w:rsid w:val="009D057B"/>
    <w:rsid w:val="009D09BD"/>
    <w:rsid w:val="009D0AB5"/>
    <w:rsid w:val="009D0B39"/>
    <w:rsid w:val="009D0FC5"/>
    <w:rsid w:val="009D10F3"/>
    <w:rsid w:val="009D11F8"/>
    <w:rsid w:val="009D120B"/>
    <w:rsid w:val="009D1377"/>
    <w:rsid w:val="009D16C6"/>
    <w:rsid w:val="009D1992"/>
    <w:rsid w:val="009D2000"/>
    <w:rsid w:val="009D204B"/>
    <w:rsid w:val="009D21F5"/>
    <w:rsid w:val="009D2955"/>
    <w:rsid w:val="009D2A36"/>
    <w:rsid w:val="009D2B6C"/>
    <w:rsid w:val="009D31AA"/>
    <w:rsid w:val="009D3564"/>
    <w:rsid w:val="009D35F5"/>
    <w:rsid w:val="009D36FE"/>
    <w:rsid w:val="009D3723"/>
    <w:rsid w:val="009D388A"/>
    <w:rsid w:val="009D396F"/>
    <w:rsid w:val="009D3B40"/>
    <w:rsid w:val="009D3BB9"/>
    <w:rsid w:val="009D48A8"/>
    <w:rsid w:val="009D4986"/>
    <w:rsid w:val="009D4AFE"/>
    <w:rsid w:val="009D5174"/>
    <w:rsid w:val="009D5272"/>
    <w:rsid w:val="009D52CC"/>
    <w:rsid w:val="009D5321"/>
    <w:rsid w:val="009D5375"/>
    <w:rsid w:val="009D53A7"/>
    <w:rsid w:val="009D5499"/>
    <w:rsid w:val="009D562D"/>
    <w:rsid w:val="009D576A"/>
    <w:rsid w:val="009D57E3"/>
    <w:rsid w:val="009D5A5D"/>
    <w:rsid w:val="009D5C03"/>
    <w:rsid w:val="009D5F28"/>
    <w:rsid w:val="009D5FC0"/>
    <w:rsid w:val="009D5FE9"/>
    <w:rsid w:val="009D6163"/>
    <w:rsid w:val="009D6307"/>
    <w:rsid w:val="009D64C0"/>
    <w:rsid w:val="009D656A"/>
    <w:rsid w:val="009D679C"/>
    <w:rsid w:val="009D6A61"/>
    <w:rsid w:val="009D6D3F"/>
    <w:rsid w:val="009D71AE"/>
    <w:rsid w:val="009D71C9"/>
    <w:rsid w:val="009D71CE"/>
    <w:rsid w:val="009D729C"/>
    <w:rsid w:val="009D7420"/>
    <w:rsid w:val="009D778B"/>
    <w:rsid w:val="009D780C"/>
    <w:rsid w:val="009D78D7"/>
    <w:rsid w:val="009D7ABB"/>
    <w:rsid w:val="009D7C50"/>
    <w:rsid w:val="009D7CFE"/>
    <w:rsid w:val="009D7EDA"/>
    <w:rsid w:val="009D7F58"/>
    <w:rsid w:val="009D7FCE"/>
    <w:rsid w:val="009E0032"/>
    <w:rsid w:val="009E006D"/>
    <w:rsid w:val="009E0155"/>
    <w:rsid w:val="009E0385"/>
    <w:rsid w:val="009E0459"/>
    <w:rsid w:val="009E06D0"/>
    <w:rsid w:val="009E06DE"/>
    <w:rsid w:val="009E074B"/>
    <w:rsid w:val="009E085B"/>
    <w:rsid w:val="009E0993"/>
    <w:rsid w:val="009E0A65"/>
    <w:rsid w:val="009E0AB9"/>
    <w:rsid w:val="009E0C25"/>
    <w:rsid w:val="009E0C66"/>
    <w:rsid w:val="009E0CE5"/>
    <w:rsid w:val="009E0EE3"/>
    <w:rsid w:val="009E0F35"/>
    <w:rsid w:val="009E0F45"/>
    <w:rsid w:val="009E0FB2"/>
    <w:rsid w:val="009E1099"/>
    <w:rsid w:val="009E10BD"/>
    <w:rsid w:val="009E11D5"/>
    <w:rsid w:val="009E168F"/>
    <w:rsid w:val="009E1783"/>
    <w:rsid w:val="009E1862"/>
    <w:rsid w:val="009E1897"/>
    <w:rsid w:val="009E198F"/>
    <w:rsid w:val="009E19A5"/>
    <w:rsid w:val="009E1E5C"/>
    <w:rsid w:val="009E1EBA"/>
    <w:rsid w:val="009E1EFA"/>
    <w:rsid w:val="009E2137"/>
    <w:rsid w:val="009E21FC"/>
    <w:rsid w:val="009E2225"/>
    <w:rsid w:val="009E22BF"/>
    <w:rsid w:val="009E2310"/>
    <w:rsid w:val="009E24F0"/>
    <w:rsid w:val="009E2749"/>
    <w:rsid w:val="009E2F18"/>
    <w:rsid w:val="009E2F33"/>
    <w:rsid w:val="009E3577"/>
    <w:rsid w:val="009E366C"/>
    <w:rsid w:val="009E37ED"/>
    <w:rsid w:val="009E37F4"/>
    <w:rsid w:val="009E38EB"/>
    <w:rsid w:val="009E3964"/>
    <w:rsid w:val="009E3FEF"/>
    <w:rsid w:val="009E40A2"/>
    <w:rsid w:val="009E414C"/>
    <w:rsid w:val="009E41E3"/>
    <w:rsid w:val="009E43B7"/>
    <w:rsid w:val="009E43EF"/>
    <w:rsid w:val="009E45DC"/>
    <w:rsid w:val="009E4757"/>
    <w:rsid w:val="009E479C"/>
    <w:rsid w:val="009E47BF"/>
    <w:rsid w:val="009E4A9A"/>
    <w:rsid w:val="009E4AF6"/>
    <w:rsid w:val="009E4B43"/>
    <w:rsid w:val="009E4F19"/>
    <w:rsid w:val="009E5122"/>
    <w:rsid w:val="009E52BC"/>
    <w:rsid w:val="009E52D3"/>
    <w:rsid w:val="009E568E"/>
    <w:rsid w:val="009E5765"/>
    <w:rsid w:val="009E5ABC"/>
    <w:rsid w:val="009E63A6"/>
    <w:rsid w:val="009E642E"/>
    <w:rsid w:val="009E6453"/>
    <w:rsid w:val="009E68AD"/>
    <w:rsid w:val="009E6937"/>
    <w:rsid w:val="009E6A1C"/>
    <w:rsid w:val="009E6C22"/>
    <w:rsid w:val="009E6C45"/>
    <w:rsid w:val="009E6C4F"/>
    <w:rsid w:val="009E6D83"/>
    <w:rsid w:val="009E6DA4"/>
    <w:rsid w:val="009E6E77"/>
    <w:rsid w:val="009E6FC3"/>
    <w:rsid w:val="009E71BD"/>
    <w:rsid w:val="009E7233"/>
    <w:rsid w:val="009E74E5"/>
    <w:rsid w:val="009E7581"/>
    <w:rsid w:val="009E77A6"/>
    <w:rsid w:val="009E79DD"/>
    <w:rsid w:val="009E7C6F"/>
    <w:rsid w:val="009F0068"/>
    <w:rsid w:val="009F0159"/>
    <w:rsid w:val="009F0254"/>
    <w:rsid w:val="009F0427"/>
    <w:rsid w:val="009F048F"/>
    <w:rsid w:val="009F04BC"/>
    <w:rsid w:val="009F0718"/>
    <w:rsid w:val="009F0A00"/>
    <w:rsid w:val="009F0AF8"/>
    <w:rsid w:val="009F101B"/>
    <w:rsid w:val="009F10C1"/>
    <w:rsid w:val="009F1100"/>
    <w:rsid w:val="009F147B"/>
    <w:rsid w:val="009F1502"/>
    <w:rsid w:val="009F1630"/>
    <w:rsid w:val="009F1824"/>
    <w:rsid w:val="009F1833"/>
    <w:rsid w:val="009F1C3E"/>
    <w:rsid w:val="009F1C5A"/>
    <w:rsid w:val="009F1F6E"/>
    <w:rsid w:val="009F1FA1"/>
    <w:rsid w:val="009F242D"/>
    <w:rsid w:val="009F2703"/>
    <w:rsid w:val="009F28A1"/>
    <w:rsid w:val="009F2AD2"/>
    <w:rsid w:val="009F2AF8"/>
    <w:rsid w:val="009F2B63"/>
    <w:rsid w:val="009F2BC6"/>
    <w:rsid w:val="009F2D50"/>
    <w:rsid w:val="009F2EA3"/>
    <w:rsid w:val="009F30FB"/>
    <w:rsid w:val="009F31D5"/>
    <w:rsid w:val="009F34C4"/>
    <w:rsid w:val="009F3655"/>
    <w:rsid w:val="009F375C"/>
    <w:rsid w:val="009F377B"/>
    <w:rsid w:val="009F37E1"/>
    <w:rsid w:val="009F382E"/>
    <w:rsid w:val="009F38D0"/>
    <w:rsid w:val="009F3C8D"/>
    <w:rsid w:val="009F3DC4"/>
    <w:rsid w:val="009F3E55"/>
    <w:rsid w:val="009F4197"/>
    <w:rsid w:val="009F43CF"/>
    <w:rsid w:val="009F447A"/>
    <w:rsid w:val="009F448E"/>
    <w:rsid w:val="009F44C2"/>
    <w:rsid w:val="009F4736"/>
    <w:rsid w:val="009F48A1"/>
    <w:rsid w:val="009F4C62"/>
    <w:rsid w:val="009F4CD3"/>
    <w:rsid w:val="009F513B"/>
    <w:rsid w:val="009F5201"/>
    <w:rsid w:val="009F524D"/>
    <w:rsid w:val="009F535D"/>
    <w:rsid w:val="009F557D"/>
    <w:rsid w:val="009F59A8"/>
    <w:rsid w:val="009F5B8E"/>
    <w:rsid w:val="009F5C17"/>
    <w:rsid w:val="009F5CC7"/>
    <w:rsid w:val="009F6008"/>
    <w:rsid w:val="009F6497"/>
    <w:rsid w:val="009F653C"/>
    <w:rsid w:val="009F67A2"/>
    <w:rsid w:val="009F68A8"/>
    <w:rsid w:val="009F69CE"/>
    <w:rsid w:val="009F6A6F"/>
    <w:rsid w:val="009F6CB1"/>
    <w:rsid w:val="009F6D18"/>
    <w:rsid w:val="009F6D87"/>
    <w:rsid w:val="009F7024"/>
    <w:rsid w:val="009F75D6"/>
    <w:rsid w:val="009F7697"/>
    <w:rsid w:val="009F76F8"/>
    <w:rsid w:val="009F7726"/>
    <w:rsid w:val="009F79EF"/>
    <w:rsid w:val="009F7AFD"/>
    <w:rsid w:val="009F7C4D"/>
    <w:rsid w:val="009F7DD6"/>
    <w:rsid w:val="009F7E8A"/>
    <w:rsid w:val="009F7EA7"/>
    <w:rsid w:val="00A00551"/>
    <w:rsid w:val="00A0056E"/>
    <w:rsid w:val="00A0065D"/>
    <w:rsid w:val="00A00730"/>
    <w:rsid w:val="00A0077A"/>
    <w:rsid w:val="00A0095C"/>
    <w:rsid w:val="00A0098D"/>
    <w:rsid w:val="00A00997"/>
    <w:rsid w:val="00A00CA3"/>
    <w:rsid w:val="00A01013"/>
    <w:rsid w:val="00A01079"/>
    <w:rsid w:val="00A01357"/>
    <w:rsid w:val="00A01641"/>
    <w:rsid w:val="00A01C55"/>
    <w:rsid w:val="00A01DA8"/>
    <w:rsid w:val="00A02181"/>
    <w:rsid w:val="00A0221E"/>
    <w:rsid w:val="00A026DC"/>
    <w:rsid w:val="00A0270E"/>
    <w:rsid w:val="00A02A54"/>
    <w:rsid w:val="00A02BBF"/>
    <w:rsid w:val="00A02CB8"/>
    <w:rsid w:val="00A02F50"/>
    <w:rsid w:val="00A03806"/>
    <w:rsid w:val="00A039C6"/>
    <w:rsid w:val="00A0409E"/>
    <w:rsid w:val="00A041CF"/>
    <w:rsid w:val="00A0442B"/>
    <w:rsid w:val="00A045F5"/>
    <w:rsid w:val="00A04867"/>
    <w:rsid w:val="00A04A1B"/>
    <w:rsid w:val="00A04B8C"/>
    <w:rsid w:val="00A04BF8"/>
    <w:rsid w:val="00A04ECE"/>
    <w:rsid w:val="00A04F6C"/>
    <w:rsid w:val="00A04F82"/>
    <w:rsid w:val="00A04FEF"/>
    <w:rsid w:val="00A050CC"/>
    <w:rsid w:val="00A05548"/>
    <w:rsid w:val="00A05613"/>
    <w:rsid w:val="00A05630"/>
    <w:rsid w:val="00A0564B"/>
    <w:rsid w:val="00A05782"/>
    <w:rsid w:val="00A05822"/>
    <w:rsid w:val="00A05A33"/>
    <w:rsid w:val="00A05AB6"/>
    <w:rsid w:val="00A05BFC"/>
    <w:rsid w:val="00A05C16"/>
    <w:rsid w:val="00A0604A"/>
    <w:rsid w:val="00A06068"/>
    <w:rsid w:val="00A06164"/>
    <w:rsid w:val="00A06353"/>
    <w:rsid w:val="00A063EE"/>
    <w:rsid w:val="00A069A9"/>
    <w:rsid w:val="00A06BF0"/>
    <w:rsid w:val="00A06C1D"/>
    <w:rsid w:val="00A0726A"/>
    <w:rsid w:val="00A072DD"/>
    <w:rsid w:val="00A07309"/>
    <w:rsid w:val="00A07343"/>
    <w:rsid w:val="00A074FD"/>
    <w:rsid w:val="00A076A4"/>
    <w:rsid w:val="00A07718"/>
    <w:rsid w:val="00A078B3"/>
    <w:rsid w:val="00A07B30"/>
    <w:rsid w:val="00A07C48"/>
    <w:rsid w:val="00A10570"/>
    <w:rsid w:val="00A1081F"/>
    <w:rsid w:val="00A10C09"/>
    <w:rsid w:val="00A10C9F"/>
    <w:rsid w:val="00A10D5E"/>
    <w:rsid w:val="00A10E04"/>
    <w:rsid w:val="00A1128E"/>
    <w:rsid w:val="00A112BA"/>
    <w:rsid w:val="00A11383"/>
    <w:rsid w:val="00A11389"/>
    <w:rsid w:val="00A11393"/>
    <w:rsid w:val="00A119CB"/>
    <w:rsid w:val="00A11B6C"/>
    <w:rsid w:val="00A11B83"/>
    <w:rsid w:val="00A11B8B"/>
    <w:rsid w:val="00A11B98"/>
    <w:rsid w:val="00A11CF4"/>
    <w:rsid w:val="00A11D16"/>
    <w:rsid w:val="00A11FDC"/>
    <w:rsid w:val="00A1229B"/>
    <w:rsid w:val="00A1230C"/>
    <w:rsid w:val="00A128D7"/>
    <w:rsid w:val="00A12919"/>
    <w:rsid w:val="00A12ABA"/>
    <w:rsid w:val="00A12B76"/>
    <w:rsid w:val="00A12BA3"/>
    <w:rsid w:val="00A12BA9"/>
    <w:rsid w:val="00A12D9E"/>
    <w:rsid w:val="00A12F04"/>
    <w:rsid w:val="00A1383C"/>
    <w:rsid w:val="00A139E5"/>
    <w:rsid w:val="00A13A20"/>
    <w:rsid w:val="00A13A22"/>
    <w:rsid w:val="00A13A7F"/>
    <w:rsid w:val="00A13ABB"/>
    <w:rsid w:val="00A13FA2"/>
    <w:rsid w:val="00A14055"/>
    <w:rsid w:val="00A14090"/>
    <w:rsid w:val="00A14377"/>
    <w:rsid w:val="00A1446E"/>
    <w:rsid w:val="00A14706"/>
    <w:rsid w:val="00A148B6"/>
    <w:rsid w:val="00A1502F"/>
    <w:rsid w:val="00A151BF"/>
    <w:rsid w:val="00A152DD"/>
    <w:rsid w:val="00A158EC"/>
    <w:rsid w:val="00A15917"/>
    <w:rsid w:val="00A15DC6"/>
    <w:rsid w:val="00A15F4D"/>
    <w:rsid w:val="00A16046"/>
    <w:rsid w:val="00A161A4"/>
    <w:rsid w:val="00A1647F"/>
    <w:rsid w:val="00A16797"/>
    <w:rsid w:val="00A169C0"/>
    <w:rsid w:val="00A16E78"/>
    <w:rsid w:val="00A16E87"/>
    <w:rsid w:val="00A16F43"/>
    <w:rsid w:val="00A17251"/>
    <w:rsid w:val="00A174E7"/>
    <w:rsid w:val="00A17652"/>
    <w:rsid w:val="00A176AA"/>
    <w:rsid w:val="00A177D6"/>
    <w:rsid w:val="00A17957"/>
    <w:rsid w:val="00A17AAB"/>
    <w:rsid w:val="00A17B31"/>
    <w:rsid w:val="00A17C01"/>
    <w:rsid w:val="00A17E53"/>
    <w:rsid w:val="00A17E73"/>
    <w:rsid w:val="00A200B5"/>
    <w:rsid w:val="00A2019A"/>
    <w:rsid w:val="00A20485"/>
    <w:rsid w:val="00A207E5"/>
    <w:rsid w:val="00A20955"/>
    <w:rsid w:val="00A20986"/>
    <w:rsid w:val="00A20AA7"/>
    <w:rsid w:val="00A20BE2"/>
    <w:rsid w:val="00A210DB"/>
    <w:rsid w:val="00A21161"/>
    <w:rsid w:val="00A212B5"/>
    <w:rsid w:val="00A213DD"/>
    <w:rsid w:val="00A21743"/>
    <w:rsid w:val="00A219F8"/>
    <w:rsid w:val="00A22140"/>
    <w:rsid w:val="00A221C8"/>
    <w:rsid w:val="00A22338"/>
    <w:rsid w:val="00A225DC"/>
    <w:rsid w:val="00A226EE"/>
    <w:rsid w:val="00A22B25"/>
    <w:rsid w:val="00A22C38"/>
    <w:rsid w:val="00A22C63"/>
    <w:rsid w:val="00A22E20"/>
    <w:rsid w:val="00A22EDC"/>
    <w:rsid w:val="00A2312E"/>
    <w:rsid w:val="00A233C0"/>
    <w:rsid w:val="00A234A0"/>
    <w:rsid w:val="00A23540"/>
    <w:rsid w:val="00A2394B"/>
    <w:rsid w:val="00A23B8D"/>
    <w:rsid w:val="00A23FCE"/>
    <w:rsid w:val="00A242DE"/>
    <w:rsid w:val="00A244C2"/>
    <w:rsid w:val="00A247DC"/>
    <w:rsid w:val="00A24981"/>
    <w:rsid w:val="00A25180"/>
    <w:rsid w:val="00A2526D"/>
    <w:rsid w:val="00A2541F"/>
    <w:rsid w:val="00A2560E"/>
    <w:rsid w:val="00A2576C"/>
    <w:rsid w:val="00A257B9"/>
    <w:rsid w:val="00A25850"/>
    <w:rsid w:val="00A25EE1"/>
    <w:rsid w:val="00A25FA0"/>
    <w:rsid w:val="00A26468"/>
    <w:rsid w:val="00A2660E"/>
    <w:rsid w:val="00A2675E"/>
    <w:rsid w:val="00A267A8"/>
    <w:rsid w:val="00A26985"/>
    <w:rsid w:val="00A269A8"/>
    <w:rsid w:val="00A269D1"/>
    <w:rsid w:val="00A26A8F"/>
    <w:rsid w:val="00A26AE2"/>
    <w:rsid w:val="00A26F80"/>
    <w:rsid w:val="00A270CB"/>
    <w:rsid w:val="00A27389"/>
    <w:rsid w:val="00A27B97"/>
    <w:rsid w:val="00A27C36"/>
    <w:rsid w:val="00A3022F"/>
    <w:rsid w:val="00A30241"/>
    <w:rsid w:val="00A302D2"/>
    <w:rsid w:val="00A3030C"/>
    <w:rsid w:val="00A305C6"/>
    <w:rsid w:val="00A3096A"/>
    <w:rsid w:val="00A30E91"/>
    <w:rsid w:val="00A310E4"/>
    <w:rsid w:val="00A3112E"/>
    <w:rsid w:val="00A311E7"/>
    <w:rsid w:val="00A316C4"/>
    <w:rsid w:val="00A31E36"/>
    <w:rsid w:val="00A31EA4"/>
    <w:rsid w:val="00A31EF9"/>
    <w:rsid w:val="00A32139"/>
    <w:rsid w:val="00A32167"/>
    <w:rsid w:val="00A32181"/>
    <w:rsid w:val="00A321A4"/>
    <w:rsid w:val="00A321DE"/>
    <w:rsid w:val="00A32229"/>
    <w:rsid w:val="00A32258"/>
    <w:rsid w:val="00A32261"/>
    <w:rsid w:val="00A32309"/>
    <w:rsid w:val="00A32416"/>
    <w:rsid w:val="00A327EE"/>
    <w:rsid w:val="00A32806"/>
    <w:rsid w:val="00A32A8B"/>
    <w:rsid w:val="00A32AA1"/>
    <w:rsid w:val="00A32E9C"/>
    <w:rsid w:val="00A32F94"/>
    <w:rsid w:val="00A331EB"/>
    <w:rsid w:val="00A33333"/>
    <w:rsid w:val="00A333FE"/>
    <w:rsid w:val="00A3389D"/>
    <w:rsid w:val="00A33C47"/>
    <w:rsid w:val="00A33D34"/>
    <w:rsid w:val="00A34231"/>
    <w:rsid w:val="00A349C1"/>
    <w:rsid w:val="00A34D60"/>
    <w:rsid w:val="00A34F21"/>
    <w:rsid w:val="00A35330"/>
    <w:rsid w:val="00A3560B"/>
    <w:rsid w:val="00A35869"/>
    <w:rsid w:val="00A361F4"/>
    <w:rsid w:val="00A36744"/>
    <w:rsid w:val="00A367FD"/>
    <w:rsid w:val="00A36B33"/>
    <w:rsid w:val="00A36DFA"/>
    <w:rsid w:val="00A36E29"/>
    <w:rsid w:val="00A37181"/>
    <w:rsid w:val="00A37307"/>
    <w:rsid w:val="00A37485"/>
    <w:rsid w:val="00A37554"/>
    <w:rsid w:val="00A377F1"/>
    <w:rsid w:val="00A37941"/>
    <w:rsid w:val="00A37948"/>
    <w:rsid w:val="00A37C91"/>
    <w:rsid w:val="00A37D59"/>
    <w:rsid w:val="00A4013F"/>
    <w:rsid w:val="00A4073F"/>
    <w:rsid w:val="00A407AE"/>
    <w:rsid w:val="00A40EE9"/>
    <w:rsid w:val="00A41133"/>
    <w:rsid w:val="00A41A2E"/>
    <w:rsid w:val="00A420B5"/>
    <w:rsid w:val="00A422DE"/>
    <w:rsid w:val="00A424B9"/>
    <w:rsid w:val="00A42538"/>
    <w:rsid w:val="00A4274F"/>
    <w:rsid w:val="00A4284D"/>
    <w:rsid w:val="00A428D8"/>
    <w:rsid w:val="00A42B16"/>
    <w:rsid w:val="00A42E13"/>
    <w:rsid w:val="00A42F54"/>
    <w:rsid w:val="00A434E9"/>
    <w:rsid w:val="00A43508"/>
    <w:rsid w:val="00A4385B"/>
    <w:rsid w:val="00A438F6"/>
    <w:rsid w:val="00A43A24"/>
    <w:rsid w:val="00A43B3E"/>
    <w:rsid w:val="00A43B48"/>
    <w:rsid w:val="00A43EE2"/>
    <w:rsid w:val="00A4401D"/>
    <w:rsid w:val="00A44099"/>
    <w:rsid w:val="00A443F0"/>
    <w:rsid w:val="00A44438"/>
    <w:rsid w:val="00A4448B"/>
    <w:rsid w:val="00A444F4"/>
    <w:rsid w:val="00A4473B"/>
    <w:rsid w:val="00A44CE1"/>
    <w:rsid w:val="00A44D95"/>
    <w:rsid w:val="00A4511B"/>
    <w:rsid w:val="00A451DE"/>
    <w:rsid w:val="00A45286"/>
    <w:rsid w:val="00A45701"/>
    <w:rsid w:val="00A457D8"/>
    <w:rsid w:val="00A459BE"/>
    <w:rsid w:val="00A45A50"/>
    <w:rsid w:val="00A45D9E"/>
    <w:rsid w:val="00A46207"/>
    <w:rsid w:val="00A467F8"/>
    <w:rsid w:val="00A469B1"/>
    <w:rsid w:val="00A46A0E"/>
    <w:rsid w:val="00A46B84"/>
    <w:rsid w:val="00A46CC4"/>
    <w:rsid w:val="00A47117"/>
    <w:rsid w:val="00A47141"/>
    <w:rsid w:val="00A47345"/>
    <w:rsid w:val="00A473AF"/>
    <w:rsid w:val="00A475FE"/>
    <w:rsid w:val="00A47A43"/>
    <w:rsid w:val="00A47A46"/>
    <w:rsid w:val="00A47BB1"/>
    <w:rsid w:val="00A47C4E"/>
    <w:rsid w:val="00A47C8E"/>
    <w:rsid w:val="00A5002D"/>
    <w:rsid w:val="00A50202"/>
    <w:rsid w:val="00A50789"/>
    <w:rsid w:val="00A507AA"/>
    <w:rsid w:val="00A50A1F"/>
    <w:rsid w:val="00A51051"/>
    <w:rsid w:val="00A51108"/>
    <w:rsid w:val="00A51229"/>
    <w:rsid w:val="00A5125F"/>
    <w:rsid w:val="00A51AED"/>
    <w:rsid w:val="00A51E4D"/>
    <w:rsid w:val="00A51EBE"/>
    <w:rsid w:val="00A51EE0"/>
    <w:rsid w:val="00A51F23"/>
    <w:rsid w:val="00A52415"/>
    <w:rsid w:val="00A52445"/>
    <w:rsid w:val="00A52D5E"/>
    <w:rsid w:val="00A52EAF"/>
    <w:rsid w:val="00A532B2"/>
    <w:rsid w:val="00A533A3"/>
    <w:rsid w:val="00A53424"/>
    <w:rsid w:val="00A534F0"/>
    <w:rsid w:val="00A5391A"/>
    <w:rsid w:val="00A53937"/>
    <w:rsid w:val="00A53C79"/>
    <w:rsid w:val="00A54675"/>
    <w:rsid w:val="00A549A2"/>
    <w:rsid w:val="00A55146"/>
    <w:rsid w:val="00A55564"/>
    <w:rsid w:val="00A555F7"/>
    <w:rsid w:val="00A5565F"/>
    <w:rsid w:val="00A55918"/>
    <w:rsid w:val="00A55D00"/>
    <w:rsid w:val="00A55F2A"/>
    <w:rsid w:val="00A56092"/>
    <w:rsid w:val="00A561ED"/>
    <w:rsid w:val="00A56829"/>
    <w:rsid w:val="00A56E1A"/>
    <w:rsid w:val="00A56E57"/>
    <w:rsid w:val="00A5714C"/>
    <w:rsid w:val="00A57241"/>
    <w:rsid w:val="00A572CB"/>
    <w:rsid w:val="00A574C9"/>
    <w:rsid w:val="00A576EF"/>
    <w:rsid w:val="00A57D5D"/>
    <w:rsid w:val="00A57F5C"/>
    <w:rsid w:val="00A57F6A"/>
    <w:rsid w:val="00A57F7C"/>
    <w:rsid w:val="00A601FF"/>
    <w:rsid w:val="00A603BB"/>
    <w:rsid w:val="00A6045B"/>
    <w:rsid w:val="00A60566"/>
    <w:rsid w:val="00A61072"/>
    <w:rsid w:val="00A6127B"/>
    <w:rsid w:val="00A6143C"/>
    <w:rsid w:val="00A61643"/>
    <w:rsid w:val="00A6170E"/>
    <w:rsid w:val="00A6177D"/>
    <w:rsid w:val="00A61D22"/>
    <w:rsid w:val="00A61FB0"/>
    <w:rsid w:val="00A620B4"/>
    <w:rsid w:val="00A624EC"/>
    <w:rsid w:val="00A6296C"/>
    <w:rsid w:val="00A62A9F"/>
    <w:rsid w:val="00A6313D"/>
    <w:rsid w:val="00A63203"/>
    <w:rsid w:val="00A6348C"/>
    <w:rsid w:val="00A63912"/>
    <w:rsid w:val="00A63B4B"/>
    <w:rsid w:val="00A63C69"/>
    <w:rsid w:val="00A63DAA"/>
    <w:rsid w:val="00A64076"/>
    <w:rsid w:val="00A642FA"/>
    <w:rsid w:val="00A6447D"/>
    <w:rsid w:val="00A64498"/>
    <w:rsid w:val="00A644BC"/>
    <w:rsid w:val="00A64CBE"/>
    <w:rsid w:val="00A64E3A"/>
    <w:rsid w:val="00A65021"/>
    <w:rsid w:val="00A652D9"/>
    <w:rsid w:val="00A65368"/>
    <w:rsid w:val="00A6563E"/>
    <w:rsid w:val="00A658A9"/>
    <w:rsid w:val="00A659E1"/>
    <w:rsid w:val="00A65A6B"/>
    <w:rsid w:val="00A65B0E"/>
    <w:rsid w:val="00A65B19"/>
    <w:rsid w:val="00A65EDD"/>
    <w:rsid w:val="00A65EF2"/>
    <w:rsid w:val="00A65FBF"/>
    <w:rsid w:val="00A66322"/>
    <w:rsid w:val="00A66481"/>
    <w:rsid w:val="00A664BF"/>
    <w:rsid w:val="00A66504"/>
    <w:rsid w:val="00A665FE"/>
    <w:rsid w:val="00A6660B"/>
    <w:rsid w:val="00A667D5"/>
    <w:rsid w:val="00A66C80"/>
    <w:rsid w:val="00A66DDA"/>
    <w:rsid w:val="00A670E4"/>
    <w:rsid w:val="00A672F0"/>
    <w:rsid w:val="00A673A3"/>
    <w:rsid w:val="00A6744D"/>
    <w:rsid w:val="00A67454"/>
    <w:rsid w:val="00A674C1"/>
    <w:rsid w:val="00A679AA"/>
    <w:rsid w:val="00A701E4"/>
    <w:rsid w:val="00A701FE"/>
    <w:rsid w:val="00A70250"/>
    <w:rsid w:val="00A7049A"/>
    <w:rsid w:val="00A704B2"/>
    <w:rsid w:val="00A706F0"/>
    <w:rsid w:val="00A70900"/>
    <w:rsid w:val="00A709CB"/>
    <w:rsid w:val="00A709E9"/>
    <w:rsid w:val="00A70A39"/>
    <w:rsid w:val="00A70CA8"/>
    <w:rsid w:val="00A70EDF"/>
    <w:rsid w:val="00A70F52"/>
    <w:rsid w:val="00A70FB4"/>
    <w:rsid w:val="00A70FC3"/>
    <w:rsid w:val="00A710F8"/>
    <w:rsid w:val="00A712F6"/>
    <w:rsid w:val="00A71693"/>
    <w:rsid w:val="00A716F1"/>
    <w:rsid w:val="00A717DA"/>
    <w:rsid w:val="00A7184B"/>
    <w:rsid w:val="00A71938"/>
    <w:rsid w:val="00A71DE4"/>
    <w:rsid w:val="00A7281A"/>
    <w:rsid w:val="00A729B5"/>
    <w:rsid w:val="00A72CE6"/>
    <w:rsid w:val="00A72D87"/>
    <w:rsid w:val="00A72DAE"/>
    <w:rsid w:val="00A732A6"/>
    <w:rsid w:val="00A73C2B"/>
    <w:rsid w:val="00A73E61"/>
    <w:rsid w:val="00A73F58"/>
    <w:rsid w:val="00A743FB"/>
    <w:rsid w:val="00A748D0"/>
    <w:rsid w:val="00A749C5"/>
    <w:rsid w:val="00A749CC"/>
    <w:rsid w:val="00A74BD1"/>
    <w:rsid w:val="00A74FBC"/>
    <w:rsid w:val="00A751DA"/>
    <w:rsid w:val="00A751F8"/>
    <w:rsid w:val="00A75270"/>
    <w:rsid w:val="00A7531E"/>
    <w:rsid w:val="00A754FB"/>
    <w:rsid w:val="00A75A5D"/>
    <w:rsid w:val="00A75AC4"/>
    <w:rsid w:val="00A75CCA"/>
    <w:rsid w:val="00A75F6F"/>
    <w:rsid w:val="00A76024"/>
    <w:rsid w:val="00A76190"/>
    <w:rsid w:val="00A76683"/>
    <w:rsid w:val="00A76698"/>
    <w:rsid w:val="00A7683D"/>
    <w:rsid w:val="00A76A42"/>
    <w:rsid w:val="00A76B7E"/>
    <w:rsid w:val="00A76C0B"/>
    <w:rsid w:val="00A76E7D"/>
    <w:rsid w:val="00A77058"/>
    <w:rsid w:val="00A77088"/>
    <w:rsid w:val="00A77476"/>
    <w:rsid w:val="00A776D0"/>
    <w:rsid w:val="00A77827"/>
    <w:rsid w:val="00A77BDB"/>
    <w:rsid w:val="00A77F8F"/>
    <w:rsid w:val="00A802C2"/>
    <w:rsid w:val="00A8048F"/>
    <w:rsid w:val="00A80833"/>
    <w:rsid w:val="00A80A8D"/>
    <w:rsid w:val="00A80AD0"/>
    <w:rsid w:val="00A80AE7"/>
    <w:rsid w:val="00A80E26"/>
    <w:rsid w:val="00A80FB4"/>
    <w:rsid w:val="00A8116B"/>
    <w:rsid w:val="00A81213"/>
    <w:rsid w:val="00A814C9"/>
    <w:rsid w:val="00A81516"/>
    <w:rsid w:val="00A816F1"/>
    <w:rsid w:val="00A81B75"/>
    <w:rsid w:val="00A81F2D"/>
    <w:rsid w:val="00A82188"/>
    <w:rsid w:val="00A823B5"/>
    <w:rsid w:val="00A82D46"/>
    <w:rsid w:val="00A83093"/>
    <w:rsid w:val="00A8315E"/>
    <w:rsid w:val="00A8335D"/>
    <w:rsid w:val="00A83473"/>
    <w:rsid w:val="00A836CB"/>
    <w:rsid w:val="00A83B83"/>
    <w:rsid w:val="00A83C2D"/>
    <w:rsid w:val="00A83CFB"/>
    <w:rsid w:val="00A83E9C"/>
    <w:rsid w:val="00A83FD7"/>
    <w:rsid w:val="00A8405C"/>
    <w:rsid w:val="00A84178"/>
    <w:rsid w:val="00A848BB"/>
    <w:rsid w:val="00A848FA"/>
    <w:rsid w:val="00A849FF"/>
    <w:rsid w:val="00A84BF7"/>
    <w:rsid w:val="00A84C6B"/>
    <w:rsid w:val="00A8534C"/>
    <w:rsid w:val="00A85445"/>
    <w:rsid w:val="00A8558F"/>
    <w:rsid w:val="00A857F7"/>
    <w:rsid w:val="00A8581F"/>
    <w:rsid w:val="00A859DD"/>
    <w:rsid w:val="00A85D90"/>
    <w:rsid w:val="00A85E18"/>
    <w:rsid w:val="00A85EA7"/>
    <w:rsid w:val="00A85F8C"/>
    <w:rsid w:val="00A86148"/>
    <w:rsid w:val="00A861BA"/>
    <w:rsid w:val="00A8624D"/>
    <w:rsid w:val="00A86D83"/>
    <w:rsid w:val="00A86E32"/>
    <w:rsid w:val="00A86FF8"/>
    <w:rsid w:val="00A8709B"/>
    <w:rsid w:val="00A870EB"/>
    <w:rsid w:val="00A872C4"/>
    <w:rsid w:val="00A8761D"/>
    <w:rsid w:val="00A87B9D"/>
    <w:rsid w:val="00A87BB4"/>
    <w:rsid w:val="00A87FE6"/>
    <w:rsid w:val="00A900AE"/>
    <w:rsid w:val="00A900CC"/>
    <w:rsid w:val="00A9028A"/>
    <w:rsid w:val="00A90720"/>
    <w:rsid w:val="00A907C0"/>
    <w:rsid w:val="00A9095F"/>
    <w:rsid w:val="00A90BDE"/>
    <w:rsid w:val="00A90DB1"/>
    <w:rsid w:val="00A910E4"/>
    <w:rsid w:val="00A9152E"/>
    <w:rsid w:val="00A91672"/>
    <w:rsid w:val="00A9194E"/>
    <w:rsid w:val="00A91A38"/>
    <w:rsid w:val="00A91A8F"/>
    <w:rsid w:val="00A91F53"/>
    <w:rsid w:val="00A92229"/>
    <w:rsid w:val="00A9234E"/>
    <w:rsid w:val="00A92454"/>
    <w:rsid w:val="00A92CA9"/>
    <w:rsid w:val="00A92D52"/>
    <w:rsid w:val="00A93118"/>
    <w:rsid w:val="00A93323"/>
    <w:rsid w:val="00A935AE"/>
    <w:rsid w:val="00A93622"/>
    <w:rsid w:val="00A936DC"/>
    <w:rsid w:val="00A93770"/>
    <w:rsid w:val="00A93976"/>
    <w:rsid w:val="00A93A07"/>
    <w:rsid w:val="00A93A5F"/>
    <w:rsid w:val="00A93B01"/>
    <w:rsid w:val="00A93BFC"/>
    <w:rsid w:val="00A93C8A"/>
    <w:rsid w:val="00A93D2F"/>
    <w:rsid w:val="00A93F40"/>
    <w:rsid w:val="00A9410F"/>
    <w:rsid w:val="00A9443B"/>
    <w:rsid w:val="00A94471"/>
    <w:rsid w:val="00A944A6"/>
    <w:rsid w:val="00A94616"/>
    <w:rsid w:val="00A94620"/>
    <w:rsid w:val="00A947E2"/>
    <w:rsid w:val="00A94EB9"/>
    <w:rsid w:val="00A95042"/>
    <w:rsid w:val="00A95057"/>
    <w:rsid w:val="00A95107"/>
    <w:rsid w:val="00A9513C"/>
    <w:rsid w:val="00A95220"/>
    <w:rsid w:val="00A954AD"/>
    <w:rsid w:val="00A95553"/>
    <w:rsid w:val="00A9589F"/>
    <w:rsid w:val="00A959BE"/>
    <w:rsid w:val="00A95F06"/>
    <w:rsid w:val="00A96320"/>
    <w:rsid w:val="00A96A57"/>
    <w:rsid w:val="00A96CFA"/>
    <w:rsid w:val="00A96D1D"/>
    <w:rsid w:val="00A96D89"/>
    <w:rsid w:val="00A96FB8"/>
    <w:rsid w:val="00A96FF5"/>
    <w:rsid w:val="00A973D4"/>
    <w:rsid w:val="00A97586"/>
    <w:rsid w:val="00A97590"/>
    <w:rsid w:val="00A97D1D"/>
    <w:rsid w:val="00A97EDE"/>
    <w:rsid w:val="00A97FA6"/>
    <w:rsid w:val="00AA0468"/>
    <w:rsid w:val="00AA047D"/>
    <w:rsid w:val="00AA073E"/>
    <w:rsid w:val="00AA0925"/>
    <w:rsid w:val="00AA099C"/>
    <w:rsid w:val="00AA104F"/>
    <w:rsid w:val="00AA1155"/>
    <w:rsid w:val="00AA127C"/>
    <w:rsid w:val="00AA1504"/>
    <w:rsid w:val="00AA1A30"/>
    <w:rsid w:val="00AA1C18"/>
    <w:rsid w:val="00AA1DC0"/>
    <w:rsid w:val="00AA1DF8"/>
    <w:rsid w:val="00AA21B3"/>
    <w:rsid w:val="00AA21DC"/>
    <w:rsid w:val="00AA21DE"/>
    <w:rsid w:val="00AA2331"/>
    <w:rsid w:val="00AA23E8"/>
    <w:rsid w:val="00AA25EC"/>
    <w:rsid w:val="00AA2614"/>
    <w:rsid w:val="00AA29AF"/>
    <w:rsid w:val="00AA2A1E"/>
    <w:rsid w:val="00AA2B5D"/>
    <w:rsid w:val="00AA30B6"/>
    <w:rsid w:val="00AA3250"/>
    <w:rsid w:val="00AA34E3"/>
    <w:rsid w:val="00AA39C2"/>
    <w:rsid w:val="00AA39FB"/>
    <w:rsid w:val="00AA3A0D"/>
    <w:rsid w:val="00AA3CEF"/>
    <w:rsid w:val="00AA4445"/>
    <w:rsid w:val="00AA4646"/>
    <w:rsid w:val="00AA464D"/>
    <w:rsid w:val="00AA472A"/>
    <w:rsid w:val="00AA47CD"/>
    <w:rsid w:val="00AA4835"/>
    <w:rsid w:val="00AA4905"/>
    <w:rsid w:val="00AA4957"/>
    <w:rsid w:val="00AA4B4A"/>
    <w:rsid w:val="00AA4C43"/>
    <w:rsid w:val="00AA5331"/>
    <w:rsid w:val="00AA53CA"/>
    <w:rsid w:val="00AA54C4"/>
    <w:rsid w:val="00AA58D8"/>
    <w:rsid w:val="00AA58E4"/>
    <w:rsid w:val="00AA591E"/>
    <w:rsid w:val="00AA597B"/>
    <w:rsid w:val="00AA5A36"/>
    <w:rsid w:val="00AA5B85"/>
    <w:rsid w:val="00AA5B91"/>
    <w:rsid w:val="00AA5C04"/>
    <w:rsid w:val="00AA5F70"/>
    <w:rsid w:val="00AA602E"/>
    <w:rsid w:val="00AA623D"/>
    <w:rsid w:val="00AA654E"/>
    <w:rsid w:val="00AA654F"/>
    <w:rsid w:val="00AA67D0"/>
    <w:rsid w:val="00AA68E3"/>
    <w:rsid w:val="00AA6ADD"/>
    <w:rsid w:val="00AA6BA0"/>
    <w:rsid w:val="00AA6E52"/>
    <w:rsid w:val="00AA7097"/>
    <w:rsid w:val="00AA715B"/>
    <w:rsid w:val="00AA72E8"/>
    <w:rsid w:val="00AA740A"/>
    <w:rsid w:val="00AA7460"/>
    <w:rsid w:val="00AA7841"/>
    <w:rsid w:val="00AA7C1F"/>
    <w:rsid w:val="00AA7F0C"/>
    <w:rsid w:val="00AA7F26"/>
    <w:rsid w:val="00AB00B8"/>
    <w:rsid w:val="00AB00B9"/>
    <w:rsid w:val="00AB02A3"/>
    <w:rsid w:val="00AB04D3"/>
    <w:rsid w:val="00AB061E"/>
    <w:rsid w:val="00AB06F3"/>
    <w:rsid w:val="00AB0735"/>
    <w:rsid w:val="00AB0A20"/>
    <w:rsid w:val="00AB0AAF"/>
    <w:rsid w:val="00AB0BAB"/>
    <w:rsid w:val="00AB0C3A"/>
    <w:rsid w:val="00AB124A"/>
    <w:rsid w:val="00AB1463"/>
    <w:rsid w:val="00AB15D7"/>
    <w:rsid w:val="00AB172E"/>
    <w:rsid w:val="00AB1C62"/>
    <w:rsid w:val="00AB1F8D"/>
    <w:rsid w:val="00AB1FD6"/>
    <w:rsid w:val="00AB2489"/>
    <w:rsid w:val="00AB2B98"/>
    <w:rsid w:val="00AB2C44"/>
    <w:rsid w:val="00AB2DF5"/>
    <w:rsid w:val="00AB2F51"/>
    <w:rsid w:val="00AB2F60"/>
    <w:rsid w:val="00AB31E9"/>
    <w:rsid w:val="00AB32A9"/>
    <w:rsid w:val="00AB32C1"/>
    <w:rsid w:val="00AB37D1"/>
    <w:rsid w:val="00AB37F4"/>
    <w:rsid w:val="00AB39F0"/>
    <w:rsid w:val="00AB3AA0"/>
    <w:rsid w:val="00AB3BF7"/>
    <w:rsid w:val="00AB3DD5"/>
    <w:rsid w:val="00AB3F85"/>
    <w:rsid w:val="00AB3F8F"/>
    <w:rsid w:val="00AB41F1"/>
    <w:rsid w:val="00AB452A"/>
    <w:rsid w:val="00AB45C2"/>
    <w:rsid w:val="00AB4683"/>
    <w:rsid w:val="00AB4854"/>
    <w:rsid w:val="00AB4860"/>
    <w:rsid w:val="00AB4A15"/>
    <w:rsid w:val="00AB4C8D"/>
    <w:rsid w:val="00AB4D81"/>
    <w:rsid w:val="00AB4E46"/>
    <w:rsid w:val="00AB4FD9"/>
    <w:rsid w:val="00AB4FFD"/>
    <w:rsid w:val="00AB5332"/>
    <w:rsid w:val="00AB53E6"/>
    <w:rsid w:val="00AB558C"/>
    <w:rsid w:val="00AB57A1"/>
    <w:rsid w:val="00AB5A95"/>
    <w:rsid w:val="00AB5B36"/>
    <w:rsid w:val="00AB5BCA"/>
    <w:rsid w:val="00AB5CEA"/>
    <w:rsid w:val="00AB6000"/>
    <w:rsid w:val="00AB60C3"/>
    <w:rsid w:val="00AB63C3"/>
    <w:rsid w:val="00AB64EE"/>
    <w:rsid w:val="00AB6680"/>
    <w:rsid w:val="00AB672E"/>
    <w:rsid w:val="00AB6D5B"/>
    <w:rsid w:val="00AB6DED"/>
    <w:rsid w:val="00AB740D"/>
    <w:rsid w:val="00AB769E"/>
    <w:rsid w:val="00AB776A"/>
    <w:rsid w:val="00AB7C44"/>
    <w:rsid w:val="00AB7C6A"/>
    <w:rsid w:val="00AC0018"/>
    <w:rsid w:val="00AC01E1"/>
    <w:rsid w:val="00AC024F"/>
    <w:rsid w:val="00AC02AA"/>
    <w:rsid w:val="00AC031A"/>
    <w:rsid w:val="00AC06A1"/>
    <w:rsid w:val="00AC06C3"/>
    <w:rsid w:val="00AC09C7"/>
    <w:rsid w:val="00AC0A04"/>
    <w:rsid w:val="00AC0CDE"/>
    <w:rsid w:val="00AC0F04"/>
    <w:rsid w:val="00AC0FF2"/>
    <w:rsid w:val="00AC1164"/>
    <w:rsid w:val="00AC15BB"/>
    <w:rsid w:val="00AC1662"/>
    <w:rsid w:val="00AC16D5"/>
    <w:rsid w:val="00AC1842"/>
    <w:rsid w:val="00AC1D94"/>
    <w:rsid w:val="00AC1DB9"/>
    <w:rsid w:val="00AC1EAC"/>
    <w:rsid w:val="00AC2081"/>
    <w:rsid w:val="00AC2909"/>
    <w:rsid w:val="00AC2F44"/>
    <w:rsid w:val="00AC30B7"/>
    <w:rsid w:val="00AC342C"/>
    <w:rsid w:val="00AC36E8"/>
    <w:rsid w:val="00AC3767"/>
    <w:rsid w:val="00AC43CA"/>
    <w:rsid w:val="00AC446C"/>
    <w:rsid w:val="00AC4508"/>
    <w:rsid w:val="00AC4550"/>
    <w:rsid w:val="00AC46CC"/>
    <w:rsid w:val="00AC475C"/>
    <w:rsid w:val="00AC4938"/>
    <w:rsid w:val="00AC4CA4"/>
    <w:rsid w:val="00AC4CF4"/>
    <w:rsid w:val="00AC4DEA"/>
    <w:rsid w:val="00AC4EAF"/>
    <w:rsid w:val="00AC5095"/>
    <w:rsid w:val="00AC5160"/>
    <w:rsid w:val="00AC52EF"/>
    <w:rsid w:val="00AC545F"/>
    <w:rsid w:val="00AC548D"/>
    <w:rsid w:val="00AC5591"/>
    <w:rsid w:val="00AC5706"/>
    <w:rsid w:val="00AC57A1"/>
    <w:rsid w:val="00AC57F2"/>
    <w:rsid w:val="00AC5888"/>
    <w:rsid w:val="00AC5BA9"/>
    <w:rsid w:val="00AC5BED"/>
    <w:rsid w:val="00AC6059"/>
    <w:rsid w:val="00AC607D"/>
    <w:rsid w:val="00AC608A"/>
    <w:rsid w:val="00AC6094"/>
    <w:rsid w:val="00AC629A"/>
    <w:rsid w:val="00AC62F6"/>
    <w:rsid w:val="00AC64E0"/>
    <w:rsid w:val="00AC6CA8"/>
    <w:rsid w:val="00AC6CEF"/>
    <w:rsid w:val="00AC6D72"/>
    <w:rsid w:val="00AC6F29"/>
    <w:rsid w:val="00AC70D6"/>
    <w:rsid w:val="00AC711C"/>
    <w:rsid w:val="00AC7217"/>
    <w:rsid w:val="00AC7B0E"/>
    <w:rsid w:val="00AC7CE2"/>
    <w:rsid w:val="00AC7EE4"/>
    <w:rsid w:val="00AD0761"/>
    <w:rsid w:val="00AD07F5"/>
    <w:rsid w:val="00AD081C"/>
    <w:rsid w:val="00AD0CC8"/>
    <w:rsid w:val="00AD0F82"/>
    <w:rsid w:val="00AD0FDC"/>
    <w:rsid w:val="00AD10DC"/>
    <w:rsid w:val="00AD1359"/>
    <w:rsid w:val="00AD150C"/>
    <w:rsid w:val="00AD1B2F"/>
    <w:rsid w:val="00AD20C9"/>
    <w:rsid w:val="00AD222B"/>
    <w:rsid w:val="00AD22A5"/>
    <w:rsid w:val="00AD2375"/>
    <w:rsid w:val="00AD2B0F"/>
    <w:rsid w:val="00AD2E04"/>
    <w:rsid w:val="00AD31A0"/>
    <w:rsid w:val="00AD3613"/>
    <w:rsid w:val="00AD37E6"/>
    <w:rsid w:val="00AD3AC9"/>
    <w:rsid w:val="00AD3CE3"/>
    <w:rsid w:val="00AD4158"/>
    <w:rsid w:val="00AD422A"/>
    <w:rsid w:val="00AD433F"/>
    <w:rsid w:val="00AD4527"/>
    <w:rsid w:val="00AD4571"/>
    <w:rsid w:val="00AD479F"/>
    <w:rsid w:val="00AD47AA"/>
    <w:rsid w:val="00AD562F"/>
    <w:rsid w:val="00AD56AB"/>
    <w:rsid w:val="00AD576E"/>
    <w:rsid w:val="00AD578A"/>
    <w:rsid w:val="00AD59F3"/>
    <w:rsid w:val="00AD5B25"/>
    <w:rsid w:val="00AD5BFA"/>
    <w:rsid w:val="00AD5E0B"/>
    <w:rsid w:val="00AD5EAD"/>
    <w:rsid w:val="00AD62BF"/>
    <w:rsid w:val="00AD63DA"/>
    <w:rsid w:val="00AD6559"/>
    <w:rsid w:val="00AD672A"/>
    <w:rsid w:val="00AD683D"/>
    <w:rsid w:val="00AD6F8D"/>
    <w:rsid w:val="00AD70DA"/>
    <w:rsid w:val="00AD7153"/>
    <w:rsid w:val="00AD715C"/>
    <w:rsid w:val="00AD720C"/>
    <w:rsid w:val="00AD724A"/>
    <w:rsid w:val="00AD745B"/>
    <w:rsid w:val="00AD757F"/>
    <w:rsid w:val="00AD7840"/>
    <w:rsid w:val="00AD7E98"/>
    <w:rsid w:val="00AD7E9B"/>
    <w:rsid w:val="00AD7EA6"/>
    <w:rsid w:val="00AE01CB"/>
    <w:rsid w:val="00AE06F5"/>
    <w:rsid w:val="00AE0791"/>
    <w:rsid w:val="00AE0921"/>
    <w:rsid w:val="00AE09A7"/>
    <w:rsid w:val="00AE0C32"/>
    <w:rsid w:val="00AE0C69"/>
    <w:rsid w:val="00AE0E04"/>
    <w:rsid w:val="00AE0EBD"/>
    <w:rsid w:val="00AE0FC7"/>
    <w:rsid w:val="00AE10CB"/>
    <w:rsid w:val="00AE13B6"/>
    <w:rsid w:val="00AE13B7"/>
    <w:rsid w:val="00AE158A"/>
    <w:rsid w:val="00AE1755"/>
    <w:rsid w:val="00AE1D5B"/>
    <w:rsid w:val="00AE1F75"/>
    <w:rsid w:val="00AE1FBB"/>
    <w:rsid w:val="00AE220C"/>
    <w:rsid w:val="00AE2359"/>
    <w:rsid w:val="00AE23AD"/>
    <w:rsid w:val="00AE2584"/>
    <w:rsid w:val="00AE275C"/>
    <w:rsid w:val="00AE2894"/>
    <w:rsid w:val="00AE2EBE"/>
    <w:rsid w:val="00AE3024"/>
    <w:rsid w:val="00AE3914"/>
    <w:rsid w:val="00AE3A4D"/>
    <w:rsid w:val="00AE3D13"/>
    <w:rsid w:val="00AE3D6D"/>
    <w:rsid w:val="00AE3D87"/>
    <w:rsid w:val="00AE3E66"/>
    <w:rsid w:val="00AE4198"/>
    <w:rsid w:val="00AE4343"/>
    <w:rsid w:val="00AE447A"/>
    <w:rsid w:val="00AE45C7"/>
    <w:rsid w:val="00AE49B8"/>
    <w:rsid w:val="00AE49E8"/>
    <w:rsid w:val="00AE4A7E"/>
    <w:rsid w:val="00AE4B3F"/>
    <w:rsid w:val="00AE4F35"/>
    <w:rsid w:val="00AE5026"/>
    <w:rsid w:val="00AE5240"/>
    <w:rsid w:val="00AE5B02"/>
    <w:rsid w:val="00AE66C2"/>
    <w:rsid w:val="00AE67B5"/>
    <w:rsid w:val="00AE6B79"/>
    <w:rsid w:val="00AE6C40"/>
    <w:rsid w:val="00AE6DC2"/>
    <w:rsid w:val="00AE6EED"/>
    <w:rsid w:val="00AE710A"/>
    <w:rsid w:val="00AE7383"/>
    <w:rsid w:val="00AE768B"/>
    <w:rsid w:val="00AE768C"/>
    <w:rsid w:val="00AE76C1"/>
    <w:rsid w:val="00AE7BF5"/>
    <w:rsid w:val="00AE7F93"/>
    <w:rsid w:val="00AF01D6"/>
    <w:rsid w:val="00AF02D0"/>
    <w:rsid w:val="00AF036E"/>
    <w:rsid w:val="00AF040C"/>
    <w:rsid w:val="00AF0509"/>
    <w:rsid w:val="00AF0744"/>
    <w:rsid w:val="00AF08A8"/>
    <w:rsid w:val="00AF0DD3"/>
    <w:rsid w:val="00AF1136"/>
    <w:rsid w:val="00AF1145"/>
    <w:rsid w:val="00AF153B"/>
    <w:rsid w:val="00AF1678"/>
    <w:rsid w:val="00AF1B69"/>
    <w:rsid w:val="00AF1B9E"/>
    <w:rsid w:val="00AF2212"/>
    <w:rsid w:val="00AF221E"/>
    <w:rsid w:val="00AF25F7"/>
    <w:rsid w:val="00AF266F"/>
    <w:rsid w:val="00AF27F4"/>
    <w:rsid w:val="00AF28A3"/>
    <w:rsid w:val="00AF28EB"/>
    <w:rsid w:val="00AF2926"/>
    <w:rsid w:val="00AF2A57"/>
    <w:rsid w:val="00AF2AE2"/>
    <w:rsid w:val="00AF2B63"/>
    <w:rsid w:val="00AF2B74"/>
    <w:rsid w:val="00AF2F6E"/>
    <w:rsid w:val="00AF3107"/>
    <w:rsid w:val="00AF35F9"/>
    <w:rsid w:val="00AF3804"/>
    <w:rsid w:val="00AF3805"/>
    <w:rsid w:val="00AF380D"/>
    <w:rsid w:val="00AF3B86"/>
    <w:rsid w:val="00AF3BA8"/>
    <w:rsid w:val="00AF3BF1"/>
    <w:rsid w:val="00AF3FEF"/>
    <w:rsid w:val="00AF403F"/>
    <w:rsid w:val="00AF4093"/>
    <w:rsid w:val="00AF4441"/>
    <w:rsid w:val="00AF445F"/>
    <w:rsid w:val="00AF4547"/>
    <w:rsid w:val="00AF4814"/>
    <w:rsid w:val="00AF495A"/>
    <w:rsid w:val="00AF4AA1"/>
    <w:rsid w:val="00AF4C61"/>
    <w:rsid w:val="00AF4DC2"/>
    <w:rsid w:val="00AF5404"/>
    <w:rsid w:val="00AF551D"/>
    <w:rsid w:val="00AF58C3"/>
    <w:rsid w:val="00AF5948"/>
    <w:rsid w:val="00AF5B17"/>
    <w:rsid w:val="00AF5D2D"/>
    <w:rsid w:val="00AF65FA"/>
    <w:rsid w:val="00AF680B"/>
    <w:rsid w:val="00AF69C3"/>
    <w:rsid w:val="00AF73B5"/>
    <w:rsid w:val="00AF74F6"/>
    <w:rsid w:val="00AF767D"/>
    <w:rsid w:val="00AF7D4D"/>
    <w:rsid w:val="00AF7F15"/>
    <w:rsid w:val="00AF7F76"/>
    <w:rsid w:val="00AF7FC4"/>
    <w:rsid w:val="00AF7FDA"/>
    <w:rsid w:val="00B00099"/>
    <w:rsid w:val="00B003D9"/>
    <w:rsid w:val="00B004D8"/>
    <w:rsid w:val="00B00626"/>
    <w:rsid w:val="00B00741"/>
    <w:rsid w:val="00B00834"/>
    <w:rsid w:val="00B00895"/>
    <w:rsid w:val="00B00C35"/>
    <w:rsid w:val="00B00CA6"/>
    <w:rsid w:val="00B00E26"/>
    <w:rsid w:val="00B0111E"/>
    <w:rsid w:val="00B01142"/>
    <w:rsid w:val="00B011BF"/>
    <w:rsid w:val="00B0139B"/>
    <w:rsid w:val="00B014CB"/>
    <w:rsid w:val="00B014FE"/>
    <w:rsid w:val="00B0158A"/>
    <w:rsid w:val="00B0174C"/>
    <w:rsid w:val="00B017DE"/>
    <w:rsid w:val="00B018C5"/>
    <w:rsid w:val="00B01984"/>
    <w:rsid w:val="00B019F5"/>
    <w:rsid w:val="00B01C83"/>
    <w:rsid w:val="00B01F82"/>
    <w:rsid w:val="00B020C1"/>
    <w:rsid w:val="00B020E4"/>
    <w:rsid w:val="00B02967"/>
    <w:rsid w:val="00B02988"/>
    <w:rsid w:val="00B02FE1"/>
    <w:rsid w:val="00B0305C"/>
    <w:rsid w:val="00B0332F"/>
    <w:rsid w:val="00B03347"/>
    <w:rsid w:val="00B03771"/>
    <w:rsid w:val="00B03905"/>
    <w:rsid w:val="00B03DDA"/>
    <w:rsid w:val="00B0416B"/>
    <w:rsid w:val="00B04222"/>
    <w:rsid w:val="00B04223"/>
    <w:rsid w:val="00B044D7"/>
    <w:rsid w:val="00B049A9"/>
    <w:rsid w:val="00B04CAB"/>
    <w:rsid w:val="00B04F47"/>
    <w:rsid w:val="00B04F9C"/>
    <w:rsid w:val="00B04F9D"/>
    <w:rsid w:val="00B04FFF"/>
    <w:rsid w:val="00B050AC"/>
    <w:rsid w:val="00B0517B"/>
    <w:rsid w:val="00B051F2"/>
    <w:rsid w:val="00B05239"/>
    <w:rsid w:val="00B05303"/>
    <w:rsid w:val="00B05403"/>
    <w:rsid w:val="00B055B1"/>
    <w:rsid w:val="00B055F0"/>
    <w:rsid w:val="00B05739"/>
    <w:rsid w:val="00B058A7"/>
    <w:rsid w:val="00B05B80"/>
    <w:rsid w:val="00B05C26"/>
    <w:rsid w:val="00B05C4A"/>
    <w:rsid w:val="00B05D3E"/>
    <w:rsid w:val="00B05F26"/>
    <w:rsid w:val="00B06133"/>
    <w:rsid w:val="00B06220"/>
    <w:rsid w:val="00B062A4"/>
    <w:rsid w:val="00B063B3"/>
    <w:rsid w:val="00B06502"/>
    <w:rsid w:val="00B0660D"/>
    <w:rsid w:val="00B06644"/>
    <w:rsid w:val="00B06697"/>
    <w:rsid w:val="00B0684E"/>
    <w:rsid w:val="00B06A3A"/>
    <w:rsid w:val="00B06A55"/>
    <w:rsid w:val="00B06F06"/>
    <w:rsid w:val="00B0719E"/>
    <w:rsid w:val="00B071B7"/>
    <w:rsid w:val="00B073E7"/>
    <w:rsid w:val="00B075A0"/>
    <w:rsid w:val="00B07613"/>
    <w:rsid w:val="00B0776B"/>
    <w:rsid w:val="00B07AD4"/>
    <w:rsid w:val="00B07C13"/>
    <w:rsid w:val="00B07CB7"/>
    <w:rsid w:val="00B101AE"/>
    <w:rsid w:val="00B102E4"/>
    <w:rsid w:val="00B10468"/>
    <w:rsid w:val="00B1046F"/>
    <w:rsid w:val="00B10543"/>
    <w:rsid w:val="00B1076F"/>
    <w:rsid w:val="00B10B64"/>
    <w:rsid w:val="00B10C30"/>
    <w:rsid w:val="00B10C8A"/>
    <w:rsid w:val="00B11357"/>
    <w:rsid w:val="00B1139B"/>
    <w:rsid w:val="00B114F8"/>
    <w:rsid w:val="00B11592"/>
    <w:rsid w:val="00B1168D"/>
    <w:rsid w:val="00B11798"/>
    <w:rsid w:val="00B118B4"/>
    <w:rsid w:val="00B124F1"/>
    <w:rsid w:val="00B12574"/>
    <w:rsid w:val="00B1275C"/>
    <w:rsid w:val="00B12C1A"/>
    <w:rsid w:val="00B12E76"/>
    <w:rsid w:val="00B13056"/>
    <w:rsid w:val="00B13546"/>
    <w:rsid w:val="00B13659"/>
    <w:rsid w:val="00B137CB"/>
    <w:rsid w:val="00B139BE"/>
    <w:rsid w:val="00B13A70"/>
    <w:rsid w:val="00B142B0"/>
    <w:rsid w:val="00B145EA"/>
    <w:rsid w:val="00B148AF"/>
    <w:rsid w:val="00B148D0"/>
    <w:rsid w:val="00B14B44"/>
    <w:rsid w:val="00B14E44"/>
    <w:rsid w:val="00B14FEB"/>
    <w:rsid w:val="00B1558F"/>
    <w:rsid w:val="00B15601"/>
    <w:rsid w:val="00B15B8A"/>
    <w:rsid w:val="00B16308"/>
    <w:rsid w:val="00B16604"/>
    <w:rsid w:val="00B16613"/>
    <w:rsid w:val="00B167DE"/>
    <w:rsid w:val="00B1694A"/>
    <w:rsid w:val="00B16D2D"/>
    <w:rsid w:val="00B16D7A"/>
    <w:rsid w:val="00B16E0A"/>
    <w:rsid w:val="00B16E87"/>
    <w:rsid w:val="00B16F55"/>
    <w:rsid w:val="00B170F6"/>
    <w:rsid w:val="00B171D5"/>
    <w:rsid w:val="00B1721F"/>
    <w:rsid w:val="00B17517"/>
    <w:rsid w:val="00B176C3"/>
    <w:rsid w:val="00B1778E"/>
    <w:rsid w:val="00B17AB9"/>
    <w:rsid w:val="00B17B16"/>
    <w:rsid w:val="00B17BBD"/>
    <w:rsid w:val="00B17C00"/>
    <w:rsid w:val="00B17C66"/>
    <w:rsid w:val="00B17EE8"/>
    <w:rsid w:val="00B17F8C"/>
    <w:rsid w:val="00B2046F"/>
    <w:rsid w:val="00B20488"/>
    <w:rsid w:val="00B205EC"/>
    <w:rsid w:val="00B208C9"/>
    <w:rsid w:val="00B2094A"/>
    <w:rsid w:val="00B20AB0"/>
    <w:rsid w:val="00B20E03"/>
    <w:rsid w:val="00B20ED3"/>
    <w:rsid w:val="00B20F01"/>
    <w:rsid w:val="00B2102F"/>
    <w:rsid w:val="00B21097"/>
    <w:rsid w:val="00B21160"/>
    <w:rsid w:val="00B2126E"/>
    <w:rsid w:val="00B212CB"/>
    <w:rsid w:val="00B21BA7"/>
    <w:rsid w:val="00B21F37"/>
    <w:rsid w:val="00B220F7"/>
    <w:rsid w:val="00B222FD"/>
    <w:rsid w:val="00B2257A"/>
    <w:rsid w:val="00B22AEE"/>
    <w:rsid w:val="00B22BB4"/>
    <w:rsid w:val="00B22D11"/>
    <w:rsid w:val="00B22E47"/>
    <w:rsid w:val="00B22F49"/>
    <w:rsid w:val="00B231D1"/>
    <w:rsid w:val="00B23337"/>
    <w:rsid w:val="00B23511"/>
    <w:rsid w:val="00B23BC5"/>
    <w:rsid w:val="00B240B3"/>
    <w:rsid w:val="00B241C0"/>
    <w:rsid w:val="00B24297"/>
    <w:rsid w:val="00B243C3"/>
    <w:rsid w:val="00B2457B"/>
    <w:rsid w:val="00B249F2"/>
    <w:rsid w:val="00B24B39"/>
    <w:rsid w:val="00B24F21"/>
    <w:rsid w:val="00B24F2F"/>
    <w:rsid w:val="00B24F53"/>
    <w:rsid w:val="00B25076"/>
    <w:rsid w:val="00B25085"/>
    <w:rsid w:val="00B25347"/>
    <w:rsid w:val="00B25387"/>
    <w:rsid w:val="00B253A1"/>
    <w:rsid w:val="00B25670"/>
    <w:rsid w:val="00B25A8A"/>
    <w:rsid w:val="00B25F03"/>
    <w:rsid w:val="00B262AB"/>
    <w:rsid w:val="00B2645D"/>
    <w:rsid w:val="00B264E5"/>
    <w:rsid w:val="00B265CB"/>
    <w:rsid w:val="00B267E2"/>
    <w:rsid w:val="00B2696F"/>
    <w:rsid w:val="00B26B15"/>
    <w:rsid w:val="00B26C8B"/>
    <w:rsid w:val="00B26D41"/>
    <w:rsid w:val="00B26D61"/>
    <w:rsid w:val="00B26E4B"/>
    <w:rsid w:val="00B26E52"/>
    <w:rsid w:val="00B26ED9"/>
    <w:rsid w:val="00B26F5F"/>
    <w:rsid w:val="00B27005"/>
    <w:rsid w:val="00B271FF"/>
    <w:rsid w:val="00B274C4"/>
    <w:rsid w:val="00B2766E"/>
    <w:rsid w:val="00B2791E"/>
    <w:rsid w:val="00B27B72"/>
    <w:rsid w:val="00B30006"/>
    <w:rsid w:val="00B3007B"/>
    <w:rsid w:val="00B3008A"/>
    <w:rsid w:val="00B303DD"/>
    <w:rsid w:val="00B30769"/>
    <w:rsid w:val="00B308D7"/>
    <w:rsid w:val="00B3099C"/>
    <w:rsid w:val="00B30D38"/>
    <w:rsid w:val="00B30DCD"/>
    <w:rsid w:val="00B30F65"/>
    <w:rsid w:val="00B311E0"/>
    <w:rsid w:val="00B3134F"/>
    <w:rsid w:val="00B3169C"/>
    <w:rsid w:val="00B31A07"/>
    <w:rsid w:val="00B31ADB"/>
    <w:rsid w:val="00B31C2C"/>
    <w:rsid w:val="00B31C63"/>
    <w:rsid w:val="00B31CD5"/>
    <w:rsid w:val="00B321F6"/>
    <w:rsid w:val="00B32565"/>
    <w:rsid w:val="00B32675"/>
    <w:rsid w:val="00B32957"/>
    <w:rsid w:val="00B32E37"/>
    <w:rsid w:val="00B339D2"/>
    <w:rsid w:val="00B33BE2"/>
    <w:rsid w:val="00B33C15"/>
    <w:rsid w:val="00B33CB7"/>
    <w:rsid w:val="00B340D1"/>
    <w:rsid w:val="00B34108"/>
    <w:rsid w:val="00B3423D"/>
    <w:rsid w:val="00B34557"/>
    <w:rsid w:val="00B3457A"/>
    <w:rsid w:val="00B346BB"/>
    <w:rsid w:val="00B346CD"/>
    <w:rsid w:val="00B34768"/>
    <w:rsid w:val="00B34C07"/>
    <w:rsid w:val="00B34C2A"/>
    <w:rsid w:val="00B34FEB"/>
    <w:rsid w:val="00B352FA"/>
    <w:rsid w:val="00B353E8"/>
    <w:rsid w:val="00B35523"/>
    <w:rsid w:val="00B35580"/>
    <w:rsid w:val="00B357DA"/>
    <w:rsid w:val="00B35944"/>
    <w:rsid w:val="00B35D67"/>
    <w:rsid w:val="00B35DAD"/>
    <w:rsid w:val="00B35DE7"/>
    <w:rsid w:val="00B3667B"/>
    <w:rsid w:val="00B36B5C"/>
    <w:rsid w:val="00B36BE1"/>
    <w:rsid w:val="00B36D31"/>
    <w:rsid w:val="00B36E2E"/>
    <w:rsid w:val="00B370EF"/>
    <w:rsid w:val="00B372A0"/>
    <w:rsid w:val="00B37421"/>
    <w:rsid w:val="00B374EA"/>
    <w:rsid w:val="00B37731"/>
    <w:rsid w:val="00B378B0"/>
    <w:rsid w:val="00B37C22"/>
    <w:rsid w:val="00B37D4E"/>
    <w:rsid w:val="00B37DA9"/>
    <w:rsid w:val="00B4018F"/>
    <w:rsid w:val="00B40198"/>
    <w:rsid w:val="00B4025D"/>
    <w:rsid w:val="00B40397"/>
    <w:rsid w:val="00B4041E"/>
    <w:rsid w:val="00B40499"/>
    <w:rsid w:val="00B40537"/>
    <w:rsid w:val="00B40880"/>
    <w:rsid w:val="00B40893"/>
    <w:rsid w:val="00B408F6"/>
    <w:rsid w:val="00B40965"/>
    <w:rsid w:val="00B40B5F"/>
    <w:rsid w:val="00B40E0C"/>
    <w:rsid w:val="00B40FBB"/>
    <w:rsid w:val="00B41262"/>
    <w:rsid w:val="00B4144E"/>
    <w:rsid w:val="00B4147B"/>
    <w:rsid w:val="00B41531"/>
    <w:rsid w:val="00B4161E"/>
    <w:rsid w:val="00B417BD"/>
    <w:rsid w:val="00B41904"/>
    <w:rsid w:val="00B41A80"/>
    <w:rsid w:val="00B41C2B"/>
    <w:rsid w:val="00B41FB9"/>
    <w:rsid w:val="00B421CA"/>
    <w:rsid w:val="00B424B4"/>
    <w:rsid w:val="00B426C2"/>
    <w:rsid w:val="00B43146"/>
    <w:rsid w:val="00B433F0"/>
    <w:rsid w:val="00B436BB"/>
    <w:rsid w:val="00B43919"/>
    <w:rsid w:val="00B43C67"/>
    <w:rsid w:val="00B43C72"/>
    <w:rsid w:val="00B44066"/>
    <w:rsid w:val="00B4455E"/>
    <w:rsid w:val="00B4459A"/>
    <w:rsid w:val="00B44741"/>
    <w:rsid w:val="00B4485B"/>
    <w:rsid w:val="00B448F5"/>
    <w:rsid w:val="00B44DDD"/>
    <w:rsid w:val="00B453D6"/>
    <w:rsid w:val="00B45827"/>
    <w:rsid w:val="00B45A18"/>
    <w:rsid w:val="00B45BA3"/>
    <w:rsid w:val="00B45C46"/>
    <w:rsid w:val="00B4634C"/>
    <w:rsid w:val="00B464C3"/>
    <w:rsid w:val="00B46969"/>
    <w:rsid w:val="00B469A9"/>
    <w:rsid w:val="00B46B1B"/>
    <w:rsid w:val="00B46C2D"/>
    <w:rsid w:val="00B4735D"/>
    <w:rsid w:val="00B476F0"/>
    <w:rsid w:val="00B47A1D"/>
    <w:rsid w:val="00B47AED"/>
    <w:rsid w:val="00B47B2F"/>
    <w:rsid w:val="00B5048A"/>
    <w:rsid w:val="00B50495"/>
    <w:rsid w:val="00B50513"/>
    <w:rsid w:val="00B5061A"/>
    <w:rsid w:val="00B50CDC"/>
    <w:rsid w:val="00B50E02"/>
    <w:rsid w:val="00B50E52"/>
    <w:rsid w:val="00B5102E"/>
    <w:rsid w:val="00B5107C"/>
    <w:rsid w:val="00B51375"/>
    <w:rsid w:val="00B51710"/>
    <w:rsid w:val="00B51BAA"/>
    <w:rsid w:val="00B51F11"/>
    <w:rsid w:val="00B5210B"/>
    <w:rsid w:val="00B521D3"/>
    <w:rsid w:val="00B52292"/>
    <w:rsid w:val="00B52AF2"/>
    <w:rsid w:val="00B52B77"/>
    <w:rsid w:val="00B52F0D"/>
    <w:rsid w:val="00B52F99"/>
    <w:rsid w:val="00B53158"/>
    <w:rsid w:val="00B53170"/>
    <w:rsid w:val="00B532A9"/>
    <w:rsid w:val="00B53350"/>
    <w:rsid w:val="00B5372F"/>
    <w:rsid w:val="00B53B8D"/>
    <w:rsid w:val="00B53B97"/>
    <w:rsid w:val="00B53C0C"/>
    <w:rsid w:val="00B53E74"/>
    <w:rsid w:val="00B53F07"/>
    <w:rsid w:val="00B53F6D"/>
    <w:rsid w:val="00B53FDF"/>
    <w:rsid w:val="00B5400C"/>
    <w:rsid w:val="00B5479F"/>
    <w:rsid w:val="00B547D3"/>
    <w:rsid w:val="00B54898"/>
    <w:rsid w:val="00B548BE"/>
    <w:rsid w:val="00B54A44"/>
    <w:rsid w:val="00B54B66"/>
    <w:rsid w:val="00B54C95"/>
    <w:rsid w:val="00B54EFD"/>
    <w:rsid w:val="00B5521B"/>
    <w:rsid w:val="00B556D5"/>
    <w:rsid w:val="00B558D6"/>
    <w:rsid w:val="00B55957"/>
    <w:rsid w:val="00B55CBA"/>
    <w:rsid w:val="00B55F74"/>
    <w:rsid w:val="00B55F9A"/>
    <w:rsid w:val="00B5608F"/>
    <w:rsid w:val="00B5619E"/>
    <w:rsid w:val="00B561DA"/>
    <w:rsid w:val="00B563CF"/>
    <w:rsid w:val="00B564AC"/>
    <w:rsid w:val="00B56C02"/>
    <w:rsid w:val="00B56C94"/>
    <w:rsid w:val="00B57158"/>
    <w:rsid w:val="00B57557"/>
    <w:rsid w:val="00B5765E"/>
    <w:rsid w:val="00B578BB"/>
    <w:rsid w:val="00B579A7"/>
    <w:rsid w:val="00B57A7A"/>
    <w:rsid w:val="00B57B12"/>
    <w:rsid w:val="00B57CE2"/>
    <w:rsid w:val="00B57CF7"/>
    <w:rsid w:val="00B57D3B"/>
    <w:rsid w:val="00B57D6D"/>
    <w:rsid w:val="00B57F1A"/>
    <w:rsid w:val="00B6004E"/>
    <w:rsid w:val="00B601E9"/>
    <w:rsid w:val="00B60521"/>
    <w:rsid w:val="00B605D2"/>
    <w:rsid w:val="00B6089F"/>
    <w:rsid w:val="00B60D0D"/>
    <w:rsid w:val="00B60E5E"/>
    <w:rsid w:val="00B61004"/>
    <w:rsid w:val="00B612C2"/>
    <w:rsid w:val="00B612C8"/>
    <w:rsid w:val="00B61457"/>
    <w:rsid w:val="00B617CD"/>
    <w:rsid w:val="00B61D24"/>
    <w:rsid w:val="00B61D3B"/>
    <w:rsid w:val="00B61D6E"/>
    <w:rsid w:val="00B61E1B"/>
    <w:rsid w:val="00B61E27"/>
    <w:rsid w:val="00B61ECE"/>
    <w:rsid w:val="00B6241B"/>
    <w:rsid w:val="00B62623"/>
    <w:rsid w:val="00B62930"/>
    <w:rsid w:val="00B62DEE"/>
    <w:rsid w:val="00B62EEB"/>
    <w:rsid w:val="00B62F89"/>
    <w:rsid w:val="00B633E3"/>
    <w:rsid w:val="00B636ED"/>
    <w:rsid w:val="00B637CF"/>
    <w:rsid w:val="00B6381B"/>
    <w:rsid w:val="00B638B9"/>
    <w:rsid w:val="00B63AD8"/>
    <w:rsid w:val="00B63C30"/>
    <w:rsid w:val="00B63CC2"/>
    <w:rsid w:val="00B63EE9"/>
    <w:rsid w:val="00B63F97"/>
    <w:rsid w:val="00B640ED"/>
    <w:rsid w:val="00B64137"/>
    <w:rsid w:val="00B64281"/>
    <w:rsid w:val="00B644E4"/>
    <w:rsid w:val="00B64EA6"/>
    <w:rsid w:val="00B65076"/>
    <w:rsid w:val="00B650E3"/>
    <w:rsid w:val="00B654E8"/>
    <w:rsid w:val="00B65564"/>
    <w:rsid w:val="00B6556D"/>
    <w:rsid w:val="00B65611"/>
    <w:rsid w:val="00B65743"/>
    <w:rsid w:val="00B6574C"/>
    <w:rsid w:val="00B659B3"/>
    <w:rsid w:val="00B659EA"/>
    <w:rsid w:val="00B65ADB"/>
    <w:rsid w:val="00B65CAD"/>
    <w:rsid w:val="00B65D5F"/>
    <w:rsid w:val="00B65D7B"/>
    <w:rsid w:val="00B6692E"/>
    <w:rsid w:val="00B66A05"/>
    <w:rsid w:val="00B66A2F"/>
    <w:rsid w:val="00B66A43"/>
    <w:rsid w:val="00B66B09"/>
    <w:rsid w:val="00B66C0A"/>
    <w:rsid w:val="00B66F45"/>
    <w:rsid w:val="00B66F49"/>
    <w:rsid w:val="00B67021"/>
    <w:rsid w:val="00B67037"/>
    <w:rsid w:val="00B6721F"/>
    <w:rsid w:val="00B6783A"/>
    <w:rsid w:val="00B67850"/>
    <w:rsid w:val="00B6786B"/>
    <w:rsid w:val="00B67C56"/>
    <w:rsid w:val="00B67DF6"/>
    <w:rsid w:val="00B67F46"/>
    <w:rsid w:val="00B70838"/>
    <w:rsid w:val="00B70C62"/>
    <w:rsid w:val="00B70E76"/>
    <w:rsid w:val="00B71150"/>
    <w:rsid w:val="00B717F1"/>
    <w:rsid w:val="00B71A01"/>
    <w:rsid w:val="00B71C4E"/>
    <w:rsid w:val="00B71FC9"/>
    <w:rsid w:val="00B72054"/>
    <w:rsid w:val="00B721D3"/>
    <w:rsid w:val="00B72277"/>
    <w:rsid w:val="00B72378"/>
    <w:rsid w:val="00B723E3"/>
    <w:rsid w:val="00B725FD"/>
    <w:rsid w:val="00B72600"/>
    <w:rsid w:val="00B7266C"/>
    <w:rsid w:val="00B728EA"/>
    <w:rsid w:val="00B728F1"/>
    <w:rsid w:val="00B72D61"/>
    <w:rsid w:val="00B72E0C"/>
    <w:rsid w:val="00B72EC1"/>
    <w:rsid w:val="00B72F4C"/>
    <w:rsid w:val="00B731B4"/>
    <w:rsid w:val="00B73AB4"/>
    <w:rsid w:val="00B73AFA"/>
    <w:rsid w:val="00B73CB2"/>
    <w:rsid w:val="00B74063"/>
    <w:rsid w:val="00B743C0"/>
    <w:rsid w:val="00B7493B"/>
    <w:rsid w:val="00B74B63"/>
    <w:rsid w:val="00B74CA5"/>
    <w:rsid w:val="00B74CDE"/>
    <w:rsid w:val="00B74FA4"/>
    <w:rsid w:val="00B74FE6"/>
    <w:rsid w:val="00B75848"/>
    <w:rsid w:val="00B7596D"/>
    <w:rsid w:val="00B75B9C"/>
    <w:rsid w:val="00B75C76"/>
    <w:rsid w:val="00B75DF2"/>
    <w:rsid w:val="00B76121"/>
    <w:rsid w:val="00B76853"/>
    <w:rsid w:val="00B76895"/>
    <w:rsid w:val="00B768FA"/>
    <w:rsid w:val="00B76AEB"/>
    <w:rsid w:val="00B76AF5"/>
    <w:rsid w:val="00B76E4D"/>
    <w:rsid w:val="00B775B3"/>
    <w:rsid w:val="00B775BD"/>
    <w:rsid w:val="00B7782E"/>
    <w:rsid w:val="00B77834"/>
    <w:rsid w:val="00B77D98"/>
    <w:rsid w:val="00B77E8A"/>
    <w:rsid w:val="00B801F7"/>
    <w:rsid w:val="00B80223"/>
    <w:rsid w:val="00B80415"/>
    <w:rsid w:val="00B80442"/>
    <w:rsid w:val="00B805E0"/>
    <w:rsid w:val="00B8081B"/>
    <w:rsid w:val="00B80B25"/>
    <w:rsid w:val="00B80C4D"/>
    <w:rsid w:val="00B80D52"/>
    <w:rsid w:val="00B80E26"/>
    <w:rsid w:val="00B8102E"/>
    <w:rsid w:val="00B81060"/>
    <w:rsid w:val="00B81118"/>
    <w:rsid w:val="00B81248"/>
    <w:rsid w:val="00B814A6"/>
    <w:rsid w:val="00B81D61"/>
    <w:rsid w:val="00B81DF5"/>
    <w:rsid w:val="00B81DFF"/>
    <w:rsid w:val="00B82444"/>
    <w:rsid w:val="00B826E4"/>
    <w:rsid w:val="00B82748"/>
    <w:rsid w:val="00B829B1"/>
    <w:rsid w:val="00B82C64"/>
    <w:rsid w:val="00B82EC4"/>
    <w:rsid w:val="00B8313B"/>
    <w:rsid w:val="00B83489"/>
    <w:rsid w:val="00B835D4"/>
    <w:rsid w:val="00B835F4"/>
    <w:rsid w:val="00B83796"/>
    <w:rsid w:val="00B83D98"/>
    <w:rsid w:val="00B84365"/>
    <w:rsid w:val="00B8445A"/>
    <w:rsid w:val="00B849A5"/>
    <w:rsid w:val="00B84F25"/>
    <w:rsid w:val="00B85039"/>
    <w:rsid w:val="00B8540B"/>
    <w:rsid w:val="00B85549"/>
    <w:rsid w:val="00B85AFC"/>
    <w:rsid w:val="00B86055"/>
    <w:rsid w:val="00B860B8"/>
    <w:rsid w:val="00B861DF"/>
    <w:rsid w:val="00B866EA"/>
    <w:rsid w:val="00B86ACB"/>
    <w:rsid w:val="00B86E85"/>
    <w:rsid w:val="00B870C2"/>
    <w:rsid w:val="00B8731B"/>
    <w:rsid w:val="00B87372"/>
    <w:rsid w:val="00B87527"/>
    <w:rsid w:val="00B879F0"/>
    <w:rsid w:val="00B87C36"/>
    <w:rsid w:val="00B907FE"/>
    <w:rsid w:val="00B90F5B"/>
    <w:rsid w:val="00B912CF"/>
    <w:rsid w:val="00B915DD"/>
    <w:rsid w:val="00B916FF"/>
    <w:rsid w:val="00B9199C"/>
    <w:rsid w:val="00B91F14"/>
    <w:rsid w:val="00B92171"/>
    <w:rsid w:val="00B9219F"/>
    <w:rsid w:val="00B92398"/>
    <w:rsid w:val="00B927CB"/>
    <w:rsid w:val="00B92924"/>
    <w:rsid w:val="00B92A88"/>
    <w:rsid w:val="00B92DF6"/>
    <w:rsid w:val="00B92E6A"/>
    <w:rsid w:val="00B93322"/>
    <w:rsid w:val="00B9332A"/>
    <w:rsid w:val="00B93523"/>
    <w:rsid w:val="00B93688"/>
    <w:rsid w:val="00B936EC"/>
    <w:rsid w:val="00B93766"/>
    <w:rsid w:val="00B93859"/>
    <w:rsid w:val="00B939F5"/>
    <w:rsid w:val="00B93CC4"/>
    <w:rsid w:val="00B93CF7"/>
    <w:rsid w:val="00B93D0E"/>
    <w:rsid w:val="00B9403D"/>
    <w:rsid w:val="00B9404D"/>
    <w:rsid w:val="00B94E4F"/>
    <w:rsid w:val="00B94F19"/>
    <w:rsid w:val="00B94F90"/>
    <w:rsid w:val="00B954E8"/>
    <w:rsid w:val="00B955E0"/>
    <w:rsid w:val="00B955FF"/>
    <w:rsid w:val="00B956C5"/>
    <w:rsid w:val="00B95881"/>
    <w:rsid w:val="00B95D04"/>
    <w:rsid w:val="00B95E0F"/>
    <w:rsid w:val="00B95F57"/>
    <w:rsid w:val="00B9616B"/>
    <w:rsid w:val="00B96266"/>
    <w:rsid w:val="00B962CB"/>
    <w:rsid w:val="00B96431"/>
    <w:rsid w:val="00B9658A"/>
    <w:rsid w:val="00B96805"/>
    <w:rsid w:val="00B968E2"/>
    <w:rsid w:val="00B96B06"/>
    <w:rsid w:val="00B96F93"/>
    <w:rsid w:val="00B9756C"/>
    <w:rsid w:val="00B976DE"/>
    <w:rsid w:val="00B97912"/>
    <w:rsid w:val="00B97925"/>
    <w:rsid w:val="00B97AF0"/>
    <w:rsid w:val="00B97B81"/>
    <w:rsid w:val="00B97D54"/>
    <w:rsid w:val="00B97E2B"/>
    <w:rsid w:val="00B97E6E"/>
    <w:rsid w:val="00B97E77"/>
    <w:rsid w:val="00B97F76"/>
    <w:rsid w:val="00B97FC3"/>
    <w:rsid w:val="00BA0417"/>
    <w:rsid w:val="00BA044B"/>
    <w:rsid w:val="00BA0530"/>
    <w:rsid w:val="00BA0558"/>
    <w:rsid w:val="00BA059E"/>
    <w:rsid w:val="00BA0B0F"/>
    <w:rsid w:val="00BA0DD6"/>
    <w:rsid w:val="00BA0E0F"/>
    <w:rsid w:val="00BA0FD4"/>
    <w:rsid w:val="00BA11D4"/>
    <w:rsid w:val="00BA121A"/>
    <w:rsid w:val="00BA125D"/>
    <w:rsid w:val="00BA126F"/>
    <w:rsid w:val="00BA130E"/>
    <w:rsid w:val="00BA14DD"/>
    <w:rsid w:val="00BA1533"/>
    <w:rsid w:val="00BA1554"/>
    <w:rsid w:val="00BA19F8"/>
    <w:rsid w:val="00BA1B99"/>
    <w:rsid w:val="00BA1C65"/>
    <w:rsid w:val="00BA1F74"/>
    <w:rsid w:val="00BA213B"/>
    <w:rsid w:val="00BA23B6"/>
    <w:rsid w:val="00BA26F8"/>
    <w:rsid w:val="00BA2A53"/>
    <w:rsid w:val="00BA2C15"/>
    <w:rsid w:val="00BA3017"/>
    <w:rsid w:val="00BA319E"/>
    <w:rsid w:val="00BA3510"/>
    <w:rsid w:val="00BA36FF"/>
    <w:rsid w:val="00BA377B"/>
    <w:rsid w:val="00BA39DF"/>
    <w:rsid w:val="00BA3A19"/>
    <w:rsid w:val="00BA3BD8"/>
    <w:rsid w:val="00BA3F5C"/>
    <w:rsid w:val="00BA3F5E"/>
    <w:rsid w:val="00BA411B"/>
    <w:rsid w:val="00BA41D9"/>
    <w:rsid w:val="00BA43DE"/>
    <w:rsid w:val="00BA49E4"/>
    <w:rsid w:val="00BA4A12"/>
    <w:rsid w:val="00BA4A5D"/>
    <w:rsid w:val="00BA4E8B"/>
    <w:rsid w:val="00BA502F"/>
    <w:rsid w:val="00BA558F"/>
    <w:rsid w:val="00BA575A"/>
    <w:rsid w:val="00BA5DD5"/>
    <w:rsid w:val="00BA616F"/>
    <w:rsid w:val="00BA61B7"/>
    <w:rsid w:val="00BA6321"/>
    <w:rsid w:val="00BA643D"/>
    <w:rsid w:val="00BA6515"/>
    <w:rsid w:val="00BA6CF0"/>
    <w:rsid w:val="00BA72D7"/>
    <w:rsid w:val="00BA72E5"/>
    <w:rsid w:val="00BA7398"/>
    <w:rsid w:val="00BA773C"/>
    <w:rsid w:val="00BA7B3A"/>
    <w:rsid w:val="00BA7B77"/>
    <w:rsid w:val="00BA7BEC"/>
    <w:rsid w:val="00BA7C65"/>
    <w:rsid w:val="00BA7D16"/>
    <w:rsid w:val="00BB0057"/>
    <w:rsid w:val="00BB0187"/>
    <w:rsid w:val="00BB0305"/>
    <w:rsid w:val="00BB04BA"/>
    <w:rsid w:val="00BB07E6"/>
    <w:rsid w:val="00BB0904"/>
    <w:rsid w:val="00BB0D32"/>
    <w:rsid w:val="00BB0D9E"/>
    <w:rsid w:val="00BB1007"/>
    <w:rsid w:val="00BB12A1"/>
    <w:rsid w:val="00BB135F"/>
    <w:rsid w:val="00BB155B"/>
    <w:rsid w:val="00BB1595"/>
    <w:rsid w:val="00BB15DA"/>
    <w:rsid w:val="00BB1CCD"/>
    <w:rsid w:val="00BB21EA"/>
    <w:rsid w:val="00BB2332"/>
    <w:rsid w:val="00BB253A"/>
    <w:rsid w:val="00BB264E"/>
    <w:rsid w:val="00BB2665"/>
    <w:rsid w:val="00BB2A41"/>
    <w:rsid w:val="00BB2AF9"/>
    <w:rsid w:val="00BB2B04"/>
    <w:rsid w:val="00BB2C2E"/>
    <w:rsid w:val="00BB2C30"/>
    <w:rsid w:val="00BB2CD7"/>
    <w:rsid w:val="00BB2DC4"/>
    <w:rsid w:val="00BB2E96"/>
    <w:rsid w:val="00BB2FB4"/>
    <w:rsid w:val="00BB30E6"/>
    <w:rsid w:val="00BB3149"/>
    <w:rsid w:val="00BB3383"/>
    <w:rsid w:val="00BB37B0"/>
    <w:rsid w:val="00BB3AD9"/>
    <w:rsid w:val="00BB4016"/>
    <w:rsid w:val="00BB42B6"/>
    <w:rsid w:val="00BB47DD"/>
    <w:rsid w:val="00BB4950"/>
    <w:rsid w:val="00BB4A20"/>
    <w:rsid w:val="00BB4A7A"/>
    <w:rsid w:val="00BB4DB9"/>
    <w:rsid w:val="00BB4DD2"/>
    <w:rsid w:val="00BB4E6E"/>
    <w:rsid w:val="00BB4FB9"/>
    <w:rsid w:val="00BB51BC"/>
    <w:rsid w:val="00BB526B"/>
    <w:rsid w:val="00BB52E7"/>
    <w:rsid w:val="00BB53F7"/>
    <w:rsid w:val="00BB54D1"/>
    <w:rsid w:val="00BB5838"/>
    <w:rsid w:val="00BB5A7D"/>
    <w:rsid w:val="00BB5B76"/>
    <w:rsid w:val="00BB5C10"/>
    <w:rsid w:val="00BB5CE6"/>
    <w:rsid w:val="00BB5DDD"/>
    <w:rsid w:val="00BB6099"/>
    <w:rsid w:val="00BB619F"/>
    <w:rsid w:val="00BB63EB"/>
    <w:rsid w:val="00BB651E"/>
    <w:rsid w:val="00BB66C9"/>
    <w:rsid w:val="00BB688F"/>
    <w:rsid w:val="00BB6BA7"/>
    <w:rsid w:val="00BB6CB3"/>
    <w:rsid w:val="00BB6DD4"/>
    <w:rsid w:val="00BB6E8D"/>
    <w:rsid w:val="00BB6ED9"/>
    <w:rsid w:val="00BB71AE"/>
    <w:rsid w:val="00BB71B3"/>
    <w:rsid w:val="00BB76D3"/>
    <w:rsid w:val="00BB77FD"/>
    <w:rsid w:val="00BB78C7"/>
    <w:rsid w:val="00BB797C"/>
    <w:rsid w:val="00BB7AD6"/>
    <w:rsid w:val="00BB7AF1"/>
    <w:rsid w:val="00BB7CE4"/>
    <w:rsid w:val="00BB7CFE"/>
    <w:rsid w:val="00BB7E06"/>
    <w:rsid w:val="00BB7EC7"/>
    <w:rsid w:val="00BC0047"/>
    <w:rsid w:val="00BC0135"/>
    <w:rsid w:val="00BC0968"/>
    <w:rsid w:val="00BC0B9A"/>
    <w:rsid w:val="00BC1195"/>
    <w:rsid w:val="00BC133E"/>
    <w:rsid w:val="00BC1910"/>
    <w:rsid w:val="00BC1BC9"/>
    <w:rsid w:val="00BC1C3C"/>
    <w:rsid w:val="00BC1D37"/>
    <w:rsid w:val="00BC1EB5"/>
    <w:rsid w:val="00BC21C0"/>
    <w:rsid w:val="00BC266F"/>
    <w:rsid w:val="00BC2868"/>
    <w:rsid w:val="00BC28E6"/>
    <w:rsid w:val="00BC2A0C"/>
    <w:rsid w:val="00BC2A10"/>
    <w:rsid w:val="00BC2C28"/>
    <w:rsid w:val="00BC2D1D"/>
    <w:rsid w:val="00BC2F4E"/>
    <w:rsid w:val="00BC30FA"/>
    <w:rsid w:val="00BC32E0"/>
    <w:rsid w:val="00BC375E"/>
    <w:rsid w:val="00BC3A3B"/>
    <w:rsid w:val="00BC3B03"/>
    <w:rsid w:val="00BC3B20"/>
    <w:rsid w:val="00BC3BCA"/>
    <w:rsid w:val="00BC42DA"/>
    <w:rsid w:val="00BC44AC"/>
    <w:rsid w:val="00BC4560"/>
    <w:rsid w:val="00BC4840"/>
    <w:rsid w:val="00BC490D"/>
    <w:rsid w:val="00BC4E1E"/>
    <w:rsid w:val="00BC4F2E"/>
    <w:rsid w:val="00BC5096"/>
    <w:rsid w:val="00BC561C"/>
    <w:rsid w:val="00BC5713"/>
    <w:rsid w:val="00BC5802"/>
    <w:rsid w:val="00BC5B3F"/>
    <w:rsid w:val="00BC5CF5"/>
    <w:rsid w:val="00BC5FC1"/>
    <w:rsid w:val="00BC6277"/>
    <w:rsid w:val="00BC64C4"/>
    <w:rsid w:val="00BC653E"/>
    <w:rsid w:val="00BC664A"/>
    <w:rsid w:val="00BC669E"/>
    <w:rsid w:val="00BC6A1D"/>
    <w:rsid w:val="00BC6F70"/>
    <w:rsid w:val="00BC70EB"/>
    <w:rsid w:val="00BC7231"/>
    <w:rsid w:val="00BC72B6"/>
    <w:rsid w:val="00BC7575"/>
    <w:rsid w:val="00BC7603"/>
    <w:rsid w:val="00BC7722"/>
    <w:rsid w:val="00BC7C50"/>
    <w:rsid w:val="00BC7CBB"/>
    <w:rsid w:val="00BC7D01"/>
    <w:rsid w:val="00BC7DC1"/>
    <w:rsid w:val="00BC7E03"/>
    <w:rsid w:val="00BC7FD3"/>
    <w:rsid w:val="00BD01EF"/>
    <w:rsid w:val="00BD086D"/>
    <w:rsid w:val="00BD0F92"/>
    <w:rsid w:val="00BD105E"/>
    <w:rsid w:val="00BD142F"/>
    <w:rsid w:val="00BD1521"/>
    <w:rsid w:val="00BD1523"/>
    <w:rsid w:val="00BD16AD"/>
    <w:rsid w:val="00BD1806"/>
    <w:rsid w:val="00BD1907"/>
    <w:rsid w:val="00BD1B77"/>
    <w:rsid w:val="00BD1BE2"/>
    <w:rsid w:val="00BD20BD"/>
    <w:rsid w:val="00BD22AB"/>
    <w:rsid w:val="00BD22D3"/>
    <w:rsid w:val="00BD23A8"/>
    <w:rsid w:val="00BD2484"/>
    <w:rsid w:val="00BD2641"/>
    <w:rsid w:val="00BD29EB"/>
    <w:rsid w:val="00BD2DF8"/>
    <w:rsid w:val="00BD2E6F"/>
    <w:rsid w:val="00BD31A1"/>
    <w:rsid w:val="00BD31DA"/>
    <w:rsid w:val="00BD32B6"/>
    <w:rsid w:val="00BD34AE"/>
    <w:rsid w:val="00BD3598"/>
    <w:rsid w:val="00BD38BC"/>
    <w:rsid w:val="00BD39B8"/>
    <w:rsid w:val="00BD39D5"/>
    <w:rsid w:val="00BD3A4E"/>
    <w:rsid w:val="00BD3ABF"/>
    <w:rsid w:val="00BD3AD8"/>
    <w:rsid w:val="00BD3DAE"/>
    <w:rsid w:val="00BD41F0"/>
    <w:rsid w:val="00BD426E"/>
    <w:rsid w:val="00BD48F0"/>
    <w:rsid w:val="00BD4985"/>
    <w:rsid w:val="00BD4C91"/>
    <w:rsid w:val="00BD4F76"/>
    <w:rsid w:val="00BD503A"/>
    <w:rsid w:val="00BD5205"/>
    <w:rsid w:val="00BD5632"/>
    <w:rsid w:val="00BD5884"/>
    <w:rsid w:val="00BD59CA"/>
    <w:rsid w:val="00BD5CEB"/>
    <w:rsid w:val="00BD5FC7"/>
    <w:rsid w:val="00BD5FFF"/>
    <w:rsid w:val="00BD6032"/>
    <w:rsid w:val="00BD611B"/>
    <w:rsid w:val="00BD658B"/>
    <w:rsid w:val="00BD67FF"/>
    <w:rsid w:val="00BD687A"/>
    <w:rsid w:val="00BD69EE"/>
    <w:rsid w:val="00BD6BA2"/>
    <w:rsid w:val="00BD6CC2"/>
    <w:rsid w:val="00BD6DA0"/>
    <w:rsid w:val="00BD6FD7"/>
    <w:rsid w:val="00BD721F"/>
    <w:rsid w:val="00BD72AE"/>
    <w:rsid w:val="00BD7893"/>
    <w:rsid w:val="00BD7BA9"/>
    <w:rsid w:val="00BD7BAC"/>
    <w:rsid w:val="00BD7BD7"/>
    <w:rsid w:val="00BD7FAC"/>
    <w:rsid w:val="00BE0204"/>
    <w:rsid w:val="00BE05C8"/>
    <w:rsid w:val="00BE070A"/>
    <w:rsid w:val="00BE0A07"/>
    <w:rsid w:val="00BE0AAD"/>
    <w:rsid w:val="00BE0BA7"/>
    <w:rsid w:val="00BE0FB6"/>
    <w:rsid w:val="00BE0FB8"/>
    <w:rsid w:val="00BE1150"/>
    <w:rsid w:val="00BE1165"/>
    <w:rsid w:val="00BE12FA"/>
    <w:rsid w:val="00BE1487"/>
    <w:rsid w:val="00BE1622"/>
    <w:rsid w:val="00BE1773"/>
    <w:rsid w:val="00BE19F9"/>
    <w:rsid w:val="00BE1B2C"/>
    <w:rsid w:val="00BE1CF4"/>
    <w:rsid w:val="00BE1EA6"/>
    <w:rsid w:val="00BE20C3"/>
    <w:rsid w:val="00BE21E4"/>
    <w:rsid w:val="00BE2816"/>
    <w:rsid w:val="00BE2C15"/>
    <w:rsid w:val="00BE2E77"/>
    <w:rsid w:val="00BE2F26"/>
    <w:rsid w:val="00BE2F6C"/>
    <w:rsid w:val="00BE3043"/>
    <w:rsid w:val="00BE30A3"/>
    <w:rsid w:val="00BE3330"/>
    <w:rsid w:val="00BE3448"/>
    <w:rsid w:val="00BE365A"/>
    <w:rsid w:val="00BE366F"/>
    <w:rsid w:val="00BE36EB"/>
    <w:rsid w:val="00BE3ABA"/>
    <w:rsid w:val="00BE3C3A"/>
    <w:rsid w:val="00BE3DCE"/>
    <w:rsid w:val="00BE3DD0"/>
    <w:rsid w:val="00BE4328"/>
    <w:rsid w:val="00BE43E7"/>
    <w:rsid w:val="00BE4406"/>
    <w:rsid w:val="00BE457D"/>
    <w:rsid w:val="00BE48D2"/>
    <w:rsid w:val="00BE4A24"/>
    <w:rsid w:val="00BE4D4C"/>
    <w:rsid w:val="00BE4DF6"/>
    <w:rsid w:val="00BE4FFE"/>
    <w:rsid w:val="00BE51CA"/>
    <w:rsid w:val="00BE55C9"/>
    <w:rsid w:val="00BE5615"/>
    <w:rsid w:val="00BE5640"/>
    <w:rsid w:val="00BE57A2"/>
    <w:rsid w:val="00BE5892"/>
    <w:rsid w:val="00BE5B86"/>
    <w:rsid w:val="00BE5C2E"/>
    <w:rsid w:val="00BE5C82"/>
    <w:rsid w:val="00BE5CB6"/>
    <w:rsid w:val="00BE5EF6"/>
    <w:rsid w:val="00BE612E"/>
    <w:rsid w:val="00BE620D"/>
    <w:rsid w:val="00BE63C3"/>
    <w:rsid w:val="00BE68FF"/>
    <w:rsid w:val="00BE6BEA"/>
    <w:rsid w:val="00BE6ED9"/>
    <w:rsid w:val="00BE72F5"/>
    <w:rsid w:val="00BE7307"/>
    <w:rsid w:val="00BE73EE"/>
    <w:rsid w:val="00BE7564"/>
    <w:rsid w:val="00BE76D2"/>
    <w:rsid w:val="00BE77B1"/>
    <w:rsid w:val="00BE77F0"/>
    <w:rsid w:val="00BE79A0"/>
    <w:rsid w:val="00BE79D3"/>
    <w:rsid w:val="00BE7B6A"/>
    <w:rsid w:val="00BE7D60"/>
    <w:rsid w:val="00BE7D9B"/>
    <w:rsid w:val="00BE7E13"/>
    <w:rsid w:val="00BF015C"/>
    <w:rsid w:val="00BF0634"/>
    <w:rsid w:val="00BF07C4"/>
    <w:rsid w:val="00BF0C19"/>
    <w:rsid w:val="00BF0C5F"/>
    <w:rsid w:val="00BF0E12"/>
    <w:rsid w:val="00BF117D"/>
    <w:rsid w:val="00BF11B3"/>
    <w:rsid w:val="00BF120F"/>
    <w:rsid w:val="00BF151F"/>
    <w:rsid w:val="00BF19BC"/>
    <w:rsid w:val="00BF19D5"/>
    <w:rsid w:val="00BF1BFF"/>
    <w:rsid w:val="00BF1EB3"/>
    <w:rsid w:val="00BF2261"/>
    <w:rsid w:val="00BF226A"/>
    <w:rsid w:val="00BF22E0"/>
    <w:rsid w:val="00BF2373"/>
    <w:rsid w:val="00BF2651"/>
    <w:rsid w:val="00BF2699"/>
    <w:rsid w:val="00BF2910"/>
    <w:rsid w:val="00BF2B48"/>
    <w:rsid w:val="00BF2C80"/>
    <w:rsid w:val="00BF2FA0"/>
    <w:rsid w:val="00BF320E"/>
    <w:rsid w:val="00BF3260"/>
    <w:rsid w:val="00BF3726"/>
    <w:rsid w:val="00BF3781"/>
    <w:rsid w:val="00BF38D0"/>
    <w:rsid w:val="00BF3C6C"/>
    <w:rsid w:val="00BF3DA5"/>
    <w:rsid w:val="00BF3DAC"/>
    <w:rsid w:val="00BF3EC5"/>
    <w:rsid w:val="00BF4216"/>
    <w:rsid w:val="00BF432D"/>
    <w:rsid w:val="00BF4767"/>
    <w:rsid w:val="00BF4CB3"/>
    <w:rsid w:val="00BF4FB9"/>
    <w:rsid w:val="00BF50AC"/>
    <w:rsid w:val="00BF5372"/>
    <w:rsid w:val="00BF54F5"/>
    <w:rsid w:val="00BF569B"/>
    <w:rsid w:val="00BF583B"/>
    <w:rsid w:val="00BF5943"/>
    <w:rsid w:val="00BF5A36"/>
    <w:rsid w:val="00BF5BF7"/>
    <w:rsid w:val="00BF5C4E"/>
    <w:rsid w:val="00BF5CDB"/>
    <w:rsid w:val="00BF5E0D"/>
    <w:rsid w:val="00BF62F6"/>
    <w:rsid w:val="00BF645F"/>
    <w:rsid w:val="00BF64F9"/>
    <w:rsid w:val="00BF66D7"/>
    <w:rsid w:val="00BF67EE"/>
    <w:rsid w:val="00BF6815"/>
    <w:rsid w:val="00BF6C95"/>
    <w:rsid w:val="00BF6F8B"/>
    <w:rsid w:val="00BF70FC"/>
    <w:rsid w:val="00BF71B8"/>
    <w:rsid w:val="00BF7256"/>
    <w:rsid w:val="00BF7303"/>
    <w:rsid w:val="00BF7381"/>
    <w:rsid w:val="00BF7637"/>
    <w:rsid w:val="00BF7673"/>
    <w:rsid w:val="00BF76CA"/>
    <w:rsid w:val="00BF7D23"/>
    <w:rsid w:val="00BF7F14"/>
    <w:rsid w:val="00C00969"/>
    <w:rsid w:val="00C00B5A"/>
    <w:rsid w:val="00C00C44"/>
    <w:rsid w:val="00C00DE5"/>
    <w:rsid w:val="00C00EB1"/>
    <w:rsid w:val="00C00FD7"/>
    <w:rsid w:val="00C0106F"/>
    <w:rsid w:val="00C0107B"/>
    <w:rsid w:val="00C010A8"/>
    <w:rsid w:val="00C01129"/>
    <w:rsid w:val="00C0120B"/>
    <w:rsid w:val="00C0152C"/>
    <w:rsid w:val="00C018B9"/>
    <w:rsid w:val="00C0197B"/>
    <w:rsid w:val="00C019B4"/>
    <w:rsid w:val="00C01B43"/>
    <w:rsid w:val="00C0212D"/>
    <w:rsid w:val="00C025D3"/>
    <w:rsid w:val="00C0280C"/>
    <w:rsid w:val="00C02E03"/>
    <w:rsid w:val="00C02E1A"/>
    <w:rsid w:val="00C02E29"/>
    <w:rsid w:val="00C02F29"/>
    <w:rsid w:val="00C030B7"/>
    <w:rsid w:val="00C030CD"/>
    <w:rsid w:val="00C03119"/>
    <w:rsid w:val="00C036C4"/>
    <w:rsid w:val="00C036D4"/>
    <w:rsid w:val="00C036EA"/>
    <w:rsid w:val="00C037F8"/>
    <w:rsid w:val="00C038D8"/>
    <w:rsid w:val="00C03905"/>
    <w:rsid w:val="00C0391A"/>
    <w:rsid w:val="00C03927"/>
    <w:rsid w:val="00C03931"/>
    <w:rsid w:val="00C03973"/>
    <w:rsid w:val="00C03A9A"/>
    <w:rsid w:val="00C03BDC"/>
    <w:rsid w:val="00C03E4B"/>
    <w:rsid w:val="00C0464C"/>
    <w:rsid w:val="00C04789"/>
    <w:rsid w:val="00C047F6"/>
    <w:rsid w:val="00C04A1C"/>
    <w:rsid w:val="00C04A26"/>
    <w:rsid w:val="00C04DCF"/>
    <w:rsid w:val="00C04E9A"/>
    <w:rsid w:val="00C05067"/>
    <w:rsid w:val="00C051B8"/>
    <w:rsid w:val="00C05600"/>
    <w:rsid w:val="00C05CDA"/>
    <w:rsid w:val="00C05EDD"/>
    <w:rsid w:val="00C06177"/>
    <w:rsid w:val="00C068DB"/>
    <w:rsid w:val="00C06BE2"/>
    <w:rsid w:val="00C07094"/>
    <w:rsid w:val="00C0726C"/>
    <w:rsid w:val="00C075D1"/>
    <w:rsid w:val="00C075EA"/>
    <w:rsid w:val="00C07925"/>
    <w:rsid w:val="00C07991"/>
    <w:rsid w:val="00C07C05"/>
    <w:rsid w:val="00C10095"/>
    <w:rsid w:val="00C1017C"/>
    <w:rsid w:val="00C105AF"/>
    <w:rsid w:val="00C108A3"/>
    <w:rsid w:val="00C108FC"/>
    <w:rsid w:val="00C10A05"/>
    <w:rsid w:val="00C10AA4"/>
    <w:rsid w:val="00C10C49"/>
    <w:rsid w:val="00C113F0"/>
    <w:rsid w:val="00C11630"/>
    <w:rsid w:val="00C1165B"/>
    <w:rsid w:val="00C11695"/>
    <w:rsid w:val="00C11726"/>
    <w:rsid w:val="00C1193B"/>
    <w:rsid w:val="00C11BAD"/>
    <w:rsid w:val="00C11C0F"/>
    <w:rsid w:val="00C1213D"/>
    <w:rsid w:val="00C12281"/>
    <w:rsid w:val="00C123A7"/>
    <w:rsid w:val="00C128CB"/>
    <w:rsid w:val="00C12A2F"/>
    <w:rsid w:val="00C12CCB"/>
    <w:rsid w:val="00C12DC3"/>
    <w:rsid w:val="00C130C0"/>
    <w:rsid w:val="00C1326F"/>
    <w:rsid w:val="00C133FA"/>
    <w:rsid w:val="00C138F5"/>
    <w:rsid w:val="00C139C0"/>
    <w:rsid w:val="00C13B88"/>
    <w:rsid w:val="00C13BEA"/>
    <w:rsid w:val="00C13F54"/>
    <w:rsid w:val="00C1419C"/>
    <w:rsid w:val="00C141FE"/>
    <w:rsid w:val="00C14356"/>
    <w:rsid w:val="00C14522"/>
    <w:rsid w:val="00C145DA"/>
    <w:rsid w:val="00C14811"/>
    <w:rsid w:val="00C1485A"/>
    <w:rsid w:val="00C14911"/>
    <w:rsid w:val="00C1496B"/>
    <w:rsid w:val="00C1501C"/>
    <w:rsid w:val="00C15167"/>
    <w:rsid w:val="00C15751"/>
    <w:rsid w:val="00C157B3"/>
    <w:rsid w:val="00C158DA"/>
    <w:rsid w:val="00C15AD0"/>
    <w:rsid w:val="00C15ADA"/>
    <w:rsid w:val="00C15B40"/>
    <w:rsid w:val="00C15D06"/>
    <w:rsid w:val="00C1601C"/>
    <w:rsid w:val="00C16362"/>
    <w:rsid w:val="00C164EF"/>
    <w:rsid w:val="00C1655D"/>
    <w:rsid w:val="00C16668"/>
    <w:rsid w:val="00C16C82"/>
    <w:rsid w:val="00C16DA4"/>
    <w:rsid w:val="00C16E17"/>
    <w:rsid w:val="00C16F9D"/>
    <w:rsid w:val="00C1701B"/>
    <w:rsid w:val="00C170B1"/>
    <w:rsid w:val="00C17218"/>
    <w:rsid w:val="00C172EA"/>
    <w:rsid w:val="00C172F3"/>
    <w:rsid w:val="00C17373"/>
    <w:rsid w:val="00C17388"/>
    <w:rsid w:val="00C173C1"/>
    <w:rsid w:val="00C17749"/>
    <w:rsid w:val="00C17758"/>
    <w:rsid w:val="00C17824"/>
    <w:rsid w:val="00C17B0E"/>
    <w:rsid w:val="00C17B1F"/>
    <w:rsid w:val="00C17BAB"/>
    <w:rsid w:val="00C17BCC"/>
    <w:rsid w:val="00C200C7"/>
    <w:rsid w:val="00C20477"/>
    <w:rsid w:val="00C205C7"/>
    <w:rsid w:val="00C2060E"/>
    <w:rsid w:val="00C206E6"/>
    <w:rsid w:val="00C20857"/>
    <w:rsid w:val="00C209CD"/>
    <w:rsid w:val="00C20A93"/>
    <w:rsid w:val="00C20AD6"/>
    <w:rsid w:val="00C2111D"/>
    <w:rsid w:val="00C212B5"/>
    <w:rsid w:val="00C2183F"/>
    <w:rsid w:val="00C21869"/>
    <w:rsid w:val="00C2197A"/>
    <w:rsid w:val="00C21BBE"/>
    <w:rsid w:val="00C21BE0"/>
    <w:rsid w:val="00C21C03"/>
    <w:rsid w:val="00C21C1F"/>
    <w:rsid w:val="00C21CB3"/>
    <w:rsid w:val="00C21CD6"/>
    <w:rsid w:val="00C21EB3"/>
    <w:rsid w:val="00C21F25"/>
    <w:rsid w:val="00C22199"/>
    <w:rsid w:val="00C22246"/>
    <w:rsid w:val="00C2239D"/>
    <w:rsid w:val="00C225FF"/>
    <w:rsid w:val="00C22786"/>
    <w:rsid w:val="00C2289F"/>
    <w:rsid w:val="00C22A82"/>
    <w:rsid w:val="00C22BA6"/>
    <w:rsid w:val="00C22CA5"/>
    <w:rsid w:val="00C22F94"/>
    <w:rsid w:val="00C2329D"/>
    <w:rsid w:val="00C23424"/>
    <w:rsid w:val="00C234A9"/>
    <w:rsid w:val="00C2354D"/>
    <w:rsid w:val="00C235B1"/>
    <w:rsid w:val="00C238B1"/>
    <w:rsid w:val="00C23990"/>
    <w:rsid w:val="00C23BD8"/>
    <w:rsid w:val="00C23DC1"/>
    <w:rsid w:val="00C23E13"/>
    <w:rsid w:val="00C24343"/>
    <w:rsid w:val="00C244DC"/>
    <w:rsid w:val="00C244F6"/>
    <w:rsid w:val="00C24B54"/>
    <w:rsid w:val="00C24DD2"/>
    <w:rsid w:val="00C24DDE"/>
    <w:rsid w:val="00C24EF2"/>
    <w:rsid w:val="00C24F02"/>
    <w:rsid w:val="00C25082"/>
    <w:rsid w:val="00C25218"/>
    <w:rsid w:val="00C25332"/>
    <w:rsid w:val="00C258AD"/>
    <w:rsid w:val="00C25A85"/>
    <w:rsid w:val="00C25E6E"/>
    <w:rsid w:val="00C25E70"/>
    <w:rsid w:val="00C25EC1"/>
    <w:rsid w:val="00C25EF9"/>
    <w:rsid w:val="00C26107"/>
    <w:rsid w:val="00C261AB"/>
    <w:rsid w:val="00C26269"/>
    <w:rsid w:val="00C2696E"/>
    <w:rsid w:val="00C26C82"/>
    <w:rsid w:val="00C2723D"/>
    <w:rsid w:val="00C2730F"/>
    <w:rsid w:val="00C27336"/>
    <w:rsid w:val="00C279B9"/>
    <w:rsid w:val="00C27E74"/>
    <w:rsid w:val="00C305E1"/>
    <w:rsid w:val="00C30701"/>
    <w:rsid w:val="00C30708"/>
    <w:rsid w:val="00C307C6"/>
    <w:rsid w:val="00C30AC4"/>
    <w:rsid w:val="00C30C4A"/>
    <w:rsid w:val="00C30EC8"/>
    <w:rsid w:val="00C30F02"/>
    <w:rsid w:val="00C31C35"/>
    <w:rsid w:val="00C31C9E"/>
    <w:rsid w:val="00C31D33"/>
    <w:rsid w:val="00C31E66"/>
    <w:rsid w:val="00C3216C"/>
    <w:rsid w:val="00C321B1"/>
    <w:rsid w:val="00C32862"/>
    <w:rsid w:val="00C32872"/>
    <w:rsid w:val="00C329E7"/>
    <w:rsid w:val="00C329F7"/>
    <w:rsid w:val="00C32A63"/>
    <w:rsid w:val="00C32B3F"/>
    <w:rsid w:val="00C32DBE"/>
    <w:rsid w:val="00C3305F"/>
    <w:rsid w:val="00C33114"/>
    <w:rsid w:val="00C334D8"/>
    <w:rsid w:val="00C33949"/>
    <w:rsid w:val="00C339D9"/>
    <w:rsid w:val="00C33C6D"/>
    <w:rsid w:val="00C33C84"/>
    <w:rsid w:val="00C33DF3"/>
    <w:rsid w:val="00C33EA5"/>
    <w:rsid w:val="00C3457F"/>
    <w:rsid w:val="00C3475C"/>
    <w:rsid w:val="00C34816"/>
    <w:rsid w:val="00C34835"/>
    <w:rsid w:val="00C349CC"/>
    <w:rsid w:val="00C34C43"/>
    <w:rsid w:val="00C34CDE"/>
    <w:rsid w:val="00C34DE5"/>
    <w:rsid w:val="00C34EE0"/>
    <w:rsid w:val="00C350B5"/>
    <w:rsid w:val="00C35374"/>
    <w:rsid w:val="00C3537B"/>
    <w:rsid w:val="00C3538D"/>
    <w:rsid w:val="00C3590B"/>
    <w:rsid w:val="00C359C4"/>
    <w:rsid w:val="00C35FC8"/>
    <w:rsid w:val="00C3624D"/>
    <w:rsid w:val="00C363F9"/>
    <w:rsid w:val="00C36629"/>
    <w:rsid w:val="00C367D4"/>
    <w:rsid w:val="00C36870"/>
    <w:rsid w:val="00C36D4D"/>
    <w:rsid w:val="00C36D95"/>
    <w:rsid w:val="00C36E3D"/>
    <w:rsid w:val="00C36EB4"/>
    <w:rsid w:val="00C37111"/>
    <w:rsid w:val="00C377E3"/>
    <w:rsid w:val="00C3797B"/>
    <w:rsid w:val="00C379FA"/>
    <w:rsid w:val="00C37B34"/>
    <w:rsid w:val="00C37C8B"/>
    <w:rsid w:val="00C37F76"/>
    <w:rsid w:val="00C401DD"/>
    <w:rsid w:val="00C405EA"/>
    <w:rsid w:val="00C409C5"/>
    <w:rsid w:val="00C40BEC"/>
    <w:rsid w:val="00C40DAA"/>
    <w:rsid w:val="00C4117B"/>
    <w:rsid w:val="00C41322"/>
    <w:rsid w:val="00C414E5"/>
    <w:rsid w:val="00C415FC"/>
    <w:rsid w:val="00C416D0"/>
    <w:rsid w:val="00C4172F"/>
    <w:rsid w:val="00C4183D"/>
    <w:rsid w:val="00C41A75"/>
    <w:rsid w:val="00C41B6D"/>
    <w:rsid w:val="00C41B9D"/>
    <w:rsid w:val="00C41BEB"/>
    <w:rsid w:val="00C41C79"/>
    <w:rsid w:val="00C41D90"/>
    <w:rsid w:val="00C41E0C"/>
    <w:rsid w:val="00C41EDE"/>
    <w:rsid w:val="00C41F55"/>
    <w:rsid w:val="00C41FB6"/>
    <w:rsid w:val="00C421D6"/>
    <w:rsid w:val="00C4224A"/>
    <w:rsid w:val="00C425BA"/>
    <w:rsid w:val="00C42EA2"/>
    <w:rsid w:val="00C42F43"/>
    <w:rsid w:val="00C4306D"/>
    <w:rsid w:val="00C432D3"/>
    <w:rsid w:val="00C43420"/>
    <w:rsid w:val="00C43A0A"/>
    <w:rsid w:val="00C43FC1"/>
    <w:rsid w:val="00C44091"/>
    <w:rsid w:val="00C4417E"/>
    <w:rsid w:val="00C4437E"/>
    <w:rsid w:val="00C4440A"/>
    <w:rsid w:val="00C4451B"/>
    <w:rsid w:val="00C44528"/>
    <w:rsid w:val="00C44552"/>
    <w:rsid w:val="00C447D0"/>
    <w:rsid w:val="00C44B6C"/>
    <w:rsid w:val="00C44B94"/>
    <w:rsid w:val="00C44CE1"/>
    <w:rsid w:val="00C44D4A"/>
    <w:rsid w:val="00C45436"/>
    <w:rsid w:val="00C457F3"/>
    <w:rsid w:val="00C45B74"/>
    <w:rsid w:val="00C45C2E"/>
    <w:rsid w:val="00C45C3E"/>
    <w:rsid w:val="00C45D74"/>
    <w:rsid w:val="00C45DE4"/>
    <w:rsid w:val="00C4614B"/>
    <w:rsid w:val="00C4621B"/>
    <w:rsid w:val="00C4634F"/>
    <w:rsid w:val="00C46624"/>
    <w:rsid w:val="00C466A8"/>
    <w:rsid w:val="00C4676E"/>
    <w:rsid w:val="00C46AEA"/>
    <w:rsid w:val="00C46BFF"/>
    <w:rsid w:val="00C46C29"/>
    <w:rsid w:val="00C46C94"/>
    <w:rsid w:val="00C46F82"/>
    <w:rsid w:val="00C470EB"/>
    <w:rsid w:val="00C471BC"/>
    <w:rsid w:val="00C47537"/>
    <w:rsid w:val="00C47550"/>
    <w:rsid w:val="00C4770D"/>
    <w:rsid w:val="00C47754"/>
    <w:rsid w:val="00C47794"/>
    <w:rsid w:val="00C47AEF"/>
    <w:rsid w:val="00C47DF2"/>
    <w:rsid w:val="00C47EDE"/>
    <w:rsid w:val="00C47EE9"/>
    <w:rsid w:val="00C47F40"/>
    <w:rsid w:val="00C50447"/>
    <w:rsid w:val="00C504F1"/>
    <w:rsid w:val="00C50516"/>
    <w:rsid w:val="00C50876"/>
    <w:rsid w:val="00C50A26"/>
    <w:rsid w:val="00C50A6C"/>
    <w:rsid w:val="00C50A7C"/>
    <w:rsid w:val="00C50D46"/>
    <w:rsid w:val="00C5148E"/>
    <w:rsid w:val="00C51595"/>
    <w:rsid w:val="00C51608"/>
    <w:rsid w:val="00C51856"/>
    <w:rsid w:val="00C51ABF"/>
    <w:rsid w:val="00C51BF4"/>
    <w:rsid w:val="00C51C3E"/>
    <w:rsid w:val="00C51F77"/>
    <w:rsid w:val="00C51F9A"/>
    <w:rsid w:val="00C521FB"/>
    <w:rsid w:val="00C52210"/>
    <w:rsid w:val="00C52228"/>
    <w:rsid w:val="00C524A3"/>
    <w:rsid w:val="00C527FE"/>
    <w:rsid w:val="00C528C6"/>
    <w:rsid w:val="00C528F2"/>
    <w:rsid w:val="00C52A6A"/>
    <w:rsid w:val="00C52D06"/>
    <w:rsid w:val="00C52D15"/>
    <w:rsid w:val="00C53223"/>
    <w:rsid w:val="00C53399"/>
    <w:rsid w:val="00C533B3"/>
    <w:rsid w:val="00C53481"/>
    <w:rsid w:val="00C534C1"/>
    <w:rsid w:val="00C5352A"/>
    <w:rsid w:val="00C53560"/>
    <w:rsid w:val="00C53615"/>
    <w:rsid w:val="00C53979"/>
    <w:rsid w:val="00C53A13"/>
    <w:rsid w:val="00C53F1D"/>
    <w:rsid w:val="00C54197"/>
    <w:rsid w:val="00C5431F"/>
    <w:rsid w:val="00C544C0"/>
    <w:rsid w:val="00C54627"/>
    <w:rsid w:val="00C547B4"/>
    <w:rsid w:val="00C548B0"/>
    <w:rsid w:val="00C54A4C"/>
    <w:rsid w:val="00C550BF"/>
    <w:rsid w:val="00C550F8"/>
    <w:rsid w:val="00C55308"/>
    <w:rsid w:val="00C557D3"/>
    <w:rsid w:val="00C55A01"/>
    <w:rsid w:val="00C55A84"/>
    <w:rsid w:val="00C55AC7"/>
    <w:rsid w:val="00C55B10"/>
    <w:rsid w:val="00C55B88"/>
    <w:rsid w:val="00C55E6E"/>
    <w:rsid w:val="00C55EE6"/>
    <w:rsid w:val="00C55F5B"/>
    <w:rsid w:val="00C5602B"/>
    <w:rsid w:val="00C56183"/>
    <w:rsid w:val="00C56220"/>
    <w:rsid w:val="00C5646D"/>
    <w:rsid w:val="00C573EA"/>
    <w:rsid w:val="00C57890"/>
    <w:rsid w:val="00C57BA6"/>
    <w:rsid w:val="00C57DCB"/>
    <w:rsid w:val="00C57FE6"/>
    <w:rsid w:val="00C6041A"/>
    <w:rsid w:val="00C607B0"/>
    <w:rsid w:val="00C60E5E"/>
    <w:rsid w:val="00C6108F"/>
    <w:rsid w:val="00C6117A"/>
    <w:rsid w:val="00C61541"/>
    <w:rsid w:val="00C6175C"/>
    <w:rsid w:val="00C617C9"/>
    <w:rsid w:val="00C61A15"/>
    <w:rsid w:val="00C61AC6"/>
    <w:rsid w:val="00C61AFA"/>
    <w:rsid w:val="00C61B8A"/>
    <w:rsid w:val="00C61D5A"/>
    <w:rsid w:val="00C61F4A"/>
    <w:rsid w:val="00C620F1"/>
    <w:rsid w:val="00C62442"/>
    <w:rsid w:val="00C62542"/>
    <w:rsid w:val="00C6259E"/>
    <w:rsid w:val="00C62A1A"/>
    <w:rsid w:val="00C62A78"/>
    <w:rsid w:val="00C62A7A"/>
    <w:rsid w:val="00C62D2F"/>
    <w:rsid w:val="00C62DFC"/>
    <w:rsid w:val="00C631C8"/>
    <w:rsid w:val="00C633FE"/>
    <w:rsid w:val="00C634B1"/>
    <w:rsid w:val="00C635BE"/>
    <w:rsid w:val="00C63656"/>
    <w:rsid w:val="00C63667"/>
    <w:rsid w:val="00C63B4E"/>
    <w:rsid w:val="00C63C5D"/>
    <w:rsid w:val="00C645AB"/>
    <w:rsid w:val="00C646AC"/>
    <w:rsid w:val="00C6471C"/>
    <w:rsid w:val="00C64B74"/>
    <w:rsid w:val="00C64C3E"/>
    <w:rsid w:val="00C64DCE"/>
    <w:rsid w:val="00C64EF8"/>
    <w:rsid w:val="00C65190"/>
    <w:rsid w:val="00C651EC"/>
    <w:rsid w:val="00C65264"/>
    <w:rsid w:val="00C65407"/>
    <w:rsid w:val="00C6554D"/>
    <w:rsid w:val="00C659AE"/>
    <w:rsid w:val="00C65A3C"/>
    <w:rsid w:val="00C65B20"/>
    <w:rsid w:val="00C65DA4"/>
    <w:rsid w:val="00C6616C"/>
    <w:rsid w:val="00C662EA"/>
    <w:rsid w:val="00C662F8"/>
    <w:rsid w:val="00C6646E"/>
    <w:rsid w:val="00C664E4"/>
    <w:rsid w:val="00C66576"/>
    <w:rsid w:val="00C665B5"/>
    <w:rsid w:val="00C66AE5"/>
    <w:rsid w:val="00C674B5"/>
    <w:rsid w:val="00C6762E"/>
    <w:rsid w:val="00C67A19"/>
    <w:rsid w:val="00C67B80"/>
    <w:rsid w:val="00C67CAB"/>
    <w:rsid w:val="00C67D7C"/>
    <w:rsid w:val="00C702C7"/>
    <w:rsid w:val="00C704FF"/>
    <w:rsid w:val="00C70A64"/>
    <w:rsid w:val="00C70A9E"/>
    <w:rsid w:val="00C70AF6"/>
    <w:rsid w:val="00C70BF4"/>
    <w:rsid w:val="00C70E7C"/>
    <w:rsid w:val="00C70EF3"/>
    <w:rsid w:val="00C70F4D"/>
    <w:rsid w:val="00C70FBA"/>
    <w:rsid w:val="00C710B6"/>
    <w:rsid w:val="00C711FB"/>
    <w:rsid w:val="00C713C7"/>
    <w:rsid w:val="00C71501"/>
    <w:rsid w:val="00C715F0"/>
    <w:rsid w:val="00C717C6"/>
    <w:rsid w:val="00C718C6"/>
    <w:rsid w:val="00C71995"/>
    <w:rsid w:val="00C72205"/>
    <w:rsid w:val="00C72227"/>
    <w:rsid w:val="00C72238"/>
    <w:rsid w:val="00C72492"/>
    <w:rsid w:val="00C724EB"/>
    <w:rsid w:val="00C7263E"/>
    <w:rsid w:val="00C728C4"/>
    <w:rsid w:val="00C728F8"/>
    <w:rsid w:val="00C72915"/>
    <w:rsid w:val="00C72AC6"/>
    <w:rsid w:val="00C72E50"/>
    <w:rsid w:val="00C72E53"/>
    <w:rsid w:val="00C72E88"/>
    <w:rsid w:val="00C72E92"/>
    <w:rsid w:val="00C73468"/>
    <w:rsid w:val="00C7383F"/>
    <w:rsid w:val="00C73B95"/>
    <w:rsid w:val="00C74282"/>
    <w:rsid w:val="00C7429C"/>
    <w:rsid w:val="00C743E5"/>
    <w:rsid w:val="00C748BA"/>
    <w:rsid w:val="00C74CFB"/>
    <w:rsid w:val="00C74F97"/>
    <w:rsid w:val="00C74FE2"/>
    <w:rsid w:val="00C750C4"/>
    <w:rsid w:val="00C752D8"/>
    <w:rsid w:val="00C75866"/>
    <w:rsid w:val="00C75873"/>
    <w:rsid w:val="00C759D8"/>
    <w:rsid w:val="00C75A5B"/>
    <w:rsid w:val="00C75C28"/>
    <w:rsid w:val="00C75C30"/>
    <w:rsid w:val="00C75E30"/>
    <w:rsid w:val="00C75ECD"/>
    <w:rsid w:val="00C7622F"/>
    <w:rsid w:val="00C762EB"/>
    <w:rsid w:val="00C76770"/>
    <w:rsid w:val="00C767A7"/>
    <w:rsid w:val="00C76F59"/>
    <w:rsid w:val="00C7722D"/>
    <w:rsid w:val="00C773D2"/>
    <w:rsid w:val="00C7794A"/>
    <w:rsid w:val="00C77D2F"/>
    <w:rsid w:val="00C77DAC"/>
    <w:rsid w:val="00C77E12"/>
    <w:rsid w:val="00C77F29"/>
    <w:rsid w:val="00C80152"/>
    <w:rsid w:val="00C80238"/>
    <w:rsid w:val="00C802F1"/>
    <w:rsid w:val="00C803BA"/>
    <w:rsid w:val="00C8047B"/>
    <w:rsid w:val="00C80598"/>
    <w:rsid w:val="00C806A6"/>
    <w:rsid w:val="00C80E40"/>
    <w:rsid w:val="00C80EF6"/>
    <w:rsid w:val="00C8101A"/>
    <w:rsid w:val="00C81096"/>
    <w:rsid w:val="00C811BB"/>
    <w:rsid w:val="00C815AC"/>
    <w:rsid w:val="00C817EF"/>
    <w:rsid w:val="00C81948"/>
    <w:rsid w:val="00C81AFB"/>
    <w:rsid w:val="00C81B1B"/>
    <w:rsid w:val="00C81D61"/>
    <w:rsid w:val="00C820FC"/>
    <w:rsid w:val="00C821B7"/>
    <w:rsid w:val="00C824B6"/>
    <w:rsid w:val="00C82591"/>
    <w:rsid w:val="00C827EF"/>
    <w:rsid w:val="00C82B23"/>
    <w:rsid w:val="00C82D39"/>
    <w:rsid w:val="00C82EEC"/>
    <w:rsid w:val="00C833F2"/>
    <w:rsid w:val="00C83449"/>
    <w:rsid w:val="00C834C2"/>
    <w:rsid w:val="00C837F9"/>
    <w:rsid w:val="00C83830"/>
    <w:rsid w:val="00C83DB5"/>
    <w:rsid w:val="00C83E0D"/>
    <w:rsid w:val="00C83E1E"/>
    <w:rsid w:val="00C83F89"/>
    <w:rsid w:val="00C84097"/>
    <w:rsid w:val="00C8466F"/>
    <w:rsid w:val="00C84854"/>
    <w:rsid w:val="00C848C6"/>
    <w:rsid w:val="00C848C7"/>
    <w:rsid w:val="00C849D4"/>
    <w:rsid w:val="00C84F98"/>
    <w:rsid w:val="00C85356"/>
    <w:rsid w:val="00C8545E"/>
    <w:rsid w:val="00C8550D"/>
    <w:rsid w:val="00C8571D"/>
    <w:rsid w:val="00C8593E"/>
    <w:rsid w:val="00C85AC3"/>
    <w:rsid w:val="00C85DD3"/>
    <w:rsid w:val="00C85F7E"/>
    <w:rsid w:val="00C862D2"/>
    <w:rsid w:val="00C86471"/>
    <w:rsid w:val="00C8649F"/>
    <w:rsid w:val="00C86726"/>
    <w:rsid w:val="00C86C39"/>
    <w:rsid w:val="00C86CCB"/>
    <w:rsid w:val="00C86D1B"/>
    <w:rsid w:val="00C86D24"/>
    <w:rsid w:val="00C86D40"/>
    <w:rsid w:val="00C86D56"/>
    <w:rsid w:val="00C86F02"/>
    <w:rsid w:val="00C86FA4"/>
    <w:rsid w:val="00C8703B"/>
    <w:rsid w:val="00C87464"/>
    <w:rsid w:val="00C87511"/>
    <w:rsid w:val="00C8754A"/>
    <w:rsid w:val="00C8760F"/>
    <w:rsid w:val="00C87610"/>
    <w:rsid w:val="00C877FD"/>
    <w:rsid w:val="00C87916"/>
    <w:rsid w:val="00C87AC7"/>
    <w:rsid w:val="00C87BC8"/>
    <w:rsid w:val="00C87D21"/>
    <w:rsid w:val="00C87D78"/>
    <w:rsid w:val="00C87DC7"/>
    <w:rsid w:val="00C87F69"/>
    <w:rsid w:val="00C9023B"/>
    <w:rsid w:val="00C90244"/>
    <w:rsid w:val="00C902EA"/>
    <w:rsid w:val="00C90362"/>
    <w:rsid w:val="00C9037A"/>
    <w:rsid w:val="00C904AC"/>
    <w:rsid w:val="00C90589"/>
    <w:rsid w:val="00C906C7"/>
    <w:rsid w:val="00C90712"/>
    <w:rsid w:val="00C907E8"/>
    <w:rsid w:val="00C90ADD"/>
    <w:rsid w:val="00C90D61"/>
    <w:rsid w:val="00C90F73"/>
    <w:rsid w:val="00C9123A"/>
    <w:rsid w:val="00C91291"/>
    <w:rsid w:val="00C91605"/>
    <w:rsid w:val="00C916D9"/>
    <w:rsid w:val="00C916FD"/>
    <w:rsid w:val="00C917F6"/>
    <w:rsid w:val="00C9189B"/>
    <w:rsid w:val="00C919BD"/>
    <w:rsid w:val="00C919D8"/>
    <w:rsid w:val="00C91A87"/>
    <w:rsid w:val="00C91B20"/>
    <w:rsid w:val="00C91C53"/>
    <w:rsid w:val="00C91D1C"/>
    <w:rsid w:val="00C9209A"/>
    <w:rsid w:val="00C921CA"/>
    <w:rsid w:val="00C92360"/>
    <w:rsid w:val="00C923DC"/>
    <w:rsid w:val="00C92C7C"/>
    <w:rsid w:val="00C92E06"/>
    <w:rsid w:val="00C93080"/>
    <w:rsid w:val="00C93206"/>
    <w:rsid w:val="00C933BB"/>
    <w:rsid w:val="00C935F0"/>
    <w:rsid w:val="00C93667"/>
    <w:rsid w:val="00C93749"/>
    <w:rsid w:val="00C93B98"/>
    <w:rsid w:val="00C93C18"/>
    <w:rsid w:val="00C93D4F"/>
    <w:rsid w:val="00C93E37"/>
    <w:rsid w:val="00C9423C"/>
    <w:rsid w:val="00C9427A"/>
    <w:rsid w:val="00C9431F"/>
    <w:rsid w:val="00C9465E"/>
    <w:rsid w:val="00C94945"/>
    <w:rsid w:val="00C94AE4"/>
    <w:rsid w:val="00C94C4F"/>
    <w:rsid w:val="00C94DD5"/>
    <w:rsid w:val="00C94F7F"/>
    <w:rsid w:val="00C9508E"/>
    <w:rsid w:val="00C9521F"/>
    <w:rsid w:val="00C957F0"/>
    <w:rsid w:val="00C958B9"/>
    <w:rsid w:val="00C9597F"/>
    <w:rsid w:val="00C96105"/>
    <w:rsid w:val="00C96381"/>
    <w:rsid w:val="00C9698E"/>
    <w:rsid w:val="00C96CB8"/>
    <w:rsid w:val="00C96D6D"/>
    <w:rsid w:val="00C96DB2"/>
    <w:rsid w:val="00C96F43"/>
    <w:rsid w:val="00C9700F"/>
    <w:rsid w:val="00C9714A"/>
    <w:rsid w:val="00C971F9"/>
    <w:rsid w:val="00C977CA"/>
    <w:rsid w:val="00C97DDF"/>
    <w:rsid w:val="00CA0169"/>
    <w:rsid w:val="00CA018D"/>
    <w:rsid w:val="00CA024C"/>
    <w:rsid w:val="00CA0395"/>
    <w:rsid w:val="00CA049E"/>
    <w:rsid w:val="00CA0543"/>
    <w:rsid w:val="00CA0573"/>
    <w:rsid w:val="00CA05CC"/>
    <w:rsid w:val="00CA05FD"/>
    <w:rsid w:val="00CA0756"/>
    <w:rsid w:val="00CA0757"/>
    <w:rsid w:val="00CA09F7"/>
    <w:rsid w:val="00CA0AA8"/>
    <w:rsid w:val="00CA0B2B"/>
    <w:rsid w:val="00CA0BFA"/>
    <w:rsid w:val="00CA0C38"/>
    <w:rsid w:val="00CA0CBC"/>
    <w:rsid w:val="00CA1244"/>
    <w:rsid w:val="00CA12BA"/>
    <w:rsid w:val="00CA14FB"/>
    <w:rsid w:val="00CA1801"/>
    <w:rsid w:val="00CA1A0F"/>
    <w:rsid w:val="00CA1EFF"/>
    <w:rsid w:val="00CA2095"/>
    <w:rsid w:val="00CA273D"/>
    <w:rsid w:val="00CA2A43"/>
    <w:rsid w:val="00CA2AB4"/>
    <w:rsid w:val="00CA2D6B"/>
    <w:rsid w:val="00CA2DA5"/>
    <w:rsid w:val="00CA302A"/>
    <w:rsid w:val="00CA3218"/>
    <w:rsid w:val="00CA3393"/>
    <w:rsid w:val="00CA354F"/>
    <w:rsid w:val="00CA3860"/>
    <w:rsid w:val="00CA393B"/>
    <w:rsid w:val="00CA39EA"/>
    <w:rsid w:val="00CA3A21"/>
    <w:rsid w:val="00CA3AFA"/>
    <w:rsid w:val="00CA3B06"/>
    <w:rsid w:val="00CA3D79"/>
    <w:rsid w:val="00CA3DA9"/>
    <w:rsid w:val="00CA3DAA"/>
    <w:rsid w:val="00CA40D9"/>
    <w:rsid w:val="00CA427F"/>
    <w:rsid w:val="00CA42B0"/>
    <w:rsid w:val="00CA475B"/>
    <w:rsid w:val="00CA49DB"/>
    <w:rsid w:val="00CA4A34"/>
    <w:rsid w:val="00CA4AE4"/>
    <w:rsid w:val="00CA4E63"/>
    <w:rsid w:val="00CA4F80"/>
    <w:rsid w:val="00CA507A"/>
    <w:rsid w:val="00CA51F0"/>
    <w:rsid w:val="00CA523B"/>
    <w:rsid w:val="00CA5352"/>
    <w:rsid w:val="00CA53B8"/>
    <w:rsid w:val="00CA5744"/>
    <w:rsid w:val="00CA583B"/>
    <w:rsid w:val="00CA5B05"/>
    <w:rsid w:val="00CA5C3D"/>
    <w:rsid w:val="00CA5D24"/>
    <w:rsid w:val="00CA5E95"/>
    <w:rsid w:val="00CA5EB2"/>
    <w:rsid w:val="00CA5ED4"/>
    <w:rsid w:val="00CA5F48"/>
    <w:rsid w:val="00CA5FE6"/>
    <w:rsid w:val="00CA6745"/>
    <w:rsid w:val="00CA6923"/>
    <w:rsid w:val="00CA6A7E"/>
    <w:rsid w:val="00CA6AAF"/>
    <w:rsid w:val="00CA6B42"/>
    <w:rsid w:val="00CA6BBA"/>
    <w:rsid w:val="00CA6EC9"/>
    <w:rsid w:val="00CA6FF8"/>
    <w:rsid w:val="00CA75DF"/>
    <w:rsid w:val="00CB01C3"/>
    <w:rsid w:val="00CB0399"/>
    <w:rsid w:val="00CB039C"/>
    <w:rsid w:val="00CB0421"/>
    <w:rsid w:val="00CB0465"/>
    <w:rsid w:val="00CB04A5"/>
    <w:rsid w:val="00CB0528"/>
    <w:rsid w:val="00CB0532"/>
    <w:rsid w:val="00CB0BA1"/>
    <w:rsid w:val="00CB0BC0"/>
    <w:rsid w:val="00CB1442"/>
    <w:rsid w:val="00CB16F3"/>
    <w:rsid w:val="00CB186C"/>
    <w:rsid w:val="00CB20BB"/>
    <w:rsid w:val="00CB2286"/>
    <w:rsid w:val="00CB23B8"/>
    <w:rsid w:val="00CB2442"/>
    <w:rsid w:val="00CB25AA"/>
    <w:rsid w:val="00CB2679"/>
    <w:rsid w:val="00CB26D7"/>
    <w:rsid w:val="00CB26F9"/>
    <w:rsid w:val="00CB27FD"/>
    <w:rsid w:val="00CB2CAA"/>
    <w:rsid w:val="00CB3064"/>
    <w:rsid w:val="00CB3142"/>
    <w:rsid w:val="00CB3239"/>
    <w:rsid w:val="00CB329F"/>
    <w:rsid w:val="00CB3320"/>
    <w:rsid w:val="00CB33CF"/>
    <w:rsid w:val="00CB33E6"/>
    <w:rsid w:val="00CB3447"/>
    <w:rsid w:val="00CB3465"/>
    <w:rsid w:val="00CB387E"/>
    <w:rsid w:val="00CB3981"/>
    <w:rsid w:val="00CB3D75"/>
    <w:rsid w:val="00CB3E33"/>
    <w:rsid w:val="00CB3EEB"/>
    <w:rsid w:val="00CB3FFA"/>
    <w:rsid w:val="00CB4123"/>
    <w:rsid w:val="00CB4169"/>
    <w:rsid w:val="00CB4457"/>
    <w:rsid w:val="00CB4749"/>
    <w:rsid w:val="00CB483E"/>
    <w:rsid w:val="00CB4915"/>
    <w:rsid w:val="00CB4A93"/>
    <w:rsid w:val="00CB4B8A"/>
    <w:rsid w:val="00CB4C62"/>
    <w:rsid w:val="00CB4D72"/>
    <w:rsid w:val="00CB4FDC"/>
    <w:rsid w:val="00CB50B1"/>
    <w:rsid w:val="00CB5135"/>
    <w:rsid w:val="00CB5285"/>
    <w:rsid w:val="00CB564A"/>
    <w:rsid w:val="00CB567E"/>
    <w:rsid w:val="00CB5688"/>
    <w:rsid w:val="00CB58C8"/>
    <w:rsid w:val="00CB59AC"/>
    <w:rsid w:val="00CB59E5"/>
    <w:rsid w:val="00CB611F"/>
    <w:rsid w:val="00CB6199"/>
    <w:rsid w:val="00CB6268"/>
    <w:rsid w:val="00CB644F"/>
    <w:rsid w:val="00CB645B"/>
    <w:rsid w:val="00CB6563"/>
    <w:rsid w:val="00CB6594"/>
    <w:rsid w:val="00CB664D"/>
    <w:rsid w:val="00CB67A7"/>
    <w:rsid w:val="00CB68C4"/>
    <w:rsid w:val="00CB6990"/>
    <w:rsid w:val="00CB6DEC"/>
    <w:rsid w:val="00CB722A"/>
    <w:rsid w:val="00CB766C"/>
    <w:rsid w:val="00CB779C"/>
    <w:rsid w:val="00CB78FF"/>
    <w:rsid w:val="00CB7B48"/>
    <w:rsid w:val="00CB7D00"/>
    <w:rsid w:val="00CC0177"/>
    <w:rsid w:val="00CC059B"/>
    <w:rsid w:val="00CC0797"/>
    <w:rsid w:val="00CC08AA"/>
    <w:rsid w:val="00CC08DA"/>
    <w:rsid w:val="00CC0927"/>
    <w:rsid w:val="00CC0CF8"/>
    <w:rsid w:val="00CC0D6C"/>
    <w:rsid w:val="00CC11A8"/>
    <w:rsid w:val="00CC1252"/>
    <w:rsid w:val="00CC12D3"/>
    <w:rsid w:val="00CC142F"/>
    <w:rsid w:val="00CC1993"/>
    <w:rsid w:val="00CC1C83"/>
    <w:rsid w:val="00CC1D2B"/>
    <w:rsid w:val="00CC1D41"/>
    <w:rsid w:val="00CC1E40"/>
    <w:rsid w:val="00CC1F0E"/>
    <w:rsid w:val="00CC236E"/>
    <w:rsid w:val="00CC2A1A"/>
    <w:rsid w:val="00CC2E62"/>
    <w:rsid w:val="00CC2ECC"/>
    <w:rsid w:val="00CC3047"/>
    <w:rsid w:val="00CC3478"/>
    <w:rsid w:val="00CC349C"/>
    <w:rsid w:val="00CC3574"/>
    <w:rsid w:val="00CC3641"/>
    <w:rsid w:val="00CC381D"/>
    <w:rsid w:val="00CC3B90"/>
    <w:rsid w:val="00CC3BBA"/>
    <w:rsid w:val="00CC3CFB"/>
    <w:rsid w:val="00CC3F27"/>
    <w:rsid w:val="00CC3FAA"/>
    <w:rsid w:val="00CC4059"/>
    <w:rsid w:val="00CC4179"/>
    <w:rsid w:val="00CC43D3"/>
    <w:rsid w:val="00CC4640"/>
    <w:rsid w:val="00CC46AA"/>
    <w:rsid w:val="00CC4A84"/>
    <w:rsid w:val="00CC4B81"/>
    <w:rsid w:val="00CC4EE5"/>
    <w:rsid w:val="00CC500E"/>
    <w:rsid w:val="00CC5088"/>
    <w:rsid w:val="00CC55CA"/>
    <w:rsid w:val="00CC58F7"/>
    <w:rsid w:val="00CC5BD3"/>
    <w:rsid w:val="00CC5DBC"/>
    <w:rsid w:val="00CC5E28"/>
    <w:rsid w:val="00CC5E8F"/>
    <w:rsid w:val="00CC5E90"/>
    <w:rsid w:val="00CC69CE"/>
    <w:rsid w:val="00CC6A43"/>
    <w:rsid w:val="00CC6B7F"/>
    <w:rsid w:val="00CC6EFA"/>
    <w:rsid w:val="00CC6FE9"/>
    <w:rsid w:val="00CC702D"/>
    <w:rsid w:val="00CC71B3"/>
    <w:rsid w:val="00CC7258"/>
    <w:rsid w:val="00CC73D9"/>
    <w:rsid w:val="00CC7460"/>
    <w:rsid w:val="00CC749A"/>
    <w:rsid w:val="00CC7525"/>
    <w:rsid w:val="00CC75C4"/>
    <w:rsid w:val="00CC75FD"/>
    <w:rsid w:val="00CC7755"/>
    <w:rsid w:val="00CC7B41"/>
    <w:rsid w:val="00CC7D0B"/>
    <w:rsid w:val="00CC7E21"/>
    <w:rsid w:val="00CC7EC4"/>
    <w:rsid w:val="00CD01F3"/>
    <w:rsid w:val="00CD02C0"/>
    <w:rsid w:val="00CD0319"/>
    <w:rsid w:val="00CD0ADD"/>
    <w:rsid w:val="00CD0E06"/>
    <w:rsid w:val="00CD0F32"/>
    <w:rsid w:val="00CD1007"/>
    <w:rsid w:val="00CD1244"/>
    <w:rsid w:val="00CD136D"/>
    <w:rsid w:val="00CD13D7"/>
    <w:rsid w:val="00CD1526"/>
    <w:rsid w:val="00CD1616"/>
    <w:rsid w:val="00CD17B7"/>
    <w:rsid w:val="00CD1AFF"/>
    <w:rsid w:val="00CD1BA7"/>
    <w:rsid w:val="00CD1CD4"/>
    <w:rsid w:val="00CD21CF"/>
    <w:rsid w:val="00CD253C"/>
    <w:rsid w:val="00CD2766"/>
    <w:rsid w:val="00CD29C4"/>
    <w:rsid w:val="00CD2A74"/>
    <w:rsid w:val="00CD30AA"/>
    <w:rsid w:val="00CD3847"/>
    <w:rsid w:val="00CD38C0"/>
    <w:rsid w:val="00CD38D0"/>
    <w:rsid w:val="00CD39C8"/>
    <w:rsid w:val="00CD3E3F"/>
    <w:rsid w:val="00CD3FF1"/>
    <w:rsid w:val="00CD43CB"/>
    <w:rsid w:val="00CD4513"/>
    <w:rsid w:val="00CD4A27"/>
    <w:rsid w:val="00CD4C1E"/>
    <w:rsid w:val="00CD4C6E"/>
    <w:rsid w:val="00CD523E"/>
    <w:rsid w:val="00CD5286"/>
    <w:rsid w:val="00CD5575"/>
    <w:rsid w:val="00CD562E"/>
    <w:rsid w:val="00CD56CE"/>
    <w:rsid w:val="00CD5B19"/>
    <w:rsid w:val="00CD5B21"/>
    <w:rsid w:val="00CD5BDD"/>
    <w:rsid w:val="00CD5F5A"/>
    <w:rsid w:val="00CD6665"/>
    <w:rsid w:val="00CD66D1"/>
    <w:rsid w:val="00CD676C"/>
    <w:rsid w:val="00CD69B4"/>
    <w:rsid w:val="00CD6D84"/>
    <w:rsid w:val="00CD6DEA"/>
    <w:rsid w:val="00CD6F85"/>
    <w:rsid w:val="00CD71AA"/>
    <w:rsid w:val="00CD7287"/>
    <w:rsid w:val="00CD7299"/>
    <w:rsid w:val="00CD72ED"/>
    <w:rsid w:val="00CD74F1"/>
    <w:rsid w:val="00CD757C"/>
    <w:rsid w:val="00CD75D3"/>
    <w:rsid w:val="00CD7789"/>
    <w:rsid w:val="00CE01A6"/>
    <w:rsid w:val="00CE0479"/>
    <w:rsid w:val="00CE06FD"/>
    <w:rsid w:val="00CE0728"/>
    <w:rsid w:val="00CE07F7"/>
    <w:rsid w:val="00CE0A6E"/>
    <w:rsid w:val="00CE0AD9"/>
    <w:rsid w:val="00CE0C9F"/>
    <w:rsid w:val="00CE1400"/>
    <w:rsid w:val="00CE1605"/>
    <w:rsid w:val="00CE1785"/>
    <w:rsid w:val="00CE190F"/>
    <w:rsid w:val="00CE1A2F"/>
    <w:rsid w:val="00CE1CD2"/>
    <w:rsid w:val="00CE1D2F"/>
    <w:rsid w:val="00CE1D9F"/>
    <w:rsid w:val="00CE1F10"/>
    <w:rsid w:val="00CE1F22"/>
    <w:rsid w:val="00CE214D"/>
    <w:rsid w:val="00CE26A9"/>
    <w:rsid w:val="00CE2894"/>
    <w:rsid w:val="00CE29F0"/>
    <w:rsid w:val="00CE2A42"/>
    <w:rsid w:val="00CE2A8F"/>
    <w:rsid w:val="00CE2BE2"/>
    <w:rsid w:val="00CE2BED"/>
    <w:rsid w:val="00CE2C2D"/>
    <w:rsid w:val="00CE2CD9"/>
    <w:rsid w:val="00CE2FB3"/>
    <w:rsid w:val="00CE31AE"/>
    <w:rsid w:val="00CE3258"/>
    <w:rsid w:val="00CE333D"/>
    <w:rsid w:val="00CE333F"/>
    <w:rsid w:val="00CE3462"/>
    <w:rsid w:val="00CE35CA"/>
    <w:rsid w:val="00CE3767"/>
    <w:rsid w:val="00CE3795"/>
    <w:rsid w:val="00CE39F4"/>
    <w:rsid w:val="00CE3A47"/>
    <w:rsid w:val="00CE4278"/>
    <w:rsid w:val="00CE44D4"/>
    <w:rsid w:val="00CE44D6"/>
    <w:rsid w:val="00CE4C9B"/>
    <w:rsid w:val="00CE4DD9"/>
    <w:rsid w:val="00CE4DFF"/>
    <w:rsid w:val="00CE505B"/>
    <w:rsid w:val="00CE5131"/>
    <w:rsid w:val="00CE5222"/>
    <w:rsid w:val="00CE5397"/>
    <w:rsid w:val="00CE57CD"/>
    <w:rsid w:val="00CE58B7"/>
    <w:rsid w:val="00CE5960"/>
    <w:rsid w:val="00CE596F"/>
    <w:rsid w:val="00CE5A9F"/>
    <w:rsid w:val="00CE5B33"/>
    <w:rsid w:val="00CE5F36"/>
    <w:rsid w:val="00CE6219"/>
    <w:rsid w:val="00CE6629"/>
    <w:rsid w:val="00CE6A52"/>
    <w:rsid w:val="00CE6C48"/>
    <w:rsid w:val="00CE6DF9"/>
    <w:rsid w:val="00CE750F"/>
    <w:rsid w:val="00CE7589"/>
    <w:rsid w:val="00CE77DB"/>
    <w:rsid w:val="00CE7CFE"/>
    <w:rsid w:val="00CF004F"/>
    <w:rsid w:val="00CF0442"/>
    <w:rsid w:val="00CF071A"/>
    <w:rsid w:val="00CF0BF4"/>
    <w:rsid w:val="00CF0EFA"/>
    <w:rsid w:val="00CF0F67"/>
    <w:rsid w:val="00CF10BB"/>
    <w:rsid w:val="00CF1126"/>
    <w:rsid w:val="00CF11D0"/>
    <w:rsid w:val="00CF1431"/>
    <w:rsid w:val="00CF14C2"/>
    <w:rsid w:val="00CF1542"/>
    <w:rsid w:val="00CF1609"/>
    <w:rsid w:val="00CF17AC"/>
    <w:rsid w:val="00CF1903"/>
    <w:rsid w:val="00CF192A"/>
    <w:rsid w:val="00CF19EB"/>
    <w:rsid w:val="00CF1D29"/>
    <w:rsid w:val="00CF1E17"/>
    <w:rsid w:val="00CF202F"/>
    <w:rsid w:val="00CF22CC"/>
    <w:rsid w:val="00CF23AE"/>
    <w:rsid w:val="00CF23CD"/>
    <w:rsid w:val="00CF24D6"/>
    <w:rsid w:val="00CF266B"/>
    <w:rsid w:val="00CF29DD"/>
    <w:rsid w:val="00CF2BE4"/>
    <w:rsid w:val="00CF2CAD"/>
    <w:rsid w:val="00CF2E58"/>
    <w:rsid w:val="00CF2EF4"/>
    <w:rsid w:val="00CF3813"/>
    <w:rsid w:val="00CF39C2"/>
    <w:rsid w:val="00CF3A73"/>
    <w:rsid w:val="00CF3CA4"/>
    <w:rsid w:val="00CF3E2E"/>
    <w:rsid w:val="00CF40A5"/>
    <w:rsid w:val="00CF418E"/>
    <w:rsid w:val="00CF435D"/>
    <w:rsid w:val="00CF45D9"/>
    <w:rsid w:val="00CF4800"/>
    <w:rsid w:val="00CF4865"/>
    <w:rsid w:val="00CF49D4"/>
    <w:rsid w:val="00CF4A82"/>
    <w:rsid w:val="00CF4B67"/>
    <w:rsid w:val="00CF4DE3"/>
    <w:rsid w:val="00CF4ECF"/>
    <w:rsid w:val="00CF4F55"/>
    <w:rsid w:val="00CF530C"/>
    <w:rsid w:val="00CF545C"/>
    <w:rsid w:val="00CF546E"/>
    <w:rsid w:val="00CF567A"/>
    <w:rsid w:val="00CF58ED"/>
    <w:rsid w:val="00CF63EA"/>
    <w:rsid w:val="00CF6835"/>
    <w:rsid w:val="00CF6908"/>
    <w:rsid w:val="00CF6DE2"/>
    <w:rsid w:val="00CF6F41"/>
    <w:rsid w:val="00CF6F69"/>
    <w:rsid w:val="00CF701C"/>
    <w:rsid w:val="00CF703F"/>
    <w:rsid w:val="00CF7072"/>
    <w:rsid w:val="00CF70E7"/>
    <w:rsid w:val="00CF7546"/>
    <w:rsid w:val="00CF787D"/>
    <w:rsid w:val="00CF7F7F"/>
    <w:rsid w:val="00D0016B"/>
    <w:rsid w:val="00D00176"/>
    <w:rsid w:val="00D0023B"/>
    <w:rsid w:val="00D00256"/>
    <w:rsid w:val="00D0068B"/>
    <w:rsid w:val="00D00697"/>
    <w:rsid w:val="00D00835"/>
    <w:rsid w:val="00D00ABE"/>
    <w:rsid w:val="00D00DF5"/>
    <w:rsid w:val="00D01100"/>
    <w:rsid w:val="00D01159"/>
    <w:rsid w:val="00D01239"/>
    <w:rsid w:val="00D0125F"/>
    <w:rsid w:val="00D01400"/>
    <w:rsid w:val="00D0156D"/>
    <w:rsid w:val="00D0169B"/>
    <w:rsid w:val="00D01869"/>
    <w:rsid w:val="00D01905"/>
    <w:rsid w:val="00D0194C"/>
    <w:rsid w:val="00D019AD"/>
    <w:rsid w:val="00D01B6A"/>
    <w:rsid w:val="00D01D02"/>
    <w:rsid w:val="00D0207C"/>
    <w:rsid w:val="00D020A8"/>
    <w:rsid w:val="00D0212E"/>
    <w:rsid w:val="00D022F5"/>
    <w:rsid w:val="00D02608"/>
    <w:rsid w:val="00D028BA"/>
    <w:rsid w:val="00D02A0A"/>
    <w:rsid w:val="00D02B78"/>
    <w:rsid w:val="00D02E70"/>
    <w:rsid w:val="00D03213"/>
    <w:rsid w:val="00D03275"/>
    <w:rsid w:val="00D03645"/>
    <w:rsid w:val="00D03850"/>
    <w:rsid w:val="00D03984"/>
    <w:rsid w:val="00D03A9E"/>
    <w:rsid w:val="00D03ADB"/>
    <w:rsid w:val="00D03CA0"/>
    <w:rsid w:val="00D03CA8"/>
    <w:rsid w:val="00D03E7E"/>
    <w:rsid w:val="00D03ECF"/>
    <w:rsid w:val="00D03EEC"/>
    <w:rsid w:val="00D04774"/>
    <w:rsid w:val="00D04C23"/>
    <w:rsid w:val="00D04CD3"/>
    <w:rsid w:val="00D04CDD"/>
    <w:rsid w:val="00D04DCC"/>
    <w:rsid w:val="00D050AC"/>
    <w:rsid w:val="00D0518D"/>
    <w:rsid w:val="00D05251"/>
    <w:rsid w:val="00D052C4"/>
    <w:rsid w:val="00D05434"/>
    <w:rsid w:val="00D05610"/>
    <w:rsid w:val="00D05795"/>
    <w:rsid w:val="00D05860"/>
    <w:rsid w:val="00D05CB3"/>
    <w:rsid w:val="00D05D7C"/>
    <w:rsid w:val="00D05D89"/>
    <w:rsid w:val="00D05E12"/>
    <w:rsid w:val="00D060F6"/>
    <w:rsid w:val="00D06285"/>
    <w:rsid w:val="00D0641B"/>
    <w:rsid w:val="00D06620"/>
    <w:rsid w:val="00D067DD"/>
    <w:rsid w:val="00D06D1C"/>
    <w:rsid w:val="00D070D3"/>
    <w:rsid w:val="00D0730B"/>
    <w:rsid w:val="00D07786"/>
    <w:rsid w:val="00D079A4"/>
    <w:rsid w:val="00D07A28"/>
    <w:rsid w:val="00D07B17"/>
    <w:rsid w:val="00D07D06"/>
    <w:rsid w:val="00D07EC6"/>
    <w:rsid w:val="00D10404"/>
    <w:rsid w:val="00D106FA"/>
    <w:rsid w:val="00D1080B"/>
    <w:rsid w:val="00D10A9C"/>
    <w:rsid w:val="00D10AA2"/>
    <w:rsid w:val="00D1137D"/>
    <w:rsid w:val="00D11424"/>
    <w:rsid w:val="00D1162F"/>
    <w:rsid w:val="00D1163D"/>
    <w:rsid w:val="00D11E2B"/>
    <w:rsid w:val="00D11EF1"/>
    <w:rsid w:val="00D120A3"/>
    <w:rsid w:val="00D12571"/>
    <w:rsid w:val="00D12718"/>
    <w:rsid w:val="00D1279B"/>
    <w:rsid w:val="00D12873"/>
    <w:rsid w:val="00D12A07"/>
    <w:rsid w:val="00D12C38"/>
    <w:rsid w:val="00D12C7D"/>
    <w:rsid w:val="00D12D37"/>
    <w:rsid w:val="00D12D57"/>
    <w:rsid w:val="00D12EA2"/>
    <w:rsid w:val="00D12F84"/>
    <w:rsid w:val="00D1310E"/>
    <w:rsid w:val="00D1365A"/>
    <w:rsid w:val="00D138E0"/>
    <w:rsid w:val="00D13947"/>
    <w:rsid w:val="00D13C86"/>
    <w:rsid w:val="00D13C90"/>
    <w:rsid w:val="00D13D37"/>
    <w:rsid w:val="00D13E15"/>
    <w:rsid w:val="00D13ECF"/>
    <w:rsid w:val="00D1401A"/>
    <w:rsid w:val="00D143B4"/>
    <w:rsid w:val="00D144F3"/>
    <w:rsid w:val="00D14618"/>
    <w:rsid w:val="00D14995"/>
    <w:rsid w:val="00D149EC"/>
    <w:rsid w:val="00D149FD"/>
    <w:rsid w:val="00D14C01"/>
    <w:rsid w:val="00D14E7D"/>
    <w:rsid w:val="00D153E9"/>
    <w:rsid w:val="00D153FE"/>
    <w:rsid w:val="00D15420"/>
    <w:rsid w:val="00D15A6B"/>
    <w:rsid w:val="00D15E4A"/>
    <w:rsid w:val="00D15F20"/>
    <w:rsid w:val="00D1607F"/>
    <w:rsid w:val="00D16386"/>
    <w:rsid w:val="00D165AA"/>
    <w:rsid w:val="00D167DD"/>
    <w:rsid w:val="00D169FC"/>
    <w:rsid w:val="00D16BA1"/>
    <w:rsid w:val="00D16C23"/>
    <w:rsid w:val="00D16CF9"/>
    <w:rsid w:val="00D16D83"/>
    <w:rsid w:val="00D16F66"/>
    <w:rsid w:val="00D1762A"/>
    <w:rsid w:val="00D17713"/>
    <w:rsid w:val="00D17844"/>
    <w:rsid w:val="00D17983"/>
    <w:rsid w:val="00D17DDE"/>
    <w:rsid w:val="00D17E91"/>
    <w:rsid w:val="00D20232"/>
    <w:rsid w:val="00D20379"/>
    <w:rsid w:val="00D203E3"/>
    <w:rsid w:val="00D20438"/>
    <w:rsid w:val="00D20470"/>
    <w:rsid w:val="00D2061D"/>
    <w:rsid w:val="00D2073E"/>
    <w:rsid w:val="00D20914"/>
    <w:rsid w:val="00D20BF2"/>
    <w:rsid w:val="00D20DFA"/>
    <w:rsid w:val="00D20E7A"/>
    <w:rsid w:val="00D21236"/>
    <w:rsid w:val="00D212D0"/>
    <w:rsid w:val="00D212E2"/>
    <w:rsid w:val="00D212F9"/>
    <w:rsid w:val="00D215AF"/>
    <w:rsid w:val="00D215B7"/>
    <w:rsid w:val="00D2165C"/>
    <w:rsid w:val="00D2179F"/>
    <w:rsid w:val="00D21E02"/>
    <w:rsid w:val="00D2239C"/>
    <w:rsid w:val="00D2275A"/>
    <w:rsid w:val="00D22993"/>
    <w:rsid w:val="00D229B2"/>
    <w:rsid w:val="00D22A93"/>
    <w:rsid w:val="00D22BB0"/>
    <w:rsid w:val="00D22D6A"/>
    <w:rsid w:val="00D23261"/>
    <w:rsid w:val="00D2330C"/>
    <w:rsid w:val="00D233BE"/>
    <w:rsid w:val="00D233D5"/>
    <w:rsid w:val="00D2341C"/>
    <w:rsid w:val="00D236E8"/>
    <w:rsid w:val="00D23935"/>
    <w:rsid w:val="00D24086"/>
    <w:rsid w:val="00D24118"/>
    <w:rsid w:val="00D2449B"/>
    <w:rsid w:val="00D24870"/>
    <w:rsid w:val="00D24957"/>
    <w:rsid w:val="00D253A5"/>
    <w:rsid w:val="00D25C4F"/>
    <w:rsid w:val="00D25CEC"/>
    <w:rsid w:val="00D25D8B"/>
    <w:rsid w:val="00D25D94"/>
    <w:rsid w:val="00D25E8C"/>
    <w:rsid w:val="00D26744"/>
    <w:rsid w:val="00D267D4"/>
    <w:rsid w:val="00D272C6"/>
    <w:rsid w:val="00D27376"/>
    <w:rsid w:val="00D27544"/>
    <w:rsid w:val="00D27735"/>
    <w:rsid w:val="00D27920"/>
    <w:rsid w:val="00D27A3D"/>
    <w:rsid w:val="00D27AEE"/>
    <w:rsid w:val="00D27B1F"/>
    <w:rsid w:val="00D27B68"/>
    <w:rsid w:val="00D27B73"/>
    <w:rsid w:val="00D27B86"/>
    <w:rsid w:val="00D30200"/>
    <w:rsid w:val="00D305E0"/>
    <w:rsid w:val="00D306A6"/>
    <w:rsid w:val="00D307C2"/>
    <w:rsid w:val="00D30E30"/>
    <w:rsid w:val="00D30FE9"/>
    <w:rsid w:val="00D3101C"/>
    <w:rsid w:val="00D31508"/>
    <w:rsid w:val="00D31629"/>
    <w:rsid w:val="00D31ACD"/>
    <w:rsid w:val="00D31F41"/>
    <w:rsid w:val="00D32057"/>
    <w:rsid w:val="00D3249E"/>
    <w:rsid w:val="00D32614"/>
    <w:rsid w:val="00D329A6"/>
    <w:rsid w:val="00D329DF"/>
    <w:rsid w:val="00D32B05"/>
    <w:rsid w:val="00D32FD2"/>
    <w:rsid w:val="00D331F4"/>
    <w:rsid w:val="00D333E4"/>
    <w:rsid w:val="00D33630"/>
    <w:rsid w:val="00D338C6"/>
    <w:rsid w:val="00D339EF"/>
    <w:rsid w:val="00D339FC"/>
    <w:rsid w:val="00D33A2B"/>
    <w:rsid w:val="00D33D36"/>
    <w:rsid w:val="00D342CA"/>
    <w:rsid w:val="00D344EA"/>
    <w:rsid w:val="00D34518"/>
    <w:rsid w:val="00D34C3C"/>
    <w:rsid w:val="00D35011"/>
    <w:rsid w:val="00D35032"/>
    <w:rsid w:val="00D35186"/>
    <w:rsid w:val="00D35257"/>
    <w:rsid w:val="00D35428"/>
    <w:rsid w:val="00D3544D"/>
    <w:rsid w:val="00D35A44"/>
    <w:rsid w:val="00D35B4A"/>
    <w:rsid w:val="00D35E5B"/>
    <w:rsid w:val="00D35F10"/>
    <w:rsid w:val="00D3606B"/>
    <w:rsid w:val="00D36181"/>
    <w:rsid w:val="00D361A1"/>
    <w:rsid w:val="00D3685E"/>
    <w:rsid w:val="00D36A46"/>
    <w:rsid w:val="00D36CFE"/>
    <w:rsid w:val="00D36E73"/>
    <w:rsid w:val="00D36F85"/>
    <w:rsid w:val="00D3745A"/>
    <w:rsid w:val="00D374EE"/>
    <w:rsid w:val="00D375E1"/>
    <w:rsid w:val="00D375FE"/>
    <w:rsid w:val="00D37654"/>
    <w:rsid w:val="00D376F2"/>
    <w:rsid w:val="00D3780F"/>
    <w:rsid w:val="00D37AE9"/>
    <w:rsid w:val="00D37B5E"/>
    <w:rsid w:val="00D37B95"/>
    <w:rsid w:val="00D37BAB"/>
    <w:rsid w:val="00D37C1A"/>
    <w:rsid w:val="00D40367"/>
    <w:rsid w:val="00D4052D"/>
    <w:rsid w:val="00D40639"/>
    <w:rsid w:val="00D40A57"/>
    <w:rsid w:val="00D40B26"/>
    <w:rsid w:val="00D40DD2"/>
    <w:rsid w:val="00D40E04"/>
    <w:rsid w:val="00D41057"/>
    <w:rsid w:val="00D41159"/>
    <w:rsid w:val="00D413AA"/>
    <w:rsid w:val="00D41684"/>
    <w:rsid w:val="00D418BF"/>
    <w:rsid w:val="00D419B7"/>
    <w:rsid w:val="00D41CB3"/>
    <w:rsid w:val="00D41D93"/>
    <w:rsid w:val="00D42659"/>
    <w:rsid w:val="00D426EB"/>
    <w:rsid w:val="00D42738"/>
    <w:rsid w:val="00D427A5"/>
    <w:rsid w:val="00D4280C"/>
    <w:rsid w:val="00D42A9A"/>
    <w:rsid w:val="00D43474"/>
    <w:rsid w:val="00D434C1"/>
    <w:rsid w:val="00D43541"/>
    <w:rsid w:val="00D437B3"/>
    <w:rsid w:val="00D43C9F"/>
    <w:rsid w:val="00D43F47"/>
    <w:rsid w:val="00D44177"/>
    <w:rsid w:val="00D44697"/>
    <w:rsid w:val="00D446B6"/>
    <w:rsid w:val="00D45168"/>
    <w:rsid w:val="00D4539A"/>
    <w:rsid w:val="00D45477"/>
    <w:rsid w:val="00D4548A"/>
    <w:rsid w:val="00D45746"/>
    <w:rsid w:val="00D45907"/>
    <w:rsid w:val="00D45AAF"/>
    <w:rsid w:val="00D45E1D"/>
    <w:rsid w:val="00D46272"/>
    <w:rsid w:val="00D46289"/>
    <w:rsid w:val="00D46304"/>
    <w:rsid w:val="00D467D0"/>
    <w:rsid w:val="00D46816"/>
    <w:rsid w:val="00D4702E"/>
    <w:rsid w:val="00D470DF"/>
    <w:rsid w:val="00D473BB"/>
    <w:rsid w:val="00D47AE4"/>
    <w:rsid w:val="00D5040F"/>
    <w:rsid w:val="00D504E1"/>
    <w:rsid w:val="00D5055F"/>
    <w:rsid w:val="00D50853"/>
    <w:rsid w:val="00D50897"/>
    <w:rsid w:val="00D50B68"/>
    <w:rsid w:val="00D50BB8"/>
    <w:rsid w:val="00D50C99"/>
    <w:rsid w:val="00D51130"/>
    <w:rsid w:val="00D51282"/>
    <w:rsid w:val="00D51283"/>
    <w:rsid w:val="00D51334"/>
    <w:rsid w:val="00D5155D"/>
    <w:rsid w:val="00D51A66"/>
    <w:rsid w:val="00D51CE4"/>
    <w:rsid w:val="00D51D81"/>
    <w:rsid w:val="00D5216F"/>
    <w:rsid w:val="00D52389"/>
    <w:rsid w:val="00D5241C"/>
    <w:rsid w:val="00D524AE"/>
    <w:rsid w:val="00D52560"/>
    <w:rsid w:val="00D52858"/>
    <w:rsid w:val="00D528CE"/>
    <w:rsid w:val="00D5297D"/>
    <w:rsid w:val="00D52A0B"/>
    <w:rsid w:val="00D52A6A"/>
    <w:rsid w:val="00D52D10"/>
    <w:rsid w:val="00D52E1D"/>
    <w:rsid w:val="00D52F57"/>
    <w:rsid w:val="00D5344A"/>
    <w:rsid w:val="00D5370F"/>
    <w:rsid w:val="00D537BD"/>
    <w:rsid w:val="00D53A69"/>
    <w:rsid w:val="00D53B3A"/>
    <w:rsid w:val="00D53B5F"/>
    <w:rsid w:val="00D53CDF"/>
    <w:rsid w:val="00D53EC6"/>
    <w:rsid w:val="00D53F6D"/>
    <w:rsid w:val="00D5417A"/>
    <w:rsid w:val="00D5417F"/>
    <w:rsid w:val="00D541B7"/>
    <w:rsid w:val="00D54289"/>
    <w:rsid w:val="00D543B3"/>
    <w:rsid w:val="00D543C5"/>
    <w:rsid w:val="00D54542"/>
    <w:rsid w:val="00D5463D"/>
    <w:rsid w:val="00D54A1F"/>
    <w:rsid w:val="00D54A2A"/>
    <w:rsid w:val="00D54BAE"/>
    <w:rsid w:val="00D54FAA"/>
    <w:rsid w:val="00D5521E"/>
    <w:rsid w:val="00D5524A"/>
    <w:rsid w:val="00D55425"/>
    <w:rsid w:val="00D55A62"/>
    <w:rsid w:val="00D55A88"/>
    <w:rsid w:val="00D55BC1"/>
    <w:rsid w:val="00D56011"/>
    <w:rsid w:val="00D56081"/>
    <w:rsid w:val="00D56232"/>
    <w:rsid w:val="00D5636C"/>
    <w:rsid w:val="00D56453"/>
    <w:rsid w:val="00D56812"/>
    <w:rsid w:val="00D56813"/>
    <w:rsid w:val="00D568F9"/>
    <w:rsid w:val="00D56AF7"/>
    <w:rsid w:val="00D56D80"/>
    <w:rsid w:val="00D56FCE"/>
    <w:rsid w:val="00D5716B"/>
    <w:rsid w:val="00D5719B"/>
    <w:rsid w:val="00D5724F"/>
    <w:rsid w:val="00D57511"/>
    <w:rsid w:val="00D578D6"/>
    <w:rsid w:val="00D57C44"/>
    <w:rsid w:val="00D57F37"/>
    <w:rsid w:val="00D57FAC"/>
    <w:rsid w:val="00D60309"/>
    <w:rsid w:val="00D6043A"/>
    <w:rsid w:val="00D607B7"/>
    <w:rsid w:val="00D608D4"/>
    <w:rsid w:val="00D60BB0"/>
    <w:rsid w:val="00D60BB2"/>
    <w:rsid w:val="00D60C76"/>
    <w:rsid w:val="00D60CC3"/>
    <w:rsid w:val="00D60D4D"/>
    <w:rsid w:val="00D616EA"/>
    <w:rsid w:val="00D61830"/>
    <w:rsid w:val="00D618FF"/>
    <w:rsid w:val="00D619F5"/>
    <w:rsid w:val="00D61BAE"/>
    <w:rsid w:val="00D61D23"/>
    <w:rsid w:val="00D61DFC"/>
    <w:rsid w:val="00D61EA7"/>
    <w:rsid w:val="00D62324"/>
    <w:rsid w:val="00D62382"/>
    <w:rsid w:val="00D624CC"/>
    <w:rsid w:val="00D6258D"/>
    <w:rsid w:val="00D625F9"/>
    <w:rsid w:val="00D62768"/>
    <w:rsid w:val="00D62814"/>
    <w:rsid w:val="00D629D5"/>
    <w:rsid w:val="00D62C3C"/>
    <w:rsid w:val="00D62CC2"/>
    <w:rsid w:val="00D62E30"/>
    <w:rsid w:val="00D62EF5"/>
    <w:rsid w:val="00D6308C"/>
    <w:rsid w:val="00D630CB"/>
    <w:rsid w:val="00D633DB"/>
    <w:rsid w:val="00D63603"/>
    <w:rsid w:val="00D63737"/>
    <w:rsid w:val="00D63A93"/>
    <w:rsid w:val="00D63AC8"/>
    <w:rsid w:val="00D63C50"/>
    <w:rsid w:val="00D640FC"/>
    <w:rsid w:val="00D642E5"/>
    <w:rsid w:val="00D6436E"/>
    <w:rsid w:val="00D64605"/>
    <w:rsid w:val="00D64608"/>
    <w:rsid w:val="00D647E2"/>
    <w:rsid w:val="00D6490D"/>
    <w:rsid w:val="00D64D2F"/>
    <w:rsid w:val="00D64E67"/>
    <w:rsid w:val="00D64F8B"/>
    <w:rsid w:val="00D652CD"/>
    <w:rsid w:val="00D65623"/>
    <w:rsid w:val="00D65EBF"/>
    <w:rsid w:val="00D6638F"/>
    <w:rsid w:val="00D664F5"/>
    <w:rsid w:val="00D66694"/>
    <w:rsid w:val="00D66826"/>
    <w:rsid w:val="00D66883"/>
    <w:rsid w:val="00D66951"/>
    <w:rsid w:val="00D66AA0"/>
    <w:rsid w:val="00D66D91"/>
    <w:rsid w:val="00D67805"/>
    <w:rsid w:val="00D67839"/>
    <w:rsid w:val="00D678DE"/>
    <w:rsid w:val="00D6798E"/>
    <w:rsid w:val="00D679C2"/>
    <w:rsid w:val="00D67AB9"/>
    <w:rsid w:val="00D67CC5"/>
    <w:rsid w:val="00D701FC"/>
    <w:rsid w:val="00D70261"/>
    <w:rsid w:val="00D705A1"/>
    <w:rsid w:val="00D70F44"/>
    <w:rsid w:val="00D70FB5"/>
    <w:rsid w:val="00D70FE8"/>
    <w:rsid w:val="00D71028"/>
    <w:rsid w:val="00D7113C"/>
    <w:rsid w:val="00D712E9"/>
    <w:rsid w:val="00D715FA"/>
    <w:rsid w:val="00D717C7"/>
    <w:rsid w:val="00D7186B"/>
    <w:rsid w:val="00D719ED"/>
    <w:rsid w:val="00D71B93"/>
    <w:rsid w:val="00D71C2C"/>
    <w:rsid w:val="00D71D25"/>
    <w:rsid w:val="00D7211F"/>
    <w:rsid w:val="00D725AB"/>
    <w:rsid w:val="00D72699"/>
    <w:rsid w:val="00D72794"/>
    <w:rsid w:val="00D72AF3"/>
    <w:rsid w:val="00D72BC3"/>
    <w:rsid w:val="00D72D86"/>
    <w:rsid w:val="00D7318A"/>
    <w:rsid w:val="00D73219"/>
    <w:rsid w:val="00D734BA"/>
    <w:rsid w:val="00D734ED"/>
    <w:rsid w:val="00D736CC"/>
    <w:rsid w:val="00D73D81"/>
    <w:rsid w:val="00D740A6"/>
    <w:rsid w:val="00D7436A"/>
    <w:rsid w:val="00D743EB"/>
    <w:rsid w:val="00D744C9"/>
    <w:rsid w:val="00D745C4"/>
    <w:rsid w:val="00D749C8"/>
    <w:rsid w:val="00D75453"/>
    <w:rsid w:val="00D75550"/>
    <w:rsid w:val="00D75712"/>
    <w:rsid w:val="00D757D5"/>
    <w:rsid w:val="00D75974"/>
    <w:rsid w:val="00D75999"/>
    <w:rsid w:val="00D75FC6"/>
    <w:rsid w:val="00D76207"/>
    <w:rsid w:val="00D76501"/>
    <w:rsid w:val="00D76513"/>
    <w:rsid w:val="00D7673B"/>
    <w:rsid w:val="00D768FD"/>
    <w:rsid w:val="00D76B0A"/>
    <w:rsid w:val="00D76BEC"/>
    <w:rsid w:val="00D76EFC"/>
    <w:rsid w:val="00D7725F"/>
    <w:rsid w:val="00D772D2"/>
    <w:rsid w:val="00D7732D"/>
    <w:rsid w:val="00D77513"/>
    <w:rsid w:val="00D776F3"/>
    <w:rsid w:val="00D779BF"/>
    <w:rsid w:val="00D77C64"/>
    <w:rsid w:val="00D77D69"/>
    <w:rsid w:val="00D77D8C"/>
    <w:rsid w:val="00D77EA8"/>
    <w:rsid w:val="00D77EBE"/>
    <w:rsid w:val="00D77F9A"/>
    <w:rsid w:val="00D80076"/>
    <w:rsid w:val="00D802FF"/>
    <w:rsid w:val="00D80591"/>
    <w:rsid w:val="00D806B3"/>
    <w:rsid w:val="00D807CF"/>
    <w:rsid w:val="00D807D9"/>
    <w:rsid w:val="00D809E7"/>
    <w:rsid w:val="00D80B4B"/>
    <w:rsid w:val="00D80B8D"/>
    <w:rsid w:val="00D80D44"/>
    <w:rsid w:val="00D81021"/>
    <w:rsid w:val="00D81504"/>
    <w:rsid w:val="00D815D0"/>
    <w:rsid w:val="00D81775"/>
    <w:rsid w:val="00D81845"/>
    <w:rsid w:val="00D81D32"/>
    <w:rsid w:val="00D81E0C"/>
    <w:rsid w:val="00D81E6A"/>
    <w:rsid w:val="00D823E2"/>
    <w:rsid w:val="00D82425"/>
    <w:rsid w:val="00D825D1"/>
    <w:rsid w:val="00D82715"/>
    <w:rsid w:val="00D82B53"/>
    <w:rsid w:val="00D82CDB"/>
    <w:rsid w:val="00D82CF0"/>
    <w:rsid w:val="00D82EE5"/>
    <w:rsid w:val="00D82F1E"/>
    <w:rsid w:val="00D836AD"/>
    <w:rsid w:val="00D8397E"/>
    <w:rsid w:val="00D83A29"/>
    <w:rsid w:val="00D83C2A"/>
    <w:rsid w:val="00D841CE"/>
    <w:rsid w:val="00D84279"/>
    <w:rsid w:val="00D8451D"/>
    <w:rsid w:val="00D84635"/>
    <w:rsid w:val="00D84709"/>
    <w:rsid w:val="00D84821"/>
    <w:rsid w:val="00D84A4E"/>
    <w:rsid w:val="00D84AAE"/>
    <w:rsid w:val="00D84B8E"/>
    <w:rsid w:val="00D84C2B"/>
    <w:rsid w:val="00D85028"/>
    <w:rsid w:val="00D85029"/>
    <w:rsid w:val="00D852C6"/>
    <w:rsid w:val="00D853A1"/>
    <w:rsid w:val="00D853C9"/>
    <w:rsid w:val="00D853CA"/>
    <w:rsid w:val="00D85653"/>
    <w:rsid w:val="00D85857"/>
    <w:rsid w:val="00D85A14"/>
    <w:rsid w:val="00D8639C"/>
    <w:rsid w:val="00D86525"/>
    <w:rsid w:val="00D8669D"/>
    <w:rsid w:val="00D866E6"/>
    <w:rsid w:val="00D8682C"/>
    <w:rsid w:val="00D86B06"/>
    <w:rsid w:val="00D86F2A"/>
    <w:rsid w:val="00D87643"/>
    <w:rsid w:val="00D87689"/>
    <w:rsid w:val="00D87891"/>
    <w:rsid w:val="00D87A03"/>
    <w:rsid w:val="00D87E0E"/>
    <w:rsid w:val="00D902A8"/>
    <w:rsid w:val="00D90351"/>
    <w:rsid w:val="00D904D8"/>
    <w:rsid w:val="00D904FC"/>
    <w:rsid w:val="00D907AC"/>
    <w:rsid w:val="00D90834"/>
    <w:rsid w:val="00D90A02"/>
    <w:rsid w:val="00D90BCD"/>
    <w:rsid w:val="00D91000"/>
    <w:rsid w:val="00D9112F"/>
    <w:rsid w:val="00D91996"/>
    <w:rsid w:val="00D91CC1"/>
    <w:rsid w:val="00D91CCD"/>
    <w:rsid w:val="00D91E9F"/>
    <w:rsid w:val="00D923AB"/>
    <w:rsid w:val="00D923B6"/>
    <w:rsid w:val="00D9248B"/>
    <w:rsid w:val="00D9266F"/>
    <w:rsid w:val="00D926B4"/>
    <w:rsid w:val="00D928EE"/>
    <w:rsid w:val="00D92C0E"/>
    <w:rsid w:val="00D92D8B"/>
    <w:rsid w:val="00D92D8D"/>
    <w:rsid w:val="00D9328A"/>
    <w:rsid w:val="00D932ED"/>
    <w:rsid w:val="00D93859"/>
    <w:rsid w:val="00D938B3"/>
    <w:rsid w:val="00D93AE8"/>
    <w:rsid w:val="00D93CF4"/>
    <w:rsid w:val="00D93D13"/>
    <w:rsid w:val="00D93D14"/>
    <w:rsid w:val="00D93F0A"/>
    <w:rsid w:val="00D93FF0"/>
    <w:rsid w:val="00D940F2"/>
    <w:rsid w:val="00D94227"/>
    <w:rsid w:val="00D942BA"/>
    <w:rsid w:val="00D94350"/>
    <w:rsid w:val="00D94388"/>
    <w:rsid w:val="00D9442F"/>
    <w:rsid w:val="00D94B14"/>
    <w:rsid w:val="00D94CFC"/>
    <w:rsid w:val="00D95344"/>
    <w:rsid w:val="00D9538B"/>
    <w:rsid w:val="00D955BB"/>
    <w:rsid w:val="00D957E2"/>
    <w:rsid w:val="00D95A66"/>
    <w:rsid w:val="00D95B6E"/>
    <w:rsid w:val="00D95BCE"/>
    <w:rsid w:val="00D95DC2"/>
    <w:rsid w:val="00D95FFD"/>
    <w:rsid w:val="00D96141"/>
    <w:rsid w:val="00D96282"/>
    <w:rsid w:val="00D96296"/>
    <w:rsid w:val="00D965C2"/>
    <w:rsid w:val="00D965D9"/>
    <w:rsid w:val="00D96EC8"/>
    <w:rsid w:val="00D96F4A"/>
    <w:rsid w:val="00D97351"/>
    <w:rsid w:val="00D975EB"/>
    <w:rsid w:val="00D9763E"/>
    <w:rsid w:val="00D97836"/>
    <w:rsid w:val="00D9791B"/>
    <w:rsid w:val="00D97B34"/>
    <w:rsid w:val="00D97BB7"/>
    <w:rsid w:val="00D97FC7"/>
    <w:rsid w:val="00DA034C"/>
    <w:rsid w:val="00DA03C7"/>
    <w:rsid w:val="00DA046E"/>
    <w:rsid w:val="00DA04E8"/>
    <w:rsid w:val="00DA052A"/>
    <w:rsid w:val="00DA05CA"/>
    <w:rsid w:val="00DA067F"/>
    <w:rsid w:val="00DA06B1"/>
    <w:rsid w:val="00DA0891"/>
    <w:rsid w:val="00DA0A6E"/>
    <w:rsid w:val="00DA0A99"/>
    <w:rsid w:val="00DA0C01"/>
    <w:rsid w:val="00DA0CB3"/>
    <w:rsid w:val="00DA0DEB"/>
    <w:rsid w:val="00DA0EEF"/>
    <w:rsid w:val="00DA12B2"/>
    <w:rsid w:val="00DA1628"/>
    <w:rsid w:val="00DA167B"/>
    <w:rsid w:val="00DA1962"/>
    <w:rsid w:val="00DA1EE8"/>
    <w:rsid w:val="00DA250E"/>
    <w:rsid w:val="00DA254C"/>
    <w:rsid w:val="00DA2BBA"/>
    <w:rsid w:val="00DA2F74"/>
    <w:rsid w:val="00DA30BF"/>
    <w:rsid w:val="00DA3142"/>
    <w:rsid w:val="00DA3198"/>
    <w:rsid w:val="00DA330B"/>
    <w:rsid w:val="00DA33A5"/>
    <w:rsid w:val="00DA3450"/>
    <w:rsid w:val="00DA3691"/>
    <w:rsid w:val="00DA37CD"/>
    <w:rsid w:val="00DA3954"/>
    <w:rsid w:val="00DA3A2B"/>
    <w:rsid w:val="00DA40E7"/>
    <w:rsid w:val="00DA42E5"/>
    <w:rsid w:val="00DA4398"/>
    <w:rsid w:val="00DA4823"/>
    <w:rsid w:val="00DA49C6"/>
    <w:rsid w:val="00DA4A64"/>
    <w:rsid w:val="00DA4D8A"/>
    <w:rsid w:val="00DA4EFB"/>
    <w:rsid w:val="00DA5064"/>
    <w:rsid w:val="00DA50D3"/>
    <w:rsid w:val="00DA52F0"/>
    <w:rsid w:val="00DA5387"/>
    <w:rsid w:val="00DA545F"/>
    <w:rsid w:val="00DA55F6"/>
    <w:rsid w:val="00DA57DF"/>
    <w:rsid w:val="00DA5914"/>
    <w:rsid w:val="00DA596D"/>
    <w:rsid w:val="00DA5CC7"/>
    <w:rsid w:val="00DA5CF1"/>
    <w:rsid w:val="00DA5CFB"/>
    <w:rsid w:val="00DA5D08"/>
    <w:rsid w:val="00DA5EF1"/>
    <w:rsid w:val="00DA6371"/>
    <w:rsid w:val="00DA6636"/>
    <w:rsid w:val="00DA70EA"/>
    <w:rsid w:val="00DA71F3"/>
    <w:rsid w:val="00DA732B"/>
    <w:rsid w:val="00DA745F"/>
    <w:rsid w:val="00DA755A"/>
    <w:rsid w:val="00DA76AA"/>
    <w:rsid w:val="00DA77E8"/>
    <w:rsid w:val="00DA7D0A"/>
    <w:rsid w:val="00DA7E36"/>
    <w:rsid w:val="00DA7F3A"/>
    <w:rsid w:val="00DB06D0"/>
    <w:rsid w:val="00DB092E"/>
    <w:rsid w:val="00DB0A25"/>
    <w:rsid w:val="00DB0C95"/>
    <w:rsid w:val="00DB0CB1"/>
    <w:rsid w:val="00DB0F51"/>
    <w:rsid w:val="00DB102E"/>
    <w:rsid w:val="00DB1093"/>
    <w:rsid w:val="00DB117A"/>
    <w:rsid w:val="00DB11F7"/>
    <w:rsid w:val="00DB1390"/>
    <w:rsid w:val="00DB13A4"/>
    <w:rsid w:val="00DB1413"/>
    <w:rsid w:val="00DB1558"/>
    <w:rsid w:val="00DB1626"/>
    <w:rsid w:val="00DB1B1E"/>
    <w:rsid w:val="00DB1DDB"/>
    <w:rsid w:val="00DB1E5C"/>
    <w:rsid w:val="00DB1F6F"/>
    <w:rsid w:val="00DB1F73"/>
    <w:rsid w:val="00DB20DC"/>
    <w:rsid w:val="00DB2112"/>
    <w:rsid w:val="00DB216A"/>
    <w:rsid w:val="00DB22FC"/>
    <w:rsid w:val="00DB2311"/>
    <w:rsid w:val="00DB28AB"/>
    <w:rsid w:val="00DB2A9F"/>
    <w:rsid w:val="00DB2AED"/>
    <w:rsid w:val="00DB2B17"/>
    <w:rsid w:val="00DB2C63"/>
    <w:rsid w:val="00DB2CBE"/>
    <w:rsid w:val="00DB2DEA"/>
    <w:rsid w:val="00DB2E62"/>
    <w:rsid w:val="00DB3099"/>
    <w:rsid w:val="00DB3166"/>
    <w:rsid w:val="00DB3243"/>
    <w:rsid w:val="00DB324D"/>
    <w:rsid w:val="00DB3339"/>
    <w:rsid w:val="00DB3516"/>
    <w:rsid w:val="00DB3596"/>
    <w:rsid w:val="00DB35A2"/>
    <w:rsid w:val="00DB36D1"/>
    <w:rsid w:val="00DB3765"/>
    <w:rsid w:val="00DB3AF8"/>
    <w:rsid w:val="00DB3C91"/>
    <w:rsid w:val="00DB3CEF"/>
    <w:rsid w:val="00DB3CF6"/>
    <w:rsid w:val="00DB3DC5"/>
    <w:rsid w:val="00DB3DD9"/>
    <w:rsid w:val="00DB40F4"/>
    <w:rsid w:val="00DB41B4"/>
    <w:rsid w:val="00DB4410"/>
    <w:rsid w:val="00DB4819"/>
    <w:rsid w:val="00DB4986"/>
    <w:rsid w:val="00DB499E"/>
    <w:rsid w:val="00DB4BCB"/>
    <w:rsid w:val="00DB4D42"/>
    <w:rsid w:val="00DB4E85"/>
    <w:rsid w:val="00DB4E90"/>
    <w:rsid w:val="00DB4EBD"/>
    <w:rsid w:val="00DB4ECE"/>
    <w:rsid w:val="00DB55B9"/>
    <w:rsid w:val="00DB5AE4"/>
    <w:rsid w:val="00DB5C0C"/>
    <w:rsid w:val="00DB5D70"/>
    <w:rsid w:val="00DB5D79"/>
    <w:rsid w:val="00DB61B2"/>
    <w:rsid w:val="00DB61D1"/>
    <w:rsid w:val="00DB6754"/>
    <w:rsid w:val="00DB6829"/>
    <w:rsid w:val="00DB6D30"/>
    <w:rsid w:val="00DB6D79"/>
    <w:rsid w:val="00DB6DED"/>
    <w:rsid w:val="00DB6E29"/>
    <w:rsid w:val="00DB6F7A"/>
    <w:rsid w:val="00DB704D"/>
    <w:rsid w:val="00DB70D5"/>
    <w:rsid w:val="00DB72C4"/>
    <w:rsid w:val="00DB7380"/>
    <w:rsid w:val="00DB739E"/>
    <w:rsid w:val="00DB73BD"/>
    <w:rsid w:val="00DB76C1"/>
    <w:rsid w:val="00DB7789"/>
    <w:rsid w:val="00DB77F6"/>
    <w:rsid w:val="00DB77FB"/>
    <w:rsid w:val="00DB7924"/>
    <w:rsid w:val="00DB79FB"/>
    <w:rsid w:val="00DB7D1A"/>
    <w:rsid w:val="00DB7F62"/>
    <w:rsid w:val="00DC00AC"/>
    <w:rsid w:val="00DC0271"/>
    <w:rsid w:val="00DC0357"/>
    <w:rsid w:val="00DC0629"/>
    <w:rsid w:val="00DC063A"/>
    <w:rsid w:val="00DC0AD7"/>
    <w:rsid w:val="00DC0BC3"/>
    <w:rsid w:val="00DC0BE6"/>
    <w:rsid w:val="00DC0CE2"/>
    <w:rsid w:val="00DC0F1E"/>
    <w:rsid w:val="00DC0F42"/>
    <w:rsid w:val="00DC10E3"/>
    <w:rsid w:val="00DC116C"/>
    <w:rsid w:val="00DC141E"/>
    <w:rsid w:val="00DC19B9"/>
    <w:rsid w:val="00DC1BF0"/>
    <w:rsid w:val="00DC1C18"/>
    <w:rsid w:val="00DC1CD3"/>
    <w:rsid w:val="00DC1CDB"/>
    <w:rsid w:val="00DC1D01"/>
    <w:rsid w:val="00DC1DD6"/>
    <w:rsid w:val="00DC201B"/>
    <w:rsid w:val="00DC20A5"/>
    <w:rsid w:val="00DC20BD"/>
    <w:rsid w:val="00DC2675"/>
    <w:rsid w:val="00DC2916"/>
    <w:rsid w:val="00DC2A2F"/>
    <w:rsid w:val="00DC2B75"/>
    <w:rsid w:val="00DC2BFE"/>
    <w:rsid w:val="00DC3436"/>
    <w:rsid w:val="00DC352E"/>
    <w:rsid w:val="00DC371E"/>
    <w:rsid w:val="00DC3B52"/>
    <w:rsid w:val="00DC3D1D"/>
    <w:rsid w:val="00DC3E4A"/>
    <w:rsid w:val="00DC3F57"/>
    <w:rsid w:val="00DC41B7"/>
    <w:rsid w:val="00DC4354"/>
    <w:rsid w:val="00DC462E"/>
    <w:rsid w:val="00DC488E"/>
    <w:rsid w:val="00DC4D91"/>
    <w:rsid w:val="00DC4DEE"/>
    <w:rsid w:val="00DC506D"/>
    <w:rsid w:val="00DC52C3"/>
    <w:rsid w:val="00DC555B"/>
    <w:rsid w:val="00DC5B64"/>
    <w:rsid w:val="00DC5D75"/>
    <w:rsid w:val="00DC5DD8"/>
    <w:rsid w:val="00DC5E5E"/>
    <w:rsid w:val="00DC5F66"/>
    <w:rsid w:val="00DC6396"/>
    <w:rsid w:val="00DC64A7"/>
    <w:rsid w:val="00DC65D0"/>
    <w:rsid w:val="00DC6699"/>
    <w:rsid w:val="00DC66CB"/>
    <w:rsid w:val="00DC673B"/>
    <w:rsid w:val="00DC683C"/>
    <w:rsid w:val="00DC68E7"/>
    <w:rsid w:val="00DC6930"/>
    <w:rsid w:val="00DC697C"/>
    <w:rsid w:val="00DC6C5C"/>
    <w:rsid w:val="00DC6D83"/>
    <w:rsid w:val="00DC6DC6"/>
    <w:rsid w:val="00DC6DFE"/>
    <w:rsid w:val="00DC6F5C"/>
    <w:rsid w:val="00DC70D6"/>
    <w:rsid w:val="00DC7104"/>
    <w:rsid w:val="00DC7112"/>
    <w:rsid w:val="00DC74F5"/>
    <w:rsid w:val="00DC7875"/>
    <w:rsid w:val="00DC78E2"/>
    <w:rsid w:val="00DC7A55"/>
    <w:rsid w:val="00DC7E73"/>
    <w:rsid w:val="00DD00BB"/>
    <w:rsid w:val="00DD00DA"/>
    <w:rsid w:val="00DD011D"/>
    <w:rsid w:val="00DD0261"/>
    <w:rsid w:val="00DD04C4"/>
    <w:rsid w:val="00DD0880"/>
    <w:rsid w:val="00DD0A21"/>
    <w:rsid w:val="00DD1948"/>
    <w:rsid w:val="00DD1C02"/>
    <w:rsid w:val="00DD1DB5"/>
    <w:rsid w:val="00DD1E88"/>
    <w:rsid w:val="00DD1EDD"/>
    <w:rsid w:val="00DD1FDB"/>
    <w:rsid w:val="00DD20EE"/>
    <w:rsid w:val="00DD2234"/>
    <w:rsid w:val="00DD22FF"/>
    <w:rsid w:val="00DD2318"/>
    <w:rsid w:val="00DD2543"/>
    <w:rsid w:val="00DD2A17"/>
    <w:rsid w:val="00DD2BBB"/>
    <w:rsid w:val="00DD2C59"/>
    <w:rsid w:val="00DD30A9"/>
    <w:rsid w:val="00DD33A9"/>
    <w:rsid w:val="00DD34EC"/>
    <w:rsid w:val="00DD3648"/>
    <w:rsid w:val="00DD39EB"/>
    <w:rsid w:val="00DD3B12"/>
    <w:rsid w:val="00DD3C13"/>
    <w:rsid w:val="00DD3C72"/>
    <w:rsid w:val="00DD40C3"/>
    <w:rsid w:val="00DD419C"/>
    <w:rsid w:val="00DD462F"/>
    <w:rsid w:val="00DD463B"/>
    <w:rsid w:val="00DD48A8"/>
    <w:rsid w:val="00DD4CC7"/>
    <w:rsid w:val="00DD4E15"/>
    <w:rsid w:val="00DD5378"/>
    <w:rsid w:val="00DD53B6"/>
    <w:rsid w:val="00DD5A13"/>
    <w:rsid w:val="00DD5A1B"/>
    <w:rsid w:val="00DD5B0D"/>
    <w:rsid w:val="00DD5C62"/>
    <w:rsid w:val="00DD5E50"/>
    <w:rsid w:val="00DD61D7"/>
    <w:rsid w:val="00DD6539"/>
    <w:rsid w:val="00DD665C"/>
    <w:rsid w:val="00DD67B5"/>
    <w:rsid w:val="00DD68F9"/>
    <w:rsid w:val="00DD69C3"/>
    <w:rsid w:val="00DD6ABC"/>
    <w:rsid w:val="00DD6AFB"/>
    <w:rsid w:val="00DD6DC9"/>
    <w:rsid w:val="00DD715C"/>
    <w:rsid w:val="00DD723C"/>
    <w:rsid w:val="00DD7251"/>
    <w:rsid w:val="00DD77E4"/>
    <w:rsid w:val="00DD794C"/>
    <w:rsid w:val="00DD79E9"/>
    <w:rsid w:val="00DD7A1A"/>
    <w:rsid w:val="00DD7B82"/>
    <w:rsid w:val="00DD7FCA"/>
    <w:rsid w:val="00DE011F"/>
    <w:rsid w:val="00DE07CB"/>
    <w:rsid w:val="00DE0DE7"/>
    <w:rsid w:val="00DE111C"/>
    <w:rsid w:val="00DE12F4"/>
    <w:rsid w:val="00DE1894"/>
    <w:rsid w:val="00DE18BC"/>
    <w:rsid w:val="00DE18D2"/>
    <w:rsid w:val="00DE19CB"/>
    <w:rsid w:val="00DE1A8C"/>
    <w:rsid w:val="00DE1D46"/>
    <w:rsid w:val="00DE1D4B"/>
    <w:rsid w:val="00DE1D89"/>
    <w:rsid w:val="00DE2310"/>
    <w:rsid w:val="00DE237B"/>
    <w:rsid w:val="00DE2704"/>
    <w:rsid w:val="00DE279C"/>
    <w:rsid w:val="00DE29DE"/>
    <w:rsid w:val="00DE29F7"/>
    <w:rsid w:val="00DE2A2A"/>
    <w:rsid w:val="00DE2BC3"/>
    <w:rsid w:val="00DE2C82"/>
    <w:rsid w:val="00DE2D77"/>
    <w:rsid w:val="00DE2D9B"/>
    <w:rsid w:val="00DE3233"/>
    <w:rsid w:val="00DE3286"/>
    <w:rsid w:val="00DE358C"/>
    <w:rsid w:val="00DE35A5"/>
    <w:rsid w:val="00DE382B"/>
    <w:rsid w:val="00DE39E1"/>
    <w:rsid w:val="00DE3B14"/>
    <w:rsid w:val="00DE3EAB"/>
    <w:rsid w:val="00DE46C8"/>
    <w:rsid w:val="00DE4764"/>
    <w:rsid w:val="00DE4F67"/>
    <w:rsid w:val="00DE5007"/>
    <w:rsid w:val="00DE5056"/>
    <w:rsid w:val="00DE51F8"/>
    <w:rsid w:val="00DE527F"/>
    <w:rsid w:val="00DE53D6"/>
    <w:rsid w:val="00DE5647"/>
    <w:rsid w:val="00DE56CF"/>
    <w:rsid w:val="00DE5836"/>
    <w:rsid w:val="00DE5852"/>
    <w:rsid w:val="00DE5889"/>
    <w:rsid w:val="00DE59F7"/>
    <w:rsid w:val="00DE5ABA"/>
    <w:rsid w:val="00DE5B70"/>
    <w:rsid w:val="00DE5D1C"/>
    <w:rsid w:val="00DE5FFE"/>
    <w:rsid w:val="00DE6050"/>
    <w:rsid w:val="00DE608D"/>
    <w:rsid w:val="00DE62B5"/>
    <w:rsid w:val="00DE63E9"/>
    <w:rsid w:val="00DE65A2"/>
    <w:rsid w:val="00DE6A8B"/>
    <w:rsid w:val="00DE6F8B"/>
    <w:rsid w:val="00DE6FF3"/>
    <w:rsid w:val="00DE718C"/>
    <w:rsid w:val="00DE71EE"/>
    <w:rsid w:val="00DE7498"/>
    <w:rsid w:val="00DE75E5"/>
    <w:rsid w:val="00DE75F0"/>
    <w:rsid w:val="00DE769A"/>
    <w:rsid w:val="00DE7702"/>
    <w:rsid w:val="00DE77E3"/>
    <w:rsid w:val="00DE79BE"/>
    <w:rsid w:val="00DE7E31"/>
    <w:rsid w:val="00DF0033"/>
    <w:rsid w:val="00DF00D3"/>
    <w:rsid w:val="00DF01FE"/>
    <w:rsid w:val="00DF02C1"/>
    <w:rsid w:val="00DF039A"/>
    <w:rsid w:val="00DF04C4"/>
    <w:rsid w:val="00DF05E0"/>
    <w:rsid w:val="00DF06E9"/>
    <w:rsid w:val="00DF0BC6"/>
    <w:rsid w:val="00DF0CE9"/>
    <w:rsid w:val="00DF151A"/>
    <w:rsid w:val="00DF157B"/>
    <w:rsid w:val="00DF15A9"/>
    <w:rsid w:val="00DF1D01"/>
    <w:rsid w:val="00DF1F9A"/>
    <w:rsid w:val="00DF232C"/>
    <w:rsid w:val="00DF23C2"/>
    <w:rsid w:val="00DF26EB"/>
    <w:rsid w:val="00DF286D"/>
    <w:rsid w:val="00DF2870"/>
    <w:rsid w:val="00DF2AA2"/>
    <w:rsid w:val="00DF2B01"/>
    <w:rsid w:val="00DF2D1E"/>
    <w:rsid w:val="00DF33CC"/>
    <w:rsid w:val="00DF34BE"/>
    <w:rsid w:val="00DF376C"/>
    <w:rsid w:val="00DF38A6"/>
    <w:rsid w:val="00DF39DB"/>
    <w:rsid w:val="00DF3A9A"/>
    <w:rsid w:val="00DF3AEA"/>
    <w:rsid w:val="00DF3DB5"/>
    <w:rsid w:val="00DF3E1F"/>
    <w:rsid w:val="00DF3E92"/>
    <w:rsid w:val="00DF3FC4"/>
    <w:rsid w:val="00DF403C"/>
    <w:rsid w:val="00DF4155"/>
    <w:rsid w:val="00DF417F"/>
    <w:rsid w:val="00DF41D4"/>
    <w:rsid w:val="00DF41F6"/>
    <w:rsid w:val="00DF42FF"/>
    <w:rsid w:val="00DF4497"/>
    <w:rsid w:val="00DF4691"/>
    <w:rsid w:val="00DF475A"/>
    <w:rsid w:val="00DF4B62"/>
    <w:rsid w:val="00DF4F19"/>
    <w:rsid w:val="00DF5018"/>
    <w:rsid w:val="00DF5134"/>
    <w:rsid w:val="00DF5152"/>
    <w:rsid w:val="00DF52CA"/>
    <w:rsid w:val="00DF5633"/>
    <w:rsid w:val="00DF5AAD"/>
    <w:rsid w:val="00DF5F1E"/>
    <w:rsid w:val="00DF5F20"/>
    <w:rsid w:val="00DF61B9"/>
    <w:rsid w:val="00DF6661"/>
    <w:rsid w:val="00DF684D"/>
    <w:rsid w:val="00DF690D"/>
    <w:rsid w:val="00DF6932"/>
    <w:rsid w:val="00DF695A"/>
    <w:rsid w:val="00DF6A92"/>
    <w:rsid w:val="00DF6B77"/>
    <w:rsid w:val="00DF6C34"/>
    <w:rsid w:val="00DF6DEC"/>
    <w:rsid w:val="00DF6DF2"/>
    <w:rsid w:val="00DF6FA4"/>
    <w:rsid w:val="00DF72F0"/>
    <w:rsid w:val="00DF74B4"/>
    <w:rsid w:val="00DF74E2"/>
    <w:rsid w:val="00DF77F6"/>
    <w:rsid w:val="00DF7819"/>
    <w:rsid w:val="00DF78E7"/>
    <w:rsid w:val="00DF7D7F"/>
    <w:rsid w:val="00E00120"/>
    <w:rsid w:val="00E00178"/>
    <w:rsid w:val="00E00224"/>
    <w:rsid w:val="00E0024D"/>
    <w:rsid w:val="00E002A0"/>
    <w:rsid w:val="00E0060B"/>
    <w:rsid w:val="00E0077E"/>
    <w:rsid w:val="00E007CC"/>
    <w:rsid w:val="00E00806"/>
    <w:rsid w:val="00E00DAC"/>
    <w:rsid w:val="00E00E7E"/>
    <w:rsid w:val="00E00F02"/>
    <w:rsid w:val="00E0107E"/>
    <w:rsid w:val="00E0112E"/>
    <w:rsid w:val="00E01360"/>
    <w:rsid w:val="00E01845"/>
    <w:rsid w:val="00E01F0F"/>
    <w:rsid w:val="00E01F44"/>
    <w:rsid w:val="00E02175"/>
    <w:rsid w:val="00E02178"/>
    <w:rsid w:val="00E025A2"/>
    <w:rsid w:val="00E02C12"/>
    <w:rsid w:val="00E02CF6"/>
    <w:rsid w:val="00E03029"/>
    <w:rsid w:val="00E03272"/>
    <w:rsid w:val="00E033AF"/>
    <w:rsid w:val="00E03453"/>
    <w:rsid w:val="00E03564"/>
    <w:rsid w:val="00E035C0"/>
    <w:rsid w:val="00E039CB"/>
    <w:rsid w:val="00E03F04"/>
    <w:rsid w:val="00E042A8"/>
    <w:rsid w:val="00E04685"/>
    <w:rsid w:val="00E0470F"/>
    <w:rsid w:val="00E0475C"/>
    <w:rsid w:val="00E05031"/>
    <w:rsid w:val="00E0517E"/>
    <w:rsid w:val="00E0528F"/>
    <w:rsid w:val="00E056BA"/>
    <w:rsid w:val="00E05816"/>
    <w:rsid w:val="00E05A56"/>
    <w:rsid w:val="00E05D7D"/>
    <w:rsid w:val="00E060BB"/>
    <w:rsid w:val="00E06127"/>
    <w:rsid w:val="00E061AA"/>
    <w:rsid w:val="00E06805"/>
    <w:rsid w:val="00E06E24"/>
    <w:rsid w:val="00E06F2E"/>
    <w:rsid w:val="00E07198"/>
    <w:rsid w:val="00E074B6"/>
    <w:rsid w:val="00E07A77"/>
    <w:rsid w:val="00E07ADC"/>
    <w:rsid w:val="00E07C6E"/>
    <w:rsid w:val="00E10104"/>
    <w:rsid w:val="00E103FF"/>
    <w:rsid w:val="00E1042A"/>
    <w:rsid w:val="00E10447"/>
    <w:rsid w:val="00E104B7"/>
    <w:rsid w:val="00E1080C"/>
    <w:rsid w:val="00E10CCB"/>
    <w:rsid w:val="00E10CF1"/>
    <w:rsid w:val="00E10D97"/>
    <w:rsid w:val="00E110D1"/>
    <w:rsid w:val="00E112F4"/>
    <w:rsid w:val="00E1180F"/>
    <w:rsid w:val="00E119B5"/>
    <w:rsid w:val="00E11BCA"/>
    <w:rsid w:val="00E12475"/>
    <w:rsid w:val="00E1279D"/>
    <w:rsid w:val="00E12813"/>
    <w:rsid w:val="00E128AF"/>
    <w:rsid w:val="00E12C26"/>
    <w:rsid w:val="00E12C8B"/>
    <w:rsid w:val="00E12CA3"/>
    <w:rsid w:val="00E136B7"/>
    <w:rsid w:val="00E137DE"/>
    <w:rsid w:val="00E13852"/>
    <w:rsid w:val="00E13AB1"/>
    <w:rsid w:val="00E1405E"/>
    <w:rsid w:val="00E14312"/>
    <w:rsid w:val="00E14332"/>
    <w:rsid w:val="00E1488B"/>
    <w:rsid w:val="00E14A5A"/>
    <w:rsid w:val="00E14A74"/>
    <w:rsid w:val="00E14D53"/>
    <w:rsid w:val="00E14F4A"/>
    <w:rsid w:val="00E1554B"/>
    <w:rsid w:val="00E155FB"/>
    <w:rsid w:val="00E15674"/>
    <w:rsid w:val="00E1569C"/>
    <w:rsid w:val="00E158E7"/>
    <w:rsid w:val="00E159F7"/>
    <w:rsid w:val="00E15D30"/>
    <w:rsid w:val="00E15DE4"/>
    <w:rsid w:val="00E15DEF"/>
    <w:rsid w:val="00E15E5C"/>
    <w:rsid w:val="00E15E9E"/>
    <w:rsid w:val="00E16124"/>
    <w:rsid w:val="00E161C8"/>
    <w:rsid w:val="00E16432"/>
    <w:rsid w:val="00E1645B"/>
    <w:rsid w:val="00E165D5"/>
    <w:rsid w:val="00E16692"/>
    <w:rsid w:val="00E1672B"/>
    <w:rsid w:val="00E167C0"/>
    <w:rsid w:val="00E169F2"/>
    <w:rsid w:val="00E16A70"/>
    <w:rsid w:val="00E16ED5"/>
    <w:rsid w:val="00E16FB5"/>
    <w:rsid w:val="00E1713A"/>
    <w:rsid w:val="00E171B6"/>
    <w:rsid w:val="00E171DC"/>
    <w:rsid w:val="00E174DE"/>
    <w:rsid w:val="00E1762E"/>
    <w:rsid w:val="00E1765D"/>
    <w:rsid w:val="00E1785C"/>
    <w:rsid w:val="00E178B4"/>
    <w:rsid w:val="00E178EF"/>
    <w:rsid w:val="00E17B6D"/>
    <w:rsid w:val="00E17D7D"/>
    <w:rsid w:val="00E17E15"/>
    <w:rsid w:val="00E17FD7"/>
    <w:rsid w:val="00E203DC"/>
    <w:rsid w:val="00E204D4"/>
    <w:rsid w:val="00E2063F"/>
    <w:rsid w:val="00E20737"/>
    <w:rsid w:val="00E20893"/>
    <w:rsid w:val="00E20A03"/>
    <w:rsid w:val="00E20A3F"/>
    <w:rsid w:val="00E20B4B"/>
    <w:rsid w:val="00E20C35"/>
    <w:rsid w:val="00E20E97"/>
    <w:rsid w:val="00E2122A"/>
    <w:rsid w:val="00E21344"/>
    <w:rsid w:val="00E21410"/>
    <w:rsid w:val="00E21909"/>
    <w:rsid w:val="00E21C1F"/>
    <w:rsid w:val="00E21F20"/>
    <w:rsid w:val="00E21F3F"/>
    <w:rsid w:val="00E21F77"/>
    <w:rsid w:val="00E2204F"/>
    <w:rsid w:val="00E220EA"/>
    <w:rsid w:val="00E2219F"/>
    <w:rsid w:val="00E222A2"/>
    <w:rsid w:val="00E22544"/>
    <w:rsid w:val="00E226F4"/>
    <w:rsid w:val="00E229A4"/>
    <w:rsid w:val="00E22A12"/>
    <w:rsid w:val="00E22ED0"/>
    <w:rsid w:val="00E230C1"/>
    <w:rsid w:val="00E2320C"/>
    <w:rsid w:val="00E232C1"/>
    <w:rsid w:val="00E233BF"/>
    <w:rsid w:val="00E23857"/>
    <w:rsid w:val="00E23984"/>
    <w:rsid w:val="00E23B58"/>
    <w:rsid w:val="00E2436D"/>
    <w:rsid w:val="00E24682"/>
    <w:rsid w:val="00E24743"/>
    <w:rsid w:val="00E247E9"/>
    <w:rsid w:val="00E248ED"/>
    <w:rsid w:val="00E24DDF"/>
    <w:rsid w:val="00E24F33"/>
    <w:rsid w:val="00E2504C"/>
    <w:rsid w:val="00E254F8"/>
    <w:rsid w:val="00E25605"/>
    <w:rsid w:val="00E256CD"/>
    <w:rsid w:val="00E2576A"/>
    <w:rsid w:val="00E25BAD"/>
    <w:rsid w:val="00E25E8A"/>
    <w:rsid w:val="00E26113"/>
    <w:rsid w:val="00E2667F"/>
    <w:rsid w:val="00E266A4"/>
    <w:rsid w:val="00E269A1"/>
    <w:rsid w:val="00E26B2C"/>
    <w:rsid w:val="00E272BA"/>
    <w:rsid w:val="00E27320"/>
    <w:rsid w:val="00E2748B"/>
    <w:rsid w:val="00E274BA"/>
    <w:rsid w:val="00E27595"/>
    <w:rsid w:val="00E27764"/>
    <w:rsid w:val="00E277F3"/>
    <w:rsid w:val="00E278FB"/>
    <w:rsid w:val="00E27A82"/>
    <w:rsid w:val="00E27E4C"/>
    <w:rsid w:val="00E30397"/>
    <w:rsid w:val="00E304F5"/>
    <w:rsid w:val="00E30502"/>
    <w:rsid w:val="00E30689"/>
    <w:rsid w:val="00E30AE9"/>
    <w:rsid w:val="00E30B98"/>
    <w:rsid w:val="00E30BEA"/>
    <w:rsid w:val="00E31122"/>
    <w:rsid w:val="00E31149"/>
    <w:rsid w:val="00E3119E"/>
    <w:rsid w:val="00E316A6"/>
    <w:rsid w:val="00E3178D"/>
    <w:rsid w:val="00E3195C"/>
    <w:rsid w:val="00E3198A"/>
    <w:rsid w:val="00E319A4"/>
    <w:rsid w:val="00E31A24"/>
    <w:rsid w:val="00E31A67"/>
    <w:rsid w:val="00E31AE5"/>
    <w:rsid w:val="00E31E30"/>
    <w:rsid w:val="00E31F05"/>
    <w:rsid w:val="00E32033"/>
    <w:rsid w:val="00E32064"/>
    <w:rsid w:val="00E32175"/>
    <w:rsid w:val="00E3228B"/>
    <w:rsid w:val="00E32501"/>
    <w:rsid w:val="00E3259E"/>
    <w:rsid w:val="00E32972"/>
    <w:rsid w:val="00E32A49"/>
    <w:rsid w:val="00E32C94"/>
    <w:rsid w:val="00E32FBB"/>
    <w:rsid w:val="00E331F8"/>
    <w:rsid w:val="00E33358"/>
    <w:rsid w:val="00E33665"/>
    <w:rsid w:val="00E3384F"/>
    <w:rsid w:val="00E338CF"/>
    <w:rsid w:val="00E3394C"/>
    <w:rsid w:val="00E33B5F"/>
    <w:rsid w:val="00E33EB7"/>
    <w:rsid w:val="00E33F9C"/>
    <w:rsid w:val="00E3401C"/>
    <w:rsid w:val="00E3434F"/>
    <w:rsid w:val="00E3453D"/>
    <w:rsid w:val="00E3469E"/>
    <w:rsid w:val="00E34B55"/>
    <w:rsid w:val="00E34D1A"/>
    <w:rsid w:val="00E34FCC"/>
    <w:rsid w:val="00E35196"/>
    <w:rsid w:val="00E35306"/>
    <w:rsid w:val="00E353A7"/>
    <w:rsid w:val="00E354B1"/>
    <w:rsid w:val="00E355AF"/>
    <w:rsid w:val="00E35847"/>
    <w:rsid w:val="00E358B0"/>
    <w:rsid w:val="00E35C31"/>
    <w:rsid w:val="00E35CA3"/>
    <w:rsid w:val="00E35E82"/>
    <w:rsid w:val="00E360F7"/>
    <w:rsid w:val="00E36333"/>
    <w:rsid w:val="00E36534"/>
    <w:rsid w:val="00E36562"/>
    <w:rsid w:val="00E36AC6"/>
    <w:rsid w:val="00E36C70"/>
    <w:rsid w:val="00E36C7A"/>
    <w:rsid w:val="00E37340"/>
    <w:rsid w:val="00E3734B"/>
    <w:rsid w:val="00E37605"/>
    <w:rsid w:val="00E3767D"/>
    <w:rsid w:val="00E376A0"/>
    <w:rsid w:val="00E37B6F"/>
    <w:rsid w:val="00E37F8B"/>
    <w:rsid w:val="00E37FAF"/>
    <w:rsid w:val="00E40075"/>
    <w:rsid w:val="00E40334"/>
    <w:rsid w:val="00E40C71"/>
    <w:rsid w:val="00E40C8A"/>
    <w:rsid w:val="00E40D92"/>
    <w:rsid w:val="00E40E66"/>
    <w:rsid w:val="00E41195"/>
    <w:rsid w:val="00E412FD"/>
    <w:rsid w:val="00E414EC"/>
    <w:rsid w:val="00E41539"/>
    <w:rsid w:val="00E41A4C"/>
    <w:rsid w:val="00E41A8E"/>
    <w:rsid w:val="00E41AFC"/>
    <w:rsid w:val="00E41B5F"/>
    <w:rsid w:val="00E41B77"/>
    <w:rsid w:val="00E41B95"/>
    <w:rsid w:val="00E41DDD"/>
    <w:rsid w:val="00E42180"/>
    <w:rsid w:val="00E4263B"/>
    <w:rsid w:val="00E427A4"/>
    <w:rsid w:val="00E42910"/>
    <w:rsid w:val="00E42E2E"/>
    <w:rsid w:val="00E43027"/>
    <w:rsid w:val="00E43370"/>
    <w:rsid w:val="00E433D9"/>
    <w:rsid w:val="00E43429"/>
    <w:rsid w:val="00E4342A"/>
    <w:rsid w:val="00E43502"/>
    <w:rsid w:val="00E4362E"/>
    <w:rsid w:val="00E4376C"/>
    <w:rsid w:val="00E4384E"/>
    <w:rsid w:val="00E43965"/>
    <w:rsid w:val="00E43A62"/>
    <w:rsid w:val="00E43AB6"/>
    <w:rsid w:val="00E43D95"/>
    <w:rsid w:val="00E43F08"/>
    <w:rsid w:val="00E440F7"/>
    <w:rsid w:val="00E443E4"/>
    <w:rsid w:val="00E443F4"/>
    <w:rsid w:val="00E44423"/>
    <w:rsid w:val="00E444C6"/>
    <w:rsid w:val="00E44524"/>
    <w:rsid w:val="00E44840"/>
    <w:rsid w:val="00E448DB"/>
    <w:rsid w:val="00E4496D"/>
    <w:rsid w:val="00E44E78"/>
    <w:rsid w:val="00E44FE8"/>
    <w:rsid w:val="00E45032"/>
    <w:rsid w:val="00E4521A"/>
    <w:rsid w:val="00E452A8"/>
    <w:rsid w:val="00E4530B"/>
    <w:rsid w:val="00E45461"/>
    <w:rsid w:val="00E4579A"/>
    <w:rsid w:val="00E457C4"/>
    <w:rsid w:val="00E459E8"/>
    <w:rsid w:val="00E45C51"/>
    <w:rsid w:val="00E461D9"/>
    <w:rsid w:val="00E462D4"/>
    <w:rsid w:val="00E4634E"/>
    <w:rsid w:val="00E46398"/>
    <w:rsid w:val="00E4662F"/>
    <w:rsid w:val="00E46860"/>
    <w:rsid w:val="00E4686F"/>
    <w:rsid w:val="00E468C8"/>
    <w:rsid w:val="00E46AA0"/>
    <w:rsid w:val="00E46B06"/>
    <w:rsid w:val="00E46BB1"/>
    <w:rsid w:val="00E46C85"/>
    <w:rsid w:val="00E46E37"/>
    <w:rsid w:val="00E46E7C"/>
    <w:rsid w:val="00E47767"/>
    <w:rsid w:val="00E477BC"/>
    <w:rsid w:val="00E4780B"/>
    <w:rsid w:val="00E47B57"/>
    <w:rsid w:val="00E47CB8"/>
    <w:rsid w:val="00E47D74"/>
    <w:rsid w:val="00E47D86"/>
    <w:rsid w:val="00E50122"/>
    <w:rsid w:val="00E501BE"/>
    <w:rsid w:val="00E5025E"/>
    <w:rsid w:val="00E5026F"/>
    <w:rsid w:val="00E502FF"/>
    <w:rsid w:val="00E50512"/>
    <w:rsid w:val="00E507D5"/>
    <w:rsid w:val="00E50ADB"/>
    <w:rsid w:val="00E50B5B"/>
    <w:rsid w:val="00E50CE9"/>
    <w:rsid w:val="00E51039"/>
    <w:rsid w:val="00E512A3"/>
    <w:rsid w:val="00E5143F"/>
    <w:rsid w:val="00E51454"/>
    <w:rsid w:val="00E51459"/>
    <w:rsid w:val="00E515C5"/>
    <w:rsid w:val="00E51605"/>
    <w:rsid w:val="00E51745"/>
    <w:rsid w:val="00E518BC"/>
    <w:rsid w:val="00E518E8"/>
    <w:rsid w:val="00E5195A"/>
    <w:rsid w:val="00E51BBC"/>
    <w:rsid w:val="00E51BE3"/>
    <w:rsid w:val="00E51CF0"/>
    <w:rsid w:val="00E51E61"/>
    <w:rsid w:val="00E52092"/>
    <w:rsid w:val="00E52359"/>
    <w:rsid w:val="00E523A0"/>
    <w:rsid w:val="00E5244C"/>
    <w:rsid w:val="00E52AB1"/>
    <w:rsid w:val="00E52DC8"/>
    <w:rsid w:val="00E52F5A"/>
    <w:rsid w:val="00E5396B"/>
    <w:rsid w:val="00E53B94"/>
    <w:rsid w:val="00E53F88"/>
    <w:rsid w:val="00E5400C"/>
    <w:rsid w:val="00E544B7"/>
    <w:rsid w:val="00E544F2"/>
    <w:rsid w:val="00E545D6"/>
    <w:rsid w:val="00E547C3"/>
    <w:rsid w:val="00E54BEF"/>
    <w:rsid w:val="00E54F34"/>
    <w:rsid w:val="00E54F7C"/>
    <w:rsid w:val="00E551E8"/>
    <w:rsid w:val="00E5530D"/>
    <w:rsid w:val="00E5538C"/>
    <w:rsid w:val="00E55778"/>
    <w:rsid w:val="00E55877"/>
    <w:rsid w:val="00E559F2"/>
    <w:rsid w:val="00E55B8B"/>
    <w:rsid w:val="00E55C77"/>
    <w:rsid w:val="00E564D0"/>
    <w:rsid w:val="00E565A4"/>
    <w:rsid w:val="00E565B5"/>
    <w:rsid w:val="00E5678E"/>
    <w:rsid w:val="00E5683F"/>
    <w:rsid w:val="00E56993"/>
    <w:rsid w:val="00E56EA1"/>
    <w:rsid w:val="00E56F4A"/>
    <w:rsid w:val="00E56F96"/>
    <w:rsid w:val="00E57294"/>
    <w:rsid w:val="00E5753E"/>
    <w:rsid w:val="00E575A3"/>
    <w:rsid w:val="00E575DC"/>
    <w:rsid w:val="00E57662"/>
    <w:rsid w:val="00E57A3C"/>
    <w:rsid w:val="00E57AAC"/>
    <w:rsid w:val="00E57B7C"/>
    <w:rsid w:val="00E57BD9"/>
    <w:rsid w:val="00E57BDF"/>
    <w:rsid w:val="00E57D66"/>
    <w:rsid w:val="00E57DDD"/>
    <w:rsid w:val="00E57E06"/>
    <w:rsid w:val="00E60049"/>
    <w:rsid w:val="00E60541"/>
    <w:rsid w:val="00E608D0"/>
    <w:rsid w:val="00E60A2B"/>
    <w:rsid w:val="00E60A54"/>
    <w:rsid w:val="00E60FBA"/>
    <w:rsid w:val="00E61169"/>
    <w:rsid w:val="00E6153F"/>
    <w:rsid w:val="00E61ADB"/>
    <w:rsid w:val="00E61C4E"/>
    <w:rsid w:val="00E61D90"/>
    <w:rsid w:val="00E61E8B"/>
    <w:rsid w:val="00E621A2"/>
    <w:rsid w:val="00E6227C"/>
    <w:rsid w:val="00E62331"/>
    <w:rsid w:val="00E62404"/>
    <w:rsid w:val="00E625F8"/>
    <w:rsid w:val="00E62625"/>
    <w:rsid w:val="00E6289E"/>
    <w:rsid w:val="00E62A09"/>
    <w:rsid w:val="00E62B6E"/>
    <w:rsid w:val="00E62DC8"/>
    <w:rsid w:val="00E62F55"/>
    <w:rsid w:val="00E62FEE"/>
    <w:rsid w:val="00E63202"/>
    <w:rsid w:val="00E63555"/>
    <w:rsid w:val="00E6382E"/>
    <w:rsid w:val="00E63A04"/>
    <w:rsid w:val="00E63CC4"/>
    <w:rsid w:val="00E63E47"/>
    <w:rsid w:val="00E63E85"/>
    <w:rsid w:val="00E64168"/>
    <w:rsid w:val="00E6449D"/>
    <w:rsid w:val="00E644E0"/>
    <w:rsid w:val="00E646CD"/>
    <w:rsid w:val="00E646D8"/>
    <w:rsid w:val="00E64758"/>
    <w:rsid w:val="00E6489B"/>
    <w:rsid w:val="00E64D5A"/>
    <w:rsid w:val="00E64ECA"/>
    <w:rsid w:val="00E65097"/>
    <w:rsid w:val="00E650CC"/>
    <w:rsid w:val="00E650E6"/>
    <w:rsid w:val="00E653D1"/>
    <w:rsid w:val="00E654E5"/>
    <w:rsid w:val="00E65BC2"/>
    <w:rsid w:val="00E65E30"/>
    <w:rsid w:val="00E65EA6"/>
    <w:rsid w:val="00E6641B"/>
    <w:rsid w:val="00E66493"/>
    <w:rsid w:val="00E666C3"/>
    <w:rsid w:val="00E666EC"/>
    <w:rsid w:val="00E66A01"/>
    <w:rsid w:val="00E66AB0"/>
    <w:rsid w:val="00E66B75"/>
    <w:rsid w:val="00E66E34"/>
    <w:rsid w:val="00E67113"/>
    <w:rsid w:val="00E67167"/>
    <w:rsid w:val="00E67238"/>
    <w:rsid w:val="00E6755A"/>
    <w:rsid w:val="00E6787E"/>
    <w:rsid w:val="00E67B89"/>
    <w:rsid w:val="00E67B9F"/>
    <w:rsid w:val="00E67BAE"/>
    <w:rsid w:val="00E67DF3"/>
    <w:rsid w:val="00E67F53"/>
    <w:rsid w:val="00E67F91"/>
    <w:rsid w:val="00E70045"/>
    <w:rsid w:val="00E7047D"/>
    <w:rsid w:val="00E705CE"/>
    <w:rsid w:val="00E706B4"/>
    <w:rsid w:val="00E70979"/>
    <w:rsid w:val="00E709C0"/>
    <w:rsid w:val="00E70DFE"/>
    <w:rsid w:val="00E70E9F"/>
    <w:rsid w:val="00E7137F"/>
    <w:rsid w:val="00E714D9"/>
    <w:rsid w:val="00E715DC"/>
    <w:rsid w:val="00E71733"/>
    <w:rsid w:val="00E719A6"/>
    <w:rsid w:val="00E719E2"/>
    <w:rsid w:val="00E719F8"/>
    <w:rsid w:val="00E71B3D"/>
    <w:rsid w:val="00E71C23"/>
    <w:rsid w:val="00E71D4A"/>
    <w:rsid w:val="00E71E2A"/>
    <w:rsid w:val="00E71F3D"/>
    <w:rsid w:val="00E72065"/>
    <w:rsid w:val="00E722E8"/>
    <w:rsid w:val="00E72303"/>
    <w:rsid w:val="00E726CA"/>
    <w:rsid w:val="00E7279E"/>
    <w:rsid w:val="00E728C6"/>
    <w:rsid w:val="00E72971"/>
    <w:rsid w:val="00E72B80"/>
    <w:rsid w:val="00E73212"/>
    <w:rsid w:val="00E73223"/>
    <w:rsid w:val="00E73439"/>
    <w:rsid w:val="00E73A6D"/>
    <w:rsid w:val="00E73CDB"/>
    <w:rsid w:val="00E73D35"/>
    <w:rsid w:val="00E73DE5"/>
    <w:rsid w:val="00E740DA"/>
    <w:rsid w:val="00E74101"/>
    <w:rsid w:val="00E74182"/>
    <w:rsid w:val="00E7430D"/>
    <w:rsid w:val="00E744CD"/>
    <w:rsid w:val="00E7451D"/>
    <w:rsid w:val="00E749F0"/>
    <w:rsid w:val="00E74F9E"/>
    <w:rsid w:val="00E751D4"/>
    <w:rsid w:val="00E7533D"/>
    <w:rsid w:val="00E75921"/>
    <w:rsid w:val="00E763B5"/>
    <w:rsid w:val="00E765B0"/>
    <w:rsid w:val="00E76764"/>
    <w:rsid w:val="00E7685D"/>
    <w:rsid w:val="00E76CB6"/>
    <w:rsid w:val="00E76D76"/>
    <w:rsid w:val="00E7706B"/>
    <w:rsid w:val="00E771B2"/>
    <w:rsid w:val="00E77210"/>
    <w:rsid w:val="00E77302"/>
    <w:rsid w:val="00E7771F"/>
    <w:rsid w:val="00E77963"/>
    <w:rsid w:val="00E779A1"/>
    <w:rsid w:val="00E77A81"/>
    <w:rsid w:val="00E77B9A"/>
    <w:rsid w:val="00E77F47"/>
    <w:rsid w:val="00E80231"/>
    <w:rsid w:val="00E805C9"/>
    <w:rsid w:val="00E80BA4"/>
    <w:rsid w:val="00E80D82"/>
    <w:rsid w:val="00E80E1C"/>
    <w:rsid w:val="00E80F0F"/>
    <w:rsid w:val="00E810B0"/>
    <w:rsid w:val="00E810EE"/>
    <w:rsid w:val="00E81113"/>
    <w:rsid w:val="00E81249"/>
    <w:rsid w:val="00E81350"/>
    <w:rsid w:val="00E815D1"/>
    <w:rsid w:val="00E816E9"/>
    <w:rsid w:val="00E817A3"/>
    <w:rsid w:val="00E81C49"/>
    <w:rsid w:val="00E81D08"/>
    <w:rsid w:val="00E81DA1"/>
    <w:rsid w:val="00E82194"/>
    <w:rsid w:val="00E82229"/>
    <w:rsid w:val="00E822FE"/>
    <w:rsid w:val="00E82368"/>
    <w:rsid w:val="00E824FC"/>
    <w:rsid w:val="00E82554"/>
    <w:rsid w:val="00E82807"/>
    <w:rsid w:val="00E829F6"/>
    <w:rsid w:val="00E83475"/>
    <w:rsid w:val="00E83567"/>
    <w:rsid w:val="00E83716"/>
    <w:rsid w:val="00E83E31"/>
    <w:rsid w:val="00E843B8"/>
    <w:rsid w:val="00E8473D"/>
    <w:rsid w:val="00E84B4A"/>
    <w:rsid w:val="00E84CA2"/>
    <w:rsid w:val="00E85325"/>
    <w:rsid w:val="00E853A2"/>
    <w:rsid w:val="00E853C3"/>
    <w:rsid w:val="00E85AC4"/>
    <w:rsid w:val="00E85D17"/>
    <w:rsid w:val="00E85E95"/>
    <w:rsid w:val="00E85EC3"/>
    <w:rsid w:val="00E865E4"/>
    <w:rsid w:val="00E8660B"/>
    <w:rsid w:val="00E867C6"/>
    <w:rsid w:val="00E869A6"/>
    <w:rsid w:val="00E86A4E"/>
    <w:rsid w:val="00E86AA8"/>
    <w:rsid w:val="00E86AC7"/>
    <w:rsid w:val="00E86B10"/>
    <w:rsid w:val="00E86CBA"/>
    <w:rsid w:val="00E86D4D"/>
    <w:rsid w:val="00E86EB3"/>
    <w:rsid w:val="00E87136"/>
    <w:rsid w:val="00E873C0"/>
    <w:rsid w:val="00E87432"/>
    <w:rsid w:val="00E8797F"/>
    <w:rsid w:val="00E87C91"/>
    <w:rsid w:val="00E87D48"/>
    <w:rsid w:val="00E87D78"/>
    <w:rsid w:val="00E87D8A"/>
    <w:rsid w:val="00E9041F"/>
    <w:rsid w:val="00E90564"/>
    <w:rsid w:val="00E9077D"/>
    <w:rsid w:val="00E907B9"/>
    <w:rsid w:val="00E90857"/>
    <w:rsid w:val="00E9092C"/>
    <w:rsid w:val="00E90F6B"/>
    <w:rsid w:val="00E90FB4"/>
    <w:rsid w:val="00E912B2"/>
    <w:rsid w:val="00E915FC"/>
    <w:rsid w:val="00E91740"/>
    <w:rsid w:val="00E919FF"/>
    <w:rsid w:val="00E91A74"/>
    <w:rsid w:val="00E91C07"/>
    <w:rsid w:val="00E91C1D"/>
    <w:rsid w:val="00E91E5A"/>
    <w:rsid w:val="00E9228C"/>
    <w:rsid w:val="00E92459"/>
    <w:rsid w:val="00E9269F"/>
    <w:rsid w:val="00E927D4"/>
    <w:rsid w:val="00E92990"/>
    <w:rsid w:val="00E92C1E"/>
    <w:rsid w:val="00E92EEE"/>
    <w:rsid w:val="00E930DF"/>
    <w:rsid w:val="00E932F7"/>
    <w:rsid w:val="00E93376"/>
    <w:rsid w:val="00E9360C"/>
    <w:rsid w:val="00E937C4"/>
    <w:rsid w:val="00E9398F"/>
    <w:rsid w:val="00E93AF6"/>
    <w:rsid w:val="00E93D2A"/>
    <w:rsid w:val="00E93D55"/>
    <w:rsid w:val="00E93E74"/>
    <w:rsid w:val="00E94117"/>
    <w:rsid w:val="00E9415F"/>
    <w:rsid w:val="00E9419E"/>
    <w:rsid w:val="00E9431D"/>
    <w:rsid w:val="00E943B8"/>
    <w:rsid w:val="00E94477"/>
    <w:rsid w:val="00E9469D"/>
    <w:rsid w:val="00E947C1"/>
    <w:rsid w:val="00E948BD"/>
    <w:rsid w:val="00E94C20"/>
    <w:rsid w:val="00E94C7E"/>
    <w:rsid w:val="00E94C90"/>
    <w:rsid w:val="00E94E80"/>
    <w:rsid w:val="00E94F65"/>
    <w:rsid w:val="00E951F9"/>
    <w:rsid w:val="00E953ED"/>
    <w:rsid w:val="00E95456"/>
    <w:rsid w:val="00E95831"/>
    <w:rsid w:val="00E95948"/>
    <w:rsid w:val="00E95950"/>
    <w:rsid w:val="00E95B24"/>
    <w:rsid w:val="00E95BBC"/>
    <w:rsid w:val="00E95CD4"/>
    <w:rsid w:val="00E95DEF"/>
    <w:rsid w:val="00E95FEE"/>
    <w:rsid w:val="00E95FFB"/>
    <w:rsid w:val="00E96AC5"/>
    <w:rsid w:val="00E96DCE"/>
    <w:rsid w:val="00E96DDA"/>
    <w:rsid w:val="00E96EC9"/>
    <w:rsid w:val="00E96F1E"/>
    <w:rsid w:val="00E96F6F"/>
    <w:rsid w:val="00E9703B"/>
    <w:rsid w:val="00E979EA"/>
    <w:rsid w:val="00E97AC9"/>
    <w:rsid w:val="00E97C2E"/>
    <w:rsid w:val="00E97D8D"/>
    <w:rsid w:val="00EA030A"/>
    <w:rsid w:val="00EA03AD"/>
    <w:rsid w:val="00EA042B"/>
    <w:rsid w:val="00EA09D3"/>
    <w:rsid w:val="00EA0C79"/>
    <w:rsid w:val="00EA101E"/>
    <w:rsid w:val="00EA1040"/>
    <w:rsid w:val="00EA1207"/>
    <w:rsid w:val="00EA14B1"/>
    <w:rsid w:val="00EA14CF"/>
    <w:rsid w:val="00EA150E"/>
    <w:rsid w:val="00EA1585"/>
    <w:rsid w:val="00EA158C"/>
    <w:rsid w:val="00EA168C"/>
    <w:rsid w:val="00EA1ACB"/>
    <w:rsid w:val="00EA2090"/>
    <w:rsid w:val="00EA2280"/>
    <w:rsid w:val="00EA22AD"/>
    <w:rsid w:val="00EA2339"/>
    <w:rsid w:val="00EA2459"/>
    <w:rsid w:val="00EA27A1"/>
    <w:rsid w:val="00EA284F"/>
    <w:rsid w:val="00EA2C10"/>
    <w:rsid w:val="00EA2CC3"/>
    <w:rsid w:val="00EA2D18"/>
    <w:rsid w:val="00EA3008"/>
    <w:rsid w:val="00EA31A6"/>
    <w:rsid w:val="00EA33F4"/>
    <w:rsid w:val="00EA361C"/>
    <w:rsid w:val="00EA375F"/>
    <w:rsid w:val="00EA3885"/>
    <w:rsid w:val="00EA3ABA"/>
    <w:rsid w:val="00EA41FE"/>
    <w:rsid w:val="00EA42F5"/>
    <w:rsid w:val="00EA4348"/>
    <w:rsid w:val="00EA438B"/>
    <w:rsid w:val="00EA4659"/>
    <w:rsid w:val="00EA46E6"/>
    <w:rsid w:val="00EA4877"/>
    <w:rsid w:val="00EA48B4"/>
    <w:rsid w:val="00EA498A"/>
    <w:rsid w:val="00EA4A83"/>
    <w:rsid w:val="00EA4AA8"/>
    <w:rsid w:val="00EA4AAF"/>
    <w:rsid w:val="00EA4B90"/>
    <w:rsid w:val="00EA4F6C"/>
    <w:rsid w:val="00EA548D"/>
    <w:rsid w:val="00EA57DE"/>
    <w:rsid w:val="00EA581E"/>
    <w:rsid w:val="00EA58CB"/>
    <w:rsid w:val="00EA592E"/>
    <w:rsid w:val="00EA59D4"/>
    <w:rsid w:val="00EA5AC5"/>
    <w:rsid w:val="00EA5E51"/>
    <w:rsid w:val="00EA5FC3"/>
    <w:rsid w:val="00EA6091"/>
    <w:rsid w:val="00EA6181"/>
    <w:rsid w:val="00EA649C"/>
    <w:rsid w:val="00EA6509"/>
    <w:rsid w:val="00EA65C6"/>
    <w:rsid w:val="00EA6944"/>
    <w:rsid w:val="00EA6B8B"/>
    <w:rsid w:val="00EA7630"/>
    <w:rsid w:val="00EA78AE"/>
    <w:rsid w:val="00EA79FC"/>
    <w:rsid w:val="00EA7AF1"/>
    <w:rsid w:val="00EA7FA3"/>
    <w:rsid w:val="00EB018A"/>
    <w:rsid w:val="00EB03B9"/>
    <w:rsid w:val="00EB0699"/>
    <w:rsid w:val="00EB06DB"/>
    <w:rsid w:val="00EB077E"/>
    <w:rsid w:val="00EB080E"/>
    <w:rsid w:val="00EB0A31"/>
    <w:rsid w:val="00EB0CB7"/>
    <w:rsid w:val="00EB0E13"/>
    <w:rsid w:val="00EB0E60"/>
    <w:rsid w:val="00EB1071"/>
    <w:rsid w:val="00EB1106"/>
    <w:rsid w:val="00EB1288"/>
    <w:rsid w:val="00EB13DA"/>
    <w:rsid w:val="00EB16F1"/>
    <w:rsid w:val="00EB1AEA"/>
    <w:rsid w:val="00EB1B97"/>
    <w:rsid w:val="00EB1E60"/>
    <w:rsid w:val="00EB202E"/>
    <w:rsid w:val="00EB209E"/>
    <w:rsid w:val="00EB20A5"/>
    <w:rsid w:val="00EB2180"/>
    <w:rsid w:val="00EB218A"/>
    <w:rsid w:val="00EB21E7"/>
    <w:rsid w:val="00EB233D"/>
    <w:rsid w:val="00EB234C"/>
    <w:rsid w:val="00EB247B"/>
    <w:rsid w:val="00EB2663"/>
    <w:rsid w:val="00EB267E"/>
    <w:rsid w:val="00EB26DE"/>
    <w:rsid w:val="00EB2B50"/>
    <w:rsid w:val="00EB2B7C"/>
    <w:rsid w:val="00EB308C"/>
    <w:rsid w:val="00EB34CC"/>
    <w:rsid w:val="00EB3526"/>
    <w:rsid w:val="00EB35B7"/>
    <w:rsid w:val="00EB3C35"/>
    <w:rsid w:val="00EB3EF4"/>
    <w:rsid w:val="00EB3F99"/>
    <w:rsid w:val="00EB3FD1"/>
    <w:rsid w:val="00EB414C"/>
    <w:rsid w:val="00EB4181"/>
    <w:rsid w:val="00EB428B"/>
    <w:rsid w:val="00EB475D"/>
    <w:rsid w:val="00EB48C2"/>
    <w:rsid w:val="00EB4B17"/>
    <w:rsid w:val="00EB4E4E"/>
    <w:rsid w:val="00EB4EA5"/>
    <w:rsid w:val="00EB5134"/>
    <w:rsid w:val="00EB51BD"/>
    <w:rsid w:val="00EB51CF"/>
    <w:rsid w:val="00EB5299"/>
    <w:rsid w:val="00EB52A3"/>
    <w:rsid w:val="00EB5395"/>
    <w:rsid w:val="00EB551F"/>
    <w:rsid w:val="00EB5844"/>
    <w:rsid w:val="00EB58CF"/>
    <w:rsid w:val="00EB5989"/>
    <w:rsid w:val="00EB5CD1"/>
    <w:rsid w:val="00EB5DF0"/>
    <w:rsid w:val="00EB5F2B"/>
    <w:rsid w:val="00EB6049"/>
    <w:rsid w:val="00EB61B3"/>
    <w:rsid w:val="00EB6608"/>
    <w:rsid w:val="00EB6C6D"/>
    <w:rsid w:val="00EB71A2"/>
    <w:rsid w:val="00EB77AA"/>
    <w:rsid w:val="00EB79B9"/>
    <w:rsid w:val="00EB7A70"/>
    <w:rsid w:val="00EB7C99"/>
    <w:rsid w:val="00EB7D4A"/>
    <w:rsid w:val="00EB7D4C"/>
    <w:rsid w:val="00EB7E2A"/>
    <w:rsid w:val="00EC0068"/>
    <w:rsid w:val="00EC007E"/>
    <w:rsid w:val="00EC01E4"/>
    <w:rsid w:val="00EC0227"/>
    <w:rsid w:val="00EC0738"/>
    <w:rsid w:val="00EC097B"/>
    <w:rsid w:val="00EC09F3"/>
    <w:rsid w:val="00EC10E4"/>
    <w:rsid w:val="00EC1222"/>
    <w:rsid w:val="00EC1897"/>
    <w:rsid w:val="00EC18E3"/>
    <w:rsid w:val="00EC1A8D"/>
    <w:rsid w:val="00EC1D6A"/>
    <w:rsid w:val="00EC21C4"/>
    <w:rsid w:val="00EC238C"/>
    <w:rsid w:val="00EC25AD"/>
    <w:rsid w:val="00EC2934"/>
    <w:rsid w:val="00EC2AFD"/>
    <w:rsid w:val="00EC2B93"/>
    <w:rsid w:val="00EC2C3D"/>
    <w:rsid w:val="00EC2CBA"/>
    <w:rsid w:val="00EC2CEA"/>
    <w:rsid w:val="00EC3459"/>
    <w:rsid w:val="00EC34C6"/>
    <w:rsid w:val="00EC35B4"/>
    <w:rsid w:val="00EC3679"/>
    <w:rsid w:val="00EC3792"/>
    <w:rsid w:val="00EC37F0"/>
    <w:rsid w:val="00EC3B32"/>
    <w:rsid w:val="00EC3B96"/>
    <w:rsid w:val="00EC430C"/>
    <w:rsid w:val="00EC432C"/>
    <w:rsid w:val="00EC4371"/>
    <w:rsid w:val="00EC4829"/>
    <w:rsid w:val="00EC5267"/>
    <w:rsid w:val="00EC54CF"/>
    <w:rsid w:val="00EC55CF"/>
    <w:rsid w:val="00EC57BE"/>
    <w:rsid w:val="00EC585A"/>
    <w:rsid w:val="00EC589C"/>
    <w:rsid w:val="00EC59A9"/>
    <w:rsid w:val="00EC5E9C"/>
    <w:rsid w:val="00EC5F24"/>
    <w:rsid w:val="00EC6037"/>
    <w:rsid w:val="00EC6613"/>
    <w:rsid w:val="00EC6668"/>
    <w:rsid w:val="00EC675A"/>
    <w:rsid w:val="00EC6927"/>
    <w:rsid w:val="00EC6AC8"/>
    <w:rsid w:val="00EC6CC9"/>
    <w:rsid w:val="00EC6D8D"/>
    <w:rsid w:val="00EC6F5A"/>
    <w:rsid w:val="00EC6F72"/>
    <w:rsid w:val="00EC7790"/>
    <w:rsid w:val="00EC79CB"/>
    <w:rsid w:val="00EC7D42"/>
    <w:rsid w:val="00EC7E76"/>
    <w:rsid w:val="00ED0076"/>
    <w:rsid w:val="00ED0108"/>
    <w:rsid w:val="00ED0123"/>
    <w:rsid w:val="00ED0283"/>
    <w:rsid w:val="00ED0292"/>
    <w:rsid w:val="00ED02F2"/>
    <w:rsid w:val="00ED044A"/>
    <w:rsid w:val="00ED045D"/>
    <w:rsid w:val="00ED0810"/>
    <w:rsid w:val="00ED0A61"/>
    <w:rsid w:val="00ED0B5A"/>
    <w:rsid w:val="00ED0B9D"/>
    <w:rsid w:val="00ED0F21"/>
    <w:rsid w:val="00ED10D6"/>
    <w:rsid w:val="00ED11CD"/>
    <w:rsid w:val="00ED1248"/>
    <w:rsid w:val="00ED132E"/>
    <w:rsid w:val="00ED1358"/>
    <w:rsid w:val="00ED135F"/>
    <w:rsid w:val="00ED1431"/>
    <w:rsid w:val="00ED1582"/>
    <w:rsid w:val="00ED158E"/>
    <w:rsid w:val="00ED1A4C"/>
    <w:rsid w:val="00ED1D8F"/>
    <w:rsid w:val="00ED1E37"/>
    <w:rsid w:val="00ED20EE"/>
    <w:rsid w:val="00ED22F8"/>
    <w:rsid w:val="00ED2670"/>
    <w:rsid w:val="00ED26B6"/>
    <w:rsid w:val="00ED2A13"/>
    <w:rsid w:val="00ED2B6D"/>
    <w:rsid w:val="00ED3030"/>
    <w:rsid w:val="00ED30F8"/>
    <w:rsid w:val="00ED3117"/>
    <w:rsid w:val="00ED3319"/>
    <w:rsid w:val="00ED33B0"/>
    <w:rsid w:val="00ED358C"/>
    <w:rsid w:val="00ED38B5"/>
    <w:rsid w:val="00ED39D2"/>
    <w:rsid w:val="00ED3A07"/>
    <w:rsid w:val="00ED3A98"/>
    <w:rsid w:val="00ED3C99"/>
    <w:rsid w:val="00ED3C9B"/>
    <w:rsid w:val="00ED3E37"/>
    <w:rsid w:val="00ED4060"/>
    <w:rsid w:val="00ED429C"/>
    <w:rsid w:val="00ED4959"/>
    <w:rsid w:val="00ED4A44"/>
    <w:rsid w:val="00ED4AED"/>
    <w:rsid w:val="00ED4BF1"/>
    <w:rsid w:val="00ED518B"/>
    <w:rsid w:val="00ED55FB"/>
    <w:rsid w:val="00ED55FD"/>
    <w:rsid w:val="00ED56F4"/>
    <w:rsid w:val="00ED5ACA"/>
    <w:rsid w:val="00ED5C45"/>
    <w:rsid w:val="00ED5C68"/>
    <w:rsid w:val="00ED5F70"/>
    <w:rsid w:val="00ED627E"/>
    <w:rsid w:val="00ED6333"/>
    <w:rsid w:val="00ED6467"/>
    <w:rsid w:val="00ED68E8"/>
    <w:rsid w:val="00ED6AC7"/>
    <w:rsid w:val="00ED6B26"/>
    <w:rsid w:val="00ED6B6C"/>
    <w:rsid w:val="00ED6B9D"/>
    <w:rsid w:val="00ED6F7D"/>
    <w:rsid w:val="00ED7034"/>
    <w:rsid w:val="00ED7052"/>
    <w:rsid w:val="00ED7097"/>
    <w:rsid w:val="00ED71A6"/>
    <w:rsid w:val="00ED795B"/>
    <w:rsid w:val="00ED7C12"/>
    <w:rsid w:val="00ED7C24"/>
    <w:rsid w:val="00ED7C32"/>
    <w:rsid w:val="00ED7D16"/>
    <w:rsid w:val="00ED7E41"/>
    <w:rsid w:val="00ED7FEF"/>
    <w:rsid w:val="00EE009D"/>
    <w:rsid w:val="00EE0115"/>
    <w:rsid w:val="00EE02F5"/>
    <w:rsid w:val="00EE036D"/>
    <w:rsid w:val="00EE067F"/>
    <w:rsid w:val="00EE0734"/>
    <w:rsid w:val="00EE0AA2"/>
    <w:rsid w:val="00EE0DCE"/>
    <w:rsid w:val="00EE0F05"/>
    <w:rsid w:val="00EE10F3"/>
    <w:rsid w:val="00EE11CE"/>
    <w:rsid w:val="00EE16D4"/>
    <w:rsid w:val="00EE173C"/>
    <w:rsid w:val="00EE190B"/>
    <w:rsid w:val="00EE19CC"/>
    <w:rsid w:val="00EE19EE"/>
    <w:rsid w:val="00EE1A54"/>
    <w:rsid w:val="00EE1A69"/>
    <w:rsid w:val="00EE231F"/>
    <w:rsid w:val="00EE23C8"/>
    <w:rsid w:val="00EE272A"/>
    <w:rsid w:val="00EE277F"/>
    <w:rsid w:val="00EE298A"/>
    <w:rsid w:val="00EE2C87"/>
    <w:rsid w:val="00EE2FF9"/>
    <w:rsid w:val="00EE30F9"/>
    <w:rsid w:val="00EE31CC"/>
    <w:rsid w:val="00EE345B"/>
    <w:rsid w:val="00EE349F"/>
    <w:rsid w:val="00EE3667"/>
    <w:rsid w:val="00EE37BC"/>
    <w:rsid w:val="00EE393C"/>
    <w:rsid w:val="00EE3A50"/>
    <w:rsid w:val="00EE3AE0"/>
    <w:rsid w:val="00EE3B9A"/>
    <w:rsid w:val="00EE3DDD"/>
    <w:rsid w:val="00EE3E25"/>
    <w:rsid w:val="00EE405E"/>
    <w:rsid w:val="00EE4165"/>
    <w:rsid w:val="00EE420D"/>
    <w:rsid w:val="00EE43E1"/>
    <w:rsid w:val="00EE4630"/>
    <w:rsid w:val="00EE4986"/>
    <w:rsid w:val="00EE4A7D"/>
    <w:rsid w:val="00EE4C8A"/>
    <w:rsid w:val="00EE5069"/>
    <w:rsid w:val="00EE5441"/>
    <w:rsid w:val="00EE5731"/>
    <w:rsid w:val="00EE57EB"/>
    <w:rsid w:val="00EE58AB"/>
    <w:rsid w:val="00EE5A0C"/>
    <w:rsid w:val="00EE5BF7"/>
    <w:rsid w:val="00EE60C6"/>
    <w:rsid w:val="00EE6194"/>
    <w:rsid w:val="00EE61A2"/>
    <w:rsid w:val="00EE633A"/>
    <w:rsid w:val="00EE641A"/>
    <w:rsid w:val="00EE6518"/>
    <w:rsid w:val="00EE6656"/>
    <w:rsid w:val="00EE6A43"/>
    <w:rsid w:val="00EE6B23"/>
    <w:rsid w:val="00EE6D4A"/>
    <w:rsid w:val="00EE6DCC"/>
    <w:rsid w:val="00EE6DE6"/>
    <w:rsid w:val="00EE6ED7"/>
    <w:rsid w:val="00EE6FFA"/>
    <w:rsid w:val="00EE7069"/>
    <w:rsid w:val="00EE70E7"/>
    <w:rsid w:val="00EE7933"/>
    <w:rsid w:val="00EE7B51"/>
    <w:rsid w:val="00EE7FDE"/>
    <w:rsid w:val="00EF0511"/>
    <w:rsid w:val="00EF0576"/>
    <w:rsid w:val="00EF06AF"/>
    <w:rsid w:val="00EF0925"/>
    <w:rsid w:val="00EF12C4"/>
    <w:rsid w:val="00EF136B"/>
    <w:rsid w:val="00EF19A8"/>
    <w:rsid w:val="00EF1A57"/>
    <w:rsid w:val="00EF1CC4"/>
    <w:rsid w:val="00EF1E77"/>
    <w:rsid w:val="00EF1F50"/>
    <w:rsid w:val="00EF20F3"/>
    <w:rsid w:val="00EF2174"/>
    <w:rsid w:val="00EF21D8"/>
    <w:rsid w:val="00EF25DE"/>
    <w:rsid w:val="00EF26CC"/>
    <w:rsid w:val="00EF286B"/>
    <w:rsid w:val="00EF2D3B"/>
    <w:rsid w:val="00EF2D71"/>
    <w:rsid w:val="00EF3090"/>
    <w:rsid w:val="00EF325F"/>
    <w:rsid w:val="00EF3364"/>
    <w:rsid w:val="00EF3395"/>
    <w:rsid w:val="00EF340A"/>
    <w:rsid w:val="00EF3489"/>
    <w:rsid w:val="00EF3652"/>
    <w:rsid w:val="00EF3AAE"/>
    <w:rsid w:val="00EF3ADB"/>
    <w:rsid w:val="00EF3B84"/>
    <w:rsid w:val="00EF3B8D"/>
    <w:rsid w:val="00EF4086"/>
    <w:rsid w:val="00EF4391"/>
    <w:rsid w:val="00EF44FD"/>
    <w:rsid w:val="00EF48D4"/>
    <w:rsid w:val="00EF4AE6"/>
    <w:rsid w:val="00EF4EE7"/>
    <w:rsid w:val="00EF4FA0"/>
    <w:rsid w:val="00EF5185"/>
    <w:rsid w:val="00EF5717"/>
    <w:rsid w:val="00EF5921"/>
    <w:rsid w:val="00EF5957"/>
    <w:rsid w:val="00EF5D08"/>
    <w:rsid w:val="00EF5DAD"/>
    <w:rsid w:val="00EF5F54"/>
    <w:rsid w:val="00EF651F"/>
    <w:rsid w:val="00EF6789"/>
    <w:rsid w:val="00EF68FE"/>
    <w:rsid w:val="00EF6A18"/>
    <w:rsid w:val="00EF6AF4"/>
    <w:rsid w:val="00EF6C24"/>
    <w:rsid w:val="00EF6C2B"/>
    <w:rsid w:val="00EF6C8F"/>
    <w:rsid w:val="00EF6D30"/>
    <w:rsid w:val="00EF6EBE"/>
    <w:rsid w:val="00EF7243"/>
    <w:rsid w:val="00EF74AD"/>
    <w:rsid w:val="00EF762B"/>
    <w:rsid w:val="00EF7900"/>
    <w:rsid w:val="00EF7D1B"/>
    <w:rsid w:val="00EF7E1D"/>
    <w:rsid w:val="00F003EB"/>
    <w:rsid w:val="00F0042E"/>
    <w:rsid w:val="00F0047D"/>
    <w:rsid w:val="00F00917"/>
    <w:rsid w:val="00F00B5D"/>
    <w:rsid w:val="00F00B73"/>
    <w:rsid w:val="00F00C8D"/>
    <w:rsid w:val="00F00E5C"/>
    <w:rsid w:val="00F01045"/>
    <w:rsid w:val="00F01129"/>
    <w:rsid w:val="00F0138D"/>
    <w:rsid w:val="00F01530"/>
    <w:rsid w:val="00F015D4"/>
    <w:rsid w:val="00F01A90"/>
    <w:rsid w:val="00F01FD9"/>
    <w:rsid w:val="00F0232D"/>
    <w:rsid w:val="00F02399"/>
    <w:rsid w:val="00F025C0"/>
    <w:rsid w:val="00F02730"/>
    <w:rsid w:val="00F02B37"/>
    <w:rsid w:val="00F02C1E"/>
    <w:rsid w:val="00F02E7D"/>
    <w:rsid w:val="00F032D4"/>
    <w:rsid w:val="00F035EC"/>
    <w:rsid w:val="00F035F7"/>
    <w:rsid w:val="00F037C3"/>
    <w:rsid w:val="00F03AFD"/>
    <w:rsid w:val="00F03B8A"/>
    <w:rsid w:val="00F04225"/>
    <w:rsid w:val="00F044DF"/>
    <w:rsid w:val="00F0457D"/>
    <w:rsid w:val="00F045B9"/>
    <w:rsid w:val="00F04682"/>
    <w:rsid w:val="00F04AE8"/>
    <w:rsid w:val="00F04B4C"/>
    <w:rsid w:val="00F04BCE"/>
    <w:rsid w:val="00F04D00"/>
    <w:rsid w:val="00F0507D"/>
    <w:rsid w:val="00F057C3"/>
    <w:rsid w:val="00F05A0A"/>
    <w:rsid w:val="00F06107"/>
    <w:rsid w:val="00F0645B"/>
    <w:rsid w:val="00F06547"/>
    <w:rsid w:val="00F068E4"/>
    <w:rsid w:val="00F06981"/>
    <w:rsid w:val="00F06A0F"/>
    <w:rsid w:val="00F06A95"/>
    <w:rsid w:val="00F06AD2"/>
    <w:rsid w:val="00F06B92"/>
    <w:rsid w:val="00F06C79"/>
    <w:rsid w:val="00F06CEB"/>
    <w:rsid w:val="00F06EF9"/>
    <w:rsid w:val="00F072FF"/>
    <w:rsid w:val="00F0752F"/>
    <w:rsid w:val="00F075C5"/>
    <w:rsid w:val="00F076D7"/>
    <w:rsid w:val="00F078AE"/>
    <w:rsid w:val="00F07965"/>
    <w:rsid w:val="00F07A47"/>
    <w:rsid w:val="00F07AC0"/>
    <w:rsid w:val="00F07C53"/>
    <w:rsid w:val="00F07D2D"/>
    <w:rsid w:val="00F07EDF"/>
    <w:rsid w:val="00F07FDD"/>
    <w:rsid w:val="00F100CC"/>
    <w:rsid w:val="00F10134"/>
    <w:rsid w:val="00F104CE"/>
    <w:rsid w:val="00F10795"/>
    <w:rsid w:val="00F1092F"/>
    <w:rsid w:val="00F109D4"/>
    <w:rsid w:val="00F10A98"/>
    <w:rsid w:val="00F10CD6"/>
    <w:rsid w:val="00F10D06"/>
    <w:rsid w:val="00F10D2B"/>
    <w:rsid w:val="00F10D67"/>
    <w:rsid w:val="00F10E7A"/>
    <w:rsid w:val="00F11044"/>
    <w:rsid w:val="00F111F6"/>
    <w:rsid w:val="00F112A4"/>
    <w:rsid w:val="00F11309"/>
    <w:rsid w:val="00F113C6"/>
    <w:rsid w:val="00F115FD"/>
    <w:rsid w:val="00F11638"/>
    <w:rsid w:val="00F117B2"/>
    <w:rsid w:val="00F11FFC"/>
    <w:rsid w:val="00F12075"/>
    <w:rsid w:val="00F122B7"/>
    <w:rsid w:val="00F1251F"/>
    <w:rsid w:val="00F12B70"/>
    <w:rsid w:val="00F12BB1"/>
    <w:rsid w:val="00F12C09"/>
    <w:rsid w:val="00F12EFB"/>
    <w:rsid w:val="00F1305E"/>
    <w:rsid w:val="00F1314B"/>
    <w:rsid w:val="00F13155"/>
    <w:rsid w:val="00F136FB"/>
    <w:rsid w:val="00F13751"/>
    <w:rsid w:val="00F13AD7"/>
    <w:rsid w:val="00F13C12"/>
    <w:rsid w:val="00F13EF6"/>
    <w:rsid w:val="00F14050"/>
    <w:rsid w:val="00F144BA"/>
    <w:rsid w:val="00F1481A"/>
    <w:rsid w:val="00F14C99"/>
    <w:rsid w:val="00F14FBD"/>
    <w:rsid w:val="00F1518C"/>
    <w:rsid w:val="00F1528D"/>
    <w:rsid w:val="00F154A9"/>
    <w:rsid w:val="00F1565D"/>
    <w:rsid w:val="00F1566D"/>
    <w:rsid w:val="00F157CC"/>
    <w:rsid w:val="00F1588A"/>
    <w:rsid w:val="00F15AB9"/>
    <w:rsid w:val="00F15EA9"/>
    <w:rsid w:val="00F15EAA"/>
    <w:rsid w:val="00F15F5C"/>
    <w:rsid w:val="00F16205"/>
    <w:rsid w:val="00F162F9"/>
    <w:rsid w:val="00F16319"/>
    <w:rsid w:val="00F163B9"/>
    <w:rsid w:val="00F163C8"/>
    <w:rsid w:val="00F1652A"/>
    <w:rsid w:val="00F1659E"/>
    <w:rsid w:val="00F16608"/>
    <w:rsid w:val="00F167C0"/>
    <w:rsid w:val="00F168A9"/>
    <w:rsid w:val="00F168E1"/>
    <w:rsid w:val="00F16D66"/>
    <w:rsid w:val="00F16D7E"/>
    <w:rsid w:val="00F17145"/>
    <w:rsid w:val="00F17520"/>
    <w:rsid w:val="00F17523"/>
    <w:rsid w:val="00F17638"/>
    <w:rsid w:val="00F17802"/>
    <w:rsid w:val="00F17AFA"/>
    <w:rsid w:val="00F200E4"/>
    <w:rsid w:val="00F2028B"/>
    <w:rsid w:val="00F202D5"/>
    <w:rsid w:val="00F2033C"/>
    <w:rsid w:val="00F20728"/>
    <w:rsid w:val="00F2093F"/>
    <w:rsid w:val="00F20994"/>
    <w:rsid w:val="00F20E33"/>
    <w:rsid w:val="00F20EBA"/>
    <w:rsid w:val="00F20ECF"/>
    <w:rsid w:val="00F21334"/>
    <w:rsid w:val="00F216E5"/>
    <w:rsid w:val="00F21792"/>
    <w:rsid w:val="00F217CB"/>
    <w:rsid w:val="00F2189D"/>
    <w:rsid w:val="00F21B06"/>
    <w:rsid w:val="00F21EB8"/>
    <w:rsid w:val="00F22428"/>
    <w:rsid w:val="00F22724"/>
    <w:rsid w:val="00F229C7"/>
    <w:rsid w:val="00F22A3C"/>
    <w:rsid w:val="00F22A5E"/>
    <w:rsid w:val="00F22EAC"/>
    <w:rsid w:val="00F22F0B"/>
    <w:rsid w:val="00F22F0F"/>
    <w:rsid w:val="00F22F5A"/>
    <w:rsid w:val="00F23258"/>
    <w:rsid w:val="00F23264"/>
    <w:rsid w:val="00F23266"/>
    <w:rsid w:val="00F232B2"/>
    <w:rsid w:val="00F23337"/>
    <w:rsid w:val="00F234E5"/>
    <w:rsid w:val="00F23618"/>
    <w:rsid w:val="00F236E9"/>
    <w:rsid w:val="00F2375C"/>
    <w:rsid w:val="00F237E8"/>
    <w:rsid w:val="00F238A2"/>
    <w:rsid w:val="00F23968"/>
    <w:rsid w:val="00F23C9A"/>
    <w:rsid w:val="00F23DEA"/>
    <w:rsid w:val="00F23ED5"/>
    <w:rsid w:val="00F24238"/>
    <w:rsid w:val="00F244EA"/>
    <w:rsid w:val="00F246E8"/>
    <w:rsid w:val="00F248A3"/>
    <w:rsid w:val="00F24B1B"/>
    <w:rsid w:val="00F24B39"/>
    <w:rsid w:val="00F24B65"/>
    <w:rsid w:val="00F24BDE"/>
    <w:rsid w:val="00F24D2B"/>
    <w:rsid w:val="00F253D9"/>
    <w:rsid w:val="00F255B1"/>
    <w:rsid w:val="00F25690"/>
    <w:rsid w:val="00F25716"/>
    <w:rsid w:val="00F25782"/>
    <w:rsid w:val="00F25A7B"/>
    <w:rsid w:val="00F25C16"/>
    <w:rsid w:val="00F26855"/>
    <w:rsid w:val="00F2690F"/>
    <w:rsid w:val="00F26BA2"/>
    <w:rsid w:val="00F26CD3"/>
    <w:rsid w:val="00F2712B"/>
    <w:rsid w:val="00F272EE"/>
    <w:rsid w:val="00F2747E"/>
    <w:rsid w:val="00F27525"/>
    <w:rsid w:val="00F27528"/>
    <w:rsid w:val="00F2754C"/>
    <w:rsid w:val="00F27633"/>
    <w:rsid w:val="00F27640"/>
    <w:rsid w:val="00F278CB"/>
    <w:rsid w:val="00F27A6F"/>
    <w:rsid w:val="00F27BDD"/>
    <w:rsid w:val="00F302EB"/>
    <w:rsid w:val="00F305EF"/>
    <w:rsid w:val="00F3060C"/>
    <w:rsid w:val="00F30774"/>
    <w:rsid w:val="00F3081C"/>
    <w:rsid w:val="00F30DC1"/>
    <w:rsid w:val="00F30F86"/>
    <w:rsid w:val="00F30FEF"/>
    <w:rsid w:val="00F310E3"/>
    <w:rsid w:val="00F31137"/>
    <w:rsid w:val="00F31200"/>
    <w:rsid w:val="00F312D3"/>
    <w:rsid w:val="00F3150F"/>
    <w:rsid w:val="00F316F1"/>
    <w:rsid w:val="00F31D45"/>
    <w:rsid w:val="00F31DBB"/>
    <w:rsid w:val="00F31F23"/>
    <w:rsid w:val="00F32137"/>
    <w:rsid w:val="00F322F5"/>
    <w:rsid w:val="00F32A2B"/>
    <w:rsid w:val="00F32B4E"/>
    <w:rsid w:val="00F32E1B"/>
    <w:rsid w:val="00F32F02"/>
    <w:rsid w:val="00F32F94"/>
    <w:rsid w:val="00F331F3"/>
    <w:rsid w:val="00F33644"/>
    <w:rsid w:val="00F33C0F"/>
    <w:rsid w:val="00F33EE6"/>
    <w:rsid w:val="00F33FB8"/>
    <w:rsid w:val="00F33FE6"/>
    <w:rsid w:val="00F34031"/>
    <w:rsid w:val="00F341D4"/>
    <w:rsid w:val="00F342DB"/>
    <w:rsid w:val="00F345D2"/>
    <w:rsid w:val="00F345DD"/>
    <w:rsid w:val="00F34680"/>
    <w:rsid w:val="00F34829"/>
    <w:rsid w:val="00F34B0F"/>
    <w:rsid w:val="00F34DD9"/>
    <w:rsid w:val="00F34EA6"/>
    <w:rsid w:val="00F34FC2"/>
    <w:rsid w:val="00F3509E"/>
    <w:rsid w:val="00F35181"/>
    <w:rsid w:val="00F35199"/>
    <w:rsid w:val="00F35369"/>
    <w:rsid w:val="00F353D1"/>
    <w:rsid w:val="00F35835"/>
    <w:rsid w:val="00F36143"/>
    <w:rsid w:val="00F36551"/>
    <w:rsid w:val="00F36941"/>
    <w:rsid w:val="00F36ABF"/>
    <w:rsid w:val="00F36F6B"/>
    <w:rsid w:val="00F3713E"/>
    <w:rsid w:val="00F37147"/>
    <w:rsid w:val="00F371C0"/>
    <w:rsid w:val="00F37383"/>
    <w:rsid w:val="00F37DA3"/>
    <w:rsid w:val="00F37FBA"/>
    <w:rsid w:val="00F40946"/>
    <w:rsid w:val="00F40CB0"/>
    <w:rsid w:val="00F40CCA"/>
    <w:rsid w:val="00F40D5C"/>
    <w:rsid w:val="00F40F1C"/>
    <w:rsid w:val="00F40FEC"/>
    <w:rsid w:val="00F4102E"/>
    <w:rsid w:val="00F41B2E"/>
    <w:rsid w:val="00F41C43"/>
    <w:rsid w:val="00F42260"/>
    <w:rsid w:val="00F422E9"/>
    <w:rsid w:val="00F4272D"/>
    <w:rsid w:val="00F427BE"/>
    <w:rsid w:val="00F42AA0"/>
    <w:rsid w:val="00F42B20"/>
    <w:rsid w:val="00F42C04"/>
    <w:rsid w:val="00F42C4D"/>
    <w:rsid w:val="00F42DE9"/>
    <w:rsid w:val="00F42F48"/>
    <w:rsid w:val="00F4325B"/>
    <w:rsid w:val="00F43717"/>
    <w:rsid w:val="00F43B6F"/>
    <w:rsid w:val="00F43F2D"/>
    <w:rsid w:val="00F44326"/>
    <w:rsid w:val="00F4450C"/>
    <w:rsid w:val="00F44593"/>
    <w:rsid w:val="00F445E4"/>
    <w:rsid w:val="00F44661"/>
    <w:rsid w:val="00F448EC"/>
    <w:rsid w:val="00F44BCD"/>
    <w:rsid w:val="00F44C51"/>
    <w:rsid w:val="00F44DF7"/>
    <w:rsid w:val="00F44F7F"/>
    <w:rsid w:val="00F4516B"/>
    <w:rsid w:val="00F453CC"/>
    <w:rsid w:val="00F459A8"/>
    <w:rsid w:val="00F45B9D"/>
    <w:rsid w:val="00F45D1D"/>
    <w:rsid w:val="00F4613F"/>
    <w:rsid w:val="00F4653C"/>
    <w:rsid w:val="00F4687F"/>
    <w:rsid w:val="00F468A4"/>
    <w:rsid w:val="00F46969"/>
    <w:rsid w:val="00F46A5B"/>
    <w:rsid w:val="00F46C98"/>
    <w:rsid w:val="00F46DAE"/>
    <w:rsid w:val="00F46FF3"/>
    <w:rsid w:val="00F47144"/>
    <w:rsid w:val="00F473B5"/>
    <w:rsid w:val="00F477C8"/>
    <w:rsid w:val="00F47AD4"/>
    <w:rsid w:val="00F47B37"/>
    <w:rsid w:val="00F47B7E"/>
    <w:rsid w:val="00F47CBB"/>
    <w:rsid w:val="00F47D4F"/>
    <w:rsid w:val="00F47E60"/>
    <w:rsid w:val="00F47F38"/>
    <w:rsid w:val="00F5012B"/>
    <w:rsid w:val="00F50229"/>
    <w:rsid w:val="00F50450"/>
    <w:rsid w:val="00F50514"/>
    <w:rsid w:val="00F50562"/>
    <w:rsid w:val="00F506BC"/>
    <w:rsid w:val="00F506EF"/>
    <w:rsid w:val="00F50E3E"/>
    <w:rsid w:val="00F50FC8"/>
    <w:rsid w:val="00F510A6"/>
    <w:rsid w:val="00F511BB"/>
    <w:rsid w:val="00F51394"/>
    <w:rsid w:val="00F513AA"/>
    <w:rsid w:val="00F5140D"/>
    <w:rsid w:val="00F514F8"/>
    <w:rsid w:val="00F515FD"/>
    <w:rsid w:val="00F5172E"/>
    <w:rsid w:val="00F51988"/>
    <w:rsid w:val="00F51B35"/>
    <w:rsid w:val="00F51BF7"/>
    <w:rsid w:val="00F51D2B"/>
    <w:rsid w:val="00F51D91"/>
    <w:rsid w:val="00F51DF7"/>
    <w:rsid w:val="00F51FF4"/>
    <w:rsid w:val="00F520A8"/>
    <w:rsid w:val="00F5254E"/>
    <w:rsid w:val="00F5280A"/>
    <w:rsid w:val="00F5283D"/>
    <w:rsid w:val="00F52852"/>
    <w:rsid w:val="00F52C0C"/>
    <w:rsid w:val="00F52D82"/>
    <w:rsid w:val="00F52F29"/>
    <w:rsid w:val="00F531A8"/>
    <w:rsid w:val="00F532D0"/>
    <w:rsid w:val="00F53521"/>
    <w:rsid w:val="00F536A9"/>
    <w:rsid w:val="00F53751"/>
    <w:rsid w:val="00F5378D"/>
    <w:rsid w:val="00F53A52"/>
    <w:rsid w:val="00F53CA2"/>
    <w:rsid w:val="00F53D53"/>
    <w:rsid w:val="00F53D7D"/>
    <w:rsid w:val="00F53DAB"/>
    <w:rsid w:val="00F54261"/>
    <w:rsid w:val="00F54422"/>
    <w:rsid w:val="00F54515"/>
    <w:rsid w:val="00F54580"/>
    <w:rsid w:val="00F54D51"/>
    <w:rsid w:val="00F54F26"/>
    <w:rsid w:val="00F54F57"/>
    <w:rsid w:val="00F55264"/>
    <w:rsid w:val="00F55291"/>
    <w:rsid w:val="00F55343"/>
    <w:rsid w:val="00F555F2"/>
    <w:rsid w:val="00F55D53"/>
    <w:rsid w:val="00F55DD6"/>
    <w:rsid w:val="00F55EB8"/>
    <w:rsid w:val="00F56442"/>
    <w:rsid w:val="00F565A3"/>
    <w:rsid w:val="00F5661C"/>
    <w:rsid w:val="00F567A2"/>
    <w:rsid w:val="00F568D9"/>
    <w:rsid w:val="00F56953"/>
    <w:rsid w:val="00F56A79"/>
    <w:rsid w:val="00F56C8E"/>
    <w:rsid w:val="00F56D60"/>
    <w:rsid w:val="00F56F7A"/>
    <w:rsid w:val="00F56F98"/>
    <w:rsid w:val="00F5728D"/>
    <w:rsid w:val="00F57758"/>
    <w:rsid w:val="00F577E7"/>
    <w:rsid w:val="00F57A4A"/>
    <w:rsid w:val="00F57B87"/>
    <w:rsid w:val="00F60040"/>
    <w:rsid w:val="00F602D9"/>
    <w:rsid w:val="00F60645"/>
    <w:rsid w:val="00F606AD"/>
    <w:rsid w:val="00F607D0"/>
    <w:rsid w:val="00F60870"/>
    <w:rsid w:val="00F60B32"/>
    <w:rsid w:val="00F60E62"/>
    <w:rsid w:val="00F610D4"/>
    <w:rsid w:val="00F612DC"/>
    <w:rsid w:val="00F613FA"/>
    <w:rsid w:val="00F61417"/>
    <w:rsid w:val="00F6187E"/>
    <w:rsid w:val="00F61904"/>
    <w:rsid w:val="00F61A5A"/>
    <w:rsid w:val="00F61ADD"/>
    <w:rsid w:val="00F61C53"/>
    <w:rsid w:val="00F62299"/>
    <w:rsid w:val="00F6240E"/>
    <w:rsid w:val="00F6268D"/>
    <w:rsid w:val="00F627DD"/>
    <w:rsid w:val="00F629F1"/>
    <w:rsid w:val="00F62CAD"/>
    <w:rsid w:val="00F62EE8"/>
    <w:rsid w:val="00F630D8"/>
    <w:rsid w:val="00F6325B"/>
    <w:rsid w:val="00F63682"/>
    <w:rsid w:val="00F636EA"/>
    <w:rsid w:val="00F63762"/>
    <w:rsid w:val="00F63980"/>
    <w:rsid w:val="00F63B34"/>
    <w:rsid w:val="00F63CDE"/>
    <w:rsid w:val="00F63D94"/>
    <w:rsid w:val="00F63E9F"/>
    <w:rsid w:val="00F64284"/>
    <w:rsid w:val="00F64334"/>
    <w:rsid w:val="00F64349"/>
    <w:rsid w:val="00F64595"/>
    <w:rsid w:val="00F64828"/>
    <w:rsid w:val="00F64860"/>
    <w:rsid w:val="00F648B9"/>
    <w:rsid w:val="00F6490D"/>
    <w:rsid w:val="00F64E89"/>
    <w:rsid w:val="00F650D9"/>
    <w:rsid w:val="00F65111"/>
    <w:rsid w:val="00F65454"/>
    <w:rsid w:val="00F65852"/>
    <w:rsid w:val="00F65954"/>
    <w:rsid w:val="00F659C5"/>
    <w:rsid w:val="00F65E19"/>
    <w:rsid w:val="00F65F33"/>
    <w:rsid w:val="00F66A7C"/>
    <w:rsid w:val="00F66D5F"/>
    <w:rsid w:val="00F66F7C"/>
    <w:rsid w:val="00F6771E"/>
    <w:rsid w:val="00F6775D"/>
    <w:rsid w:val="00F678D8"/>
    <w:rsid w:val="00F67AE3"/>
    <w:rsid w:val="00F67D42"/>
    <w:rsid w:val="00F67D8C"/>
    <w:rsid w:val="00F67F31"/>
    <w:rsid w:val="00F70366"/>
    <w:rsid w:val="00F703A6"/>
    <w:rsid w:val="00F704C8"/>
    <w:rsid w:val="00F707E4"/>
    <w:rsid w:val="00F7089D"/>
    <w:rsid w:val="00F70D18"/>
    <w:rsid w:val="00F70D19"/>
    <w:rsid w:val="00F70D35"/>
    <w:rsid w:val="00F7159E"/>
    <w:rsid w:val="00F715BE"/>
    <w:rsid w:val="00F716C2"/>
    <w:rsid w:val="00F71796"/>
    <w:rsid w:val="00F71856"/>
    <w:rsid w:val="00F719F5"/>
    <w:rsid w:val="00F71D13"/>
    <w:rsid w:val="00F71F81"/>
    <w:rsid w:val="00F71FF1"/>
    <w:rsid w:val="00F7203F"/>
    <w:rsid w:val="00F7217E"/>
    <w:rsid w:val="00F723E4"/>
    <w:rsid w:val="00F7272E"/>
    <w:rsid w:val="00F72737"/>
    <w:rsid w:val="00F72747"/>
    <w:rsid w:val="00F72955"/>
    <w:rsid w:val="00F72AC1"/>
    <w:rsid w:val="00F72BAE"/>
    <w:rsid w:val="00F72DBF"/>
    <w:rsid w:val="00F72E38"/>
    <w:rsid w:val="00F7307A"/>
    <w:rsid w:val="00F73284"/>
    <w:rsid w:val="00F73376"/>
    <w:rsid w:val="00F733F6"/>
    <w:rsid w:val="00F73405"/>
    <w:rsid w:val="00F7361E"/>
    <w:rsid w:val="00F73A6A"/>
    <w:rsid w:val="00F73A7C"/>
    <w:rsid w:val="00F73CBE"/>
    <w:rsid w:val="00F73E6D"/>
    <w:rsid w:val="00F7403D"/>
    <w:rsid w:val="00F74056"/>
    <w:rsid w:val="00F740E3"/>
    <w:rsid w:val="00F741BF"/>
    <w:rsid w:val="00F741D0"/>
    <w:rsid w:val="00F74337"/>
    <w:rsid w:val="00F74358"/>
    <w:rsid w:val="00F7435C"/>
    <w:rsid w:val="00F743BC"/>
    <w:rsid w:val="00F74456"/>
    <w:rsid w:val="00F745B1"/>
    <w:rsid w:val="00F746B8"/>
    <w:rsid w:val="00F7492C"/>
    <w:rsid w:val="00F74B2B"/>
    <w:rsid w:val="00F74C31"/>
    <w:rsid w:val="00F74C66"/>
    <w:rsid w:val="00F74EC3"/>
    <w:rsid w:val="00F75004"/>
    <w:rsid w:val="00F7517D"/>
    <w:rsid w:val="00F75183"/>
    <w:rsid w:val="00F7530E"/>
    <w:rsid w:val="00F756C8"/>
    <w:rsid w:val="00F7579B"/>
    <w:rsid w:val="00F75C09"/>
    <w:rsid w:val="00F75F44"/>
    <w:rsid w:val="00F76102"/>
    <w:rsid w:val="00F761C8"/>
    <w:rsid w:val="00F7657F"/>
    <w:rsid w:val="00F76584"/>
    <w:rsid w:val="00F76A66"/>
    <w:rsid w:val="00F76C04"/>
    <w:rsid w:val="00F76F1B"/>
    <w:rsid w:val="00F771BB"/>
    <w:rsid w:val="00F77410"/>
    <w:rsid w:val="00F77489"/>
    <w:rsid w:val="00F7760D"/>
    <w:rsid w:val="00F778F1"/>
    <w:rsid w:val="00F77911"/>
    <w:rsid w:val="00F779C8"/>
    <w:rsid w:val="00F77AE6"/>
    <w:rsid w:val="00F77D5F"/>
    <w:rsid w:val="00F77DF3"/>
    <w:rsid w:val="00F77EA7"/>
    <w:rsid w:val="00F77EF7"/>
    <w:rsid w:val="00F80037"/>
    <w:rsid w:val="00F80334"/>
    <w:rsid w:val="00F8035A"/>
    <w:rsid w:val="00F80378"/>
    <w:rsid w:val="00F803AA"/>
    <w:rsid w:val="00F8041B"/>
    <w:rsid w:val="00F80463"/>
    <w:rsid w:val="00F80500"/>
    <w:rsid w:val="00F80AB7"/>
    <w:rsid w:val="00F80AFF"/>
    <w:rsid w:val="00F80C9E"/>
    <w:rsid w:val="00F80E91"/>
    <w:rsid w:val="00F8105C"/>
    <w:rsid w:val="00F8119D"/>
    <w:rsid w:val="00F81244"/>
    <w:rsid w:val="00F81430"/>
    <w:rsid w:val="00F8156C"/>
    <w:rsid w:val="00F815BD"/>
    <w:rsid w:val="00F817AF"/>
    <w:rsid w:val="00F8185A"/>
    <w:rsid w:val="00F818E7"/>
    <w:rsid w:val="00F81980"/>
    <w:rsid w:val="00F81D3F"/>
    <w:rsid w:val="00F81FDB"/>
    <w:rsid w:val="00F82309"/>
    <w:rsid w:val="00F8232A"/>
    <w:rsid w:val="00F826E2"/>
    <w:rsid w:val="00F827DA"/>
    <w:rsid w:val="00F82924"/>
    <w:rsid w:val="00F83138"/>
    <w:rsid w:val="00F833AE"/>
    <w:rsid w:val="00F833B4"/>
    <w:rsid w:val="00F833C3"/>
    <w:rsid w:val="00F834AE"/>
    <w:rsid w:val="00F83509"/>
    <w:rsid w:val="00F8354F"/>
    <w:rsid w:val="00F83629"/>
    <w:rsid w:val="00F83686"/>
    <w:rsid w:val="00F838C8"/>
    <w:rsid w:val="00F83958"/>
    <w:rsid w:val="00F83BEC"/>
    <w:rsid w:val="00F83C7B"/>
    <w:rsid w:val="00F83D19"/>
    <w:rsid w:val="00F841ED"/>
    <w:rsid w:val="00F84828"/>
    <w:rsid w:val="00F84897"/>
    <w:rsid w:val="00F84A32"/>
    <w:rsid w:val="00F84DDE"/>
    <w:rsid w:val="00F84F9E"/>
    <w:rsid w:val="00F85250"/>
    <w:rsid w:val="00F85337"/>
    <w:rsid w:val="00F853A3"/>
    <w:rsid w:val="00F853FE"/>
    <w:rsid w:val="00F855F0"/>
    <w:rsid w:val="00F8582F"/>
    <w:rsid w:val="00F858CB"/>
    <w:rsid w:val="00F85924"/>
    <w:rsid w:val="00F85F75"/>
    <w:rsid w:val="00F8607C"/>
    <w:rsid w:val="00F861D6"/>
    <w:rsid w:val="00F86327"/>
    <w:rsid w:val="00F8644E"/>
    <w:rsid w:val="00F864B8"/>
    <w:rsid w:val="00F8652F"/>
    <w:rsid w:val="00F868BC"/>
    <w:rsid w:val="00F86BF7"/>
    <w:rsid w:val="00F86EE3"/>
    <w:rsid w:val="00F86F4A"/>
    <w:rsid w:val="00F870AE"/>
    <w:rsid w:val="00F8728F"/>
    <w:rsid w:val="00F873D0"/>
    <w:rsid w:val="00F87743"/>
    <w:rsid w:val="00F877D6"/>
    <w:rsid w:val="00F87908"/>
    <w:rsid w:val="00F87924"/>
    <w:rsid w:val="00F8795E"/>
    <w:rsid w:val="00F87C89"/>
    <w:rsid w:val="00F9013E"/>
    <w:rsid w:val="00F90163"/>
    <w:rsid w:val="00F901A4"/>
    <w:rsid w:val="00F9048E"/>
    <w:rsid w:val="00F909D1"/>
    <w:rsid w:val="00F90B95"/>
    <w:rsid w:val="00F90C7A"/>
    <w:rsid w:val="00F90D9B"/>
    <w:rsid w:val="00F90DDD"/>
    <w:rsid w:val="00F90EE7"/>
    <w:rsid w:val="00F9113D"/>
    <w:rsid w:val="00F9119D"/>
    <w:rsid w:val="00F9138B"/>
    <w:rsid w:val="00F91C03"/>
    <w:rsid w:val="00F91D6E"/>
    <w:rsid w:val="00F91D74"/>
    <w:rsid w:val="00F91F0E"/>
    <w:rsid w:val="00F9259D"/>
    <w:rsid w:val="00F92828"/>
    <w:rsid w:val="00F92A41"/>
    <w:rsid w:val="00F92C11"/>
    <w:rsid w:val="00F92C4F"/>
    <w:rsid w:val="00F92D10"/>
    <w:rsid w:val="00F92D1A"/>
    <w:rsid w:val="00F92F17"/>
    <w:rsid w:val="00F93108"/>
    <w:rsid w:val="00F931D9"/>
    <w:rsid w:val="00F93253"/>
    <w:rsid w:val="00F932AD"/>
    <w:rsid w:val="00F9367C"/>
    <w:rsid w:val="00F9373C"/>
    <w:rsid w:val="00F9375C"/>
    <w:rsid w:val="00F93865"/>
    <w:rsid w:val="00F93904"/>
    <w:rsid w:val="00F93C16"/>
    <w:rsid w:val="00F93CE9"/>
    <w:rsid w:val="00F93D33"/>
    <w:rsid w:val="00F93DDE"/>
    <w:rsid w:val="00F93FB4"/>
    <w:rsid w:val="00F94010"/>
    <w:rsid w:val="00F94165"/>
    <w:rsid w:val="00F94514"/>
    <w:rsid w:val="00F945D3"/>
    <w:rsid w:val="00F94806"/>
    <w:rsid w:val="00F94A9A"/>
    <w:rsid w:val="00F94F0F"/>
    <w:rsid w:val="00F94FFF"/>
    <w:rsid w:val="00F9561A"/>
    <w:rsid w:val="00F95A3A"/>
    <w:rsid w:val="00F95D20"/>
    <w:rsid w:val="00F95E83"/>
    <w:rsid w:val="00F962E5"/>
    <w:rsid w:val="00F96370"/>
    <w:rsid w:val="00F965EB"/>
    <w:rsid w:val="00F96882"/>
    <w:rsid w:val="00F96907"/>
    <w:rsid w:val="00F9694B"/>
    <w:rsid w:val="00F96AE7"/>
    <w:rsid w:val="00F96FBC"/>
    <w:rsid w:val="00F970FC"/>
    <w:rsid w:val="00F97192"/>
    <w:rsid w:val="00F971C5"/>
    <w:rsid w:val="00F97277"/>
    <w:rsid w:val="00F972CA"/>
    <w:rsid w:val="00F97380"/>
    <w:rsid w:val="00F973D7"/>
    <w:rsid w:val="00F9763E"/>
    <w:rsid w:val="00F9770B"/>
    <w:rsid w:val="00F97807"/>
    <w:rsid w:val="00F97A41"/>
    <w:rsid w:val="00F97A81"/>
    <w:rsid w:val="00FA0183"/>
    <w:rsid w:val="00FA035E"/>
    <w:rsid w:val="00FA04EA"/>
    <w:rsid w:val="00FA0599"/>
    <w:rsid w:val="00FA05C2"/>
    <w:rsid w:val="00FA0615"/>
    <w:rsid w:val="00FA06FB"/>
    <w:rsid w:val="00FA08FB"/>
    <w:rsid w:val="00FA0C13"/>
    <w:rsid w:val="00FA0CF7"/>
    <w:rsid w:val="00FA0DBF"/>
    <w:rsid w:val="00FA0E5F"/>
    <w:rsid w:val="00FA10B3"/>
    <w:rsid w:val="00FA15BF"/>
    <w:rsid w:val="00FA1931"/>
    <w:rsid w:val="00FA197A"/>
    <w:rsid w:val="00FA2132"/>
    <w:rsid w:val="00FA218D"/>
    <w:rsid w:val="00FA2228"/>
    <w:rsid w:val="00FA23C9"/>
    <w:rsid w:val="00FA2AD9"/>
    <w:rsid w:val="00FA304B"/>
    <w:rsid w:val="00FA30CD"/>
    <w:rsid w:val="00FA31E4"/>
    <w:rsid w:val="00FA3400"/>
    <w:rsid w:val="00FA3500"/>
    <w:rsid w:val="00FA3573"/>
    <w:rsid w:val="00FA3889"/>
    <w:rsid w:val="00FA3AC2"/>
    <w:rsid w:val="00FA3BF5"/>
    <w:rsid w:val="00FA3C8F"/>
    <w:rsid w:val="00FA3F47"/>
    <w:rsid w:val="00FA400B"/>
    <w:rsid w:val="00FA41FE"/>
    <w:rsid w:val="00FA4548"/>
    <w:rsid w:val="00FA455E"/>
    <w:rsid w:val="00FA4B69"/>
    <w:rsid w:val="00FA4C25"/>
    <w:rsid w:val="00FA4D78"/>
    <w:rsid w:val="00FA512C"/>
    <w:rsid w:val="00FA524A"/>
    <w:rsid w:val="00FA5340"/>
    <w:rsid w:val="00FA5643"/>
    <w:rsid w:val="00FA5693"/>
    <w:rsid w:val="00FA5A19"/>
    <w:rsid w:val="00FA6049"/>
    <w:rsid w:val="00FA619F"/>
    <w:rsid w:val="00FA62D5"/>
    <w:rsid w:val="00FA6350"/>
    <w:rsid w:val="00FA6516"/>
    <w:rsid w:val="00FA69BF"/>
    <w:rsid w:val="00FA69CE"/>
    <w:rsid w:val="00FA6BA5"/>
    <w:rsid w:val="00FA6EC4"/>
    <w:rsid w:val="00FA6F76"/>
    <w:rsid w:val="00FA72EA"/>
    <w:rsid w:val="00FA7309"/>
    <w:rsid w:val="00FA743A"/>
    <w:rsid w:val="00FA7AB1"/>
    <w:rsid w:val="00FA7ADB"/>
    <w:rsid w:val="00FA7D97"/>
    <w:rsid w:val="00FA7E5B"/>
    <w:rsid w:val="00FA7F1F"/>
    <w:rsid w:val="00FB0077"/>
    <w:rsid w:val="00FB0090"/>
    <w:rsid w:val="00FB016A"/>
    <w:rsid w:val="00FB025A"/>
    <w:rsid w:val="00FB02C5"/>
    <w:rsid w:val="00FB0396"/>
    <w:rsid w:val="00FB0691"/>
    <w:rsid w:val="00FB083A"/>
    <w:rsid w:val="00FB0B7D"/>
    <w:rsid w:val="00FB0C80"/>
    <w:rsid w:val="00FB0C90"/>
    <w:rsid w:val="00FB0F62"/>
    <w:rsid w:val="00FB1158"/>
    <w:rsid w:val="00FB1231"/>
    <w:rsid w:val="00FB1247"/>
    <w:rsid w:val="00FB144D"/>
    <w:rsid w:val="00FB145B"/>
    <w:rsid w:val="00FB1621"/>
    <w:rsid w:val="00FB1709"/>
    <w:rsid w:val="00FB1852"/>
    <w:rsid w:val="00FB1A34"/>
    <w:rsid w:val="00FB1D43"/>
    <w:rsid w:val="00FB1E89"/>
    <w:rsid w:val="00FB218C"/>
    <w:rsid w:val="00FB25C1"/>
    <w:rsid w:val="00FB25CF"/>
    <w:rsid w:val="00FB26A9"/>
    <w:rsid w:val="00FB28DF"/>
    <w:rsid w:val="00FB2A48"/>
    <w:rsid w:val="00FB2C3E"/>
    <w:rsid w:val="00FB2DB3"/>
    <w:rsid w:val="00FB2DFD"/>
    <w:rsid w:val="00FB3495"/>
    <w:rsid w:val="00FB351C"/>
    <w:rsid w:val="00FB3813"/>
    <w:rsid w:val="00FB3AC0"/>
    <w:rsid w:val="00FB3D40"/>
    <w:rsid w:val="00FB3EDA"/>
    <w:rsid w:val="00FB43B8"/>
    <w:rsid w:val="00FB443D"/>
    <w:rsid w:val="00FB44DD"/>
    <w:rsid w:val="00FB462F"/>
    <w:rsid w:val="00FB493C"/>
    <w:rsid w:val="00FB4A01"/>
    <w:rsid w:val="00FB59D0"/>
    <w:rsid w:val="00FB5ACE"/>
    <w:rsid w:val="00FB5D3E"/>
    <w:rsid w:val="00FB5E1B"/>
    <w:rsid w:val="00FB5F88"/>
    <w:rsid w:val="00FB607D"/>
    <w:rsid w:val="00FB61F1"/>
    <w:rsid w:val="00FB6239"/>
    <w:rsid w:val="00FB6260"/>
    <w:rsid w:val="00FB6359"/>
    <w:rsid w:val="00FB654A"/>
    <w:rsid w:val="00FB69A9"/>
    <w:rsid w:val="00FB69B2"/>
    <w:rsid w:val="00FB6A98"/>
    <w:rsid w:val="00FB6C0C"/>
    <w:rsid w:val="00FB6C38"/>
    <w:rsid w:val="00FB6F4C"/>
    <w:rsid w:val="00FB7156"/>
    <w:rsid w:val="00FB72A1"/>
    <w:rsid w:val="00FB7497"/>
    <w:rsid w:val="00FB764D"/>
    <w:rsid w:val="00FB776F"/>
    <w:rsid w:val="00FB77B7"/>
    <w:rsid w:val="00FB791A"/>
    <w:rsid w:val="00FB7B17"/>
    <w:rsid w:val="00FB7F03"/>
    <w:rsid w:val="00FC0082"/>
    <w:rsid w:val="00FC00CC"/>
    <w:rsid w:val="00FC0145"/>
    <w:rsid w:val="00FC056A"/>
    <w:rsid w:val="00FC0602"/>
    <w:rsid w:val="00FC069E"/>
    <w:rsid w:val="00FC0B8D"/>
    <w:rsid w:val="00FC0FA1"/>
    <w:rsid w:val="00FC1026"/>
    <w:rsid w:val="00FC129B"/>
    <w:rsid w:val="00FC1420"/>
    <w:rsid w:val="00FC1623"/>
    <w:rsid w:val="00FC165C"/>
    <w:rsid w:val="00FC168C"/>
    <w:rsid w:val="00FC184B"/>
    <w:rsid w:val="00FC1DF6"/>
    <w:rsid w:val="00FC2104"/>
    <w:rsid w:val="00FC2249"/>
    <w:rsid w:val="00FC278E"/>
    <w:rsid w:val="00FC2B0D"/>
    <w:rsid w:val="00FC2D66"/>
    <w:rsid w:val="00FC2F9A"/>
    <w:rsid w:val="00FC2FC6"/>
    <w:rsid w:val="00FC3A87"/>
    <w:rsid w:val="00FC3B3C"/>
    <w:rsid w:val="00FC3B5F"/>
    <w:rsid w:val="00FC3B84"/>
    <w:rsid w:val="00FC3F7A"/>
    <w:rsid w:val="00FC3F8E"/>
    <w:rsid w:val="00FC3F9C"/>
    <w:rsid w:val="00FC40D9"/>
    <w:rsid w:val="00FC415A"/>
    <w:rsid w:val="00FC433A"/>
    <w:rsid w:val="00FC49C8"/>
    <w:rsid w:val="00FC49EE"/>
    <w:rsid w:val="00FC4A66"/>
    <w:rsid w:val="00FC4C1F"/>
    <w:rsid w:val="00FC5119"/>
    <w:rsid w:val="00FC5556"/>
    <w:rsid w:val="00FC5641"/>
    <w:rsid w:val="00FC578F"/>
    <w:rsid w:val="00FC5807"/>
    <w:rsid w:val="00FC5C06"/>
    <w:rsid w:val="00FC5C2C"/>
    <w:rsid w:val="00FC5CF9"/>
    <w:rsid w:val="00FC5E3F"/>
    <w:rsid w:val="00FC5FC5"/>
    <w:rsid w:val="00FC60D8"/>
    <w:rsid w:val="00FC60E9"/>
    <w:rsid w:val="00FC6122"/>
    <w:rsid w:val="00FC6471"/>
    <w:rsid w:val="00FC656D"/>
    <w:rsid w:val="00FC6B18"/>
    <w:rsid w:val="00FC6B97"/>
    <w:rsid w:val="00FC700D"/>
    <w:rsid w:val="00FC76F9"/>
    <w:rsid w:val="00FC7CB8"/>
    <w:rsid w:val="00FC7F8D"/>
    <w:rsid w:val="00FD0023"/>
    <w:rsid w:val="00FD0402"/>
    <w:rsid w:val="00FD085E"/>
    <w:rsid w:val="00FD08B8"/>
    <w:rsid w:val="00FD09F2"/>
    <w:rsid w:val="00FD0A50"/>
    <w:rsid w:val="00FD0BBE"/>
    <w:rsid w:val="00FD0C0D"/>
    <w:rsid w:val="00FD0EF8"/>
    <w:rsid w:val="00FD1094"/>
    <w:rsid w:val="00FD1270"/>
    <w:rsid w:val="00FD1424"/>
    <w:rsid w:val="00FD1962"/>
    <w:rsid w:val="00FD1B5F"/>
    <w:rsid w:val="00FD1BE7"/>
    <w:rsid w:val="00FD1CDA"/>
    <w:rsid w:val="00FD1EDD"/>
    <w:rsid w:val="00FD1F1B"/>
    <w:rsid w:val="00FD1F21"/>
    <w:rsid w:val="00FD1F34"/>
    <w:rsid w:val="00FD1FA7"/>
    <w:rsid w:val="00FD2038"/>
    <w:rsid w:val="00FD22AF"/>
    <w:rsid w:val="00FD22D3"/>
    <w:rsid w:val="00FD2379"/>
    <w:rsid w:val="00FD23E7"/>
    <w:rsid w:val="00FD2431"/>
    <w:rsid w:val="00FD263F"/>
    <w:rsid w:val="00FD28F2"/>
    <w:rsid w:val="00FD291E"/>
    <w:rsid w:val="00FD2A38"/>
    <w:rsid w:val="00FD2B68"/>
    <w:rsid w:val="00FD2C16"/>
    <w:rsid w:val="00FD3406"/>
    <w:rsid w:val="00FD34AD"/>
    <w:rsid w:val="00FD3649"/>
    <w:rsid w:val="00FD3BE8"/>
    <w:rsid w:val="00FD3C88"/>
    <w:rsid w:val="00FD3D4A"/>
    <w:rsid w:val="00FD4049"/>
    <w:rsid w:val="00FD4064"/>
    <w:rsid w:val="00FD418F"/>
    <w:rsid w:val="00FD438E"/>
    <w:rsid w:val="00FD4723"/>
    <w:rsid w:val="00FD4811"/>
    <w:rsid w:val="00FD4924"/>
    <w:rsid w:val="00FD49E6"/>
    <w:rsid w:val="00FD4B76"/>
    <w:rsid w:val="00FD4BB5"/>
    <w:rsid w:val="00FD4D04"/>
    <w:rsid w:val="00FD5040"/>
    <w:rsid w:val="00FD505C"/>
    <w:rsid w:val="00FD5076"/>
    <w:rsid w:val="00FD53C8"/>
    <w:rsid w:val="00FD53CA"/>
    <w:rsid w:val="00FD53CE"/>
    <w:rsid w:val="00FD5421"/>
    <w:rsid w:val="00FD5526"/>
    <w:rsid w:val="00FD57DD"/>
    <w:rsid w:val="00FD5D8D"/>
    <w:rsid w:val="00FD630A"/>
    <w:rsid w:val="00FD6380"/>
    <w:rsid w:val="00FD639D"/>
    <w:rsid w:val="00FD6469"/>
    <w:rsid w:val="00FD6749"/>
    <w:rsid w:val="00FD690A"/>
    <w:rsid w:val="00FD6B1B"/>
    <w:rsid w:val="00FD6D74"/>
    <w:rsid w:val="00FD6DFC"/>
    <w:rsid w:val="00FD75C8"/>
    <w:rsid w:val="00FD75DA"/>
    <w:rsid w:val="00FD798D"/>
    <w:rsid w:val="00FD7B90"/>
    <w:rsid w:val="00FD7D79"/>
    <w:rsid w:val="00FE005E"/>
    <w:rsid w:val="00FE0512"/>
    <w:rsid w:val="00FE0B36"/>
    <w:rsid w:val="00FE0B6D"/>
    <w:rsid w:val="00FE0CEF"/>
    <w:rsid w:val="00FE0F7F"/>
    <w:rsid w:val="00FE1078"/>
    <w:rsid w:val="00FE12CC"/>
    <w:rsid w:val="00FE139F"/>
    <w:rsid w:val="00FE1782"/>
    <w:rsid w:val="00FE1820"/>
    <w:rsid w:val="00FE19CC"/>
    <w:rsid w:val="00FE19D4"/>
    <w:rsid w:val="00FE1D94"/>
    <w:rsid w:val="00FE22DE"/>
    <w:rsid w:val="00FE28C1"/>
    <w:rsid w:val="00FE28C9"/>
    <w:rsid w:val="00FE294A"/>
    <w:rsid w:val="00FE29BD"/>
    <w:rsid w:val="00FE2A88"/>
    <w:rsid w:val="00FE2AC2"/>
    <w:rsid w:val="00FE30F6"/>
    <w:rsid w:val="00FE34C9"/>
    <w:rsid w:val="00FE3619"/>
    <w:rsid w:val="00FE36C4"/>
    <w:rsid w:val="00FE3849"/>
    <w:rsid w:val="00FE39CE"/>
    <w:rsid w:val="00FE3BDB"/>
    <w:rsid w:val="00FE3BF2"/>
    <w:rsid w:val="00FE3DD6"/>
    <w:rsid w:val="00FE40CD"/>
    <w:rsid w:val="00FE43E3"/>
    <w:rsid w:val="00FE4D66"/>
    <w:rsid w:val="00FE5404"/>
    <w:rsid w:val="00FE557B"/>
    <w:rsid w:val="00FE5861"/>
    <w:rsid w:val="00FE59C2"/>
    <w:rsid w:val="00FE5BE9"/>
    <w:rsid w:val="00FE5C6E"/>
    <w:rsid w:val="00FE6094"/>
    <w:rsid w:val="00FE61A0"/>
    <w:rsid w:val="00FE6281"/>
    <w:rsid w:val="00FE634C"/>
    <w:rsid w:val="00FE6A4A"/>
    <w:rsid w:val="00FE6A6B"/>
    <w:rsid w:val="00FE6CCE"/>
    <w:rsid w:val="00FE6F99"/>
    <w:rsid w:val="00FE7482"/>
    <w:rsid w:val="00FE77AC"/>
    <w:rsid w:val="00FE7878"/>
    <w:rsid w:val="00FE7B38"/>
    <w:rsid w:val="00FE7E6F"/>
    <w:rsid w:val="00FE7FD7"/>
    <w:rsid w:val="00FF0110"/>
    <w:rsid w:val="00FF03E2"/>
    <w:rsid w:val="00FF0520"/>
    <w:rsid w:val="00FF060C"/>
    <w:rsid w:val="00FF08ED"/>
    <w:rsid w:val="00FF09C6"/>
    <w:rsid w:val="00FF0CDB"/>
    <w:rsid w:val="00FF0F52"/>
    <w:rsid w:val="00FF126F"/>
    <w:rsid w:val="00FF13F0"/>
    <w:rsid w:val="00FF155D"/>
    <w:rsid w:val="00FF1848"/>
    <w:rsid w:val="00FF1A0B"/>
    <w:rsid w:val="00FF1A79"/>
    <w:rsid w:val="00FF1C41"/>
    <w:rsid w:val="00FF1DBC"/>
    <w:rsid w:val="00FF1E8D"/>
    <w:rsid w:val="00FF1EF7"/>
    <w:rsid w:val="00FF1F1E"/>
    <w:rsid w:val="00FF2389"/>
    <w:rsid w:val="00FF24A3"/>
    <w:rsid w:val="00FF26BD"/>
    <w:rsid w:val="00FF29A4"/>
    <w:rsid w:val="00FF2A31"/>
    <w:rsid w:val="00FF2C16"/>
    <w:rsid w:val="00FF2C5F"/>
    <w:rsid w:val="00FF2D26"/>
    <w:rsid w:val="00FF2F57"/>
    <w:rsid w:val="00FF2FA2"/>
    <w:rsid w:val="00FF32B6"/>
    <w:rsid w:val="00FF3425"/>
    <w:rsid w:val="00FF36E8"/>
    <w:rsid w:val="00FF391D"/>
    <w:rsid w:val="00FF3BA2"/>
    <w:rsid w:val="00FF3D74"/>
    <w:rsid w:val="00FF3F8C"/>
    <w:rsid w:val="00FF444C"/>
    <w:rsid w:val="00FF459E"/>
    <w:rsid w:val="00FF4689"/>
    <w:rsid w:val="00FF46D0"/>
    <w:rsid w:val="00FF46D7"/>
    <w:rsid w:val="00FF4A3B"/>
    <w:rsid w:val="00FF4CB1"/>
    <w:rsid w:val="00FF4F81"/>
    <w:rsid w:val="00FF52CB"/>
    <w:rsid w:val="00FF5301"/>
    <w:rsid w:val="00FF5652"/>
    <w:rsid w:val="00FF571E"/>
    <w:rsid w:val="00FF588D"/>
    <w:rsid w:val="00FF59C9"/>
    <w:rsid w:val="00FF5AE4"/>
    <w:rsid w:val="00FF5B16"/>
    <w:rsid w:val="00FF5B21"/>
    <w:rsid w:val="00FF607A"/>
    <w:rsid w:val="00FF61D8"/>
    <w:rsid w:val="00FF6323"/>
    <w:rsid w:val="00FF6C0A"/>
    <w:rsid w:val="00FF6DE4"/>
    <w:rsid w:val="00FF7439"/>
    <w:rsid w:val="00FF7440"/>
    <w:rsid w:val="00FF7AF0"/>
    <w:rsid w:val="00FF7B2B"/>
    <w:rsid w:val="00FF7C0E"/>
    <w:rsid w:val="02BBEC38"/>
    <w:rsid w:val="040EEF65"/>
    <w:rsid w:val="04E49933"/>
    <w:rsid w:val="05173B2B"/>
    <w:rsid w:val="06460BBB"/>
    <w:rsid w:val="08190E4C"/>
    <w:rsid w:val="0B88F419"/>
    <w:rsid w:val="0C8148A6"/>
    <w:rsid w:val="0F02E93F"/>
    <w:rsid w:val="0FCF2BD5"/>
    <w:rsid w:val="11970DA2"/>
    <w:rsid w:val="11AB4D7A"/>
    <w:rsid w:val="131DDBB2"/>
    <w:rsid w:val="16E17147"/>
    <w:rsid w:val="1763A963"/>
    <w:rsid w:val="18816611"/>
    <w:rsid w:val="19CCD9AD"/>
    <w:rsid w:val="1F18EECE"/>
    <w:rsid w:val="20858115"/>
    <w:rsid w:val="20DAD350"/>
    <w:rsid w:val="22CDFD62"/>
    <w:rsid w:val="2345057B"/>
    <w:rsid w:val="262F278A"/>
    <w:rsid w:val="2ABA8F8A"/>
    <w:rsid w:val="2C80F889"/>
    <w:rsid w:val="2F8AFBD3"/>
    <w:rsid w:val="31A45561"/>
    <w:rsid w:val="34764E4F"/>
    <w:rsid w:val="352A258A"/>
    <w:rsid w:val="3D7D1D6E"/>
    <w:rsid w:val="3E943B4D"/>
    <w:rsid w:val="3EFBCAAC"/>
    <w:rsid w:val="3F0CEC6A"/>
    <w:rsid w:val="424C3F7E"/>
    <w:rsid w:val="4331A2AC"/>
    <w:rsid w:val="440CABB6"/>
    <w:rsid w:val="48E4278F"/>
    <w:rsid w:val="4966FDA3"/>
    <w:rsid w:val="4B3BED70"/>
    <w:rsid w:val="4E6CA171"/>
    <w:rsid w:val="54B8263C"/>
    <w:rsid w:val="5540E6E9"/>
    <w:rsid w:val="559FBF8D"/>
    <w:rsid w:val="58CA313D"/>
    <w:rsid w:val="5911E411"/>
    <w:rsid w:val="59EE4489"/>
    <w:rsid w:val="5AD05F7B"/>
    <w:rsid w:val="65D3ACBD"/>
    <w:rsid w:val="6AB91F9E"/>
    <w:rsid w:val="7297483D"/>
    <w:rsid w:val="74F1D855"/>
    <w:rsid w:val="757EF8C7"/>
    <w:rsid w:val="78E77B78"/>
    <w:rsid w:val="7AE6510D"/>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4C8EB46"/>
  <w15:docId w15:val="{48EC6BDF-5A9F-464A-B610-1F3A0FFDA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Verdana" w:eastAsiaTheme="minorHAnsi" w:hAnsi="Verdana" w:cstheme="minorBidi"/>
        <w:sz w:val="18"/>
        <w:szCs w:val="18"/>
        <w:lang w:val="en-GB" w:eastAsia="en-US" w:bidi="ar-SA"/>
      </w:rPr>
    </w:rPrDefault>
    <w:pPrDefault>
      <w:pPr>
        <w:spacing w:line="240" w:lineRule="atLeast"/>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0" w:qFormat="1"/>
    <w:lsdException w:name="heading 4" w:uiPriority="0" w:qFormat="1"/>
    <w:lsdException w:name="heading 5" w:semiHidden="1" w:uiPriority="0"/>
    <w:lsdException w:name="heading 6" w:semiHidden="1" w:uiPriority="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10" w:unhideWhenUsed="1"/>
    <w:lsdException w:name="annotation text" w:semiHidden="1" w:unhideWhenUsed="1"/>
    <w:lsdException w:name="header" w:uiPriority="10" w:unhideWhenUsed="1"/>
    <w:lsdException w:name="footer" w:uiPriority="10" w:unhideWhenUsed="1" w:qFormat="1"/>
    <w:lsdException w:name="index heading" w:semiHidden="1" w:unhideWhenUsed="1"/>
    <w:lsdException w:name="caption" w:uiPriority="3"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semiHidden="1" w:unhideWhenUsed="1"/>
    <w:lsdException w:name="line number" w:semiHidden="1" w:unhideWhenUsed="1"/>
    <w:lsdException w:name="page number" w:semiHidden="1" w:uiPriority="1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3" w:unhideWhenUsed="1" w:qFormat="1"/>
    <w:lsdException w:name="List Number" w:uiPriority="3" w:qFormat="1"/>
    <w:lsdException w:name="List 2" w:semiHidden="1" w:unhideWhenUsed="1"/>
    <w:lsdException w:name="List 3" w:semiHidden="1" w:unhideWhenUsed="1"/>
    <w:lsdException w:name="List 4" w:semiHidden="1"/>
    <w:lsdException w:name="List 5" w:semiHidden="1"/>
    <w:lsdException w:name="List Bullet 2" w:uiPriority="3" w:unhideWhenUsed="1" w:qFormat="1"/>
    <w:lsdException w:name="List Bullet 3" w:semiHidden="1" w:unhideWhenUsed="1"/>
    <w:lsdException w:name="List Bullet 4" w:semiHidden="1" w:unhideWhenUsed="1"/>
    <w:lsdException w:name="List Bullet 5" w:semiHidden="1" w:unhideWhenUsed="1"/>
    <w:lsdException w:name="List Number 2" w:uiPriority="3"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10"/>
    <w:lsdException w:name="No Spacing" w:semiHidden="1"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qFormat="1"/>
    <w:lsdException w:name="Intense Reference" w:qFormat="1"/>
    <w:lsdException w:name="Book Title"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2F8"/>
    <w:pPr>
      <w:spacing w:before="120" w:after="120" w:line="240" w:lineRule="auto"/>
    </w:pPr>
    <w:rPr>
      <w:sz w:val="20"/>
      <w:lang w:val="en-AU"/>
    </w:rPr>
  </w:style>
  <w:style w:type="paragraph" w:styleId="Heading1">
    <w:name w:val="heading 1"/>
    <w:basedOn w:val="Normal"/>
    <w:next w:val="Normal"/>
    <w:link w:val="Heading1Char"/>
    <w:uiPriority w:val="1"/>
    <w:qFormat/>
    <w:rsid w:val="009E2F33"/>
    <w:pPr>
      <w:keepNext/>
      <w:keepLines/>
      <w:pageBreakBefore/>
      <w:numPr>
        <w:numId w:val="32"/>
      </w:numPr>
      <w:spacing w:after="480" w:line="720" w:lineRule="atLeast"/>
      <w:contextualSpacing/>
      <w:outlineLvl w:val="0"/>
    </w:pPr>
    <w:rPr>
      <w:rFonts w:eastAsiaTheme="majorEastAsia" w:cstheme="majorBidi"/>
      <w:bCs/>
      <w:sz w:val="60"/>
      <w:szCs w:val="28"/>
    </w:rPr>
  </w:style>
  <w:style w:type="paragraph" w:styleId="Heading2">
    <w:name w:val="heading 2"/>
    <w:basedOn w:val="Heading1"/>
    <w:next w:val="Normal"/>
    <w:link w:val="Heading2Char"/>
    <w:uiPriority w:val="1"/>
    <w:qFormat/>
    <w:rsid w:val="009B7473"/>
    <w:pPr>
      <w:keepLines w:val="0"/>
      <w:pageBreakBefore w:val="0"/>
      <w:numPr>
        <w:ilvl w:val="1"/>
      </w:numPr>
      <w:spacing w:after="120" w:line="240" w:lineRule="auto"/>
      <w:contextualSpacing w:val="0"/>
      <w:outlineLvl w:val="1"/>
    </w:pPr>
    <w:rPr>
      <w:b/>
      <w:bCs w:val="0"/>
      <w:color w:val="012169" w:themeColor="accent4"/>
      <w:sz w:val="22"/>
      <w:szCs w:val="26"/>
    </w:rPr>
  </w:style>
  <w:style w:type="paragraph" w:styleId="Heading3">
    <w:name w:val="heading 3"/>
    <w:basedOn w:val="Normal"/>
    <w:next w:val="Normal"/>
    <w:link w:val="Heading3Char"/>
    <w:uiPriority w:val="1"/>
    <w:qFormat/>
    <w:rsid w:val="00F9113D"/>
    <w:pPr>
      <w:keepNext/>
      <w:keepLines/>
      <w:numPr>
        <w:ilvl w:val="2"/>
        <w:numId w:val="32"/>
      </w:numPr>
      <w:spacing w:after="0"/>
      <w:outlineLvl w:val="2"/>
    </w:pPr>
    <w:rPr>
      <w:rFonts w:eastAsiaTheme="majorEastAsia" w:cstheme="majorBidi"/>
      <w:b/>
      <w:bCs/>
    </w:rPr>
  </w:style>
  <w:style w:type="paragraph" w:styleId="Heading4">
    <w:name w:val="heading 4"/>
    <w:basedOn w:val="Normal"/>
    <w:next w:val="Normal"/>
    <w:link w:val="Heading4Char"/>
    <w:uiPriority w:val="1"/>
    <w:qFormat/>
    <w:rsid w:val="00F9113D"/>
    <w:pPr>
      <w:keepNext/>
      <w:keepLines/>
      <w:numPr>
        <w:ilvl w:val="3"/>
        <w:numId w:val="32"/>
      </w:numPr>
      <w:tabs>
        <w:tab w:val="left" w:pos="340"/>
      </w:tabs>
      <w:spacing w:after="0"/>
      <w:outlineLvl w:val="3"/>
    </w:pPr>
    <w:rPr>
      <w:rFonts w:eastAsiaTheme="majorEastAsia" w:cstheme="majorBidi"/>
      <w:b/>
      <w:bCs/>
      <w:iCs/>
      <w:color w:val="75787B" w:themeColor="accent6"/>
    </w:rPr>
  </w:style>
  <w:style w:type="paragraph" w:styleId="Heading5">
    <w:name w:val="heading 5"/>
    <w:basedOn w:val="Normal"/>
    <w:next w:val="Normal"/>
    <w:link w:val="Heading5Char"/>
    <w:uiPriority w:val="1"/>
    <w:rsid w:val="00F9113D"/>
    <w:pPr>
      <w:keepNext/>
      <w:keepLines/>
      <w:numPr>
        <w:ilvl w:val="4"/>
        <w:numId w:val="32"/>
      </w:numPr>
      <w:spacing w:after="0"/>
      <w:outlineLvl w:val="4"/>
    </w:pPr>
    <w:rPr>
      <w:rFonts w:eastAsiaTheme="majorEastAsia" w:cstheme="majorBidi"/>
      <w:b/>
    </w:rPr>
  </w:style>
  <w:style w:type="paragraph" w:styleId="Heading6">
    <w:name w:val="heading 6"/>
    <w:basedOn w:val="Normal"/>
    <w:next w:val="Normal"/>
    <w:link w:val="Heading6Char"/>
    <w:uiPriority w:val="1"/>
    <w:semiHidden/>
    <w:qFormat/>
    <w:rsid w:val="00F9113D"/>
    <w:pPr>
      <w:keepNext/>
      <w:keepLines/>
      <w:numPr>
        <w:ilvl w:val="5"/>
        <w:numId w:val="32"/>
      </w:numPr>
      <w:spacing w:after="0"/>
      <w:outlineLvl w:val="5"/>
    </w:pPr>
    <w:rPr>
      <w:rFonts w:eastAsiaTheme="majorEastAsia" w:cstheme="majorBidi"/>
      <w:b/>
      <w:iCs/>
    </w:rPr>
  </w:style>
  <w:style w:type="paragraph" w:styleId="Heading7">
    <w:name w:val="heading 7"/>
    <w:basedOn w:val="Normal"/>
    <w:next w:val="Normal"/>
    <w:link w:val="Heading7Char"/>
    <w:uiPriority w:val="1"/>
    <w:semiHidden/>
    <w:qFormat/>
    <w:rsid w:val="00F9113D"/>
    <w:pPr>
      <w:keepNext/>
      <w:keepLines/>
      <w:spacing w:after="0"/>
      <w:outlineLvl w:val="6"/>
    </w:pPr>
    <w:rPr>
      <w:rFonts w:eastAsiaTheme="majorEastAsia" w:cstheme="majorBidi"/>
      <w:b/>
      <w:iCs/>
    </w:rPr>
  </w:style>
  <w:style w:type="paragraph" w:styleId="Heading8">
    <w:name w:val="heading 8"/>
    <w:basedOn w:val="Normal"/>
    <w:next w:val="Normal"/>
    <w:link w:val="Heading8Char"/>
    <w:uiPriority w:val="1"/>
    <w:semiHidden/>
    <w:qFormat/>
    <w:rsid w:val="00F9113D"/>
    <w:pPr>
      <w:keepNext/>
      <w:keepLines/>
      <w:spacing w:after="0"/>
      <w:outlineLvl w:val="7"/>
    </w:pPr>
    <w:rPr>
      <w:rFonts w:eastAsiaTheme="majorEastAsia" w:cstheme="majorBidi"/>
      <w:b/>
      <w:szCs w:val="20"/>
    </w:rPr>
  </w:style>
  <w:style w:type="paragraph" w:styleId="Heading9">
    <w:name w:val="heading 9"/>
    <w:basedOn w:val="Normal"/>
    <w:next w:val="Normal"/>
    <w:link w:val="Heading9Char"/>
    <w:uiPriority w:val="1"/>
    <w:semiHidden/>
    <w:qFormat/>
    <w:rsid w:val="00F9113D"/>
    <w:pPr>
      <w:keepNext/>
      <w:keepLines/>
      <w:spacing w:after="0"/>
      <w:outlineLvl w:val="8"/>
    </w:pPr>
    <w:rPr>
      <w:rFonts w:eastAsiaTheme="majorEastAsia" w:cstheme="majorBidi"/>
      <w:b/>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E2F33"/>
    <w:rPr>
      <w:rFonts w:eastAsiaTheme="majorEastAsia" w:cstheme="majorBidi"/>
      <w:bCs/>
      <w:sz w:val="60"/>
      <w:szCs w:val="28"/>
      <w:lang w:val="en-AU"/>
    </w:rPr>
  </w:style>
  <w:style w:type="character" w:customStyle="1" w:styleId="Heading2Char">
    <w:name w:val="Heading 2 Char"/>
    <w:basedOn w:val="DefaultParagraphFont"/>
    <w:link w:val="Heading2"/>
    <w:uiPriority w:val="1"/>
    <w:rsid w:val="009B7473"/>
    <w:rPr>
      <w:rFonts w:eastAsiaTheme="majorEastAsia" w:cstheme="majorBidi"/>
      <w:b/>
      <w:color w:val="012169" w:themeColor="accent4"/>
      <w:sz w:val="22"/>
      <w:szCs w:val="26"/>
      <w:lang w:val="en-AU"/>
    </w:rPr>
  </w:style>
  <w:style w:type="table" w:styleId="TableGrid">
    <w:name w:val="Table Grid"/>
    <w:basedOn w:val="TableNormal"/>
    <w:uiPriority w:val="99"/>
    <w:rsid w:val="00D93FF0"/>
    <w:tblPr>
      <w:tblCellMar>
        <w:left w:w="0" w:type="dxa"/>
        <w:right w:w="0" w:type="dxa"/>
      </w:tblCellMar>
    </w:tblPr>
    <w:tblStylePr w:type="firstRow">
      <w:rPr>
        <w:color w:val="auto"/>
      </w:rPr>
      <w:tblPr/>
      <w:tcPr>
        <w:tcBorders>
          <w:top w:val="nil"/>
          <w:left w:val="nil"/>
          <w:bottom w:val="nil"/>
          <w:right w:val="nil"/>
          <w:insideH w:val="nil"/>
          <w:insideV w:val="nil"/>
          <w:tl2br w:val="nil"/>
          <w:tr2bl w:val="nil"/>
        </w:tcBorders>
      </w:tcPr>
    </w:tblStylePr>
  </w:style>
  <w:style w:type="paragraph" w:styleId="Header">
    <w:name w:val="header"/>
    <w:link w:val="HeaderChar"/>
    <w:uiPriority w:val="10"/>
    <w:semiHidden/>
    <w:rsid w:val="000116B0"/>
    <w:pPr>
      <w:tabs>
        <w:tab w:val="center" w:pos="4513"/>
        <w:tab w:val="right" w:pos="9026"/>
      </w:tabs>
      <w:spacing w:line="240" w:lineRule="auto"/>
    </w:pPr>
    <w:rPr>
      <w:sz w:val="14"/>
      <w:lang w:val="en-AU"/>
    </w:rPr>
  </w:style>
  <w:style w:type="character" w:customStyle="1" w:styleId="HeaderChar">
    <w:name w:val="Header Char"/>
    <w:basedOn w:val="DefaultParagraphFont"/>
    <w:link w:val="Header"/>
    <w:uiPriority w:val="10"/>
    <w:semiHidden/>
    <w:rsid w:val="000116B0"/>
    <w:rPr>
      <w:sz w:val="14"/>
      <w:lang w:val="en-AU"/>
    </w:rPr>
  </w:style>
  <w:style w:type="paragraph" w:styleId="Footer">
    <w:name w:val="footer"/>
    <w:basedOn w:val="Normal"/>
    <w:link w:val="FooterChar"/>
    <w:uiPriority w:val="10"/>
    <w:semiHidden/>
    <w:qFormat/>
    <w:rsid w:val="00F9113D"/>
    <w:pPr>
      <w:tabs>
        <w:tab w:val="right" w:pos="7371"/>
      </w:tabs>
      <w:spacing w:after="0" w:line="200" w:lineRule="atLeast"/>
    </w:pPr>
    <w:rPr>
      <w:sz w:val="16"/>
    </w:rPr>
  </w:style>
  <w:style w:type="character" w:customStyle="1" w:styleId="FooterChar">
    <w:name w:val="Footer Char"/>
    <w:basedOn w:val="DefaultParagraphFont"/>
    <w:link w:val="Footer"/>
    <w:uiPriority w:val="10"/>
    <w:semiHidden/>
    <w:rsid w:val="00F9113D"/>
    <w:rPr>
      <w:sz w:val="16"/>
    </w:rPr>
  </w:style>
  <w:style w:type="paragraph" w:styleId="BalloonText">
    <w:name w:val="Balloon Text"/>
    <w:basedOn w:val="Normal"/>
    <w:link w:val="BalloonTextChar"/>
    <w:uiPriority w:val="99"/>
    <w:semiHidden/>
    <w:rsid w:val="00F9113D"/>
    <w:rPr>
      <w:rFonts w:ascii="Tahoma" w:hAnsi="Tahoma" w:cs="Tahoma"/>
      <w:sz w:val="16"/>
      <w:szCs w:val="16"/>
    </w:rPr>
  </w:style>
  <w:style w:type="character" w:customStyle="1" w:styleId="BalloonTextChar">
    <w:name w:val="Balloon Text Char"/>
    <w:basedOn w:val="DefaultParagraphFont"/>
    <w:link w:val="BalloonText"/>
    <w:uiPriority w:val="99"/>
    <w:semiHidden/>
    <w:rsid w:val="00F9113D"/>
    <w:rPr>
      <w:rFonts w:ascii="Tahoma" w:hAnsi="Tahoma" w:cs="Tahoma"/>
      <w:sz w:val="16"/>
      <w:szCs w:val="16"/>
    </w:rPr>
  </w:style>
  <w:style w:type="paragraph" w:customStyle="1" w:styleId="Subject">
    <w:name w:val="Subject"/>
    <w:basedOn w:val="Normal"/>
    <w:uiPriority w:val="6"/>
    <w:semiHidden/>
    <w:qFormat/>
    <w:rsid w:val="00F9113D"/>
    <w:pPr>
      <w:spacing w:after="0"/>
    </w:pPr>
    <w:rPr>
      <w:b/>
    </w:rPr>
  </w:style>
  <w:style w:type="character" w:styleId="PlaceholderText">
    <w:name w:val="Placeholder Text"/>
    <w:basedOn w:val="DefaultParagraphFont"/>
    <w:uiPriority w:val="10"/>
    <w:semiHidden/>
    <w:rsid w:val="00F9113D"/>
    <w:rPr>
      <w:color w:val="808080"/>
      <w:lang w:val="en-AU"/>
    </w:rPr>
  </w:style>
  <w:style w:type="paragraph" w:styleId="ListBullet">
    <w:name w:val="List Bullet"/>
    <w:basedOn w:val="Normal"/>
    <w:uiPriority w:val="3"/>
    <w:qFormat/>
    <w:rsid w:val="001D5B24"/>
    <w:pPr>
      <w:numPr>
        <w:numId w:val="13"/>
      </w:numPr>
      <w:spacing w:before="60" w:after="0"/>
    </w:pPr>
    <w:rPr>
      <w:szCs w:val="17"/>
    </w:rPr>
  </w:style>
  <w:style w:type="paragraph" w:styleId="ListBullet2">
    <w:name w:val="List Bullet 2"/>
    <w:basedOn w:val="Normal"/>
    <w:uiPriority w:val="3"/>
    <w:rsid w:val="00243D0B"/>
    <w:pPr>
      <w:numPr>
        <w:numId w:val="15"/>
      </w:numPr>
      <w:spacing w:after="0"/>
      <w:ind w:left="697" w:hanging="357"/>
      <w:contextualSpacing/>
    </w:pPr>
    <w:rPr>
      <w:szCs w:val="17"/>
    </w:rPr>
  </w:style>
  <w:style w:type="paragraph" w:styleId="ListNumber">
    <w:name w:val="List Number"/>
    <w:basedOn w:val="Normal"/>
    <w:uiPriority w:val="3"/>
    <w:qFormat/>
    <w:rsid w:val="007F7A8C"/>
    <w:pPr>
      <w:numPr>
        <w:numId w:val="14"/>
      </w:numPr>
      <w:spacing w:after="0"/>
      <w:contextualSpacing/>
    </w:pPr>
    <w:rPr>
      <w:szCs w:val="17"/>
    </w:rPr>
  </w:style>
  <w:style w:type="paragraph" w:styleId="ListNumber2">
    <w:name w:val="List Number 2"/>
    <w:basedOn w:val="Normal"/>
    <w:uiPriority w:val="3"/>
    <w:qFormat/>
    <w:rsid w:val="007F7A8C"/>
    <w:pPr>
      <w:numPr>
        <w:ilvl w:val="1"/>
        <w:numId w:val="14"/>
      </w:numPr>
      <w:spacing w:after="0"/>
      <w:contextualSpacing/>
    </w:pPr>
  </w:style>
  <w:style w:type="character" w:customStyle="1" w:styleId="Heading3Char">
    <w:name w:val="Heading 3 Char"/>
    <w:basedOn w:val="DefaultParagraphFont"/>
    <w:link w:val="Heading3"/>
    <w:uiPriority w:val="1"/>
    <w:rsid w:val="00C50447"/>
    <w:rPr>
      <w:rFonts w:eastAsiaTheme="majorEastAsia" w:cstheme="majorBidi"/>
      <w:b/>
      <w:bCs/>
      <w:lang w:val="en-AU"/>
    </w:rPr>
  </w:style>
  <w:style w:type="character" w:customStyle="1" w:styleId="Heading4Char">
    <w:name w:val="Heading 4 Char"/>
    <w:basedOn w:val="DefaultParagraphFont"/>
    <w:link w:val="Heading4"/>
    <w:uiPriority w:val="1"/>
    <w:rsid w:val="00C50447"/>
    <w:rPr>
      <w:rFonts w:eastAsiaTheme="majorEastAsia" w:cstheme="majorBidi"/>
      <w:b/>
      <w:bCs/>
      <w:iCs/>
      <w:color w:val="75787B" w:themeColor="accent6"/>
      <w:lang w:val="en-AU"/>
    </w:rPr>
  </w:style>
  <w:style w:type="paragraph" w:customStyle="1" w:styleId="Heading5un-numbered">
    <w:name w:val="Heading 5 (un-numbered)"/>
    <w:basedOn w:val="Heading4un-numbered"/>
    <w:link w:val="Heading5un-numberedChar"/>
    <w:qFormat/>
    <w:rsid w:val="00FD4BB5"/>
    <w:pPr>
      <w:outlineLvl w:val="4"/>
    </w:pPr>
    <w:rPr>
      <w:color w:val="00707E" w:themeColor="accent5" w:themeShade="BF"/>
    </w:rPr>
  </w:style>
  <w:style w:type="paragraph" w:customStyle="1" w:styleId="Boxtype2">
    <w:name w:val="Box type 2"/>
    <w:basedOn w:val="Heading5un-numbered"/>
    <w:link w:val="Boxtype2Char"/>
    <w:qFormat/>
    <w:rsid w:val="009B7473"/>
    <w:pPr>
      <w:pBdr>
        <w:top w:val="single" w:sz="4" w:space="1" w:color="0097A9" w:themeColor="accent5"/>
        <w:left w:val="single" w:sz="4" w:space="4" w:color="0097A9" w:themeColor="accent5"/>
        <w:bottom w:val="single" w:sz="4" w:space="1" w:color="0097A9" w:themeColor="accent5"/>
        <w:right w:val="single" w:sz="4" w:space="4" w:color="0097A9" w:themeColor="accent5"/>
      </w:pBdr>
      <w:outlineLvl w:val="9"/>
    </w:pPr>
    <w:rPr>
      <w:b w:val="0"/>
      <w:color w:val="auto"/>
    </w:rPr>
  </w:style>
  <w:style w:type="paragraph" w:customStyle="1" w:styleId="Documenttitle">
    <w:name w:val="Document title"/>
    <w:next w:val="Documentsubtitle"/>
    <w:uiPriority w:val="7"/>
    <w:rsid w:val="007C4146"/>
    <w:pPr>
      <w:spacing w:line="440" w:lineRule="atLeast"/>
    </w:pPr>
    <w:rPr>
      <w:rFonts w:eastAsiaTheme="majorEastAsia" w:cstheme="majorBidi"/>
      <w:b/>
      <w:bCs/>
      <w:color w:val="000000"/>
      <w:sz w:val="32"/>
      <w:szCs w:val="28"/>
      <w:lang w:val="en-AU"/>
    </w:rPr>
  </w:style>
  <w:style w:type="paragraph" w:customStyle="1" w:styleId="Subheading">
    <w:name w:val="Subheading"/>
    <w:basedOn w:val="Normal"/>
    <w:next w:val="Normal"/>
    <w:uiPriority w:val="6"/>
    <w:semiHidden/>
    <w:qFormat/>
    <w:rsid w:val="00F9113D"/>
    <w:pPr>
      <w:spacing w:after="0"/>
    </w:pPr>
    <w:rPr>
      <w:rFonts w:eastAsiaTheme="majorEastAsia" w:cstheme="majorBidi"/>
      <w:b/>
      <w:bCs/>
      <w:iCs/>
      <w:color w:val="000000" w:themeColor="text1"/>
    </w:rPr>
  </w:style>
  <w:style w:type="character" w:styleId="FootnoteReference">
    <w:name w:val="footnote reference"/>
    <w:basedOn w:val="DefaultParagraphFont"/>
    <w:uiPriority w:val="99"/>
    <w:semiHidden/>
    <w:rsid w:val="00F9113D"/>
    <w:rPr>
      <w:vertAlign w:val="superscript"/>
      <w:lang w:val="en-AU"/>
    </w:rPr>
  </w:style>
  <w:style w:type="paragraph" w:customStyle="1" w:styleId="Sectionintro">
    <w:name w:val="Section intro"/>
    <w:basedOn w:val="Normal"/>
    <w:next w:val="Normal"/>
    <w:uiPriority w:val="2"/>
    <w:qFormat/>
    <w:rsid w:val="00F9113D"/>
    <w:pPr>
      <w:spacing w:after="360" w:line="360" w:lineRule="atLeast"/>
      <w:contextualSpacing/>
    </w:pPr>
    <w:rPr>
      <w:sz w:val="28"/>
    </w:rPr>
  </w:style>
  <w:style w:type="paragraph" w:customStyle="1" w:styleId="Documentdate">
    <w:name w:val="Document date"/>
    <w:uiPriority w:val="7"/>
    <w:rsid w:val="00F9113D"/>
    <w:rPr>
      <w:color w:val="000000"/>
      <w:lang w:val="en-AU"/>
    </w:rPr>
  </w:style>
  <w:style w:type="paragraph" w:customStyle="1" w:styleId="Heading1un-numbered">
    <w:name w:val="Heading 1 (un-numbered)"/>
    <w:next w:val="Normal"/>
    <w:uiPriority w:val="2"/>
    <w:qFormat/>
    <w:rsid w:val="002E6435"/>
    <w:pPr>
      <w:keepNext/>
      <w:keepLines/>
      <w:pageBreakBefore/>
      <w:spacing w:before="120" w:after="120" w:line="240" w:lineRule="auto"/>
      <w:outlineLvl w:val="0"/>
    </w:pPr>
    <w:rPr>
      <w:sz w:val="60"/>
      <w:lang w:val="en-AU"/>
    </w:rPr>
  </w:style>
  <w:style w:type="paragraph" w:customStyle="1" w:styleId="PulloutBlue">
    <w:name w:val="Pullout Blue"/>
    <w:basedOn w:val="Normal"/>
    <w:next w:val="Normal"/>
    <w:uiPriority w:val="6"/>
    <w:rsid w:val="00F9113D"/>
    <w:pPr>
      <w:spacing w:after="0" w:line="360" w:lineRule="atLeast"/>
    </w:pPr>
    <w:rPr>
      <w:color w:val="62B5E5" w:themeColor="accent3"/>
      <w:sz w:val="28"/>
    </w:rPr>
  </w:style>
  <w:style w:type="paragraph" w:customStyle="1" w:styleId="Contacttext">
    <w:name w:val="Contact text"/>
    <w:basedOn w:val="Normal"/>
    <w:uiPriority w:val="7"/>
    <w:semiHidden/>
    <w:rsid w:val="00F9113D"/>
    <w:pPr>
      <w:spacing w:after="0"/>
    </w:pPr>
  </w:style>
  <w:style w:type="paragraph" w:customStyle="1" w:styleId="Contactus">
    <w:name w:val="Contact us"/>
    <w:basedOn w:val="Contacttext"/>
    <w:next w:val="Contacttext"/>
    <w:uiPriority w:val="7"/>
    <w:semiHidden/>
    <w:rsid w:val="00F9113D"/>
    <w:pPr>
      <w:spacing w:after="240" w:line="340" w:lineRule="atLeast"/>
    </w:pPr>
    <w:rPr>
      <w:sz w:val="28"/>
    </w:rPr>
  </w:style>
  <w:style w:type="paragraph" w:styleId="Caption">
    <w:name w:val="caption"/>
    <w:basedOn w:val="Normal"/>
    <w:next w:val="Normal"/>
    <w:link w:val="CaptionChar"/>
    <w:uiPriority w:val="3"/>
    <w:qFormat/>
    <w:rsid w:val="006547A2"/>
    <w:pPr>
      <w:keepNext/>
      <w:keepLines/>
      <w:spacing w:before="240" w:after="240"/>
    </w:pPr>
    <w:rPr>
      <w:iCs/>
      <w:color w:val="75787B" w:themeColor="accent6"/>
      <w:sz w:val="17"/>
    </w:rPr>
  </w:style>
  <w:style w:type="character" w:styleId="Hyperlink">
    <w:name w:val="Hyperlink"/>
    <w:basedOn w:val="DefaultParagraphFont"/>
    <w:uiPriority w:val="99"/>
    <w:rsid w:val="00F9113D"/>
    <w:rPr>
      <w:color w:val="00A3E0" w:themeColor="hyperlink"/>
      <w:u w:val="single"/>
      <w:lang w:val="en-AU"/>
    </w:rPr>
  </w:style>
  <w:style w:type="paragraph" w:customStyle="1" w:styleId="PulloutGreen">
    <w:name w:val="Pullout Green"/>
    <w:basedOn w:val="PulloutBlue"/>
    <w:next w:val="Normal"/>
    <w:uiPriority w:val="6"/>
    <w:rsid w:val="00F9113D"/>
    <w:rPr>
      <w:color w:val="86BC25" w:themeColor="accent1"/>
    </w:rPr>
  </w:style>
  <w:style w:type="paragraph" w:customStyle="1" w:styleId="QuotesourceBlue">
    <w:name w:val="Quote source Blue"/>
    <w:basedOn w:val="Normal"/>
    <w:next w:val="Normal"/>
    <w:uiPriority w:val="6"/>
    <w:rsid w:val="00F9113D"/>
    <w:pPr>
      <w:spacing w:after="0" w:line="200" w:lineRule="atLeast"/>
      <w:contextualSpacing/>
    </w:pPr>
    <w:rPr>
      <w:b/>
      <w:color w:val="62B5E5" w:themeColor="accent3"/>
      <w:sz w:val="17"/>
    </w:rPr>
  </w:style>
  <w:style w:type="paragraph" w:customStyle="1" w:styleId="QuotesourceGreen">
    <w:name w:val="Quote source Green"/>
    <w:basedOn w:val="QuotesourceBlue"/>
    <w:next w:val="Normal"/>
    <w:uiPriority w:val="6"/>
    <w:rsid w:val="00F9113D"/>
    <w:rPr>
      <w:color w:val="86BC25" w:themeColor="accent1"/>
    </w:rPr>
  </w:style>
  <w:style w:type="paragraph" w:customStyle="1" w:styleId="Paneltext">
    <w:name w:val="Panel text"/>
    <w:basedOn w:val="Normal"/>
    <w:uiPriority w:val="6"/>
    <w:rsid w:val="00F9113D"/>
    <w:pPr>
      <w:spacing w:after="0"/>
    </w:pPr>
    <w:rPr>
      <w:color w:val="FFFFFF"/>
      <w:sz w:val="17"/>
    </w:rPr>
  </w:style>
  <w:style w:type="paragraph" w:customStyle="1" w:styleId="Paneltitle">
    <w:name w:val="Panel title"/>
    <w:basedOn w:val="Paneltext"/>
    <w:next w:val="Paneltext"/>
    <w:uiPriority w:val="6"/>
    <w:rsid w:val="00F9113D"/>
    <w:pPr>
      <w:spacing w:line="360" w:lineRule="atLeast"/>
    </w:pPr>
    <w:rPr>
      <w:b/>
      <w:sz w:val="28"/>
    </w:rPr>
  </w:style>
  <w:style w:type="paragraph" w:customStyle="1" w:styleId="Superscript">
    <w:name w:val="Superscript"/>
    <w:basedOn w:val="Boxtype2"/>
    <w:link w:val="SuperscriptChar"/>
    <w:qFormat/>
    <w:rsid w:val="00AD10DC"/>
    <w:rPr>
      <w:vertAlign w:val="superscript"/>
    </w:rPr>
  </w:style>
  <w:style w:type="paragraph" w:customStyle="1" w:styleId="Documentsubtitle">
    <w:name w:val="Document subtitle"/>
    <w:basedOn w:val="Normal"/>
    <w:uiPriority w:val="7"/>
    <w:rsid w:val="007C4146"/>
    <w:pPr>
      <w:spacing w:line="440" w:lineRule="atLeast"/>
    </w:pPr>
    <w:rPr>
      <w:color w:val="000000"/>
      <w:sz w:val="28"/>
    </w:rPr>
  </w:style>
  <w:style w:type="paragraph" w:customStyle="1" w:styleId="Contentstitle">
    <w:name w:val="Contents title"/>
    <w:basedOn w:val="Heading1un-numbered"/>
    <w:next w:val="Normal"/>
    <w:uiPriority w:val="7"/>
    <w:semiHidden/>
    <w:rsid w:val="00F9113D"/>
  </w:style>
  <w:style w:type="paragraph" w:styleId="TOC1">
    <w:name w:val="toc 1"/>
    <w:basedOn w:val="Normal"/>
    <w:next w:val="Normal"/>
    <w:uiPriority w:val="39"/>
    <w:rsid w:val="00242572"/>
    <w:pPr>
      <w:tabs>
        <w:tab w:val="left" w:pos="567"/>
        <w:tab w:val="right" w:pos="8959"/>
      </w:tabs>
      <w:spacing w:before="40" w:after="0"/>
      <w:ind w:left="567" w:right="567" w:hanging="567"/>
    </w:pPr>
  </w:style>
  <w:style w:type="paragraph" w:customStyle="1" w:styleId="Quotetext">
    <w:name w:val="Quote text"/>
    <w:basedOn w:val="PulloutBlue"/>
    <w:uiPriority w:val="6"/>
    <w:rsid w:val="00F9113D"/>
    <w:pPr>
      <w:spacing w:line="720" w:lineRule="atLeast"/>
    </w:pPr>
    <w:rPr>
      <w:color w:val="FFFFFF"/>
      <w:sz w:val="60"/>
    </w:rPr>
  </w:style>
  <w:style w:type="paragraph" w:customStyle="1" w:styleId="Legaltext">
    <w:name w:val="Legal text"/>
    <w:basedOn w:val="Normal"/>
    <w:uiPriority w:val="7"/>
    <w:semiHidden/>
    <w:qFormat/>
    <w:rsid w:val="00F9113D"/>
    <w:pPr>
      <w:spacing w:after="0" w:line="180" w:lineRule="atLeast"/>
    </w:pPr>
    <w:rPr>
      <w:sz w:val="14"/>
    </w:rPr>
  </w:style>
  <w:style w:type="table" w:customStyle="1" w:styleId="Deloittetable">
    <w:name w:val="Deloitte table"/>
    <w:basedOn w:val="TableNormal"/>
    <w:uiPriority w:val="99"/>
    <w:rsid w:val="001D5B24"/>
    <w:pPr>
      <w:spacing w:line="240" w:lineRule="auto"/>
      <w:contextualSpacing/>
    </w:pPr>
    <w:rPr>
      <w:rFonts w:asciiTheme="minorHAnsi" w:hAnsiTheme="minorHAnsi"/>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0" w:type="dxa"/>
        <w:bottom w:w="57" w:type="dxa"/>
        <w:right w:w="0" w:type="dxa"/>
      </w:tblCellMar>
    </w:tblPr>
    <w:tblStylePr w:type="firstRow">
      <w:pPr>
        <w:jc w:val="left"/>
      </w:pPr>
      <w:rPr>
        <w:rFonts w:asciiTheme="minorHAnsi" w:hAnsiTheme="minorHAnsi"/>
        <w:b/>
        <w:color w:val="auto"/>
        <w:sz w:val="20"/>
      </w:rPr>
      <w:tblPr/>
      <w:tcPr>
        <w:tcBorders>
          <w:top w:val="single" w:sz="24" w:space="0" w:color="62B5E5" w:themeColor="accent3"/>
        </w:tcBorders>
        <w:vAlign w:val="center"/>
      </w:tcPr>
    </w:tblStylePr>
  </w:style>
  <w:style w:type="paragraph" w:customStyle="1" w:styleId="TabletextLeft">
    <w:name w:val="Table text Left"/>
    <w:basedOn w:val="Normal"/>
    <w:uiPriority w:val="5"/>
    <w:rsid w:val="000C02F8"/>
    <w:pPr>
      <w:ind w:left="57" w:right="57"/>
    </w:pPr>
  </w:style>
  <w:style w:type="paragraph" w:customStyle="1" w:styleId="TableHeadingLeft">
    <w:name w:val="Table Heading Left"/>
    <w:basedOn w:val="TabletextLeft"/>
    <w:uiPriority w:val="5"/>
    <w:rsid w:val="006D60ED"/>
    <w:pPr>
      <w:spacing w:before="0"/>
      <w:contextualSpacing/>
    </w:pPr>
    <w:rPr>
      <w:rFonts w:ascii="Calibri" w:hAnsi="Calibri"/>
      <w:b/>
      <w:sz w:val="22"/>
    </w:rPr>
  </w:style>
  <w:style w:type="paragraph" w:customStyle="1" w:styleId="Source">
    <w:name w:val="Source"/>
    <w:basedOn w:val="Caption"/>
    <w:next w:val="Normal"/>
    <w:uiPriority w:val="6"/>
    <w:rsid w:val="00AD10DC"/>
    <w:pPr>
      <w:keepNext w:val="0"/>
      <w:keepLines w:val="0"/>
      <w:spacing w:before="60" w:after="60"/>
    </w:pPr>
    <w:rPr>
      <w:sz w:val="14"/>
    </w:rPr>
  </w:style>
  <w:style w:type="paragraph" w:customStyle="1" w:styleId="Tablebullets">
    <w:name w:val="Table bullets"/>
    <w:basedOn w:val="TabletextLeft"/>
    <w:uiPriority w:val="5"/>
    <w:rsid w:val="000C02F8"/>
    <w:pPr>
      <w:framePr w:hSpace="180" w:wrap="around" w:vAnchor="text" w:hAnchor="text" w:y="1"/>
      <w:numPr>
        <w:numId w:val="8"/>
      </w:numPr>
      <w:ind w:left="360"/>
      <w:suppressOverlap/>
    </w:pPr>
  </w:style>
  <w:style w:type="paragraph" w:customStyle="1" w:styleId="Tablenumbered">
    <w:name w:val="Table numbered"/>
    <w:basedOn w:val="TabletextLeft"/>
    <w:uiPriority w:val="5"/>
    <w:rsid w:val="00F9113D"/>
    <w:pPr>
      <w:framePr w:hSpace="180" w:wrap="around" w:vAnchor="text" w:hAnchor="text" w:y="1"/>
      <w:numPr>
        <w:numId w:val="9"/>
      </w:numPr>
      <w:suppressOverlap/>
    </w:pPr>
  </w:style>
  <w:style w:type="paragraph" w:customStyle="1" w:styleId="Charttitle">
    <w:name w:val="Chart title"/>
    <w:uiPriority w:val="7"/>
    <w:rsid w:val="00F9113D"/>
    <w:pPr>
      <w:spacing w:before="120" w:after="120"/>
    </w:pPr>
    <w:rPr>
      <w:rFonts w:eastAsiaTheme="majorEastAsia" w:cstheme="majorBidi"/>
      <w:b/>
      <w:bCs/>
      <w:color w:val="62B5E5" w:themeColor="accent3"/>
      <w:szCs w:val="26"/>
      <w:lang w:val="en-AU"/>
    </w:rPr>
  </w:style>
  <w:style w:type="paragraph" w:styleId="Bibliography">
    <w:name w:val="Bibliography"/>
    <w:basedOn w:val="Normal"/>
    <w:next w:val="Normal"/>
    <w:uiPriority w:val="99"/>
    <w:semiHidden/>
    <w:rsid w:val="00F9113D"/>
  </w:style>
  <w:style w:type="paragraph" w:styleId="BlockText">
    <w:name w:val="Block Text"/>
    <w:basedOn w:val="Normal"/>
    <w:uiPriority w:val="99"/>
    <w:semiHidden/>
    <w:rsid w:val="00F9113D"/>
    <w:pPr>
      <w:pBdr>
        <w:top w:val="single" w:sz="2" w:space="10" w:color="86BC25" w:themeColor="accent1" w:frame="1"/>
        <w:left w:val="single" w:sz="2" w:space="10" w:color="86BC25" w:themeColor="accent1" w:frame="1"/>
        <w:bottom w:val="single" w:sz="2" w:space="10" w:color="86BC25" w:themeColor="accent1" w:frame="1"/>
        <w:right w:val="single" w:sz="2" w:space="10" w:color="86BC25" w:themeColor="accent1" w:frame="1"/>
      </w:pBdr>
      <w:ind w:left="1152" w:right="1152"/>
    </w:pPr>
    <w:rPr>
      <w:rFonts w:eastAsiaTheme="minorEastAsia"/>
      <w:i/>
      <w:iCs/>
      <w:color w:val="86BC25" w:themeColor="accent1"/>
    </w:rPr>
  </w:style>
  <w:style w:type="paragraph" w:styleId="BodyText">
    <w:name w:val="Body Text"/>
    <w:basedOn w:val="Normal"/>
    <w:link w:val="BodyTextChar"/>
    <w:semiHidden/>
    <w:rsid w:val="00F9113D"/>
    <w:pPr>
      <w:spacing w:after="240"/>
    </w:pPr>
  </w:style>
  <w:style w:type="character" w:customStyle="1" w:styleId="BodyTextChar">
    <w:name w:val="Body Text Char"/>
    <w:basedOn w:val="DefaultParagraphFont"/>
    <w:link w:val="BodyText"/>
    <w:semiHidden/>
    <w:rsid w:val="00D24870"/>
  </w:style>
  <w:style w:type="paragraph" w:styleId="BodyText2">
    <w:name w:val="Body Text 2"/>
    <w:basedOn w:val="Normal"/>
    <w:link w:val="BodyText2Char"/>
    <w:uiPriority w:val="99"/>
    <w:semiHidden/>
    <w:rsid w:val="00F9113D"/>
    <w:pPr>
      <w:spacing w:line="480" w:lineRule="auto"/>
    </w:pPr>
  </w:style>
  <w:style w:type="character" w:customStyle="1" w:styleId="BodyText2Char">
    <w:name w:val="Body Text 2 Char"/>
    <w:basedOn w:val="DefaultParagraphFont"/>
    <w:link w:val="BodyText2"/>
    <w:uiPriority w:val="99"/>
    <w:semiHidden/>
    <w:rsid w:val="00F9113D"/>
  </w:style>
  <w:style w:type="paragraph" w:styleId="BodyText3">
    <w:name w:val="Body Text 3"/>
    <w:basedOn w:val="Normal"/>
    <w:link w:val="BodyText3Char"/>
    <w:uiPriority w:val="99"/>
    <w:semiHidden/>
    <w:rsid w:val="00F9113D"/>
    <w:rPr>
      <w:sz w:val="16"/>
      <w:szCs w:val="16"/>
    </w:rPr>
  </w:style>
  <w:style w:type="character" w:customStyle="1" w:styleId="BodyText3Char">
    <w:name w:val="Body Text 3 Char"/>
    <w:basedOn w:val="DefaultParagraphFont"/>
    <w:link w:val="BodyText3"/>
    <w:uiPriority w:val="99"/>
    <w:semiHidden/>
    <w:rsid w:val="00F9113D"/>
    <w:rPr>
      <w:sz w:val="16"/>
      <w:szCs w:val="16"/>
    </w:rPr>
  </w:style>
  <w:style w:type="paragraph" w:styleId="BodyTextFirstIndent">
    <w:name w:val="Body Text First Indent"/>
    <w:basedOn w:val="BodyText"/>
    <w:link w:val="BodyTextFirstIndentChar"/>
    <w:uiPriority w:val="99"/>
    <w:semiHidden/>
    <w:rsid w:val="00F9113D"/>
    <w:pPr>
      <w:ind w:firstLine="360"/>
    </w:pPr>
  </w:style>
  <w:style w:type="character" w:customStyle="1" w:styleId="BodyTextFirstIndentChar">
    <w:name w:val="Body Text First Indent Char"/>
    <w:basedOn w:val="BodyTextChar"/>
    <w:link w:val="BodyTextFirstIndent"/>
    <w:uiPriority w:val="99"/>
    <w:semiHidden/>
    <w:rsid w:val="00F9113D"/>
  </w:style>
  <w:style w:type="paragraph" w:styleId="BodyTextIndent">
    <w:name w:val="Body Text Indent"/>
    <w:basedOn w:val="Normal"/>
    <w:link w:val="BodyTextIndentChar"/>
    <w:uiPriority w:val="99"/>
    <w:semiHidden/>
    <w:rsid w:val="00F9113D"/>
    <w:pPr>
      <w:ind w:left="283"/>
    </w:pPr>
  </w:style>
  <w:style w:type="character" w:customStyle="1" w:styleId="BodyTextIndentChar">
    <w:name w:val="Body Text Indent Char"/>
    <w:basedOn w:val="DefaultParagraphFont"/>
    <w:link w:val="BodyTextIndent"/>
    <w:uiPriority w:val="99"/>
    <w:semiHidden/>
    <w:rsid w:val="00F9113D"/>
  </w:style>
  <w:style w:type="paragraph" w:styleId="BodyTextFirstIndent2">
    <w:name w:val="Body Text First Indent 2"/>
    <w:basedOn w:val="BodyTextIndent"/>
    <w:link w:val="BodyTextFirstIndent2Char"/>
    <w:uiPriority w:val="99"/>
    <w:semiHidden/>
    <w:rsid w:val="00F9113D"/>
    <w:pPr>
      <w:spacing w:after="240"/>
      <w:ind w:left="360" w:firstLine="360"/>
    </w:pPr>
  </w:style>
  <w:style w:type="character" w:customStyle="1" w:styleId="BodyTextFirstIndent2Char">
    <w:name w:val="Body Text First Indent 2 Char"/>
    <w:basedOn w:val="BodyTextIndentChar"/>
    <w:link w:val="BodyTextFirstIndent2"/>
    <w:uiPriority w:val="99"/>
    <w:semiHidden/>
    <w:rsid w:val="00F9113D"/>
  </w:style>
  <w:style w:type="paragraph" w:styleId="BodyTextIndent2">
    <w:name w:val="Body Text Indent 2"/>
    <w:basedOn w:val="Normal"/>
    <w:link w:val="BodyTextIndent2Char"/>
    <w:uiPriority w:val="99"/>
    <w:semiHidden/>
    <w:rsid w:val="00F9113D"/>
    <w:pPr>
      <w:spacing w:line="480" w:lineRule="auto"/>
      <w:ind w:left="283"/>
    </w:pPr>
  </w:style>
  <w:style w:type="character" w:customStyle="1" w:styleId="BodyTextIndent2Char">
    <w:name w:val="Body Text Indent 2 Char"/>
    <w:basedOn w:val="DefaultParagraphFont"/>
    <w:link w:val="BodyTextIndent2"/>
    <w:uiPriority w:val="99"/>
    <w:semiHidden/>
    <w:rsid w:val="00F9113D"/>
  </w:style>
  <w:style w:type="paragraph" w:styleId="BodyTextIndent3">
    <w:name w:val="Body Text Indent 3"/>
    <w:basedOn w:val="Normal"/>
    <w:link w:val="BodyTextIndent3Char"/>
    <w:uiPriority w:val="99"/>
    <w:semiHidden/>
    <w:rsid w:val="00F9113D"/>
    <w:pPr>
      <w:ind w:left="283"/>
    </w:pPr>
    <w:rPr>
      <w:sz w:val="16"/>
      <w:szCs w:val="16"/>
    </w:rPr>
  </w:style>
  <w:style w:type="character" w:customStyle="1" w:styleId="BodyTextIndent3Char">
    <w:name w:val="Body Text Indent 3 Char"/>
    <w:basedOn w:val="DefaultParagraphFont"/>
    <w:link w:val="BodyTextIndent3"/>
    <w:uiPriority w:val="99"/>
    <w:semiHidden/>
    <w:rsid w:val="00F9113D"/>
    <w:rPr>
      <w:sz w:val="16"/>
      <w:szCs w:val="16"/>
    </w:rPr>
  </w:style>
  <w:style w:type="character" w:styleId="BookTitle">
    <w:name w:val="Book Title"/>
    <w:basedOn w:val="DefaultParagraphFont"/>
    <w:uiPriority w:val="99"/>
    <w:semiHidden/>
    <w:qFormat/>
    <w:rsid w:val="00F9113D"/>
    <w:rPr>
      <w:b/>
      <w:bCs/>
      <w:smallCaps/>
      <w:spacing w:val="5"/>
      <w:lang w:val="en-AU"/>
    </w:rPr>
  </w:style>
  <w:style w:type="paragraph" w:styleId="Closing">
    <w:name w:val="Closing"/>
    <w:basedOn w:val="Normal"/>
    <w:link w:val="ClosingChar"/>
    <w:uiPriority w:val="99"/>
    <w:semiHidden/>
    <w:rsid w:val="00F9113D"/>
    <w:pPr>
      <w:ind w:left="4252"/>
    </w:pPr>
  </w:style>
  <w:style w:type="character" w:customStyle="1" w:styleId="ClosingChar">
    <w:name w:val="Closing Char"/>
    <w:basedOn w:val="DefaultParagraphFont"/>
    <w:link w:val="Closing"/>
    <w:uiPriority w:val="99"/>
    <w:semiHidden/>
    <w:rsid w:val="00F9113D"/>
  </w:style>
  <w:style w:type="table" w:styleId="ColorfulGrid">
    <w:name w:val="Colorful Grid"/>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7F5CF" w:themeFill="accent1" w:themeFillTint="33"/>
    </w:tcPr>
    <w:tblStylePr w:type="firstRow">
      <w:rPr>
        <w:b/>
        <w:bCs/>
      </w:rPr>
      <w:tblPr/>
      <w:tcPr>
        <w:shd w:val="clear" w:color="auto" w:fill="D0EC9F" w:themeFill="accent1" w:themeFillTint="66"/>
      </w:tcPr>
    </w:tblStylePr>
    <w:tblStylePr w:type="lastRow">
      <w:rPr>
        <w:b/>
        <w:bCs/>
        <w:color w:val="000000" w:themeColor="text1"/>
      </w:rPr>
      <w:tblPr/>
      <w:tcPr>
        <w:shd w:val="clear" w:color="auto" w:fill="D0EC9F" w:themeFill="accent1" w:themeFillTint="66"/>
      </w:tcPr>
    </w:tblStylePr>
    <w:tblStylePr w:type="firstCol">
      <w:rPr>
        <w:color w:val="FFFFFF" w:themeColor="background1"/>
      </w:rPr>
      <w:tblPr/>
      <w:tcPr>
        <w:shd w:val="clear" w:color="auto" w:fill="638C1B" w:themeFill="accent1" w:themeFillShade="BF"/>
      </w:tcPr>
    </w:tblStylePr>
    <w:tblStylePr w:type="lastCol">
      <w:rPr>
        <w:color w:val="FFFFFF" w:themeColor="background1"/>
      </w:rPr>
      <w:tblPr/>
      <w:tcPr>
        <w:shd w:val="clear" w:color="auto" w:fill="638C1B" w:themeFill="accent1" w:themeFillShade="BF"/>
      </w:tcPr>
    </w:tblStylePr>
    <w:tblStylePr w:type="band1Vert">
      <w:tblPr/>
      <w:tcPr>
        <w:shd w:val="clear" w:color="auto" w:fill="C5E788" w:themeFill="accent1" w:themeFillTint="7F"/>
      </w:tcPr>
    </w:tblStylePr>
    <w:tblStylePr w:type="band1Horz">
      <w:tblPr/>
      <w:tcPr>
        <w:shd w:val="clear" w:color="auto" w:fill="C5E788" w:themeFill="accent1" w:themeFillTint="7F"/>
      </w:tcPr>
    </w:tblStylePr>
  </w:style>
  <w:style w:type="table" w:styleId="ColorfulGrid-Accent2">
    <w:name w:val="Colorful Grid Accent 2"/>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B1FCD7" w:themeFill="accent2" w:themeFillTint="33"/>
    </w:tcPr>
    <w:tblStylePr w:type="firstRow">
      <w:rPr>
        <w:b/>
        <w:bCs/>
      </w:rPr>
      <w:tblPr/>
      <w:tcPr>
        <w:shd w:val="clear" w:color="auto" w:fill="64F9B0" w:themeFill="accent2" w:themeFillTint="66"/>
      </w:tcPr>
    </w:tblStylePr>
    <w:tblStylePr w:type="lastRow">
      <w:rPr>
        <w:b/>
        <w:bCs/>
        <w:color w:val="000000" w:themeColor="text1"/>
      </w:rPr>
      <w:tblPr/>
      <w:tcPr>
        <w:shd w:val="clear" w:color="auto" w:fill="64F9B0" w:themeFill="accent2" w:themeFillTint="66"/>
      </w:tcPr>
    </w:tblStylePr>
    <w:tblStylePr w:type="firstCol">
      <w:rPr>
        <w:color w:val="FFFFFF" w:themeColor="background1"/>
      </w:rPr>
      <w:tblPr/>
      <w:tcPr>
        <w:shd w:val="clear" w:color="auto" w:fill="034F29" w:themeFill="accent2" w:themeFillShade="BF"/>
      </w:tcPr>
    </w:tblStylePr>
    <w:tblStylePr w:type="lastCol">
      <w:rPr>
        <w:color w:val="FFFFFF" w:themeColor="background1"/>
      </w:rPr>
      <w:tblPr/>
      <w:tcPr>
        <w:shd w:val="clear" w:color="auto" w:fill="034F29" w:themeFill="accent2" w:themeFillShade="BF"/>
      </w:tcPr>
    </w:tblStylePr>
    <w:tblStylePr w:type="band1Vert">
      <w:tblPr/>
      <w:tcPr>
        <w:shd w:val="clear" w:color="auto" w:fill="3EF79D" w:themeFill="accent2" w:themeFillTint="7F"/>
      </w:tcPr>
    </w:tblStylePr>
    <w:tblStylePr w:type="band1Horz">
      <w:tblPr/>
      <w:tcPr>
        <w:shd w:val="clear" w:color="auto" w:fill="3EF79D" w:themeFill="accent2" w:themeFillTint="7F"/>
      </w:tcPr>
    </w:tblStylePr>
  </w:style>
  <w:style w:type="table" w:styleId="ColorfulGrid-Accent3">
    <w:name w:val="Colorful Grid Accent 3"/>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FF0F9" w:themeFill="accent3" w:themeFillTint="33"/>
    </w:tcPr>
    <w:tblStylePr w:type="firstRow">
      <w:rPr>
        <w:b/>
        <w:bCs/>
      </w:rPr>
      <w:tblPr/>
      <w:tcPr>
        <w:shd w:val="clear" w:color="auto" w:fill="C0E1F4" w:themeFill="accent3" w:themeFillTint="66"/>
      </w:tcPr>
    </w:tblStylePr>
    <w:tblStylePr w:type="lastRow">
      <w:rPr>
        <w:b/>
        <w:bCs/>
        <w:color w:val="000000" w:themeColor="text1"/>
      </w:rPr>
      <w:tblPr/>
      <w:tcPr>
        <w:shd w:val="clear" w:color="auto" w:fill="C0E1F4" w:themeFill="accent3" w:themeFillTint="66"/>
      </w:tcPr>
    </w:tblStylePr>
    <w:tblStylePr w:type="firstCol">
      <w:rPr>
        <w:color w:val="FFFFFF" w:themeColor="background1"/>
      </w:rPr>
      <w:tblPr/>
      <w:tcPr>
        <w:shd w:val="clear" w:color="auto" w:fill="2291D1" w:themeFill="accent3" w:themeFillShade="BF"/>
      </w:tcPr>
    </w:tblStylePr>
    <w:tblStylePr w:type="lastCol">
      <w:rPr>
        <w:color w:val="FFFFFF" w:themeColor="background1"/>
      </w:rPr>
      <w:tblPr/>
      <w:tcPr>
        <w:shd w:val="clear" w:color="auto" w:fill="2291D1" w:themeFill="accent3" w:themeFillShade="BF"/>
      </w:tcPr>
    </w:tblStylePr>
    <w:tblStylePr w:type="band1Vert">
      <w:tblPr/>
      <w:tcPr>
        <w:shd w:val="clear" w:color="auto" w:fill="B0D9F2" w:themeFill="accent3" w:themeFillTint="7F"/>
      </w:tcPr>
    </w:tblStylePr>
    <w:tblStylePr w:type="band1Horz">
      <w:tblPr/>
      <w:tcPr>
        <w:shd w:val="clear" w:color="auto" w:fill="B0D9F2" w:themeFill="accent3" w:themeFillTint="7F"/>
      </w:tcPr>
    </w:tblStylePr>
  </w:style>
  <w:style w:type="table" w:styleId="ColorfulGrid-Accent4">
    <w:name w:val="Colorful Grid Accent 4"/>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AEC7FE" w:themeFill="accent4" w:themeFillTint="33"/>
    </w:tcPr>
    <w:tblStylePr w:type="firstRow">
      <w:rPr>
        <w:b/>
        <w:bCs/>
      </w:rPr>
      <w:tblPr/>
      <w:tcPr>
        <w:shd w:val="clear" w:color="auto" w:fill="5E8FFD" w:themeFill="accent4" w:themeFillTint="66"/>
      </w:tcPr>
    </w:tblStylePr>
    <w:tblStylePr w:type="lastRow">
      <w:rPr>
        <w:b/>
        <w:bCs/>
        <w:color w:val="000000" w:themeColor="text1"/>
      </w:rPr>
      <w:tblPr/>
      <w:tcPr>
        <w:shd w:val="clear" w:color="auto" w:fill="5E8FFD" w:themeFill="accent4" w:themeFillTint="66"/>
      </w:tcPr>
    </w:tblStylePr>
    <w:tblStylePr w:type="firstCol">
      <w:rPr>
        <w:color w:val="FFFFFF" w:themeColor="background1"/>
      </w:rPr>
      <w:tblPr/>
      <w:tcPr>
        <w:shd w:val="clear" w:color="auto" w:fill="00184E" w:themeFill="accent4" w:themeFillShade="BF"/>
      </w:tcPr>
    </w:tblStylePr>
    <w:tblStylePr w:type="lastCol">
      <w:rPr>
        <w:color w:val="FFFFFF" w:themeColor="background1"/>
      </w:rPr>
      <w:tblPr/>
      <w:tcPr>
        <w:shd w:val="clear" w:color="auto" w:fill="00184E" w:themeFill="accent4" w:themeFillShade="BF"/>
      </w:tcPr>
    </w:tblStylePr>
    <w:tblStylePr w:type="band1Vert">
      <w:tblPr/>
      <w:tcPr>
        <w:shd w:val="clear" w:color="auto" w:fill="3773FD" w:themeFill="accent4" w:themeFillTint="7F"/>
      </w:tcPr>
    </w:tblStylePr>
    <w:tblStylePr w:type="band1Horz">
      <w:tblPr/>
      <w:tcPr>
        <w:shd w:val="clear" w:color="auto" w:fill="3773FD" w:themeFill="accent4" w:themeFillTint="7F"/>
      </w:tcPr>
    </w:tblStylePr>
  </w:style>
  <w:style w:type="table" w:styleId="ColorfulGrid-Accent5">
    <w:name w:val="Colorful Grid Accent 5"/>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BAF7FF" w:themeFill="accent5" w:themeFillTint="33"/>
    </w:tcPr>
    <w:tblStylePr w:type="firstRow">
      <w:rPr>
        <w:b/>
        <w:bCs/>
      </w:rPr>
      <w:tblPr/>
      <w:tcPr>
        <w:shd w:val="clear" w:color="auto" w:fill="76EFFF" w:themeFill="accent5" w:themeFillTint="66"/>
      </w:tcPr>
    </w:tblStylePr>
    <w:tblStylePr w:type="lastRow">
      <w:rPr>
        <w:b/>
        <w:bCs/>
        <w:color w:val="000000" w:themeColor="text1"/>
      </w:rPr>
      <w:tblPr/>
      <w:tcPr>
        <w:shd w:val="clear" w:color="auto" w:fill="76EFFF" w:themeFill="accent5" w:themeFillTint="66"/>
      </w:tcPr>
    </w:tblStylePr>
    <w:tblStylePr w:type="firstCol">
      <w:rPr>
        <w:color w:val="FFFFFF" w:themeColor="background1"/>
      </w:rPr>
      <w:tblPr/>
      <w:tcPr>
        <w:shd w:val="clear" w:color="auto" w:fill="00707E" w:themeFill="accent5" w:themeFillShade="BF"/>
      </w:tcPr>
    </w:tblStylePr>
    <w:tblStylePr w:type="lastCol">
      <w:rPr>
        <w:color w:val="FFFFFF" w:themeColor="background1"/>
      </w:rPr>
      <w:tblPr/>
      <w:tcPr>
        <w:shd w:val="clear" w:color="auto" w:fill="00707E" w:themeFill="accent5" w:themeFillShade="BF"/>
      </w:tcPr>
    </w:tblStylePr>
    <w:tblStylePr w:type="band1Vert">
      <w:tblPr/>
      <w:tcPr>
        <w:shd w:val="clear" w:color="auto" w:fill="55ECFF" w:themeFill="accent5" w:themeFillTint="7F"/>
      </w:tcPr>
    </w:tblStylePr>
    <w:tblStylePr w:type="band1Horz">
      <w:tblPr/>
      <w:tcPr>
        <w:shd w:val="clear" w:color="auto" w:fill="55ECFF" w:themeFill="accent5" w:themeFillTint="7F"/>
      </w:tcPr>
    </w:tblStylePr>
  </w:style>
  <w:style w:type="table" w:styleId="ColorfulGrid-Accent6">
    <w:name w:val="Colorful Grid Accent 6"/>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3E3E4" w:themeFill="accent6" w:themeFillTint="33"/>
    </w:tcPr>
    <w:tblStylePr w:type="firstRow">
      <w:rPr>
        <w:b/>
        <w:bCs/>
      </w:rPr>
      <w:tblPr/>
      <w:tcPr>
        <w:shd w:val="clear" w:color="auto" w:fill="C7C8CA" w:themeFill="accent6" w:themeFillTint="66"/>
      </w:tcPr>
    </w:tblStylePr>
    <w:tblStylePr w:type="lastRow">
      <w:rPr>
        <w:b/>
        <w:bCs/>
        <w:color w:val="000000" w:themeColor="text1"/>
      </w:rPr>
      <w:tblPr/>
      <w:tcPr>
        <w:shd w:val="clear" w:color="auto" w:fill="C7C8CA" w:themeFill="accent6" w:themeFillTint="66"/>
      </w:tcPr>
    </w:tblStylePr>
    <w:tblStylePr w:type="firstCol">
      <w:rPr>
        <w:color w:val="FFFFFF" w:themeColor="background1"/>
      </w:rPr>
      <w:tblPr/>
      <w:tcPr>
        <w:shd w:val="clear" w:color="auto" w:fill="57595C" w:themeFill="accent6" w:themeFillShade="BF"/>
      </w:tcPr>
    </w:tblStylePr>
    <w:tblStylePr w:type="lastCol">
      <w:rPr>
        <w:color w:val="FFFFFF" w:themeColor="background1"/>
      </w:rPr>
      <w:tblPr/>
      <w:tcPr>
        <w:shd w:val="clear" w:color="auto" w:fill="57595C" w:themeFill="accent6" w:themeFillShade="BF"/>
      </w:tcPr>
    </w:tblStylePr>
    <w:tblStylePr w:type="band1Vert">
      <w:tblPr/>
      <w:tcPr>
        <w:shd w:val="clear" w:color="auto" w:fill="B9BBBD" w:themeFill="accent6" w:themeFillTint="7F"/>
      </w:tcPr>
    </w:tblStylePr>
    <w:tblStylePr w:type="band1Horz">
      <w:tblPr/>
      <w:tcPr>
        <w:shd w:val="clear" w:color="auto" w:fill="B9BBBD" w:themeFill="accent6" w:themeFillTint="7F"/>
      </w:tcPr>
    </w:tblStylePr>
  </w:style>
  <w:style w:type="table" w:styleId="ColorfulList">
    <w:name w:val="Colorful List"/>
    <w:basedOn w:val="TableNormal"/>
    <w:uiPriority w:val="72"/>
    <w:rsid w:val="00F9113D"/>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3542C" w:themeFill="accent2" w:themeFillShade="CC"/>
      </w:tcPr>
    </w:tblStylePr>
    <w:tblStylePr w:type="lastRow">
      <w:rPr>
        <w:b/>
        <w:bCs/>
        <w:color w:val="035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F9113D"/>
    <w:pPr>
      <w:spacing w:line="240" w:lineRule="auto"/>
    </w:pPr>
    <w:rPr>
      <w:color w:val="000000" w:themeColor="text1"/>
    </w:rPr>
    <w:tblPr>
      <w:tblStyleRowBandSize w:val="1"/>
      <w:tblStyleColBandSize w:val="1"/>
    </w:tblPr>
    <w:tcPr>
      <w:shd w:val="clear" w:color="auto" w:fill="F3FAE7" w:themeFill="accent1" w:themeFillTint="19"/>
    </w:tcPr>
    <w:tblStylePr w:type="firstRow">
      <w:rPr>
        <w:b/>
        <w:bCs/>
        <w:color w:val="FFFFFF" w:themeColor="background1"/>
      </w:rPr>
      <w:tblPr/>
      <w:tcPr>
        <w:tcBorders>
          <w:bottom w:val="single" w:sz="12" w:space="0" w:color="FFFFFF" w:themeColor="background1"/>
        </w:tcBorders>
        <w:shd w:val="clear" w:color="auto" w:fill="03542C" w:themeFill="accent2" w:themeFillShade="CC"/>
      </w:tcPr>
    </w:tblStylePr>
    <w:tblStylePr w:type="lastRow">
      <w:rPr>
        <w:b/>
        <w:bCs/>
        <w:color w:val="035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F3C3" w:themeFill="accent1" w:themeFillTint="3F"/>
      </w:tcPr>
    </w:tblStylePr>
    <w:tblStylePr w:type="band1Horz">
      <w:tblPr/>
      <w:tcPr>
        <w:shd w:val="clear" w:color="auto" w:fill="E7F5CF" w:themeFill="accent1" w:themeFillTint="33"/>
      </w:tcPr>
    </w:tblStylePr>
  </w:style>
  <w:style w:type="table" w:styleId="ColorfulList-Accent2">
    <w:name w:val="Colorful List Accent 2"/>
    <w:basedOn w:val="TableNormal"/>
    <w:uiPriority w:val="72"/>
    <w:rsid w:val="00F9113D"/>
    <w:pPr>
      <w:spacing w:line="240" w:lineRule="auto"/>
    </w:pPr>
    <w:rPr>
      <w:color w:val="000000" w:themeColor="text1"/>
    </w:rPr>
    <w:tblPr>
      <w:tblStyleRowBandSize w:val="1"/>
      <w:tblStyleColBandSize w:val="1"/>
    </w:tblPr>
    <w:tcPr>
      <w:shd w:val="clear" w:color="auto" w:fill="D9FDEB" w:themeFill="accent2" w:themeFillTint="19"/>
    </w:tcPr>
    <w:tblStylePr w:type="firstRow">
      <w:rPr>
        <w:b/>
        <w:bCs/>
        <w:color w:val="FFFFFF" w:themeColor="background1"/>
      </w:rPr>
      <w:tblPr/>
      <w:tcPr>
        <w:tcBorders>
          <w:bottom w:val="single" w:sz="12" w:space="0" w:color="FFFFFF" w:themeColor="background1"/>
        </w:tcBorders>
        <w:shd w:val="clear" w:color="auto" w:fill="03542C" w:themeFill="accent2" w:themeFillShade="CC"/>
      </w:tcPr>
    </w:tblStylePr>
    <w:tblStylePr w:type="lastRow">
      <w:rPr>
        <w:b/>
        <w:bCs/>
        <w:color w:val="035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FFBCE" w:themeFill="accent2" w:themeFillTint="3F"/>
      </w:tcPr>
    </w:tblStylePr>
    <w:tblStylePr w:type="band1Horz">
      <w:tblPr/>
      <w:tcPr>
        <w:shd w:val="clear" w:color="auto" w:fill="B1FCD7" w:themeFill="accent2" w:themeFillTint="33"/>
      </w:tcPr>
    </w:tblStylePr>
  </w:style>
  <w:style w:type="table" w:styleId="ColorfulList-Accent3">
    <w:name w:val="Colorful List Accent 3"/>
    <w:basedOn w:val="TableNormal"/>
    <w:uiPriority w:val="72"/>
    <w:rsid w:val="00F9113D"/>
    <w:pPr>
      <w:spacing w:line="240" w:lineRule="auto"/>
    </w:pPr>
    <w:rPr>
      <w:color w:val="000000" w:themeColor="text1"/>
    </w:rPr>
    <w:tblPr>
      <w:tblStyleRowBandSize w:val="1"/>
      <w:tblStyleColBandSize w:val="1"/>
    </w:tblPr>
    <w:tcPr>
      <w:shd w:val="clear" w:color="auto" w:fill="EFF7FC" w:themeFill="accent3" w:themeFillTint="19"/>
    </w:tcPr>
    <w:tblStylePr w:type="firstRow">
      <w:rPr>
        <w:b/>
        <w:bCs/>
        <w:color w:val="FFFFFF" w:themeColor="background1"/>
      </w:rPr>
      <w:tblPr/>
      <w:tcPr>
        <w:tcBorders>
          <w:bottom w:val="single" w:sz="12" w:space="0" w:color="FFFFFF" w:themeColor="background1"/>
        </w:tcBorders>
        <w:shd w:val="clear" w:color="auto" w:fill="001A53" w:themeFill="accent4" w:themeFillShade="CC"/>
      </w:tcPr>
    </w:tblStylePr>
    <w:tblStylePr w:type="lastRow">
      <w:rPr>
        <w:b/>
        <w:bCs/>
        <w:color w:val="001A53"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ECF8" w:themeFill="accent3" w:themeFillTint="3F"/>
      </w:tcPr>
    </w:tblStylePr>
    <w:tblStylePr w:type="band1Horz">
      <w:tblPr/>
      <w:tcPr>
        <w:shd w:val="clear" w:color="auto" w:fill="DFF0F9" w:themeFill="accent3" w:themeFillTint="33"/>
      </w:tcPr>
    </w:tblStylePr>
  </w:style>
  <w:style w:type="table" w:styleId="ColorfulList-Accent4">
    <w:name w:val="Colorful List Accent 4"/>
    <w:basedOn w:val="TableNormal"/>
    <w:uiPriority w:val="72"/>
    <w:rsid w:val="00F9113D"/>
    <w:pPr>
      <w:spacing w:line="240" w:lineRule="auto"/>
    </w:pPr>
    <w:rPr>
      <w:color w:val="000000" w:themeColor="text1"/>
    </w:rPr>
    <w:tblPr>
      <w:tblStyleRowBandSize w:val="1"/>
      <w:tblStyleColBandSize w:val="1"/>
    </w:tblPr>
    <w:tcPr>
      <w:shd w:val="clear" w:color="auto" w:fill="D7E3FE" w:themeFill="accent4" w:themeFillTint="19"/>
    </w:tcPr>
    <w:tblStylePr w:type="firstRow">
      <w:rPr>
        <w:b/>
        <w:bCs/>
        <w:color w:val="FFFFFF" w:themeColor="background1"/>
      </w:rPr>
      <w:tblPr/>
      <w:tcPr>
        <w:tcBorders>
          <w:bottom w:val="single" w:sz="12" w:space="0" w:color="FFFFFF" w:themeColor="background1"/>
        </w:tcBorders>
        <w:shd w:val="clear" w:color="auto" w:fill="299ADB" w:themeFill="accent3" w:themeFillShade="CC"/>
      </w:tcPr>
    </w:tblStylePr>
    <w:tblStylePr w:type="lastRow">
      <w:rPr>
        <w:b/>
        <w:bCs/>
        <w:color w:val="299AD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BB9FE" w:themeFill="accent4" w:themeFillTint="3F"/>
      </w:tcPr>
    </w:tblStylePr>
    <w:tblStylePr w:type="band1Horz">
      <w:tblPr/>
      <w:tcPr>
        <w:shd w:val="clear" w:color="auto" w:fill="AEC7FE" w:themeFill="accent4" w:themeFillTint="33"/>
      </w:tcPr>
    </w:tblStylePr>
  </w:style>
  <w:style w:type="table" w:styleId="ColorfulList-Accent5">
    <w:name w:val="Colorful List Accent 5"/>
    <w:basedOn w:val="TableNormal"/>
    <w:uiPriority w:val="72"/>
    <w:rsid w:val="00F9113D"/>
    <w:pPr>
      <w:spacing w:line="240" w:lineRule="auto"/>
    </w:pPr>
    <w:rPr>
      <w:color w:val="000000" w:themeColor="text1"/>
    </w:rPr>
    <w:tblPr>
      <w:tblStyleRowBandSize w:val="1"/>
      <w:tblStyleColBandSize w:val="1"/>
    </w:tblPr>
    <w:tcPr>
      <w:shd w:val="clear" w:color="auto" w:fill="DDFBFF" w:themeFill="accent5" w:themeFillTint="19"/>
    </w:tcPr>
    <w:tblStylePr w:type="firstRow">
      <w:rPr>
        <w:b/>
        <w:bCs/>
        <w:color w:val="FFFFFF" w:themeColor="background1"/>
      </w:rPr>
      <w:tblPr/>
      <w:tcPr>
        <w:tcBorders>
          <w:bottom w:val="single" w:sz="12" w:space="0" w:color="FFFFFF" w:themeColor="background1"/>
        </w:tcBorders>
        <w:shd w:val="clear" w:color="auto" w:fill="5D5F62" w:themeFill="accent6" w:themeFillShade="CC"/>
      </w:tcPr>
    </w:tblStylePr>
    <w:tblStylePr w:type="lastRow">
      <w:rPr>
        <w:b/>
        <w:bCs/>
        <w:color w:val="5D5F62"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F5FF" w:themeFill="accent5" w:themeFillTint="3F"/>
      </w:tcPr>
    </w:tblStylePr>
    <w:tblStylePr w:type="band1Horz">
      <w:tblPr/>
      <w:tcPr>
        <w:shd w:val="clear" w:color="auto" w:fill="BAF7FF" w:themeFill="accent5" w:themeFillTint="33"/>
      </w:tcPr>
    </w:tblStylePr>
  </w:style>
  <w:style w:type="table" w:styleId="ColorfulList-Accent6">
    <w:name w:val="Colorful List Accent 6"/>
    <w:basedOn w:val="TableNormal"/>
    <w:uiPriority w:val="72"/>
    <w:rsid w:val="00F9113D"/>
    <w:pPr>
      <w:spacing w:line="240" w:lineRule="auto"/>
    </w:pPr>
    <w:rPr>
      <w:color w:val="000000" w:themeColor="text1"/>
    </w:rPr>
    <w:tblPr>
      <w:tblStyleRowBandSize w:val="1"/>
      <w:tblStyleColBandSize w:val="1"/>
    </w:tblPr>
    <w:tcPr>
      <w:shd w:val="clear" w:color="auto" w:fill="F1F1F2" w:themeFill="accent6" w:themeFillTint="19"/>
    </w:tcPr>
    <w:tblStylePr w:type="firstRow">
      <w:rPr>
        <w:b/>
        <w:bCs/>
        <w:color w:val="FFFFFF" w:themeColor="background1"/>
      </w:rPr>
      <w:tblPr/>
      <w:tcPr>
        <w:tcBorders>
          <w:bottom w:val="single" w:sz="12" w:space="0" w:color="FFFFFF" w:themeColor="background1"/>
        </w:tcBorders>
        <w:shd w:val="clear" w:color="auto" w:fill="007887" w:themeFill="accent5" w:themeFillShade="CC"/>
      </w:tcPr>
    </w:tblStylePr>
    <w:tblStylePr w:type="lastRow">
      <w:rPr>
        <w:b/>
        <w:bCs/>
        <w:color w:val="007887"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DDDE" w:themeFill="accent6" w:themeFillTint="3F"/>
      </w:tcPr>
    </w:tblStylePr>
    <w:tblStylePr w:type="band1Horz">
      <w:tblPr/>
      <w:tcPr>
        <w:shd w:val="clear" w:color="auto" w:fill="E3E3E4" w:themeFill="accent6" w:themeFillTint="33"/>
      </w:tcPr>
    </w:tblStylePr>
  </w:style>
  <w:style w:type="table" w:styleId="ColorfulShading">
    <w:name w:val="Colorful Shading"/>
    <w:basedOn w:val="TableNormal"/>
    <w:uiPriority w:val="71"/>
    <w:rsid w:val="00F9113D"/>
    <w:pPr>
      <w:spacing w:line="240" w:lineRule="auto"/>
    </w:pPr>
    <w:rPr>
      <w:color w:val="000000" w:themeColor="text1"/>
    </w:rPr>
    <w:tblPr>
      <w:tblStyleRowBandSize w:val="1"/>
      <w:tblStyleColBandSize w:val="1"/>
      <w:tblBorders>
        <w:top w:val="single" w:sz="24" w:space="0" w:color="046A38"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F9113D"/>
    <w:pPr>
      <w:spacing w:line="240" w:lineRule="auto"/>
    </w:pPr>
    <w:rPr>
      <w:color w:val="000000" w:themeColor="text1"/>
    </w:rPr>
    <w:tblPr>
      <w:tblStyleRowBandSize w:val="1"/>
      <w:tblStyleColBandSize w:val="1"/>
      <w:tblBorders>
        <w:top w:val="single" w:sz="24" w:space="0" w:color="046A38" w:themeColor="accent2"/>
        <w:left w:val="single" w:sz="4" w:space="0" w:color="86BC25" w:themeColor="accent1"/>
        <w:bottom w:val="single" w:sz="4" w:space="0" w:color="86BC25" w:themeColor="accent1"/>
        <w:right w:val="single" w:sz="4" w:space="0" w:color="86BC25" w:themeColor="accent1"/>
        <w:insideH w:val="single" w:sz="4" w:space="0" w:color="FFFFFF" w:themeColor="background1"/>
        <w:insideV w:val="single" w:sz="4" w:space="0" w:color="FFFFFF" w:themeColor="background1"/>
      </w:tblBorders>
    </w:tblPr>
    <w:tcPr>
      <w:shd w:val="clear" w:color="auto" w:fill="F3FAE7" w:themeFill="accent1" w:themeFillTint="19"/>
    </w:tcPr>
    <w:tblStylePr w:type="firstRow">
      <w:rPr>
        <w:b/>
        <w:bCs/>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07016" w:themeFill="accent1" w:themeFillShade="99"/>
      </w:tcPr>
    </w:tblStylePr>
    <w:tblStylePr w:type="firstCol">
      <w:rPr>
        <w:color w:val="FFFFFF" w:themeColor="background1"/>
      </w:rPr>
      <w:tblPr/>
      <w:tcPr>
        <w:tcBorders>
          <w:top w:val="nil"/>
          <w:left w:val="nil"/>
          <w:bottom w:val="nil"/>
          <w:right w:val="nil"/>
          <w:insideH w:val="single" w:sz="4" w:space="0" w:color="507016" w:themeColor="accent1" w:themeShade="99"/>
          <w:insideV w:val="nil"/>
        </w:tcBorders>
        <w:shd w:val="clear" w:color="auto" w:fill="507016"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07016" w:themeFill="accent1" w:themeFillShade="99"/>
      </w:tcPr>
    </w:tblStylePr>
    <w:tblStylePr w:type="band1Vert">
      <w:tblPr/>
      <w:tcPr>
        <w:shd w:val="clear" w:color="auto" w:fill="D0EC9F" w:themeFill="accent1" w:themeFillTint="66"/>
      </w:tcPr>
    </w:tblStylePr>
    <w:tblStylePr w:type="band1Horz">
      <w:tblPr/>
      <w:tcPr>
        <w:shd w:val="clear" w:color="auto" w:fill="C5E788"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F9113D"/>
    <w:pPr>
      <w:spacing w:line="240" w:lineRule="auto"/>
    </w:pPr>
    <w:rPr>
      <w:color w:val="000000" w:themeColor="text1"/>
    </w:rPr>
    <w:tblPr>
      <w:tblStyleRowBandSize w:val="1"/>
      <w:tblStyleColBandSize w:val="1"/>
      <w:tblBorders>
        <w:top w:val="single" w:sz="24" w:space="0" w:color="046A38" w:themeColor="accent2"/>
        <w:left w:val="single" w:sz="4" w:space="0" w:color="046A38" w:themeColor="accent2"/>
        <w:bottom w:val="single" w:sz="4" w:space="0" w:color="046A38" w:themeColor="accent2"/>
        <w:right w:val="single" w:sz="4" w:space="0" w:color="046A38" w:themeColor="accent2"/>
        <w:insideH w:val="single" w:sz="4" w:space="0" w:color="FFFFFF" w:themeColor="background1"/>
        <w:insideV w:val="single" w:sz="4" w:space="0" w:color="FFFFFF" w:themeColor="background1"/>
      </w:tblBorders>
    </w:tblPr>
    <w:tcPr>
      <w:shd w:val="clear" w:color="auto" w:fill="D9FDEB" w:themeFill="accent2" w:themeFillTint="19"/>
    </w:tcPr>
    <w:tblStylePr w:type="firstRow">
      <w:rPr>
        <w:b/>
        <w:bCs/>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23F21" w:themeFill="accent2" w:themeFillShade="99"/>
      </w:tcPr>
    </w:tblStylePr>
    <w:tblStylePr w:type="firstCol">
      <w:rPr>
        <w:color w:val="FFFFFF" w:themeColor="background1"/>
      </w:rPr>
      <w:tblPr/>
      <w:tcPr>
        <w:tcBorders>
          <w:top w:val="nil"/>
          <w:left w:val="nil"/>
          <w:bottom w:val="nil"/>
          <w:right w:val="nil"/>
          <w:insideH w:val="single" w:sz="4" w:space="0" w:color="023F21" w:themeColor="accent2" w:themeShade="99"/>
          <w:insideV w:val="nil"/>
        </w:tcBorders>
        <w:shd w:val="clear" w:color="auto" w:fill="023F2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23F21" w:themeFill="accent2" w:themeFillShade="99"/>
      </w:tcPr>
    </w:tblStylePr>
    <w:tblStylePr w:type="band1Vert">
      <w:tblPr/>
      <w:tcPr>
        <w:shd w:val="clear" w:color="auto" w:fill="64F9B0" w:themeFill="accent2" w:themeFillTint="66"/>
      </w:tcPr>
    </w:tblStylePr>
    <w:tblStylePr w:type="band1Horz">
      <w:tblPr/>
      <w:tcPr>
        <w:shd w:val="clear" w:color="auto" w:fill="3EF79D"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F9113D"/>
    <w:pPr>
      <w:spacing w:line="240" w:lineRule="auto"/>
    </w:pPr>
    <w:rPr>
      <w:color w:val="000000" w:themeColor="text1"/>
    </w:rPr>
    <w:tblPr>
      <w:tblStyleRowBandSize w:val="1"/>
      <w:tblStyleColBandSize w:val="1"/>
      <w:tblBorders>
        <w:top w:val="single" w:sz="24" w:space="0" w:color="012169" w:themeColor="accent4"/>
        <w:left w:val="single" w:sz="4" w:space="0" w:color="62B5E5" w:themeColor="accent3"/>
        <w:bottom w:val="single" w:sz="4" w:space="0" w:color="62B5E5" w:themeColor="accent3"/>
        <w:right w:val="single" w:sz="4" w:space="0" w:color="62B5E5" w:themeColor="accent3"/>
        <w:insideH w:val="single" w:sz="4" w:space="0" w:color="FFFFFF" w:themeColor="background1"/>
        <w:insideV w:val="single" w:sz="4" w:space="0" w:color="FFFFFF" w:themeColor="background1"/>
      </w:tblBorders>
    </w:tblPr>
    <w:tcPr>
      <w:shd w:val="clear" w:color="auto" w:fill="EFF7FC" w:themeFill="accent3" w:themeFillTint="19"/>
    </w:tcPr>
    <w:tblStylePr w:type="firstRow">
      <w:rPr>
        <w:b/>
        <w:bCs/>
      </w:rPr>
      <w:tblPr/>
      <w:tcPr>
        <w:tcBorders>
          <w:top w:val="nil"/>
          <w:left w:val="nil"/>
          <w:bottom w:val="single" w:sz="24" w:space="0" w:color="01216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C74A8" w:themeFill="accent3" w:themeFillShade="99"/>
      </w:tcPr>
    </w:tblStylePr>
    <w:tblStylePr w:type="firstCol">
      <w:rPr>
        <w:color w:val="FFFFFF" w:themeColor="background1"/>
      </w:rPr>
      <w:tblPr/>
      <w:tcPr>
        <w:tcBorders>
          <w:top w:val="nil"/>
          <w:left w:val="nil"/>
          <w:bottom w:val="nil"/>
          <w:right w:val="nil"/>
          <w:insideH w:val="single" w:sz="4" w:space="0" w:color="1C74A8" w:themeColor="accent3" w:themeShade="99"/>
          <w:insideV w:val="nil"/>
        </w:tcBorders>
        <w:shd w:val="clear" w:color="auto" w:fill="1C74A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C74A8" w:themeFill="accent3" w:themeFillShade="99"/>
      </w:tcPr>
    </w:tblStylePr>
    <w:tblStylePr w:type="band1Vert">
      <w:tblPr/>
      <w:tcPr>
        <w:shd w:val="clear" w:color="auto" w:fill="C0E1F4" w:themeFill="accent3" w:themeFillTint="66"/>
      </w:tcPr>
    </w:tblStylePr>
    <w:tblStylePr w:type="band1Horz">
      <w:tblPr/>
      <w:tcPr>
        <w:shd w:val="clear" w:color="auto" w:fill="B0D9F2" w:themeFill="accent3" w:themeFillTint="7F"/>
      </w:tcPr>
    </w:tblStylePr>
  </w:style>
  <w:style w:type="table" w:styleId="ColorfulShading-Accent4">
    <w:name w:val="Colorful Shading Accent 4"/>
    <w:basedOn w:val="TableNormal"/>
    <w:uiPriority w:val="71"/>
    <w:rsid w:val="00F9113D"/>
    <w:pPr>
      <w:spacing w:line="240" w:lineRule="auto"/>
    </w:pPr>
    <w:rPr>
      <w:color w:val="000000" w:themeColor="text1"/>
    </w:rPr>
    <w:tblPr>
      <w:tblStyleRowBandSize w:val="1"/>
      <w:tblStyleColBandSize w:val="1"/>
      <w:tblBorders>
        <w:top w:val="single" w:sz="24" w:space="0" w:color="62B5E5" w:themeColor="accent3"/>
        <w:left w:val="single" w:sz="4" w:space="0" w:color="012169" w:themeColor="accent4"/>
        <w:bottom w:val="single" w:sz="4" w:space="0" w:color="012169" w:themeColor="accent4"/>
        <w:right w:val="single" w:sz="4" w:space="0" w:color="012169" w:themeColor="accent4"/>
        <w:insideH w:val="single" w:sz="4" w:space="0" w:color="FFFFFF" w:themeColor="background1"/>
        <w:insideV w:val="single" w:sz="4" w:space="0" w:color="FFFFFF" w:themeColor="background1"/>
      </w:tblBorders>
    </w:tblPr>
    <w:tcPr>
      <w:shd w:val="clear" w:color="auto" w:fill="D7E3FE" w:themeFill="accent4" w:themeFillTint="19"/>
    </w:tcPr>
    <w:tblStylePr w:type="firstRow">
      <w:rPr>
        <w:b/>
        <w:bCs/>
      </w:rPr>
      <w:tblPr/>
      <w:tcPr>
        <w:tcBorders>
          <w:top w:val="nil"/>
          <w:left w:val="nil"/>
          <w:bottom w:val="single" w:sz="24" w:space="0" w:color="62B5E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33E" w:themeFill="accent4" w:themeFillShade="99"/>
      </w:tcPr>
    </w:tblStylePr>
    <w:tblStylePr w:type="firstCol">
      <w:rPr>
        <w:color w:val="FFFFFF" w:themeColor="background1"/>
      </w:rPr>
      <w:tblPr/>
      <w:tcPr>
        <w:tcBorders>
          <w:top w:val="nil"/>
          <w:left w:val="nil"/>
          <w:bottom w:val="nil"/>
          <w:right w:val="nil"/>
          <w:insideH w:val="single" w:sz="4" w:space="0" w:color="00133E" w:themeColor="accent4" w:themeShade="99"/>
          <w:insideV w:val="nil"/>
        </w:tcBorders>
        <w:shd w:val="clear" w:color="auto" w:fill="00133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133E" w:themeFill="accent4" w:themeFillShade="99"/>
      </w:tcPr>
    </w:tblStylePr>
    <w:tblStylePr w:type="band1Vert">
      <w:tblPr/>
      <w:tcPr>
        <w:shd w:val="clear" w:color="auto" w:fill="5E8FFD" w:themeFill="accent4" w:themeFillTint="66"/>
      </w:tcPr>
    </w:tblStylePr>
    <w:tblStylePr w:type="band1Horz">
      <w:tblPr/>
      <w:tcPr>
        <w:shd w:val="clear" w:color="auto" w:fill="3773FD"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F9113D"/>
    <w:pPr>
      <w:spacing w:line="240" w:lineRule="auto"/>
    </w:pPr>
    <w:rPr>
      <w:color w:val="000000" w:themeColor="text1"/>
    </w:rPr>
    <w:tblPr>
      <w:tblStyleRowBandSize w:val="1"/>
      <w:tblStyleColBandSize w:val="1"/>
      <w:tblBorders>
        <w:top w:val="single" w:sz="24" w:space="0" w:color="75787B" w:themeColor="accent6"/>
        <w:left w:val="single" w:sz="4" w:space="0" w:color="0097A9" w:themeColor="accent5"/>
        <w:bottom w:val="single" w:sz="4" w:space="0" w:color="0097A9" w:themeColor="accent5"/>
        <w:right w:val="single" w:sz="4" w:space="0" w:color="0097A9" w:themeColor="accent5"/>
        <w:insideH w:val="single" w:sz="4" w:space="0" w:color="FFFFFF" w:themeColor="background1"/>
        <w:insideV w:val="single" w:sz="4" w:space="0" w:color="FFFFFF" w:themeColor="background1"/>
      </w:tblBorders>
    </w:tblPr>
    <w:tcPr>
      <w:shd w:val="clear" w:color="auto" w:fill="DDFBFF" w:themeFill="accent5" w:themeFillTint="19"/>
    </w:tcPr>
    <w:tblStylePr w:type="firstRow">
      <w:rPr>
        <w:b/>
        <w:bCs/>
      </w:rPr>
      <w:tblPr/>
      <w:tcPr>
        <w:tcBorders>
          <w:top w:val="nil"/>
          <w:left w:val="nil"/>
          <w:bottom w:val="single" w:sz="24" w:space="0" w:color="75787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A65" w:themeFill="accent5" w:themeFillShade="99"/>
      </w:tcPr>
    </w:tblStylePr>
    <w:tblStylePr w:type="firstCol">
      <w:rPr>
        <w:color w:val="FFFFFF" w:themeColor="background1"/>
      </w:rPr>
      <w:tblPr/>
      <w:tcPr>
        <w:tcBorders>
          <w:top w:val="nil"/>
          <w:left w:val="nil"/>
          <w:bottom w:val="nil"/>
          <w:right w:val="nil"/>
          <w:insideH w:val="single" w:sz="4" w:space="0" w:color="005A65" w:themeColor="accent5" w:themeShade="99"/>
          <w:insideV w:val="nil"/>
        </w:tcBorders>
        <w:shd w:val="clear" w:color="auto" w:fill="005A65"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5A65" w:themeFill="accent5" w:themeFillShade="99"/>
      </w:tcPr>
    </w:tblStylePr>
    <w:tblStylePr w:type="band1Vert">
      <w:tblPr/>
      <w:tcPr>
        <w:shd w:val="clear" w:color="auto" w:fill="76EFFF" w:themeFill="accent5" w:themeFillTint="66"/>
      </w:tcPr>
    </w:tblStylePr>
    <w:tblStylePr w:type="band1Horz">
      <w:tblPr/>
      <w:tcPr>
        <w:shd w:val="clear" w:color="auto" w:fill="55EC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F9113D"/>
    <w:pPr>
      <w:spacing w:line="240" w:lineRule="auto"/>
    </w:pPr>
    <w:rPr>
      <w:color w:val="000000" w:themeColor="text1"/>
    </w:rPr>
    <w:tblPr>
      <w:tblStyleRowBandSize w:val="1"/>
      <w:tblStyleColBandSize w:val="1"/>
      <w:tblBorders>
        <w:top w:val="single" w:sz="24" w:space="0" w:color="0097A9" w:themeColor="accent5"/>
        <w:left w:val="single" w:sz="4" w:space="0" w:color="75787B" w:themeColor="accent6"/>
        <w:bottom w:val="single" w:sz="4" w:space="0" w:color="75787B" w:themeColor="accent6"/>
        <w:right w:val="single" w:sz="4" w:space="0" w:color="75787B" w:themeColor="accent6"/>
        <w:insideH w:val="single" w:sz="4" w:space="0" w:color="FFFFFF" w:themeColor="background1"/>
        <w:insideV w:val="single" w:sz="4" w:space="0" w:color="FFFFFF" w:themeColor="background1"/>
      </w:tblBorders>
    </w:tblPr>
    <w:tcPr>
      <w:shd w:val="clear" w:color="auto" w:fill="F1F1F2" w:themeFill="accent6" w:themeFillTint="19"/>
    </w:tcPr>
    <w:tblStylePr w:type="firstRow">
      <w:rPr>
        <w:b/>
        <w:bCs/>
      </w:rPr>
      <w:tblPr/>
      <w:tcPr>
        <w:tcBorders>
          <w:top w:val="nil"/>
          <w:left w:val="nil"/>
          <w:bottom w:val="single" w:sz="24" w:space="0" w:color="0097A9"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64749" w:themeFill="accent6" w:themeFillShade="99"/>
      </w:tcPr>
    </w:tblStylePr>
    <w:tblStylePr w:type="firstCol">
      <w:rPr>
        <w:color w:val="FFFFFF" w:themeColor="background1"/>
      </w:rPr>
      <w:tblPr/>
      <w:tcPr>
        <w:tcBorders>
          <w:top w:val="nil"/>
          <w:left w:val="nil"/>
          <w:bottom w:val="nil"/>
          <w:right w:val="nil"/>
          <w:insideH w:val="single" w:sz="4" w:space="0" w:color="464749" w:themeColor="accent6" w:themeShade="99"/>
          <w:insideV w:val="nil"/>
        </w:tcBorders>
        <w:shd w:val="clear" w:color="auto" w:fill="46474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64749" w:themeFill="accent6" w:themeFillShade="99"/>
      </w:tcPr>
    </w:tblStylePr>
    <w:tblStylePr w:type="band1Vert">
      <w:tblPr/>
      <w:tcPr>
        <w:shd w:val="clear" w:color="auto" w:fill="C7C8CA" w:themeFill="accent6" w:themeFillTint="66"/>
      </w:tcPr>
    </w:tblStylePr>
    <w:tblStylePr w:type="band1Horz">
      <w:tblPr/>
      <w:tcPr>
        <w:shd w:val="clear" w:color="auto" w:fill="B9BBBD"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rsid w:val="00F9113D"/>
    <w:rPr>
      <w:sz w:val="16"/>
      <w:szCs w:val="16"/>
      <w:lang w:val="en-AU"/>
    </w:rPr>
  </w:style>
  <w:style w:type="paragraph" w:styleId="CommentText">
    <w:name w:val="annotation text"/>
    <w:basedOn w:val="Normal"/>
    <w:link w:val="CommentTextChar"/>
    <w:uiPriority w:val="99"/>
    <w:semiHidden/>
    <w:rsid w:val="00F9113D"/>
    <w:rPr>
      <w:szCs w:val="20"/>
    </w:rPr>
  </w:style>
  <w:style w:type="character" w:customStyle="1" w:styleId="CommentTextChar">
    <w:name w:val="Comment Text Char"/>
    <w:basedOn w:val="DefaultParagraphFont"/>
    <w:link w:val="CommentText"/>
    <w:uiPriority w:val="99"/>
    <w:semiHidden/>
    <w:rsid w:val="00F9113D"/>
    <w:rPr>
      <w:sz w:val="20"/>
      <w:szCs w:val="20"/>
    </w:rPr>
  </w:style>
  <w:style w:type="paragraph" w:styleId="CommentSubject">
    <w:name w:val="annotation subject"/>
    <w:basedOn w:val="CommentText"/>
    <w:next w:val="CommentText"/>
    <w:link w:val="CommentSubjectChar"/>
    <w:uiPriority w:val="99"/>
    <w:semiHidden/>
    <w:rsid w:val="00F9113D"/>
    <w:rPr>
      <w:b/>
      <w:bCs/>
    </w:rPr>
  </w:style>
  <w:style w:type="character" w:customStyle="1" w:styleId="CommentSubjectChar">
    <w:name w:val="Comment Subject Char"/>
    <w:basedOn w:val="CommentTextChar"/>
    <w:link w:val="CommentSubject"/>
    <w:uiPriority w:val="99"/>
    <w:semiHidden/>
    <w:rsid w:val="00F9113D"/>
    <w:rPr>
      <w:b/>
      <w:bCs/>
      <w:sz w:val="20"/>
      <w:szCs w:val="20"/>
    </w:rPr>
  </w:style>
  <w:style w:type="table" w:styleId="DarkList">
    <w:name w:val="Dark List"/>
    <w:basedOn w:val="TableNormal"/>
    <w:uiPriority w:val="70"/>
    <w:rsid w:val="00F9113D"/>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F9113D"/>
    <w:pPr>
      <w:spacing w:line="240" w:lineRule="auto"/>
    </w:pPr>
    <w:rPr>
      <w:color w:val="FFFFFF" w:themeColor="background1"/>
    </w:rPr>
    <w:tblPr>
      <w:tblStyleRowBandSize w:val="1"/>
      <w:tblStyleColBandSize w:val="1"/>
    </w:tblPr>
    <w:tcPr>
      <w:shd w:val="clear" w:color="auto" w:fill="86BC2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25D1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638C1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638C1B" w:themeFill="accent1" w:themeFillShade="BF"/>
      </w:tcPr>
    </w:tblStylePr>
    <w:tblStylePr w:type="band1Vert">
      <w:tblPr/>
      <w:tcPr>
        <w:tcBorders>
          <w:top w:val="nil"/>
          <w:left w:val="nil"/>
          <w:bottom w:val="nil"/>
          <w:right w:val="nil"/>
          <w:insideH w:val="nil"/>
          <w:insideV w:val="nil"/>
        </w:tcBorders>
        <w:shd w:val="clear" w:color="auto" w:fill="638C1B" w:themeFill="accent1" w:themeFillShade="BF"/>
      </w:tcPr>
    </w:tblStylePr>
    <w:tblStylePr w:type="band1Horz">
      <w:tblPr/>
      <w:tcPr>
        <w:tcBorders>
          <w:top w:val="nil"/>
          <w:left w:val="nil"/>
          <w:bottom w:val="nil"/>
          <w:right w:val="nil"/>
          <w:insideH w:val="nil"/>
          <w:insideV w:val="nil"/>
        </w:tcBorders>
        <w:shd w:val="clear" w:color="auto" w:fill="638C1B" w:themeFill="accent1" w:themeFillShade="BF"/>
      </w:tcPr>
    </w:tblStylePr>
  </w:style>
  <w:style w:type="table" w:styleId="DarkList-Accent2">
    <w:name w:val="Dark List Accent 2"/>
    <w:basedOn w:val="TableNormal"/>
    <w:uiPriority w:val="70"/>
    <w:rsid w:val="00F9113D"/>
    <w:pPr>
      <w:spacing w:line="240" w:lineRule="auto"/>
    </w:pPr>
    <w:rPr>
      <w:color w:val="FFFFFF" w:themeColor="background1"/>
    </w:rPr>
    <w:tblPr>
      <w:tblStyleRowBandSize w:val="1"/>
      <w:tblStyleColBandSize w:val="1"/>
    </w:tblPr>
    <w:tcPr>
      <w:shd w:val="clear" w:color="auto" w:fill="046A38"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2341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34F29"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34F29" w:themeFill="accent2" w:themeFillShade="BF"/>
      </w:tcPr>
    </w:tblStylePr>
    <w:tblStylePr w:type="band1Vert">
      <w:tblPr/>
      <w:tcPr>
        <w:tcBorders>
          <w:top w:val="nil"/>
          <w:left w:val="nil"/>
          <w:bottom w:val="nil"/>
          <w:right w:val="nil"/>
          <w:insideH w:val="nil"/>
          <w:insideV w:val="nil"/>
        </w:tcBorders>
        <w:shd w:val="clear" w:color="auto" w:fill="034F29" w:themeFill="accent2" w:themeFillShade="BF"/>
      </w:tcPr>
    </w:tblStylePr>
    <w:tblStylePr w:type="band1Horz">
      <w:tblPr/>
      <w:tcPr>
        <w:tcBorders>
          <w:top w:val="nil"/>
          <w:left w:val="nil"/>
          <w:bottom w:val="nil"/>
          <w:right w:val="nil"/>
          <w:insideH w:val="nil"/>
          <w:insideV w:val="nil"/>
        </w:tcBorders>
        <w:shd w:val="clear" w:color="auto" w:fill="034F29" w:themeFill="accent2" w:themeFillShade="BF"/>
      </w:tcPr>
    </w:tblStylePr>
  </w:style>
  <w:style w:type="table" w:styleId="DarkList-Accent3">
    <w:name w:val="Dark List Accent 3"/>
    <w:basedOn w:val="TableNormal"/>
    <w:uiPriority w:val="70"/>
    <w:rsid w:val="00F9113D"/>
    <w:pPr>
      <w:spacing w:line="240" w:lineRule="auto"/>
    </w:pPr>
    <w:rPr>
      <w:color w:val="FFFFFF" w:themeColor="background1"/>
    </w:rPr>
    <w:tblPr>
      <w:tblStyleRowBandSize w:val="1"/>
      <w:tblStyleColBandSize w:val="1"/>
    </w:tblPr>
    <w:tcPr>
      <w:shd w:val="clear" w:color="auto" w:fill="62B5E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7608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291D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291D1" w:themeFill="accent3" w:themeFillShade="BF"/>
      </w:tcPr>
    </w:tblStylePr>
    <w:tblStylePr w:type="band1Vert">
      <w:tblPr/>
      <w:tcPr>
        <w:tcBorders>
          <w:top w:val="nil"/>
          <w:left w:val="nil"/>
          <w:bottom w:val="nil"/>
          <w:right w:val="nil"/>
          <w:insideH w:val="nil"/>
          <w:insideV w:val="nil"/>
        </w:tcBorders>
        <w:shd w:val="clear" w:color="auto" w:fill="2291D1" w:themeFill="accent3" w:themeFillShade="BF"/>
      </w:tcPr>
    </w:tblStylePr>
    <w:tblStylePr w:type="band1Horz">
      <w:tblPr/>
      <w:tcPr>
        <w:tcBorders>
          <w:top w:val="nil"/>
          <w:left w:val="nil"/>
          <w:bottom w:val="nil"/>
          <w:right w:val="nil"/>
          <w:insideH w:val="nil"/>
          <w:insideV w:val="nil"/>
        </w:tcBorders>
        <w:shd w:val="clear" w:color="auto" w:fill="2291D1" w:themeFill="accent3" w:themeFillShade="BF"/>
      </w:tcPr>
    </w:tblStylePr>
  </w:style>
  <w:style w:type="table" w:styleId="DarkList-Accent4">
    <w:name w:val="Dark List Accent 4"/>
    <w:basedOn w:val="TableNormal"/>
    <w:uiPriority w:val="70"/>
    <w:rsid w:val="00F9113D"/>
    <w:pPr>
      <w:spacing w:line="240" w:lineRule="auto"/>
    </w:pPr>
    <w:rPr>
      <w:color w:val="FFFFFF" w:themeColor="background1"/>
    </w:rPr>
    <w:tblPr>
      <w:tblStyleRowBandSize w:val="1"/>
      <w:tblStyleColBandSize w:val="1"/>
    </w:tblPr>
    <w:tcPr>
      <w:shd w:val="clear" w:color="auto" w:fill="01216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03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184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184E" w:themeFill="accent4" w:themeFillShade="BF"/>
      </w:tcPr>
    </w:tblStylePr>
    <w:tblStylePr w:type="band1Vert">
      <w:tblPr/>
      <w:tcPr>
        <w:tcBorders>
          <w:top w:val="nil"/>
          <w:left w:val="nil"/>
          <w:bottom w:val="nil"/>
          <w:right w:val="nil"/>
          <w:insideH w:val="nil"/>
          <w:insideV w:val="nil"/>
        </w:tcBorders>
        <w:shd w:val="clear" w:color="auto" w:fill="00184E" w:themeFill="accent4" w:themeFillShade="BF"/>
      </w:tcPr>
    </w:tblStylePr>
    <w:tblStylePr w:type="band1Horz">
      <w:tblPr/>
      <w:tcPr>
        <w:tcBorders>
          <w:top w:val="nil"/>
          <w:left w:val="nil"/>
          <w:bottom w:val="nil"/>
          <w:right w:val="nil"/>
          <w:insideH w:val="nil"/>
          <w:insideV w:val="nil"/>
        </w:tcBorders>
        <w:shd w:val="clear" w:color="auto" w:fill="00184E" w:themeFill="accent4" w:themeFillShade="BF"/>
      </w:tcPr>
    </w:tblStylePr>
  </w:style>
  <w:style w:type="table" w:styleId="DarkList-Accent5">
    <w:name w:val="Dark List Accent 5"/>
    <w:basedOn w:val="TableNormal"/>
    <w:uiPriority w:val="70"/>
    <w:rsid w:val="00F9113D"/>
    <w:pPr>
      <w:spacing w:line="240" w:lineRule="auto"/>
    </w:pPr>
    <w:rPr>
      <w:color w:val="FFFFFF" w:themeColor="background1"/>
    </w:rPr>
    <w:tblPr>
      <w:tblStyleRowBandSize w:val="1"/>
      <w:tblStyleColBandSize w:val="1"/>
    </w:tblPr>
    <w:tcPr>
      <w:shd w:val="clear" w:color="auto" w:fill="0097A9"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A54"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707E"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707E" w:themeFill="accent5" w:themeFillShade="BF"/>
      </w:tcPr>
    </w:tblStylePr>
    <w:tblStylePr w:type="band1Vert">
      <w:tblPr/>
      <w:tcPr>
        <w:tcBorders>
          <w:top w:val="nil"/>
          <w:left w:val="nil"/>
          <w:bottom w:val="nil"/>
          <w:right w:val="nil"/>
          <w:insideH w:val="nil"/>
          <w:insideV w:val="nil"/>
        </w:tcBorders>
        <w:shd w:val="clear" w:color="auto" w:fill="00707E" w:themeFill="accent5" w:themeFillShade="BF"/>
      </w:tcPr>
    </w:tblStylePr>
    <w:tblStylePr w:type="band1Horz">
      <w:tblPr/>
      <w:tcPr>
        <w:tcBorders>
          <w:top w:val="nil"/>
          <w:left w:val="nil"/>
          <w:bottom w:val="nil"/>
          <w:right w:val="nil"/>
          <w:insideH w:val="nil"/>
          <w:insideV w:val="nil"/>
        </w:tcBorders>
        <w:shd w:val="clear" w:color="auto" w:fill="00707E" w:themeFill="accent5" w:themeFillShade="BF"/>
      </w:tcPr>
    </w:tblStylePr>
  </w:style>
  <w:style w:type="table" w:styleId="DarkList-Accent6">
    <w:name w:val="Dark List Accent 6"/>
    <w:basedOn w:val="TableNormal"/>
    <w:uiPriority w:val="70"/>
    <w:rsid w:val="00F9113D"/>
    <w:pPr>
      <w:spacing w:line="240" w:lineRule="auto"/>
    </w:pPr>
    <w:rPr>
      <w:color w:val="FFFFFF" w:themeColor="background1"/>
    </w:rPr>
    <w:tblPr>
      <w:tblStyleRowBandSize w:val="1"/>
      <w:tblStyleColBandSize w:val="1"/>
    </w:tblPr>
    <w:tcPr>
      <w:shd w:val="clear" w:color="auto" w:fill="75787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A3B3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7595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7595C" w:themeFill="accent6" w:themeFillShade="BF"/>
      </w:tcPr>
    </w:tblStylePr>
    <w:tblStylePr w:type="band1Vert">
      <w:tblPr/>
      <w:tcPr>
        <w:tcBorders>
          <w:top w:val="nil"/>
          <w:left w:val="nil"/>
          <w:bottom w:val="nil"/>
          <w:right w:val="nil"/>
          <w:insideH w:val="nil"/>
          <w:insideV w:val="nil"/>
        </w:tcBorders>
        <w:shd w:val="clear" w:color="auto" w:fill="57595C" w:themeFill="accent6" w:themeFillShade="BF"/>
      </w:tcPr>
    </w:tblStylePr>
    <w:tblStylePr w:type="band1Horz">
      <w:tblPr/>
      <w:tcPr>
        <w:tcBorders>
          <w:top w:val="nil"/>
          <w:left w:val="nil"/>
          <w:bottom w:val="nil"/>
          <w:right w:val="nil"/>
          <w:insideH w:val="nil"/>
          <w:insideV w:val="nil"/>
        </w:tcBorders>
        <w:shd w:val="clear" w:color="auto" w:fill="57595C" w:themeFill="accent6" w:themeFillShade="BF"/>
      </w:tcPr>
    </w:tblStylePr>
  </w:style>
  <w:style w:type="paragraph" w:styleId="Date">
    <w:name w:val="Date"/>
    <w:basedOn w:val="Normal"/>
    <w:next w:val="Normal"/>
    <w:link w:val="DateChar"/>
    <w:uiPriority w:val="99"/>
    <w:semiHidden/>
    <w:rsid w:val="00F9113D"/>
  </w:style>
  <w:style w:type="character" w:customStyle="1" w:styleId="DateChar">
    <w:name w:val="Date Char"/>
    <w:basedOn w:val="DefaultParagraphFont"/>
    <w:link w:val="Date"/>
    <w:uiPriority w:val="99"/>
    <w:semiHidden/>
    <w:rsid w:val="00F9113D"/>
  </w:style>
  <w:style w:type="paragraph" w:styleId="DocumentMap">
    <w:name w:val="Document Map"/>
    <w:basedOn w:val="Normal"/>
    <w:link w:val="DocumentMapChar"/>
    <w:uiPriority w:val="99"/>
    <w:semiHidden/>
    <w:rsid w:val="00F9113D"/>
    <w:rPr>
      <w:rFonts w:ascii="Tahoma" w:hAnsi="Tahoma" w:cs="Tahoma"/>
      <w:sz w:val="16"/>
      <w:szCs w:val="16"/>
    </w:rPr>
  </w:style>
  <w:style w:type="character" w:customStyle="1" w:styleId="DocumentMapChar">
    <w:name w:val="Document Map Char"/>
    <w:basedOn w:val="DefaultParagraphFont"/>
    <w:link w:val="DocumentMap"/>
    <w:uiPriority w:val="99"/>
    <w:semiHidden/>
    <w:rsid w:val="00F9113D"/>
    <w:rPr>
      <w:rFonts w:ascii="Tahoma" w:hAnsi="Tahoma" w:cs="Tahoma"/>
      <w:sz w:val="16"/>
      <w:szCs w:val="16"/>
    </w:rPr>
  </w:style>
  <w:style w:type="paragraph" w:styleId="E-mailSignature">
    <w:name w:val="E-mail Signature"/>
    <w:basedOn w:val="Normal"/>
    <w:link w:val="E-mailSignatureChar"/>
    <w:uiPriority w:val="99"/>
    <w:semiHidden/>
    <w:rsid w:val="00F9113D"/>
  </w:style>
  <w:style w:type="character" w:customStyle="1" w:styleId="E-mailSignatureChar">
    <w:name w:val="E-mail Signature Char"/>
    <w:basedOn w:val="DefaultParagraphFont"/>
    <w:link w:val="E-mailSignature"/>
    <w:uiPriority w:val="99"/>
    <w:semiHidden/>
    <w:rsid w:val="00F9113D"/>
  </w:style>
  <w:style w:type="character" w:styleId="Emphasis">
    <w:name w:val="Emphasis"/>
    <w:basedOn w:val="DefaultParagraphFont"/>
    <w:uiPriority w:val="20"/>
    <w:qFormat/>
    <w:rsid w:val="004C2B18"/>
    <w:rPr>
      <w:b w:val="0"/>
      <w:i/>
      <w:iCs/>
      <w:color w:val="auto"/>
      <w:lang w:val="en-AU"/>
    </w:rPr>
  </w:style>
  <w:style w:type="character" w:styleId="EndnoteReference">
    <w:name w:val="endnote reference"/>
    <w:basedOn w:val="DefaultParagraphFont"/>
    <w:uiPriority w:val="99"/>
    <w:semiHidden/>
    <w:rsid w:val="00F9113D"/>
    <w:rPr>
      <w:vertAlign w:val="superscript"/>
      <w:lang w:val="en-AU"/>
    </w:rPr>
  </w:style>
  <w:style w:type="paragraph" w:styleId="EndnoteText">
    <w:name w:val="endnote text"/>
    <w:basedOn w:val="Normal"/>
    <w:link w:val="EndnoteTextChar"/>
    <w:uiPriority w:val="99"/>
    <w:semiHidden/>
    <w:rsid w:val="00A32309"/>
    <w:rPr>
      <w:szCs w:val="20"/>
    </w:rPr>
  </w:style>
  <w:style w:type="character" w:customStyle="1" w:styleId="EndnoteTextChar">
    <w:name w:val="Endnote Text Char"/>
    <w:basedOn w:val="DefaultParagraphFont"/>
    <w:link w:val="EndnoteText"/>
    <w:uiPriority w:val="99"/>
    <w:semiHidden/>
    <w:rsid w:val="00A32309"/>
    <w:rPr>
      <w:szCs w:val="20"/>
      <w:lang w:val="en-AU"/>
    </w:rPr>
  </w:style>
  <w:style w:type="paragraph" w:styleId="EnvelopeAddress">
    <w:name w:val="envelope address"/>
    <w:basedOn w:val="Normal"/>
    <w:uiPriority w:val="99"/>
    <w:semiHidden/>
    <w:rsid w:val="00F9113D"/>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F9113D"/>
    <w:rPr>
      <w:rFonts w:asciiTheme="majorHAnsi" w:eastAsiaTheme="majorEastAsia" w:hAnsiTheme="majorHAnsi" w:cstheme="majorBidi"/>
      <w:szCs w:val="20"/>
    </w:rPr>
  </w:style>
  <w:style w:type="character" w:styleId="FollowedHyperlink">
    <w:name w:val="FollowedHyperlink"/>
    <w:basedOn w:val="DefaultParagraphFont"/>
    <w:uiPriority w:val="99"/>
    <w:semiHidden/>
    <w:rsid w:val="00F9113D"/>
    <w:rPr>
      <w:color w:val="53565A"/>
      <w:u w:val="single"/>
      <w:lang w:val="en-AU"/>
    </w:rPr>
  </w:style>
  <w:style w:type="character" w:customStyle="1" w:styleId="Heading5Char">
    <w:name w:val="Heading 5 Char"/>
    <w:basedOn w:val="DefaultParagraphFont"/>
    <w:link w:val="Heading5"/>
    <w:uiPriority w:val="1"/>
    <w:rsid w:val="00C50447"/>
    <w:rPr>
      <w:rFonts w:eastAsiaTheme="majorEastAsia" w:cstheme="majorBidi"/>
      <w:b/>
      <w:lang w:val="en-AU"/>
    </w:rPr>
  </w:style>
  <w:style w:type="character" w:customStyle="1" w:styleId="Heading6Char">
    <w:name w:val="Heading 6 Char"/>
    <w:basedOn w:val="DefaultParagraphFont"/>
    <w:link w:val="Heading6"/>
    <w:uiPriority w:val="1"/>
    <w:semiHidden/>
    <w:rsid w:val="00F9113D"/>
    <w:rPr>
      <w:rFonts w:eastAsiaTheme="majorEastAsia" w:cstheme="majorBidi"/>
      <w:b/>
      <w:iCs/>
      <w:lang w:val="en-AU"/>
    </w:rPr>
  </w:style>
  <w:style w:type="character" w:customStyle="1" w:styleId="Heading7Char">
    <w:name w:val="Heading 7 Char"/>
    <w:basedOn w:val="DefaultParagraphFont"/>
    <w:link w:val="Heading7"/>
    <w:uiPriority w:val="1"/>
    <w:semiHidden/>
    <w:rsid w:val="00F9113D"/>
    <w:rPr>
      <w:rFonts w:eastAsiaTheme="majorEastAsia" w:cstheme="majorBidi"/>
      <w:b/>
      <w:iCs/>
    </w:rPr>
  </w:style>
  <w:style w:type="character" w:customStyle="1" w:styleId="Heading8Char">
    <w:name w:val="Heading 8 Char"/>
    <w:basedOn w:val="DefaultParagraphFont"/>
    <w:link w:val="Heading8"/>
    <w:uiPriority w:val="1"/>
    <w:semiHidden/>
    <w:rsid w:val="00F9113D"/>
    <w:rPr>
      <w:rFonts w:eastAsiaTheme="majorEastAsia" w:cstheme="majorBidi"/>
      <w:b/>
      <w:szCs w:val="20"/>
    </w:rPr>
  </w:style>
  <w:style w:type="character" w:customStyle="1" w:styleId="Heading9Char">
    <w:name w:val="Heading 9 Char"/>
    <w:basedOn w:val="DefaultParagraphFont"/>
    <w:link w:val="Heading9"/>
    <w:uiPriority w:val="1"/>
    <w:semiHidden/>
    <w:rsid w:val="00F9113D"/>
    <w:rPr>
      <w:rFonts w:eastAsiaTheme="majorEastAsia" w:cstheme="majorBidi"/>
      <w:b/>
      <w:iCs/>
      <w:szCs w:val="20"/>
    </w:rPr>
  </w:style>
  <w:style w:type="character" w:styleId="HTMLAcronym">
    <w:name w:val="HTML Acronym"/>
    <w:basedOn w:val="DefaultParagraphFont"/>
    <w:uiPriority w:val="99"/>
    <w:semiHidden/>
    <w:rsid w:val="00F9113D"/>
    <w:rPr>
      <w:lang w:val="en-AU"/>
    </w:rPr>
  </w:style>
  <w:style w:type="paragraph" w:styleId="HTMLAddress">
    <w:name w:val="HTML Address"/>
    <w:basedOn w:val="Normal"/>
    <w:link w:val="HTMLAddressChar"/>
    <w:uiPriority w:val="99"/>
    <w:semiHidden/>
    <w:rsid w:val="00F9113D"/>
    <w:rPr>
      <w:i/>
      <w:iCs/>
    </w:rPr>
  </w:style>
  <w:style w:type="character" w:customStyle="1" w:styleId="HTMLAddressChar">
    <w:name w:val="HTML Address Char"/>
    <w:basedOn w:val="DefaultParagraphFont"/>
    <w:link w:val="HTMLAddress"/>
    <w:uiPriority w:val="99"/>
    <w:semiHidden/>
    <w:rsid w:val="00F9113D"/>
    <w:rPr>
      <w:i/>
      <w:iCs/>
    </w:rPr>
  </w:style>
  <w:style w:type="character" w:styleId="HTMLCite">
    <w:name w:val="HTML Cite"/>
    <w:basedOn w:val="DefaultParagraphFont"/>
    <w:uiPriority w:val="99"/>
    <w:semiHidden/>
    <w:rsid w:val="00F9113D"/>
    <w:rPr>
      <w:i/>
      <w:iCs/>
      <w:lang w:val="en-AU"/>
    </w:rPr>
  </w:style>
  <w:style w:type="character" w:styleId="HTMLCode">
    <w:name w:val="HTML Code"/>
    <w:basedOn w:val="DefaultParagraphFont"/>
    <w:uiPriority w:val="99"/>
    <w:semiHidden/>
    <w:rsid w:val="00F9113D"/>
    <w:rPr>
      <w:rFonts w:ascii="Consolas" w:hAnsi="Consolas"/>
      <w:sz w:val="20"/>
      <w:szCs w:val="20"/>
      <w:lang w:val="en-AU"/>
    </w:rPr>
  </w:style>
  <w:style w:type="character" w:styleId="HTMLDefinition">
    <w:name w:val="HTML Definition"/>
    <w:basedOn w:val="DefaultParagraphFont"/>
    <w:uiPriority w:val="99"/>
    <w:semiHidden/>
    <w:rsid w:val="00F9113D"/>
    <w:rPr>
      <w:i/>
      <w:iCs/>
      <w:lang w:val="en-AU"/>
    </w:rPr>
  </w:style>
  <w:style w:type="character" w:styleId="HTMLKeyboard">
    <w:name w:val="HTML Keyboard"/>
    <w:basedOn w:val="DefaultParagraphFont"/>
    <w:uiPriority w:val="99"/>
    <w:semiHidden/>
    <w:rsid w:val="00F9113D"/>
    <w:rPr>
      <w:rFonts w:ascii="Consolas" w:hAnsi="Consolas"/>
      <w:sz w:val="20"/>
      <w:szCs w:val="20"/>
      <w:lang w:val="en-AU"/>
    </w:rPr>
  </w:style>
  <w:style w:type="paragraph" w:styleId="HTMLPreformatted">
    <w:name w:val="HTML Preformatted"/>
    <w:basedOn w:val="Normal"/>
    <w:link w:val="HTMLPreformattedChar"/>
    <w:uiPriority w:val="99"/>
    <w:semiHidden/>
    <w:rsid w:val="00F9113D"/>
    <w:rPr>
      <w:rFonts w:ascii="Consolas" w:hAnsi="Consolas"/>
      <w:szCs w:val="20"/>
    </w:rPr>
  </w:style>
  <w:style w:type="character" w:customStyle="1" w:styleId="HTMLPreformattedChar">
    <w:name w:val="HTML Preformatted Char"/>
    <w:basedOn w:val="DefaultParagraphFont"/>
    <w:link w:val="HTMLPreformatted"/>
    <w:uiPriority w:val="99"/>
    <w:semiHidden/>
    <w:rsid w:val="00F9113D"/>
    <w:rPr>
      <w:rFonts w:ascii="Consolas" w:hAnsi="Consolas"/>
      <w:sz w:val="20"/>
      <w:szCs w:val="20"/>
    </w:rPr>
  </w:style>
  <w:style w:type="character" w:styleId="HTMLSample">
    <w:name w:val="HTML Sample"/>
    <w:basedOn w:val="DefaultParagraphFont"/>
    <w:uiPriority w:val="99"/>
    <w:semiHidden/>
    <w:rsid w:val="00F9113D"/>
    <w:rPr>
      <w:rFonts w:ascii="Consolas" w:hAnsi="Consolas"/>
      <w:sz w:val="24"/>
      <w:szCs w:val="24"/>
      <w:lang w:val="en-AU"/>
    </w:rPr>
  </w:style>
  <w:style w:type="character" w:styleId="HTMLTypewriter">
    <w:name w:val="HTML Typewriter"/>
    <w:basedOn w:val="DefaultParagraphFont"/>
    <w:uiPriority w:val="99"/>
    <w:semiHidden/>
    <w:rsid w:val="00F9113D"/>
    <w:rPr>
      <w:rFonts w:ascii="Consolas" w:hAnsi="Consolas"/>
      <w:sz w:val="20"/>
      <w:szCs w:val="20"/>
      <w:lang w:val="en-AU"/>
    </w:rPr>
  </w:style>
  <w:style w:type="character" w:styleId="HTMLVariable">
    <w:name w:val="HTML Variable"/>
    <w:basedOn w:val="DefaultParagraphFont"/>
    <w:uiPriority w:val="99"/>
    <w:semiHidden/>
    <w:rsid w:val="00F9113D"/>
    <w:rPr>
      <w:i/>
      <w:iCs/>
      <w:lang w:val="en-AU"/>
    </w:rPr>
  </w:style>
  <w:style w:type="paragraph" w:styleId="Index1">
    <w:name w:val="index 1"/>
    <w:basedOn w:val="Normal"/>
    <w:next w:val="Normal"/>
    <w:autoRedefine/>
    <w:uiPriority w:val="99"/>
    <w:semiHidden/>
    <w:rsid w:val="00F9113D"/>
    <w:pPr>
      <w:ind w:left="180" w:hanging="180"/>
    </w:pPr>
  </w:style>
  <w:style w:type="paragraph" w:styleId="Index2">
    <w:name w:val="index 2"/>
    <w:basedOn w:val="Normal"/>
    <w:next w:val="Normal"/>
    <w:autoRedefine/>
    <w:uiPriority w:val="99"/>
    <w:semiHidden/>
    <w:rsid w:val="00F9113D"/>
    <w:pPr>
      <w:ind w:left="360" w:hanging="180"/>
    </w:pPr>
  </w:style>
  <w:style w:type="paragraph" w:styleId="Index3">
    <w:name w:val="index 3"/>
    <w:basedOn w:val="Normal"/>
    <w:next w:val="Normal"/>
    <w:autoRedefine/>
    <w:uiPriority w:val="99"/>
    <w:semiHidden/>
    <w:rsid w:val="00F9113D"/>
    <w:pPr>
      <w:ind w:left="540" w:hanging="180"/>
    </w:pPr>
  </w:style>
  <w:style w:type="paragraph" w:styleId="Index4">
    <w:name w:val="index 4"/>
    <w:basedOn w:val="Normal"/>
    <w:next w:val="Normal"/>
    <w:autoRedefine/>
    <w:uiPriority w:val="99"/>
    <w:semiHidden/>
    <w:rsid w:val="00F9113D"/>
    <w:pPr>
      <w:ind w:left="720" w:hanging="180"/>
    </w:pPr>
  </w:style>
  <w:style w:type="paragraph" w:styleId="Index5">
    <w:name w:val="index 5"/>
    <w:basedOn w:val="Normal"/>
    <w:next w:val="Normal"/>
    <w:autoRedefine/>
    <w:uiPriority w:val="99"/>
    <w:semiHidden/>
    <w:rsid w:val="00F9113D"/>
    <w:pPr>
      <w:ind w:left="900" w:hanging="180"/>
    </w:pPr>
  </w:style>
  <w:style w:type="paragraph" w:styleId="Index6">
    <w:name w:val="index 6"/>
    <w:basedOn w:val="Normal"/>
    <w:next w:val="Normal"/>
    <w:autoRedefine/>
    <w:uiPriority w:val="99"/>
    <w:semiHidden/>
    <w:rsid w:val="00F9113D"/>
    <w:pPr>
      <w:ind w:left="1080" w:hanging="180"/>
    </w:pPr>
  </w:style>
  <w:style w:type="paragraph" w:styleId="Index7">
    <w:name w:val="index 7"/>
    <w:basedOn w:val="Normal"/>
    <w:next w:val="Normal"/>
    <w:autoRedefine/>
    <w:uiPriority w:val="99"/>
    <w:semiHidden/>
    <w:rsid w:val="00F9113D"/>
    <w:pPr>
      <w:ind w:left="1260" w:hanging="180"/>
    </w:pPr>
  </w:style>
  <w:style w:type="paragraph" w:styleId="Index8">
    <w:name w:val="index 8"/>
    <w:basedOn w:val="Normal"/>
    <w:next w:val="Normal"/>
    <w:autoRedefine/>
    <w:uiPriority w:val="99"/>
    <w:semiHidden/>
    <w:rsid w:val="00F9113D"/>
    <w:pPr>
      <w:ind w:left="1440" w:hanging="180"/>
    </w:pPr>
  </w:style>
  <w:style w:type="paragraph" w:styleId="Index9">
    <w:name w:val="index 9"/>
    <w:basedOn w:val="Normal"/>
    <w:next w:val="Normal"/>
    <w:autoRedefine/>
    <w:uiPriority w:val="99"/>
    <w:semiHidden/>
    <w:rsid w:val="00F9113D"/>
    <w:pPr>
      <w:ind w:left="1620" w:hanging="180"/>
    </w:pPr>
  </w:style>
  <w:style w:type="paragraph" w:styleId="IndexHeading">
    <w:name w:val="index heading"/>
    <w:basedOn w:val="Normal"/>
    <w:next w:val="Index1"/>
    <w:uiPriority w:val="99"/>
    <w:semiHidden/>
    <w:rsid w:val="00F9113D"/>
    <w:rPr>
      <w:rFonts w:asciiTheme="majorHAnsi" w:eastAsiaTheme="majorEastAsia" w:hAnsiTheme="majorHAnsi" w:cstheme="majorBidi"/>
      <w:b/>
      <w:bCs/>
    </w:rPr>
  </w:style>
  <w:style w:type="character" w:styleId="IntenseEmphasis">
    <w:name w:val="Intense Emphasis"/>
    <w:basedOn w:val="DefaultParagraphFont"/>
    <w:uiPriority w:val="21"/>
    <w:semiHidden/>
    <w:qFormat/>
    <w:rsid w:val="00F9113D"/>
    <w:rPr>
      <w:b/>
      <w:bCs/>
      <w:i/>
      <w:iCs/>
      <w:color w:val="86BC25" w:themeColor="accent1"/>
      <w:lang w:val="en-AU"/>
    </w:rPr>
  </w:style>
  <w:style w:type="paragraph" w:styleId="IntenseQuote">
    <w:name w:val="Intense Quote"/>
    <w:basedOn w:val="Normal"/>
    <w:next w:val="Normal"/>
    <w:link w:val="IntenseQuoteChar"/>
    <w:uiPriority w:val="30"/>
    <w:semiHidden/>
    <w:rsid w:val="00F9113D"/>
    <w:pPr>
      <w:pBdr>
        <w:bottom w:val="single" w:sz="4" w:space="4" w:color="86BC25" w:themeColor="accent1"/>
      </w:pBdr>
      <w:spacing w:before="200" w:after="280"/>
      <w:ind w:left="936" w:right="936"/>
    </w:pPr>
    <w:rPr>
      <w:b/>
      <w:bCs/>
      <w:i/>
      <w:iCs/>
      <w:color w:val="86BC25" w:themeColor="accent1"/>
    </w:rPr>
  </w:style>
  <w:style w:type="character" w:customStyle="1" w:styleId="IntenseQuoteChar">
    <w:name w:val="Intense Quote Char"/>
    <w:basedOn w:val="DefaultParagraphFont"/>
    <w:link w:val="IntenseQuote"/>
    <w:uiPriority w:val="30"/>
    <w:semiHidden/>
    <w:rsid w:val="00F9113D"/>
    <w:rPr>
      <w:b/>
      <w:bCs/>
      <w:i/>
      <w:iCs/>
      <w:color w:val="86BC25" w:themeColor="accent1"/>
    </w:rPr>
  </w:style>
  <w:style w:type="character" w:styleId="IntenseReference">
    <w:name w:val="Intense Reference"/>
    <w:basedOn w:val="DefaultParagraphFont"/>
    <w:uiPriority w:val="99"/>
    <w:semiHidden/>
    <w:qFormat/>
    <w:rsid w:val="00F9113D"/>
    <w:rPr>
      <w:b/>
      <w:bCs/>
      <w:smallCaps/>
      <w:color w:val="046A38" w:themeColor="accent2"/>
      <w:spacing w:val="5"/>
      <w:u w:val="single"/>
      <w:lang w:val="en-AU"/>
    </w:rPr>
  </w:style>
  <w:style w:type="table" w:styleId="LightGrid">
    <w:name w:val="Light Grid"/>
    <w:basedOn w:val="TableNormal"/>
    <w:uiPriority w:val="62"/>
    <w:rsid w:val="00F9113D"/>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F9113D"/>
    <w:pPr>
      <w:spacing w:line="240" w:lineRule="auto"/>
    </w:p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insideH w:val="single" w:sz="8" w:space="0" w:color="86BC25" w:themeColor="accent1"/>
        <w:insideV w:val="single" w:sz="8" w:space="0" w:color="86BC2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6BC25" w:themeColor="accent1"/>
          <w:left w:val="single" w:sz="8" w:space="0" w:color="86BC25" w:themeColor="accent1"/>
          <w:bottom w:val="single" w:sz="18" w:space="0" w:color="86BC25" w:themeColor="accent1"/>
          <w:right w:val="single" w:sz="8" w:space="0" w:color="86BC25" w:themeColor="accent1"/>
          <w:insideH w:val="nil"/>
          <w:insideV w:val="single" w:sz="8" w:space="0" w:color="86BC2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6BC25" w:themeColor="accent1"/>
          <w:left w:val="single" w:sz="8" w:space="0" w:color="86BC25" w:themeColor="accent1"/>
          <w:bottom w:val="single" w:sz="8" w:space="0" w:color="86BC25" w:themeColor="accent1"/>
          <w:right w:val="single" w:sz="8" w:space="0" w:color="86BC25" w:themeColor="accent1"/>
          <w:insideH w:val="nil"/>
          <w:insideV w:val="single" w:sz="8" w:space="0" w:color="86BC2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tcPr>
    </w:tblStylePr>
    <w:tblStylePr w:type="band1Vert">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shd w:val="clear" w:color="auto" w:fill="E2F3C3" w:themeFill="accent1" w:themeFillTint="3F"/>
      </w:tcPr>
    </w:tblStylePr>
    <w:tblStylePr w:type="band1Horz">
      <w:tblPr/>
      <w:tcPr>
        <w:tcBorders>
          <w:top w:val="single" w:sz="8" w:space="0" w:color="86BC25" w:themeColor="accent1"/>
          <w:left w:val="single" w:sz="8" w:space="0" w:color="86BC25" w:themeColor="accent1"/>
          <w:bottom w:val="single" w:sz="8" w:space="0" w:color="86BC25" w:themeColor="accent1"/>
          <w:right w:val="single" w:sz="8" w:space="0" w:color="86BC25" w:themeColor="accent1"/>
          <w:insideV w:val="single" w:sz="8" w:space="0" w:color="86BC25" w:themeColor="accent1"/>
        </w:tcBorders>
        <w:shd w:val="clear" w:color="auto" w:fill="E2F3C3" w:themeFill="accent1" w:themeFillTint="3F"/>
      </w:tcPr>
    </w:tblStylePr>
    <w:tblStylePr w:type="band2Horz">
      <w:tblPr/>
      <w:tcPr>
        <w:tcBorders>
          <w:top w:val="single" w:sz="8" w:space="0" w:color="86BC25" w:themeColor="accent1"/>
          <w:left w:val="single" w:sz="8" w:space="0" w:color="86BC25" w:themeColor="accent1"/>
          <w:bottom w:val="single" w:sz="8" w:space="0" w:color="86BC25" w:themeColor="accent1"/>
          <w:right w:val="single" w:sz="8" w:space="0" w:color="86BC25" w:themeColor="accent1"/>
          <w:insideV w:val="single" w:sz="8" w:space="0" w:color="86BC25" w:themeColor="accent1"/>
        </w:tcBorders>
      </w:tcPr>
    </w:tblStylePr>
  </w:style>
  <w:style w:type="table" w:styleId="LightGrid-Accent2">
    <w:name w:val="Light Grid Accent 2"/>
    <w:basedOn w:val="TableNormal"/>
    <w:uiPriority w:val="62"/>
    <w:rsid w:val="00F9113D"/>
    <w:pPr>
      <w:spacing w:line="240" w:lineRule="auto"/>
    </w:p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insideH w:val="single" w:sz="8" w:space="0" w:color="046A38" w:themeColor="accent2"/>
        <w:insideV w:val="single" w:sz="8" w:space="0" w:color="046A38"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46A38" w:themeColor="accent2"/>
          <w:left w:val="single" w:sz="8" w:space="0" w:color="046A38" w:themeColor="accent2"/>
          <w:bottom w:val="single" w:sz="18" w:space="0" w:color="046A38" w:themeColor="accent2"/>
          <w:right w:val="single" w:sz="8" w:space="0" w:color="046A38" w:themeColor="accent2"/>
          <w:insideH w:val="nil"/>
          <w:insideV w:val="single" w:sz="8" w:space="0" w:color="046A38"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46A38" w:themeColor="accent2"/>
          <w:left w:val="single" w:sz="8" w:space="0" w:color="046A38" w:themeColor="accent2"/>
          <w:bottom w:val="single" w:sz="8" w:space="0" w:color="046A38" w:themeColor="accent2"/>
          <w:right w:val="single" w:sz="8" w:space="0" w:color="046A38" w:themeColor="accent2"/>
          <w:insideH w:val="nil"/>
          <w:insideV w:val="single" w:sz="8" w:space="0" w:color="046A38"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tcPr>
    </w:tblStylePr>
    <w:tblStylePr w:type="band1Vert">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shd w:val="clear" w:color="auto" w:fill="9FFBCE" w:themeFill="accent2" w:themeFillTint="3F"/>
      </w:tcPr>
    </w:tblStylePr>
    <w:tblStylePr w:type="band1Horz">
      <w:tblPr/>
      <w:tcPr>
        <w:tcBorders>
          <w:top w:val="single" w:sz="8" w:space="0" w:color="046A38" w:themeColor="accent2"/>
          <w:left w:val="single" w:sz="8" w:space="0" w:color="046A38" w:themeColor="accent2"/>
          <w:bottom w:val="single" w:sz="8" w:space="0" w:color="046A38" w:themeColor="accent2"/>
          <w:right w:val="single" w:sz="8" w:space="0" w:color="046A38" w:themeColor="accent2"/>
          <w:insideV w:val="single" w:sz="8" w:space="0" w:color="046A38" w:themeColor="accent2"/>
        </w:tcBorders>
        <w:shd w:val="clear" w:color="auto" w:fill="9FFBCE" w:themeFill="accent2" w:themeFillTint="3F"/>
      </w:tcPr>
    </w:tblStylePr>
    <w:tblStylePr w:type="band2Horz">
      <w:tblPr/>
      <w:tcPr>
        <w:tcBorders>
          <w:top w:val="single" w:sz="8" w:space="0" w:color="046A38" w:themeColor="accent2"/>
          <w:left w:val="single" w:sz="8" w:space="0" w:color="046A38" w:themeColor="accent2"/>
          <w:bottom w:val="single" w:sz="8" w:space="0" w:color="046A38" w:themeColor="accent2"/>
          <w:right w:val="single" w:sz="8" w:space="0" w:color="046A38" w:themeColor="accent2"/>
          <w:insideV w:val="single" w:sz="8" w:space="0" w:color="046A38" w:themeColor="accent2"/>
        </w:tcBorders>
      </w:tcPr>
    </w:tblStylePr>
  </w:style>
  <w:style w:type="table" w:styleId="LightGrid-Accent3">
    <w:name w:val="Light Grid Accent 3"/>
    <w:basedOn w:val="TableNormal"/>
    <w:uiPriority w:val="62"/>
    <w:rsid w:val="00F9113D"/>
    <w:pPr>
      <w:spacing w:line="240" w:lineRule="auto"/>
    </w:p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insideH w:val="single" w:sz="8" w:space="0" w:color="62B5E5" w:themeColor="accent3"/>
        <w:insideV w:val="single" w:sz="8" w:space="0" w:color="62B5E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B5E5" w:themeColor="accent3"/>
          <w:left w:val="single" w:sz="8" w:space="0" w:color="62B5E5" w:themeColor="accent3"/>
          <w:bottom w:val="single" w:sz="18" w:space="0" w:color="62B5E5" w:themeColor="accent3"/>
          <w:right w:val="single" w:sz="8" w:space="0" w:color="62B5E5" w:themeColor="accent3"/>
          <w:insideH w:val="nil"/>
          <w:insideV w:val="single" w:sz="8" w:space="0" w:color="62B5E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B5E5" w:themeColor="accent3"/>
          <w:left w:val="single" w:sz="8" w:space="0" w:color="62B5E5" w:themeColor="accent3"/>
          <w:bottom w:val="single" w:sz="8" w:space="0" w:color="62B5E5" w:themeColor="accent3"/>
          <w:right w:val="single" w:sz="8" w:space="0" w:color="62B5E5" w:themeColor="accent3"/>
          <w:insideH w:val="nil"/>
          <w:insideV w:val="single" w:sz="8" w:space="0" w:color="62B5E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tcPr>
    </w:tblStylePr>
    <w:tblStylePr w:type="band1Vert">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shd w:val="clear" w:color="auto" w:fill="D8ECF8" w:themeFill="accent3" w:themeFillTint="3F"/>
      </w:tcPr>
    </w:tblStylePr>
    <w:tblStylePr w:type="band1Horz">
      <w:tblPr/>
      <w:tcPr>
        <w:tcBorders>
          <w:top w:val="single" w:sz="8" w:space="0" w:color="62B5E5" w:themeColor="accent3"/>
          <w:left w:val="single" w:sz="8" w:space="0" w:color="62B5E5" w:themeColor="accent3"/>
          <w:bottom w:val="single" w:sz="8" w:space="0" w:color="62B5E5" w:themeColor="accent3"/>
          <w:right w:val="single" w:sz="8" w:space="0" w:color="62B5E5" w:themeColor="accent3"/>
          <w:insideV w:val="single" w:sz="8" w:space="0" w:color="62B5E5" w:themeColor="accent3"/>
        </w:tcBorders>
        <w:shd w:val="clear" w:color="auto" w:fill="D8ECF8" w:themeFill="accent3" w:themeFillTint="3F"/>
      </w:tcPr>
    </w:tblStylePr>
    <w:tblStylePr w:type="band2Horz">
      <w:tblPr/>
      <w:tcPr>
        <w:tcBorders>
          <w:top w:val="single" w:sz="8" w:space="0" w:color="62B5E5" w:themeColor="accent3"/>
          <w:left w:val="single" w:sz="8" w:space="0" w:color="62B5E5" w:themeColor="accent3"/>
          <w:bottom w:val="single" w:sz="8" w:space="0" w:color="62B5E5" w:themeColor="accent3"/>
          <w:right w:val="single" w:sz="8" w:space="0" w:color="62B5E5" w:themeColor="accent3"/>
          <w:insideV w:val="single" w:sz="8" w:space="0" w:color="62B5E5" w:themeColor="accent3"/>
        </w:tcBorders>
      </w:tcPr>
    </w:tblStylePr>
  </w:style>
  <w:style w:type="table" w:styleId="LightGrid-Accent4">
    <w:name w:val="Light Grid Accent 4"/>
    <w:basedOn w:val="TableNormal"/>
    <w:uiPriority w:val="62"/>
    <w:rsid w:val="00F9113D"/>
    <w:pPr>
      <w:spacing w:line="240" w:lineRule="auto"/>
    </w:p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insideH w:val="single" w:sz="8" w:space="0" w:color="012169" w:themeColor="accent4"/>
        <w:insideV w:val="single" w:sz="8" w:space="0" w:color="01216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12169" w:themeColor="accent4"/>
          <w:left w:val="single" w:sz="8" w:space="0" w:color="012169" w:themeColor="accent4"/>
          <w:bottom w:val="single" w:sz="18" w:space="0" w:color="012169" w:themeColor="accent4"/>
          <w:right w:val="single" w:sz="8" w:space="0" w:color="012169" w:themeColor="accent4"/>
          <w:insideH w:val="nil"/>
          <w:insideV w:val="single" w:sz="8" w:space="0" w:color="01216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12169" w:themeColor="accent4"/>
          <w:left w:val="single" w:sz="8" w:space="0" w:color="012169" w:themeColor="accent4"/>
          <w:bottom w:val="single" w:sz="8" w:space="0" w:color="012169" w:themeColor="accent4"/>
          <w:right w:val="single" w:sz="8" w:space="0" w:color="012169" w:themeColor="accent4"/>
          <w:insideH w:val="nil"/>
          <w:insideV w:val="single" w:sz="8" w:space="0" w:color="01216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tcPr>
    </w:tblStylePr>
    <w:tblStylePr w:type="band1Vert">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shd w:val="clear" w:color="auto" w:fill="9BB9FE" w:themeFill="accent4" w:themeFillTint="3F"/>
      </w:tcPr>
    </w:tblStylePr>
    <w:tblStylePr w:type="band1Horz">
      <w:tblPr/>
      <w:tcPr>
        <w:tcBorders>
          <w:top w:val="single" w:sz="8" w:space="0" w:color="012169" w:themeColor="accent4"/>
          <w:left w:val="single" w:sz="8" w:space="0" w:color="012169" w:themeColor="accent4"/>
          <w:bottom w:val="single" w:sz="8" w:space="0" w:color="012169" w:themeColor="accent4"/>
          <w:right w:val="single" w:sz="8" w:space="0" w:color="012169" w:themeColor="accent4"/>
          <w:insideV w:val="single" w:sz="8" w:space="0" w:color="012169" w:themeColor="accent4"/>
        </w:tcBorders>
        <w:shd w:val="clear" w:color="auto" w:fill="9BB9FE" w:themeFill="accent4" w:themeFillTint="3F"/>
      </w:tcPr>
    </w:tblStylePr>
    <w:tblStylePr w:type="band2Horz">
      <w:tblPr/>
      <w:tcPr>
        <w:tcBorders>
          <w:top w:val="single" w:sz="8" w:space="0" w:color="012169" w:themeColor="accent4"/>
          <w:left w:val="single" w:sz="8" w:space="0" w:color="012169" w:themeColor="accent4"/>
          <w:bottom w:val="single" w:sz="8" w:space="0" w:color="012169" w:themeColor="accent4"/>
          <w:right w:val="single" w:sz="8" w:space="0" w:color="012169" w:themeColor="accent4"/>
          <w:insideV w:val="single" w:sz="8" w:space="0" w:color="012169" w:themeColor="accent4"/>
        </w:tcBorders>
      </w:tcPr>
    </w:tblStylePr>
  </w:style>
  <w:style w:type="table" w:styleId="LightGrid-Accent5">
    <w:name w:val="Light Grid Accent 5"/>
    <w:basedOn w:val="TableNormal"/>
    <w:uiPriority w:val="62"/>
    <w:rsid w:val="00F9113D"/>
    <w:pPr>
      <w:spacing w:line="240" w:lineRule="auto"/>
    </w:p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insideH w:val="single" w:sz="8" w:space="0" w:color="0097A9" w:themeColor="accent5"/>
        <w:insideV w:val="single" w:sz="8" w:space="0" w:color="0097A9"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7A9" w:themeColor="accent5"/>
          <w:left w:val="single" w:sz="8" w:space="0" w:color="0097A9" w:themeColor="accent5"/>
          <w:bottom w:val="single" w:sz="18" w:space="0" w:color="0097A9" w:themeColor="accent5"/>
          <w:right w:val="single" w:sz="8" w:space="0" w:color="0097A9" w:themeColor="accent5"/>
          <w:insideH w:val="nil"/>
          <w:insideV w:val="single" w:sz="8" w:space="0" w:color="0097A9"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7A9" w:themeColor="accent5"/>
          <w:left w:val="single" w:sz="8" w:space="0" w:color="0097A9" w:themeColor="accent5"/>
          <w:bottom w:val="single" w:sz="8" w:space="0" w:color="0097A9" w:themeColor="accent5"/>
          <w:right w:val="single" w:sz="8" w:space="0" w:color="0097A9" w:themeColor="accent5"/>
          <w:insideH w:val="nil"/>
          <w:insideV w:val="single" w:sz="8" w:space="0" w:color="0097A9"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tcPr>
    </w:tblStylePr>
    <w:tblStylePr w:type="band1Vert">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shd w:val="clear" w:color="auto" w:fill="AAF5FF" w:themeFill="accent5" w:themeFillTint="3F"/>
      </w:tcPr>
    </w:tblStylePr>
    <w:tblStylePr w:type="band1Horz">
      <w:tblPr/>
      <w:tcPr>
        <w:tcBorders>
          <w:top w:val="single" w:sz="8" w:space="0" w:color="0097A9" w:themeColor="accent5"/>
          <w:left w:val="single" w:sz="8" w:space="0" w:color="0097A9" w:themeColor="accent5"/>
          <w:bottom w:val="single" w:sz="8" w:space="0" w:color="0097A9" w:themeColor="accent5"/>
          <w:right w:val="single" w:sz="8" w:space="0" w:color="0097A9" w:themeColor="accent5"/>
          <w:insideV w:val="single" w:sz="8" w:space="0" w:color="0097A9" w:themeColor="accent5"/>
        </w:tcBorders>
        <w:shd w:val="clear" w:color="auto" w:fill="AAF5FF" w:themeFill="accent5" w:themeFillTint="3F"/>
      </w:tcPr>
    </w:tblStylePr>
    <w:tblStylePr w:type="band2Horz">
      <w:tblPr/>
      <w:tcPr>
        <w:tcBorders>
          <w:top w:val="single" w:sz="8" w:space="0" w:color="0097A9" w:themeColor="accent5"/>
          <w:left w:val="single" w:sz="8" w:space="0" w:color="0097A9" w:themeColor="accent5"/>
          <w:bottom w:val="single" w:sz="8" w:space="0" w:color="0097A9" w:themeColor="accent5"/>
          <w:right w:val="single" w:sz="8" w:space="0" w:color="0097A9" w:themeColor="accent5"/>
          <w:insideV w:val="single" w:sz="8" w:space="0" w:color="0097A9" w:themeColor="accent5"/>
        </w:tcBorders>
      </w:tcPr>
    </w:tblStylePr>
  </w:style>
  <w:style w:type="table" w:styleId="LightGrid-Accent6">
    <w:name w:val="Light Grid Accent 6"/>
    <w:basedOn w:val="TableNormal"/>
    <w:uiPriority w:val="62"/>
    <w:rsid w:val="00F9113D"/>
    <w:pPr>
      <w:spacing w:line="240" w:lineRule="auto"/>
    </w:p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insideH w:val="single" w:sz="8" w:space="0" w:color="75787B" w:themeColor="accent6"/>
        <w:insideV w:val="single" w:sz="8" w:space="0" w:color="75787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5787B" w:themeColor="accent6"/>
          <w:left w:val="single" w:sz="8" w:space="0" w:color="75787B" w:themeColor="accent6"/>
          <w:bottom w:val="single" w:sz="18" w:space="0" w:color="75787B" w:themeColor="accent6"/>
          <w:right w:val="single" w:sz="8" w:space="0" w:color="75787B" w:themeColor="accent6"/>
          <w:insideH w:val="nil"/>
          <w:insideV w:val="single" w:sz="8" w:space="0" w:color="75787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5787B" w:themeColor="accent6"/>
          <w:left w:val="single" w:sz="8" w:space="0" w:color="75787B" w:themeColor="accent6"/>
          <w:bottom w:val="single" w:sz="8" w:space="0" w:color="75787B" w:themeColor="accent6"/>
          <w:right w:val="single" w:sz="8" w:space="0" w:color="75787B" w:themeColor="accent6"/>
          <w:insideH w:val="nil"/>
          <w:insideV w:val="single" w:sz="8" w:space="0" w:color="75787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tcPr>
    </w:tblStylePr>
    <w:tblStylePr w:type="band1Vert">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shd w:val="clear" w:color="auto" w:fill="DCDDDE" w:themeFill="accent6" w:themeFillTint="3F"/>
      </w:tcPr>
    </w:tblStylePr>
    <w:tblStylePr w:type="band1Horz">
      <w:tblPr/>
      <w:tcPr>
        <w:tcBorders>
          <w:top w:val="single" w:sz="8" w:space="0" w:color="75787B" w:themeColor="accent6"/>
          <w:left w:val="single" w:sz="8" w:space="0" w:color="75787B" w:themeColor="accent6"/>
          <w:bottom w:val="single" w:sz="8" w:space="0" w:color="75787B" w:themeColor="accent6"/>
          <w:right w:val="single" w:sz="8" w:space="0" w:color="75787B" w:themeColor="accent6"/>
          <w:insideV w:val="single" w:sz="8" w:space="0" w:color="75787B" w:themeColor="accent6"/>
        </w:tcBorders>
        <w:shd w:val="clear" w:color="auto" w:fill="DCDDDE" w:themeFill="accent6" w:themeFillTint="3F"/>
      </w:tcPr>
    </w:tblStylePr>
    <w:tblStylePr w:type="band2Horz">
      <w:tblPr/>
      <w:tcPr>
        <w:tcBorders>
          <w:top w:val="single" w:sz="8" w:space="0" w:color="75787B" w:themeColor="accent6"/>
          <w:left w:val="single" w:sz="8" w:space="0" w:color="75787B" w:themeColor="accent6"/>
          <w:bottom w:val="single" w:sz="8" w:space="0" w:color="75787B" w:themeColor="accent6"/>
          <w:right w:val="single" w:sz="8" w:space="0" w:color="75787B" w:themeColor="accent6"/>
          <w:insideV w:val="single" w:sz="8" w:space="0" w:color="75787B" w:themeColor="accent6"/>
        </w:tcBorders>
      </w:tcPr>
    </w:tblStylePr>
  </w:style>
  <w:style w:type="table" w:styleId="LightList">
    <w:name w:val="Light List"/>
    <w:basedOn w:val="TableNormal"/>
    <w:uiPriority w:val="61"/>
    <w:rsid w:val="00F9113D"/>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9113D"/>
    <w:pPr>
      <w:spacing w:line="240" w:lineRule="auto"/>
    </w:p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tblBorders>
    </w:tblPr>
    <w:tblStylePr w:type="firstRow">
      <w:pPr>
        <w:spacing w:before="0" w:after="0" w:line="240" w:lineRule="auto"/>
      </w:pPr>
      <w:rPr>
        <w:b/>
        <w:bCs/>
        <w:color w:val="FFFFFF" w:themeColor="background1"/>
      </w:rPr>
      <w:tblPr/>
      <w:tcPr>
        <w:shd w:val="clear" w:color="auto" w:fill="86BC25" w:themeFill="accent1"/>
      </w:tcPr>
    </w:tblStylePr>
    <w:tblStylePr w:type="lastRow">
      <w:pPr>
        <w:spacing w:before="0" w:after="0" w:line="240" w:lineRule="auto"/>
      </w:pPr>
      <w:rPr>
        <w:b/>
        <w:bCs/>
      </w:rPr>
      <w:tblPr/>
      <w:tcPr>
        <w:tcBorders>
          <w:top w:val="double" w:sz="6" w:space="0" w:color="86BC25" w:themeColor="accent1"/>
          <w:left w:val="single" w:sz="8" w:space="0" w:color="86BC25" w:themeColor="accent1"/>
          <w:bottom w:val="single" w:sz="8" w:space="0" w:color="86BC25" w:themeColor="accent1"/>
          <w:right w:val="single" w:sz="8" w:space="0" w:color="86BC25" w:themeColor="accent1"/>
        </w:tcBorders>
      </w:tcPr>
    </w:tblStylePr>
    <w:tblStylePr w:type="firstCol">
      <w:rPr>
        <w:b/>
        <w:bCs/>
      </w:rPr>
    </w:tblStylePr>
    <w:tblStylePr w:type="lastCol">
      <w:rPr>
        <w:b/>
        <w:bCs/>
      </w:rPr>
    </w:tblStylePr>
    <w:tblStylePr w:type="band1Vert">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tcPr>
    </w:tblStylePr>
    <w:tblStylePr w:type="band1Horz">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tcPr>
    </w:tblStylePr>
  </w:style>
  <w:style w:type="table" w:styleId="LightList-Accent2">
    <w:name w:val="Light List Accent 2"/>
    <w:basedOn w:val="TableNormal"/>
    <w:uiPriority w:val="61"/>
    <w:rsid w:val="00F9113D"/>
    <w:pPr>
      <w:spacing w:line="240" w:lineRule="auto"/>
    </w:p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tblBorders>
    </w:tblPr>
    <w:tblStylePr w:type="firstRow">
      <w:pPr>
        <w:spacing w:before="0" w:after="0" w:line="240" w:lineRule="auto"/>
      </w:pPr>
      <w:rPr>
        <w:b/>
        <w:bCs/>
        <w:color w:val="FFFFFF" w:themeColor="background1"/>
      </w:rPr>
      <w:tblPr/>
      <w:tcPr>
        <w:shd w:val="clear" w:color="auto" w:fill="046A38" w:themeFill="accent2"/>
      </w:tcPr>
    </w:tblStylePr>
    <w:tblStylePr w:type="lastRow">
      <w:pPr>
        <w:spacing w:before="0" w:after="0" w:line="240" w:lineRule="auto"/>
      </w:pPr>
      <w:rPr>
        <w:b/>
        <w:bCs/>
      </w:rPr>
      <w:tblPr/>
      <w:tcPr>
        <w:tcBorders>
          <w:top w:val="double" w:sz="6" w:space="0" w:color="046A38" w:themeColor="accent2"/>
          <w:left w:val="single" w:sz="8" w:space="0" w:color="046A38" w:themeColor="accent2"/>
          <w:bottom w:val="single" w:sz="8" w:space="0" w:color="046A38" w:themeColor="accent2"/>
          <w:right w:val="single" w:sz="8" w:space="0" w:color="046A38" w:themeColor="accent2"/>
        </w:tcBorders>
      </w:tcPr>
    </w:tblStylePr>
    <w:tblStylePr w:type="firstCol">
      <w:rPr>
        <w:b/>
        <w:bCs/>
      </w:rPr>
    </w:tblStylePr>
    <w:tblStylePr w:type="lastCol">
      <w:rPr>
        <w:b/>
        <w:bCs/>
      </w:rPr>
    </w:tblStylePr>
    <w:tblStylePr w:type="band1Vert">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tcPr>
    </w:tblStylePr>
    <w:tblStylePr w:type="band1Horz">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tcPr>
    </w:tblStylePr>
  </w:style>
  <w:style w:type="table" w:styleId="LightList-Accent3">
    <w:name w:val="Light List Accent 3"/>
    <w:basedOn w:val="TableNormal"/>
    <w:uiPriority w:val="61"/>
    <w:rsid w:val="00F9113D"/>
    <w:pPr>
      <w:spacing w:line="240" w:lineRule="auto"/>
    </w:p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tblBorders>
    </w:tblPr>
    <w:tblStylePr w:type="firstRow">
      <w:pPr>
        <w:spacing w:before="0" w:after="0" w:line="240" w:lineRule="auto"/>
      </w:pPr>
      <w:rPr>
        <w:b/>
        <w:bCs/>
        <w:color w:val="FFFFFF" w:themeColor="background1"/>
      </w:rPr>
      <w:tblPr/>
      <w:tcPr>
        <w:shd w:val="clear" w:color="auto" w:fill="62B5E5" w:themeFill="accent3"/>
      </w:tcPr>
    </w:tblStylePr>
    <w:tblStylePr w:type="lastRow">
      <w:pPr>
        <w:spacing w:before="0" w:after="0" w:line="240" w:lineRule="auto"/>
      </w:pPr>
      <w:rPr>
        <w:b/>
        <w:bCs/>
      </w:rPr>
      <w:tblPr/>
      <w:tcPr>
        <w:tcBorders>
          <w:top w:val="double" w:sz="6" w:space="0" w:color="62B5E5" w:themeColor="accent3"/>
          <w:left w:val="single" w:sz="8" w:space="0" w:color="62B5E5" w:themeColor="accent3"/>
          <w:bottom w:val="single" w:sz="8" w:space="0" w:color="62B5E5" w:themeColor="accent3"/>
          <w:right w:val="single" w:sz="8" w:space="0" w:color="62B5E5" w:themeColor="accent3"/>
        </w:tcBorders>
      </w:tcPr>
    </w:tblStylePr>
    <w:tblStylePr w:type="firstCol">
      <w:rPr>
        <w:b/>
        <w:bCs/>
      </w:rPr>
    </w:tblStylePr>
    <w:tblStylePr w:type="lastCol">
      <w:rPr>
        <w:b/>
        <w:bCs/>
      </w:rPr>
    </w:tblStylePr>
    <w:tblStylePr w:type="band1Vert">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tcPr>
    </w:tblStylePr>
    <w:tblStylePr w:type="band1Horz">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tcPr>
    </w:tblStylePr>
  </w:style>
  <w:style w:type="table" w:styleId="LightList-Accent4">
    <w:name w:val="Light List Accent 4"/>
    <w:basedOn w:val="TableNormal"/>
    <w:uiPriority w:val="61"/>
    <w:rsid w:val="00F9113D"/>
    <w:pPr>
      <w:spacing w:line="240" w:lineRule="auto"/>
    </w:p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tblBorders>
    </w:tblPr>
    <w:tblStylePr w:type="firstRow">
      <w:pPr>
        <w:spacing w:before="0" w:after="0" w:line="240" w:lineRule="auto"/>
      </w:pPr>
      <w:rPr>
        <w:b/>
        <w:bCs/>
        <w:color w:val="FFFFFF" w:themeColor="background1"/>
      </w:rPr>
      <w:tblPr/>
      <w:tcPr>
        <w:shd w:val="clear" w:color="auto" w:fill="012169" w:themeFill="accent4"/>
      </w:tcPr>
    </w:tblStylePr>
    <w:tblStylePr w:type="lastRow">
      <w:pPr>
        <w:spacing w:before="0" w:after="0" w:line="240" w:lineRule="auto"/>
      </w:pPr>
      <w:rPr>
        <w:b/>
        <w:bCs/>
      </w:rPr>
      <w:tblPr/>
      <w:tcPr>
        <w:tcBorders>
          <w:top w:val="double" w:sz="6" w:space="0" w:color="012169" w:themeColor="accent4"/>
          <w:left w:val="single" w:sz="8" w:space="0" w:color="012169" w:themeColor="accent4"/>
          <w:bottom w:val="single" w:sz="8" w:space="0" w:color="012169" w:themeColor="accent4"/>
          <w:right w:val="single" w:sz="8" w:space="0" w:color="012169" w:themeColor="accent4"/>
        </w:tcBorders>
      </w:tcPr>
    </w:tblStylePr>
    <w:tblStylePr w:type="firstCol">
      <w:rPr>
        <w:b/>
        <w:bCs/>
      </w:rPr>
    </w:tblStylePr>
    <w:tblStylePr w:type="lastCol">
      <w:rPr>
        <w:b/>
        <w:bCs/>
      </w:rPr>
    </w:tblStylePr>
    <w:tblStylePr w:type="band1Vert">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tcPr>
    </w:tblStylePr>
    <w:tblStylePr w:type="band1Horz">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tcPr>
    </w:tblStylePr>
  </w:style>
  <w:style w:type="table" w:styleId="LightList-Accent5">
    <w:name w:val="Light List Accent 5"/>
    <w:basedOn w:val="TableNormal"/>
    <w:uiPriority w:val="61"/>
    <w:rsid w:val="00F9113D"/>
    <w:pPr>
      <w:spacing w:line="240" w:lineRule="auto"/>
    </w:p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tblBorders>
    </w:tblPr>
    <w:tblStylePr w:type="firstRow">
      <w:pPr>
        <w:spacing w:before="0" w:after="0" w:line="240" w:lineRule="auto"/>
      </w:pPr>
      <w:rPr>
        <w:b/>
        <w:bCs/>
        <w:color w:val="FFFFFF" w:themeColor="background1"/>
      </w:rPr>
      <w:tblPr/>
      <w:tcPr>
        <w:shd w:val="clear" w:color="auto" w:fill="0097A9" w:themeFill="accent5"/>
      </w:tcPr>
    </w:tblStylePr>
    <w:tblStylePr w:type="lastRow">
      <w:pPr>
        <w:spacing w:before="0" w:after="0" w:line="240" w:lineRule="auto"/>
      </w:pPr>
      <w:rPr>
        <w:b/>
        <w:bCs/>
      </w:rPr>
      <w:tblPr/>
      <w:tcPr>
        <w:tcBorders>
          <w:top w:val="double" w:sz="6" w:space="0" w:color="0097A9" w:themeColor="accent5"/>
          <w:left w:val="single" w:sz="8" w:space="0" w:color="0097A9" w:themeColor="accent5"/>
          <w:bottom w:val="single" w:sz="8" w:space="0" w:color="0097A9" w:themeColor="accent5"/>
          <w:right w:val="single" w:sz="8" w:space="0" w:color="0097A9" w:themeColor="accent5"/>
        </w:tcBorders>
      </w:tcPr>
    </w:tblStylePr>
    <w:tblStylePr w:type="firstCol">
      <w:rPr>
        <w:b/>
        <w:bCs/>
      </w:rPr>
    </w:tblStylePr>
    <w:tblStylePr w:type="lastCol">
      <w:rPr>
        <w:b/>
        <w:bCs/>
      </w:rPr>
    </w:tblStylePr>
    <w:tblStylePr w:type="band1Vert">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tcPr>
    </w:tblStylePr>
    <w:tblStylePr w:type="band1Horz">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tcPr>
    </w:tblStylePr>
  </w:style>
  <w:style w:type="table" w:styleId="LightList-Accent6">
    <w:name w:val="Light List Accent 6"/>
    <w:basedOn w:val="TableNormal"/>
    <w:uiPriority w:val="61"/>
    <w:rsid w:val="00F9113D"/>
    <w:pPr>
      <w:spacing w:line="240" w:lineRule="auto"/>
    </w:p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tblBorders>
    </w:tblPr>
    <w:tblStylePr w:type="firstRow">
      <w:pPr>
        <w:spacing w:before="0" w:after="0" w:line="240" w:lineRule="auto"/>
      </w:pPr>
      <w:rPr>
        <w:b/>
        <w:bCs/>
        <w:color w:val="FFFFFF" w:themeColor="background1"/>
      </w:rPr>
      <w:tblPr/>
      <w:tcPr>
        <w:shd w:val="clear" w:color="auto" w:fill="75787B" w:themeFill="accent6"/>
      </w:tcPr>
    </w:tblStylePr>
    <w:tblStylePr w:type="lastRow">
      <w:pPr>
        <w:spacing w:before="0" w:after="0" w:line="240" w:lineRule="auto"/>
      </w:pPr>
      <w:rPr>
        <w:b/>
        <w:bCs/>
      </w:rPr>
      <w:tblPr/>
      <w:tcPr>
        <w:tcBorders>
          <w:top w:val="double" w:sz="6" w:space="0" w:color="75787B" w:themeColor="accent6"/>
          <w:left w:val="single" w:sz="8" w:space="0" w:color="75787B" w:themeColor="accent6"/>
          <w:bottom w:val="single" w:sz="8" w:space="0" w:color="75787B" w:themeColor="accent6"/>
          <w:right w:val="single" w:sz="8" w:space="0" w:color="75787B" w:themeColor="accent6"/>
        </w:tcBorders>
      </w:tcPr>
    </w:tblStylePr>
    <w:tblStylePr w:type="firstCol">
      <w:rPr>
        <w:b/>
        <w:bCs/>
      </w:rPr>
    </w:tblStylePr>
    <w:tblStylePr w:type="lastCol">
      <w:rPr>
        <w:b/>
        <w:bCs/>
      </w:rPr>
    </w:tblStylePr>
    <w:tblStylePr w:type="band1Vert">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tcPr>
    </w:tblStylePr>
    <w:tblStylePr w:type="band1Horz">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tcPr>
    </w:tblStylePr>
  </w:style>
  <w:style w:type="table" w:styleId="LightShading">
    <w:name w:val="Light Shading"/>
    <w:basedOn w:val="TableNormal"/>
    <w:uiPriority w:val="60"/>
    <w:rsid w:val="00F9113D"/>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9113D"/>
    <w:pPr>
      <w:spacing w:line="240" w:lineRule="auto"/>
    </w:pPr>
    <w:rPr>
      <w:color w:val="638C1B" w:themeColor="accent1" w:themeShade="BF"/>
    </w:rPr>
    <w:tblPr>
      <w:tblStyleRowBandSize w:val="1"/>
      <w:tblStyleColBandSize w:val="1"/>
      <w:tblBorders>
        <w:top w:val="single" w:sz="8" w:space="0" w:color="86BC25" w:themeColor="accent1"/>
        <w:bottom w:val="single" w:sz="8" w:space="0" w:color="86BC25" w:themeColor="accent1"/>
      </w:tblBorders>
    </w:tblPr>
    <w:tblStylePr w:type="firstRow">
      <w:pPr>
        <w:spacing w:before="0" w:after="0" w:line="240" w:lineRule="auto"/>
      </w:pPr>
      <w:rPr>
        <w:b/>
        <w:bCs/>
      </w:rPr>
      <w:tblPr/>
      <w:tcPr>
        <w:tcBorders>
          <w:top w:val="single" w:sz="8" w:space="0" w:color="86BC25" w:themeColor="accent1"/>
          <w:left w:val="nil"/>
          <w:bottom w:val="single" w:sz="8" w:space="0" w:color="86BC25" w:themeColor="accent1"/>
          <w:right w:val="nil"/>
          <w:insideH w:val="nil"/>
          <w:insideV w:val="nil"/>
        </w:tcBorders>
      </w:tcPr>
    </w:tblStylePr>
    <w:tblStylePr w:type="lastRow">
      <w:pPr>
        <w:spacing w:before="0" w:after="0" w:line="240" w:lineRule="auto"/>
      </w:pPr>
      <w:rPr>
        <w:b/>
        <w:bCs/>
      </w:rPr>
      <w:tblPr/>
      <w:tcPr>
        <w:tcBorders>
          <w:top w:val="single" w:sz="8" w:space="0" w:color="86BC25" w:themeColor="accent1"/>
          <w:left w:val="nil"/>
          <w:bottom w:val="single" w:sz="8" w:space="0" w:color="86BC2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3C3" w:themeFill="accent1" w:themeFillTint="3F"/>
      </w:tcPr>
    </w:tblStylePr>
    <w:tblStylePr w:type="band1Horz">
      <w:tblPr/>
      <w:tcPr>
        <w:tcBorders>
          <w:left w:val="nil"/>
          <w:right w:val="nil"/>
          <w:insideH w:val="nil"/>
          <w:insideV w:val="nil"/>
        </w:tcBorders>
        <w:shd w:val="clear" w:color="auto" w:fill="E2F3C3" w:themeFill="accent1" w:themeFillTint="3F"/>
      </w:tcPr>
    </w:tblStylePr>
  </w:style>
  <w:style w:type="table" w:styleId="LightShading-Accent2">
    <w:name w:val="Light Shading Accent 2"/>
    <w:basedOn w:val="TableNormal"/>
    <w:uiPriority w:val="60"/>
    <w:rsid w:val="00F9113D"/>
    <w:pPr>
      <w:spacing w:line="240" w:lineRule="auto"/>
    </w:pPr>
    <w:rPr>
      <w:color w:val="034F29" w:themeColor="accent2" w:themeShade="BF"/>
    </w:rPr>
    <w:tblPr>
      <w:tblStyleRowBandSize w:val="1"/>
      <w:tblStyleColBandSize w:val="1"/>
      <w:tblBorders>
        <w:top w:val="single" w:sz="8" w:space="0" w:color="046A38" w:themeColor="accent2"/>
        <w:bottom w:val="single" w:sz="8" w:space="0" w:color="046A38" w:themeColor="accent2"/>
      </w:tblBorders>
    </w:tblPr>
    <w:tblStylePr w:type="firstRow">
      <w:pPr>
        <w:spacing w:before="0" w:after="0" w:line="240" w:lineRule="auto"/>
      </w:pPr>
      <w:rPr>
        <w:b/>
        <w:bCs/>
      </w:rPr>
      <w:tblPr/>
      <w:tcPr>
        <w:tcBorders>
          <w:top w:val="single" w:sz="8" w:space="0" w:color="046A38" w:themeColor="accent2"/>
          <w:left w:val="nil"/>
          <w:bottom w:val="single" w:sz="8" w:space="0" w:color="046A38" w:themeColor="accent2"/>
          <w:right w:val="nil"/>
          <w:insideH w:val="nil"/>
          <w:insideV w:val="nil"/>
        </w:tcBorders>
      </w:tcPr>
    </w:tblStylePr>
    <w:tblStylePr w:type="lastRow">
      <w:pPr>
        <w:spacing w:before="0" w:after="0" w:line="240" w:lineRule="auto"/>
      </w:pPr>
      <w:rPr>
        <w:b/>
        <w:bCs/>
      </w:rPr>
      <w:tblPr/>
      <w:tcPr>
        <w:tcBorders>
          <w:top w:val="single" w:sz="8" w:space="0" w:color="046A38" w:themeColor="accent2"/>
          <w:left w:val="nil"/>
          <w:bottom w:val="single" w:sz="8" w:space="0" w:color="046A38"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FBCE" w:themeFill="accent2" w:themeFillTint="3F"/>
      </w:tcPr>
    </w:tblStylePr>
    <w:tblStylePr w:type="band1Horz">
      <w:tblPr/>
      <w:tcPr>
        <w:tcBorders>
          <w:left w:val="nil"/>
          <w:right w:val="nil"/>
          <w:insideH w:val="nil"/>
          <w:insideV w:val="nil"/>
        </w:tcBorders>
        <w:shd w:val="clear" w:color="auto" w:fill="9FFBCE" w:themeFill="accent2" w:themeFillTint="3F"/>
      </w:tcPr>
    </w:tblStylePr>
  </w:style>
  <w:style w:type="table" w:styleId="LightShading-Accent3">
    <w:name w:val="Light Shading Accent 3"/>
    <w:basedOn w:val="TableNormal"/>
    <w:uiPriority w:val="60"/>
    <w:rsid w:val="00F9113D"/>
    <w:pPr>
      <w:spacing w:line="240" w:lineRule="auto"/>
    </w:pPr>
    <w:rPr>
      <w:color w:val="2291D1" w:themeColor="accent3" w:themeShade="BF"/>
    </w:rPr>
    <w:tblPr>
      <w:tblStyleRowBandSize w:val="1"/>
      <w:tblStyleColBandSize w:val="1"/>
      <w:tblBorders>
        <w:top w:val="single" w:sz="8" w:space="0" w:color="62B5E5" w:themeColor="accent3"/>
        <w:bottom w:val="single" w:sz="8" w:space="0" w:color="62B5E5" w:themeColor="accent3"/>
      </w:tblBorders>
    </w:tblPr>
    <w:tblStylePr w:type="firstRow">
      <w:pPr>
        <w:spacing w:before="0" w:after="0" w:line="240" w:lineRule="auto"/>
      </w:pPr>
      <w:rPr>
        <w:b/>
        <w:bCs/>
      </w:rPr>
      <w:tblPr/>
      <w:tcPr>
        <w:tcBorders>
          <w:top w:val="single" w:sz="8" w:space="0" w:color="62B5E5" w:themeColor="accent3"/>
          <w:left w:val="nil"/>
          <w:bottom w:val="single" w:sz="8" w:space="0" w:color="62B5E5" w:themeColor="accent3"/>
          <w:right w:val="nil"/>
          <w:insideH w:val="nil"/>
          <w:insideV w:val="nil"/>
        </w:tcBorders>
      </w:tcPr>
    </w:tblStylePr>
    <w:tblStylePr w:type="lastRow">
      <w:pPr>
        <w:spacing w:before="0" w:after="0" w:line="240" w:lineRule="auto"/>
      </w:pPr>
      <w:rPr>
        <w:b/>
        <w:bCs/>
      </w:rPr>
      <w:tblPr/>
      <w:tcPr>
        <w:tcBorders>
          <w:top w:val="single" w:sz="8" w:space="0" w:color="62B5E5" w:themeColor="accent3"/>
          <w:left w:val="nil"/>
          <w:bottom w:val="single" w:sz="8" w:space="0" w:color="62B5E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ECF8" w:themeFill="accent3" w:themeFillTint="3F"/>
      </w:tcPr>
    </w:tblStylePr>
    <w:tblStylePr w:type="band1Horz">
      <w:tblPr/>
      <w:tcPr>
        <w:tcBorders>
          <w:left w:val="nil"/>
          <w:right w:val="nil"/>
          <w:insideH w:val="nil"/>
          <w:insideV w:val="nil"/>
        </w:tcBorders>
        <w:shd w:val="clear" w:color="auto" w:fill="D8ECF8" w:themeFill="accent3" w:themeFillTint="3F"/>
      </w:tcPr>
    </w:tblStylePr>
  </w:style>
  <w:style w:type="table" w:styleId="LightShading-Accent4">
    <w:name w:val="Light Shading Accent 4"/>
    <w:basedOn w:val="TableNormal"/>
    <w:uiPriority w:val="60"/>
    <w:rsid w:val="00F9113D"/>
    <w:pPr>
      <w:spacing w:line="240" w:lineRule="auto"/>
    </w:pPr>
    <w:rPr>
      <w:color w:val="00184E" w:themeColor="accent4" w:themeShade="BF"/>
    </w:rPr>
    <w:tblPr>
      <w:tblStyleRowBandSize w:val="1"/>
      <w:tblStyleColBandSize w:val="1"/>
      <w:tblBorders>
        <w:top w:val="single" w:sz="8" w:space="0" w:color="012169" w:themeColor="accent4"/>
        <w:bottom w:val="single" w:sz="8" w:space="0" w:color="012169" w:themeColor="accent4"/>
      </w:tblBorders>
    </w:tblPr>
    <w:tblStylePr w:type="firstRow">
      <w:pPr>
        <w:spacing w:before="0" w:after="0" w:line="240" w:lineRule="auto"/>
      </w:pPr>
      <w:rPr>
        <w:b/>
        <w:bCs/>
      </w:rPr>
      <w:tblPr/>
      <w:tcPr>
        <w:tcBorders>
          <w:top w:val="single" w:sz="8" w:space="0" w:color="012169" w:themeColor="accent4"/>
          <w:left w:val="nil"/>
          <w:bottom w:val="single" w:sz="8" w:space="0" w:color="012169" w:themeColor="accent4"/>
          <w:right w:val="nil"/>
          <w:insideH w:val="nil"/>
          <w:insideV w:val="nil"/>
        </w:tcBorders>
      </w:tcPr>
    </w:tblStylePr>
    <w:tblStylePr w:type="lastRow">
      <w:pPr>
        <w:spacing w:before="0" w:after="0" w:line="240" w:lineRule="auto"/>
      </w:pPr>
      <w:rPr>
        <w:b/>
        <w:bCs/>
      </w:rPr>
      <w:tblPr/>
      <w:tcPr>
        <w:tcBorders>
          <w:top w:val="single" w:sz="8" w:space="0" w:color="012169" w:themeColor="accent4"/>
          <w:left w:val="nil"/>
          <w:bottom w:val="single" w:sz="8" w:space="0" w:color="01216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BB9FE" w:themeFill="accent4" w:themeFillTint="3F"/>
      </w:tcPr>
    </w:tblStylePr>
    <w:tblStylePr w:type="band1Horz">
      <w:tblPr/>
      <w:tcPr>
        <w:tcBorders>
          <w:left w:val="nil"/>
          <w:right w:val="nil"/>
          <w:insideH w:val="nil"/>
          <w:insideV w:val="nil"/>
        </w:tcBorders>
        <w:shd w:val="clear" w:color="auto" w:fill="9BB9FE" w:themeFill="accent4" w:themeFillTint="3F"/>
      </w:tcPr>
    </w:tblStylePr>
  </w:style>
  <w:style w:type="table" w:styleId="LightShading-Accent5">
    <w:name w:val="Light Shading Accent 5"/>
    <w:basedOn w:val="TableNormal"/>
    <w:uiPriority w:val="60"/>
    <w:rsid w:val="00F9113D"/>
    <w:pPr>
      <w:spacing w:line="240" w:lineRule="auto"/>
    </w:pPr>
    <w:rPr>
      <w:color w:val="00707E" w:themeColor="accent5" w:themeShade="BF"/>
    </w:rPr>
    <w:tblPr>
      <w:tblStyleRowBandSize w:val="1"/>
      <w:tblStyleColBandSize w:val="1"/>
      <w:tblBorders>
        <w:top w:val="single" w:sz="8" w:space="0" w:color="0097A9" w:themeColor="accent5"/>
        <w:bottom w:val="single" w:sz="8" w:space="0" w:color="0097A9" w:themeColor="accent5"/>
      </w:tblBorders>
    </w:tblPr>
    <w:tblStylePr w:type="firstRow">
      <w:pPr>
        <w:spacing w:before="0" w:after="0" w:line="240" w:lineRule="auto"/>
      </w:pPr>
      <w:rPr>
        <w:b/>
        <w:bCs/>
      </w:rPr>
      <w:tblPr/>
      <w:tcPr>
        <w:tcBorders>
          <w:top w:val="single" w:sz="8" w:space="0" w:color="0097A9" w:themeColor="accent5"/>
          <w:left w:val="nil"/>
          <w:bottom w:val="single" w:sz="8" w:space="0" w:color="0097A9" w:themeColor="accent5"/>
          <w:right w:val="nil"/>
          <w:insideH w:val="nil"/>
          <w:insideV w:val="nil"/>
        </w:tcBorders>
      </w:tcPr>
    </w:tblStylePr>
    <w:tblStylePr w:type="lastRow">
      <w:pPr>
        <w:spacing w:before="0" w:after="0" w:line="240" w:lineRule="auto"/>
      </w:pPr>
      <w:rPr>
        <w:b/>
        <w:bCs/>
      </w:rPr>
      <w:tblPr/>
      <w:tcPr>
        <w:tcBorders>
          <w:top w:val="single" w:sz="8" w:space="0" w:color="0097A9" w:themeColor="accent5"/>
          <w:left w:val="nil"/>
          <w:bottom w:val="single" w:sz="8" w:space="0" w:color="0097A9"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F5FF" w:themeFill="accent5" w:themeFillTint="3F"/>
      </w:tcPr>
    </w:tblStylePr>
    <w:tblStylePr w:type="band1Horz">
      <w:tblPr/>
      <w:tcPr>
        <w:tcBorders>
          <w:left w:val="nil"/>
          <w:right w:val="nil"/>
          <w:insideH w:val="nil"/>
          <w:insideV w:val="nil"/>
        </w:tcBorders>
        <w:shd w:val="clear" w:color="auto" w:fill="AAF5FF" w:themeFill="accent5" w:themeFillTint="3F"/>
      </w:tcPr>
    </w:tblStylePr>
  </w:style>
  <w:style w:type="table" w:styleId="LightShading-Accent6">
    <w:name w:val="Light Shading Accent 6"/>
    <w:basedOn w:val="TableNormal"/>
    <w:uiPriority w:val="60"/>
    <w:rsid w:val="00F9113D"/>
    <w:pPr>
      <w:spacing w:line="240" w:lineRule="auto"/>
    </w:pPr>
    <w:rPr>
      <w:color w:val="57595C" w:themeColor="accent6" w:themeShade="BF"/>
    </w:rPr>
    <w:tblPr>
      <w:tblStyleRowBandSize w:val="1"/>
      <w:tblStyleColBandSize w:val="1"/>
      <w:tblBorders>
        <w:top w:val="single" w:sz="8" w:space="0" w:color="75787B" w:themeColor="accent6"/>
        <w:bottom w:val="single" w:sz="8" w:space="0" w:color="75787B" w:themeColor="accent6"/>
      </w:tblBorders>
    </w:tblPr>
    <w:tblStylePr w:type="firstRow">
      <w:pPr>
        <w:spacing w:before="0" w:after="0" w:line="240" w:lineRule="auto"/>
      </w:pPr>
      <w:rPr>
        <w:b/>
        <w:bCs/>
      </w:rPr>
      <w:tblPr/>
      <w:tcPr>
        <w:tcBorders>
          <w:top w:val="single" w:sz="8" w:space="0" w:color="75787B" w:themeColor="accent6"/>
          <w:left w:val="nil"/>
          <w:bottom w:val="single" w:sz="8" w:space="0" w:color="75787B" w:themeColor="accent6"/>
          <w:right w:val="nil"/>
          <w:insideH w:val="nil"/>
          <w:insideV w:val="nil"/>
        </w:tcBorders>
      </w:tcPr>
    </w:tblStylePr>
    <w:tblStylePr w:type="lastRow">
      <w:pPr>
        <w:spacing w:before="0" w:after="0" w:line="240" w:lineRule="auto"/>
      </w:pPr>
      <w:rPr>
        <w:b/>
        <w:bCs/>
      </w:rPr>
      <w:tblPr/>
      <w:tcPr>
        <w:tcBorders>
          <w:top w:val="single" w:sz="8" w:space="0" w:color="75787B" w:themeColor="accent6"/>
          <w:left w:val="nil"/>
          <w:bottom w:val="single" w:sz="8" w:space="0" w:color="75787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DDDE" w:themeFill="accent6" w:themeFillTint="3F"/>
      </w:tcPr>
    </w:tblStylePr>
    <w:tblStylePr w:type="band1Horz">
      <w:tblPr/>
      <w:tcPr>
        <w:tcBorders>
          <w:left w:val="nil"/>
          <w:right w:val="nil"/>
          <w:insideH w:val="nil"/>
          <w:insideV w:val="nil"/>
        </w:tcBorders>
        <w:shd w:val="clear" w:color="auto" w:fill="DCDDDE" w:themeFill="accent6" w:themeFillTint="3F"/>
      </w:tcPr>
    </w:tblStylePr>
  </w:style>
  <w:style w:type="character" w:styleId="LineNumber">
    <w:name w:val="line number"/>
    <w:basedOn w:val="DefaultParagraphFont"/>
    <w:uiPriority w:val="99"/>
    <w:semiHidden/>
    <w:rsid w:val="00F9113D"/>
    <w:rPr>
      <w:lang w:val="en-AU"/>
    </w:rPr>
  </w:style>
  <w:style w:type="paragraph" w:styleId="List">
    <w:name w:val="List"/>
    <w:basedOn w:val="Normal"/>
    <w:uiPriority w:val="99"/>
    <w:semiHidden/>
    <w:rsid w:val="00F9113D"/>
    <w:pPr>
      <w:ind w:left="283" w:hanging="283"/>
      <w:contextualSpacing/>
    </w:pPr>
  </w:style>
  <w:style w:type="paragraph" w:styleId="List2">
    <w:name w:val="List 2"/>
    <w:basedOn w:val="Normal"/>
    <w:uiPriority w:val="99"/>
    <w:semiHidden/>
    <w:rsid w:val="00F9113D"/>
    <w:pPr>
      <w:ind w:left="566" w:hanging="283"/>
      <w:contextualSpacing/>
    </w:pPr>
  </w:style>
  <w:style w:type="paragraph" w:styleId="List3">
    <w:name w:val="List 3"/>
    <w:basedOn w:val="Normal"/>
    <w:uiPriority w:val="99"/>
    <w:semiHidden/>
    <w:rsid w:val="00F9113D"/>
    <w:pPr>
      <w:ind w:left="849" w:hanging="283"/>
      <w:contextualSpacing/>
    </w:pPr>
  </w:style>
  <w:style w:type="paragraph" w:styleId="List4">
    <w:name w:val="List 4"/>
    <w:basedOn w:val="Normal"/>
    <w:uiPriority w:val="99"/>
    <w:semiHidden/>
    <w:rsid w:val="00F9113D"/>
    <w:pPr>
      <w:ind w:left="1132" w:hanging="283"/>
      <w:contextualSpacing/>
    </w:pPr>
  </w:style>
  <w:style w:type="paragraph" w:styleId="List5">
    <w:name w:val="List 5"/>
    <w:basedOn w:val="Normal"/>
    <w:uiPriority w:val="99"/>
    <w:semiHidden/>
    <w:rsid w:val="00F9113D"/>
    <w:pPr>
      <w:ind w:left="1415" w:hanging="283"/>
      <w:contextualSpacing/>
    </w:pPr>
  </w:style>
  <w:style w:type="paragraph" w:styleId="ListBullet3">
    <w:name w:val="List Bullet 3"/>
    <w:basedOn w:val="Normal"/>
    <w:uiPriority w:val="3"/>
    <w:rsid w:val="00DF7819"/>
    <w:pPr>
      <w:numPr>
        <w:numId w:val="16"/>
      </w:numPr>
      <w:spacing w:after="0"/>
      <w:ind w:left="1020" w:hanging="340"/>
      <w:contextualSpacing/>
    </w:pPr>
  </w:style>
  <w:style w:type="paragraph" w:styleId="ListBullet4">
    <w:name w:val="List Bullet 4"/>
    <w:basedOn w:val="Normal"/>
    <w:uiPriority w:val="99"/>
    <w:semiHidden/>
    <w:rsid w:val="00700373"/>
    <w:pPr>
      <w:numPr>
        <w:numId w:val="3"/>
      </w:numPr>
      <w:spacing w:after="0"/>
      <w:ind w:left="697" w:hanging="357"/>
      <w:contextualSpacing/>
    </w:pPr>
  </w:style>
  <w:style w:type="paragraph" w:styleId="ListBullet5">
    <w:name w:val="List Bullet 5"/>
    <w:basedOn w:val="Normal"/>
    <w:uiPriority w:val="99"/>
    <w:semiHidden/>
    <w:rsid w:val="00F9113D"/>
    <w:pPr>
      <w:numPr>
        <w:numId w:val="4"/>
      </w:numPr>
      <w:tabs>
        <w:tab w:val="clear" w:pos="1492"/>
        <w:tab w:val="num" w:pos="1209"/>
      </w:tabs>
      <w:ind w:left="1209"/>
      <w:contextualSpacing/>
    </w:pPr>
  </w:style>
  <w:style w:type="paragraph" w:styleId="ListContinue">
    <w:name w:val="List Continue"/>
    <w:basedOn w:val="Normal"/>
    <w:uiPriority w:val="99"/>
    <w:semiHidden/>
    <w:rsid w:val="00F9113D"/>
    <w:pPr>
      <w:ind w:left="283"/>
      <w:contextualSpacing/>
    </w:pPr>
  </w:style>
  <w:style w:type="paragraph" w:styleId="ListContinue2">
    <w:name w:val="List Continue 2"/>
    <w:basedOn w:val="Normal"/>
    <w:uiPriority w:val="99"/>
    <w:semiHidden/>
    <w:rsid w:val="00F9113D"/>
    <w:pPr>
      <w:ind w:left="566"/>
      <w:contextualSpacing/>
    </w:pPr>
  </w:style>
  <w:style w:type="paragraph" w:styleId="ListContinue3">
    <w:name w:val="List Continue 3"/>
    <w:basedOn w:val="Normal"/>
    <w:uiPriority w:val="99"/>
    <w:semiHidden/>
    <w:rsid w:val="00F9113D"/>
    <w:pPr>
      <w:ind w:left="849"/>
      <w:contextualSpacing/>
    </w:pPr>
  </w:style>
  <w:style w:type="paragraph" w:styleId="ListContinue4">
    <w:name w:val="List Continue 4"/>
    <w:basedOn w:val="Normal"/>
    <w:uiPriority w:val="99"/>
    <w:semiHidden/>
    <w:rsid w:val="00F9113D"/>
    <w:pPr>
      <w:ind w:left="1132"/>
      <w:contextualSpacing/>
    </w:pPr>
  </w:style>
  <w:style w:type="paragraph" w:styleId="ListContinue5">
    <w:name w:val="List Continue 5"/>
    <w:basedOn w:val="Normal"/>
    <w:uiPriority w:val="99"/>
    <w:semiHidden/>
    <w:rsid w:val="00F9113D"/>
    <w:pPr>
      <w:ind w:left="1415"/>
      <w:contextualSpacing/>
    </w:pPr>
  </w:style>
  <w:style w:type="paragraph" w:styleId="ListNumber3">
    <w:name w:val="List Number 3"/>
    <w:basedOn w:val="Normal"/>
    <w:uiPriority w:val="99"/>
    <w:semiHidden/>
    <w:rsid w:val="009B7473"/>
    <w:pPr>
      <w:numPr>
        <w:numId w:val="90"/>
      </w:numPr>
      <w:ind w:left="527" w:hanging="357"/>
    </w:pPr>
    <w:rPr>
      <w:b/>
    </w:rPr>
  </w:style>
  <w:style w:type="paragraph" w:styleId="ListNumber4">
    <w:name w:val="List Number 4"/>
    <w:basedOn w:val="Normal"/>
    <w:uiPriority w:val="99"/>
    <w:semiHidden/>
    <w:rsid w:val="00F9113D"/>
    <w:pPr>
      <w:numPr>
        <w:numId w:val="5"/>
      </w:numPr>
      <w:tabs>
        <w:tab w:val="clear" w:pos="1209"/>
        <w:tab w:val="num" w:pos="1492"/>
      </w:tabs>
      <w:ind w:left="1492"/>
      <w:contextualSpacing/>
    </w:pPr>
  </w:style>
  <w:style w:type="paragraph" w:styleId="ListNumber5">
    <w:name w:val="List Number 5"/>
    <w:basedOn w:val="Normal"/>
    <w:uiPriority w:val="99"/>
    <w:semiHidden/>
    <w:rsid w:val="00F9113D"/>
    <w:pPr>
      <w:numPr>
        <w:numId w:val="6"/>
      </w:numPr>
      <w:tabs>
        <w:tab w:val="clear" w:pos="1492"/>
        <w:tab w:val="num" w:pos="1209"/>
      </w:tabs>
      <w:ind w:left="1209"/>
      <w:contextualSpacing/>
    </w:pPr>
  </w:style>
  <w:style w:type="paragraph" w:styleId="ListParagraph">
    <w:name w:val="List Paragraph"/>
    <w:aliases w:val="Bullet copy,Use Case List Paragraph,List Paragraph - bullets,standard lewis,Numbered Para 1,Dot pt,No Spacing1,List Paragraph Char Char Char,Indicator Text,List Paragraph1,Bullet Points,Bullet (1st level),First level bullet point,B1,L"/>
    <w:basedOn w:val="Normal"/>
    <w:link w:val="ListParagraphChar"/>
    <w:uiPriority w:val="34"/>
    <w:qFormat/>
    <w:rsid w:val="00F9113D"/>
    <w:pPr>
      <w:ind w:left="720"/>
      <w:contextualSpacing/>
    </w:pPr>
  </w:style>
  <w:style w:type="paragraph" w:styleId="MacroText">
    <w:name w:val="macro"/>
    <w:link w:val="MacroTextChar"/>
    <w:uiPriority w:val="99"/>
    <w:semiHidden/>
    <w:rsid w:val="00F9113D"/>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lang w:val="en-AU"/>
    </w:rPr>
  </w:style>
  <w:style w:type="character" w:customStyle="1" w:styleId="MacroTextChar">
    <w:name w:val="Macro Text Char"/>
    <w:basedOn w:val="DefaultParagraphFont"/>
    <w:link w:val="MacroText"/>
    <w:uiPriority w:val="99"/>
    <w:semiHidden/>
    <w:rsid w:val="00F9113D"/>
    <w:rPr>
      <w:rFonts w:ascii="Consolas" w:hAnsi="Consolas"/>
      <w:sz w:val="20"/>
      <w:szCs w:val="20"/>
      <w:lang w:val="en-AU"/>
    </w:rPr>
  </w:style>
  <w:style w:type="table" w:styleId="MediumGrid1">
    <w:name w:val="Medium Grid 1"/>
    <w:basedOn w:val="TableNormal"/>
    <w:uiPriority w:val="67"/>
    <w:rsid w:val="00F9113D"/>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F9113D"/>
    <w:pPr>
      <w:spacing w:line="240" w:lineRule="auto"/>
    </w:pPr>
    <w:tblPr>
      <w:tblStyleRowBandSize w:val="1"/>
      <w:tblStyleColBandSize w:val="1"/>
      <w:tblBorders>
        <w:top w:val="single" w:sz="8"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single" w:sz="8" w:space="0" w:color="A8DB4C" w:themeColor="accent1" w:themeTint="BF"/>
        <w:insideV w:val="single" w:sz="8" w:space="0" w:color="A8DB4C" w:themeColor="accent1" w:themeTint="BF"/>
      </w:tblBorders>
    </w:tblPr>
    <w:tcPr>
      <w:shd w:val="clear" w:color="auto" w:fill="E2F3C3" w:themeFill="accent1" w:themeFillTint="3F"/>
    </w:tcPr>
    <w:tblStylePr w:type="firstRow">
      <w:rPr>
        <w:b/>
        <w:bCs/>
      </w:rPr>
    </w:tblStylePr>
    <w:tblStylePr w:type="lastRow">
      <w:rPr>
        <w:b/>
        <w:bCs/>
      </w:rPr>
      <w:tblPr/>
      <w:tcPr>
        <w:tcBorders>
          <w:top w:val="single" w:sz="18" w:space="0" w:color="A8DB4C" w:themeColor="accent1" w:themeTint="BF"/>
        </w:tcBorders>
      </w:tcPr>
    </w:tblStylePr>
    <w:tblStylePr w:type="firstCol">
      <w:rPr>
        <w:b/>
        <w:bCs/>
      </w:rPr>
    </w:tblStylePr>
    <w:tblStylePr w:type="lastCol">
      <w:rPr>
        <w:b/>
        <w:bCs/>
      </w:rPr>
    </w:tblStylePr>
    <w:tblStylePr w:type="band1Vert">
      <w:tblPr/>
      <w:tcPr>
        <w:shd w:val="clear" w:color="auto" w:fill="C5E788" w:themeFill="accent1" w:themeFillTint="7F"/>
      </w:tcPr>
    </w:tblStylePr>
    <w:tblStylePr w:type="band1Horz">
      <w:tblPr/>
      <w:tcPr>
        <w:shd w:val="clear" w:color="auto" w:fill="C5E788" w:themeFill="accent1" w:themeFillTint="7F"/>
      </w:tcPr>
    </w:tblStylePr>
  </w:style>
  <w:style w:type="table" w:styleId="MediumGrid1-Accent2">
    <w:name w:val="Medium Grid 1 Accent 2"/>
    <w:basedOn w:val="TableNormal"/>
    <w:uiPriority w:val="67"/>
    <w:rsid w:val="00F9113D"/>
    <w:pPr>
      <w:spacing w:line="240" w:lineRule="auto"/>
    </w:pPr>
    <w:tblPr>
      <w:tblStyleRowBandSize w:val="1"/>
      <w:tblStyleColBandSize w:val="1"/>
      <w:tblBorders>
        <w:top w:val="single" w:sz="8"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single" w:sz="8" w:space="0" w:color="07CA6B" w:themeColor="accent2" w:themeTint="BF"/>
        <w:insideV w:val="single" w:sz="8" w:space="0" w:color="07CA6B" w:themeColor="accent2" w:themeTint="BF"/>
      </w:tblBorders>
    </w:tblPr>
    <w:tcPr>
      <w:shd w:val="clear" w:color="auto" w:fill="9FFBCE" w:themeFill="accent2" w:themeFillTint="3F"/>
    </w:tcPr>
    <w:tblStylePr w:type="firstRow">
      <w:rPr>
        <w:b/>
        <w:bCs/>
      </w:rPr>
    </w:tblStylePr>
    <w:tblStylePr w:type="lastRow">
      <w:rPr>
        <w:b/>
        <w:bCs/>
      </w:rPr>
      <w:tblPr/>
      <w:tcPr>
        <w:tcBorders>
          <w:top w:val="single" w:sz="18" w:space="0" w:color="07CA6B" w:themeColor="accent2" w:themeTint="BF"/>
        </w:tcBorders>
      </w:tcPr>
    </w:tblStylePr>
    <w:tblStylePr w:type="firstCol">
      <w:rPr>
        <w:b/>
        <w:bCs/>
      </w:rPr>
    </w:tblStylePr>
    <w:tblStylePr w:type="lastCol">
      <w:rPr>
        <w:b/>
        <w:bCs/>
      </w:rPr>
    </w:tblStylePr>
    <w:tblStylePr w:type="band1Vert">
      <w:tblPr/>
      <w:tcPr>
        <w:shd w:val="clear" w:color="auto" w:fill="3EF79D" w:themeFill="accent2" w:themeFillTint="7F"/>
      </w:tcPr>
    </w:tblStylePr>
    <w:tblStylePr w:type="band1Horz">
      <w:tblPr/>
      <w:tcPr>
        <w:shd w:val="clear" w:color="auto" w:fill="3EF79D" w:themeFill="accent2" w:themeFillTint="7F"/>
      </w:tcPr>
    </w:tblStylePr>
  </w:style>
  <w:style w:type="table" w:styleId="MediumGrid1-Accent3">
    <w:name w:val="Medium Grid 1 Accent 3"/>
    <w:basedOn w:val="TableNormal"/>
    <w:uiPriority w:val="67"/>
    <w:rsid w:val="00F9113D"/>
    <w:pPr>
      <w:spacing w:line="240" w:lineRule="auto"/>
    </w:pPr>
    <w:tblPr>
      <w:tblStyleRowBandSize w:val="1"/>
      <w:tblStyleColBandSize w:val="1"/>
      <w:tblBorders>
        <w:top w:val="single" w:sz="8"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single" w:sz="8" w:space="0" w:color="89C7EB" w:themeColor="accent3" w:themeTint="BF"/>
        <w:insideV w:val="single" w:sz="8" w:space="0" w:color="89C7EB" w:themeColor="accent3" w:themeTint="BF"/>
      </w:tblBorders>
    </w:tblPr>
    <w:tcPr>
      <w:shd w:val="clear" w:color="auto" w:fill="D8ECF8" w:themeFill="accent3" w:themeFillTint="3F"/>
    </w:tcPr>
    <w:tblStylePr w:type="firstRow">
      <w:rPr>
        <w:b/>
        <w:bCs/>
      </w:rPr>
    </w:tblStylePr>
    <w:tblStylePr w:type="lastRow">
      <w:rPr>
        <w:b/>
        <w:bCs/>
      </w:rPr>
      <w:tblPr/>
      <w:tcPr>
        <w:tcBorders>
          <w:top w:val="single" w:sz="18" w:space="0" w:color="89C7EB" w:themeColor="accent3" w:themeTint="BF"/>
        </w:tcBorders>
      </w:tcPr>
    </w:tblStylePr>
    <w:tblStylePr w:type="firstCol">
      <w:rPr>
        <w:b/>
        <w:bCs/>
      </w:rPr>
    </w:tblStylePr>
    <w:tblStylePr w:type="lastCol">
      <w:rPr>
        <w:b/>
        <w:bCs/>
      </w:rPr>
    </w:tblStylePr>
    <w:tblStylePr w:type="band1Vert">
      <w:tblPr/>
      <w:tcPr>
        <w:shd w:val="clear" w:color="auto" w:fill="B0D9F2" w:themeFill="accent3" w:themeFillTint="7F"/>
      </w:tcPr>
    </w:tblStylePr>
    <w:tblStylePr w:type="band1Horz">
      <w:tblPr/>
      <w:tcPr>
        <w:shd w:val="clear" w:color="auto" w:fill="B0D9F2" w:themeFill="accent3" w:themeFillTint="7F"/>
      </w:tcPr>
    </w:tblStylePr>
  </w:style>
  <w:style w:type="table" w:styleId="MediumGrid1-Accent4">
    <w:name w:val="Medium Grid 1 Accent 4"/>
    <w:basedOn w:val="TableNormal"/>
    <w:uiPriority w:val="67"/>
    <w:rsid w:val="00F9113D"/>
    <w:pPr>
      <w:spacing w:line="240" w:lineRule="auto"/>
    </w:pPr>
    <w:tblPr>
      <w:tblStyleRowBandSize w:val="1"/>
      <w:tblStyleColBandSize w:val="1"/>
      <w:tblBorders>
        <w:top w:val="single" w:sz="8"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single" w:sz="8" w:space="0" w:color="0240CD" w:themeColor="accent4" w:themeTint="BF"/>
        <w:insideV w:val="single" w:sz="8" w:space="0" w:color="0240CD" w:themeColor="accent4" w:themeTint="BF"/>
      </w:tblBorders>
    </w:tblPr>
    <w:tcPr>
      <w:shd w:val="clear" w:color="auto" w:fill="9BB9FE" w:themeFill="accent4" w:themeFillTint="3F"/>
    </w:tcPr>
    <w:tblStylePr w:type="firstRow">
      <w:rPr>
        <w:b/>
        <w:bCs/>
      </w:rPr>
    </w:tblStylePr>
    <w:tblStylePr w:type="lastRow">
      <w:rPr>
        <w:b/>
        <w:bCs/>
      </w:rPr>
      <w:tblPr/>
      <w:tcPr>
        <w:tcBorders>
          <w:top w:val="single" w:sz="18" w:space="0" w:color="0240CD" w:themeColor="accent4" w:themeTint="BF"/>
        </w:tcBorders>
      </w:tcPr>
    </w:tblStylePr>
    <w:tblStylePr w:type="firstCol">
      <w:rPr>
        <w:b/>
        <w:bCs/>
      </w:rPr>
    </w:tblStylePr>
    <w:tblStylePr w:type="lastCol">
      <w:rPr>
        <w:b/>
        <w:bCs/>
      </w:rPr>
    </w:tblStylePr>
    <w:tblStylePr w:type="band1Vert">
      <w:tblPr/>
      <w:tcPr>
        <w:shd w:val="clear" w:color="auto" w:fill="3773FD" w:themeFill="accent4" w:themeFillTint="7F"/>
      </w:tcPr>
    </w:tblStylePr>
    <w:tblStylePr w:type="band1Horz">
      <w:tblPr/>
      <w:tcPr>
        <w:shd w:val="clear" w:color="auto" w:fill="3773FD" w:themeFill="accent4" w:themeFillTint="7F"/>
      </w:tcPr>
    </w:tblStylePr>
  </w:style>
  <w:style w:type="table" w:styleId="MediumGrid1-Accent5">
    <w:name w:val="Medium Grid 1 Accent 5"/>
    <w:basedOn w:val="TableNormal"/>
    <w:uiPriority w:val="67"/>
    <w:rsid w:val="00F9113D"/>
    <w:pPr>
      <w:spacing w:line="240" w:lineRule="auto"/>
    </w:pPr>
    <w:tblPr>
      <w:tblStyleRowBandSize w:val="1"/>
      <w:tblStyleColBandSize w:val="1"/>
      <w:tblBorders>
        <w:top w:val="single" w:sz="8"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single" w:sz="8" w:space="0" w:color="00E2FE" w:themeColor="accent5" w:themeTint="BF"/>
        <w:insideV w:val="single" w:sz="8" w:space="0" w:color="00E2FE" w:themeColor="accent5" w:themeTint="BF"/>
      </w:tblBorders>
    </w:tblPr>
    <w:tcPr>
      <w:shd w:val="clear" w:color="auto" w:fill="AAF5FF" w:themeFill="accent5" w:themeFillTint="3F"/>
    </w:tcPr>
    <w:tblStylePr w:type="firstRow">
      <w:rPr>
        <w:b/>
        <w:bCs/>
      </w:rPr>
    </w:tblStylePr>
    <w:tblStylePr w:type="lastRow">
      <w:rPr>
        <w:b/>
        <w:bCs/>
      </w:rPr>
      <w:tblPr/>
      <w:tcPr>
        <w:tcBorders>
          <w:top w:val="single" w:sz="18" w:space="0" w:color="00E2FE" w:themeColor="accent5" w:themeTint="BF"/>
        </w:tcBorders>
      </w:tcPr>
    </w:tblStylePr>
    <w:tblStylePr w:type="firstCol">
      <w:rPr>
        <w:b/>
        <w:bCs/>
      </w:rPr>
    </w:tblStylePr>
    <w:tblStylePr w:type="lastCol">
      <w:rPr>
        <w:b/>
        <w:bCs/>
      </w:rPr>
    </w:tblStylePr>
    <w:tblStylePr w:type="band1Vert">
      <w:tblPr/>
      <w:tcPr>
        <w:shd w:val="clear" w:color="auto" w:fill="55ECFF" w:themeFill="accent5" w:themeFillTint="7F"/>
      </w:tcPr>
    </w:tblStylePr>
    <w:tblStylePr w:type="band1Horz">
      <w:tblPr/>
      <w:tcPr>
        <w:shd w:val="clear" w:color="auto" w:fill="55ECFF" w:themeFill="accent5" w:themeFillTint="7F"/>
      </w:tcPr>
    </w:tblStylePr>
  </w:style>
  <w:style w:type="table" w:styleId="MediumGrid1-Accent6">
    <w:name w:val="Medium Grid 1 Accent 6"/>
    <w:basedOn w:val="TableNormal"/>
    <w:uiPriority w:val="67"/>
    <w:rsid w:val="00F9113D"/>
    <w:pPr>
      <w:spacing w:line="240" w:lineRule="auto"/>
    </w:pPr>
    <w:tblPr>
      <w:tblStyleRowBandSize w:val="1"/>
      <w:tblStyleColBandSize w:val="1"/>
      <w:tblBorders>
        <w:top w:val="single" w:sz="8"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single" w:sz="8" w:space="0" w:color="97999C" w:themeColor="accent6" w:themeTint="BF"/>
        <w:insideV w:val="single" w:sz="8" w:space="0" w:color="97999C" w:themeColor="accent6" w:themeTint="BF"/>
      </w:tblBorders>
    </w:tblPr>
    <w:tcPr>
      <w:shd w:val="clear" w:color="auto" w:fill="DCDDDE" w:themeFill="accent6" w:themeFillTint="3F"/>
    </w:tcPr>
    <w:tblStylePr w:type="firstRow">
      <w:rPr>
        <w:b/>
        <w:bCs/>
      </w:rPr>
    </w:tblStylePr>
    <w:tblStylePr w:type="lastRow">
      <w:rPr>
        <w:b/>
        <w:bCs/>
      </w:rPr>
      <w:tblPr/>
      <w:tcPr>
        <w:tcBorders>
          <w:top w:val="single" w:sz="18" w:space="0" w:color="97999C" w:themeColor="accent6" w:themeTint="BF"/>
        </w:tcBorders>
      </w:tcPr>
    </w:tblStylePr>
    <w:tblStylePr w:type="firstCol">
      <w:rPr>
        <w:b/>
        <w:bCs/>
      </w:rPr>
    </w:tblStylePr>
    <w:tblStylePr w:type="lastCol">
      <w:rPr>
        <w:b/>
        <w:bCs/>
      </w:rPr>
    </w:tblStylePr>
    <w:tblStylePr w:type="band1Vert">
      <w:tblPr/>
      <w:tcPr>
        <w:shd w:val="clear" w:color="auto" w:fill="B9BBBD" w:themeFill="accent6" w:themeFillTint="7F"/>
      </w:tcPr>
    </w:tblStylePr>
    <w:tblStylePr w:type="band1Horz">
      <w:tblPr/>
      <w:tcPr>
        <w:shd w:val="clear" w:color="auto" w:fill="B9BBBD" w:themeFill="accent6" w:themeFillTint="7F"/>
      </w:tcPr>
    </w:tblStylePr>
  </w:style>
  <w:style w:type="table" w:styleId="MediumGrid2">
    <w:name w:val="Medium Grid 2"/>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insideH w:val="single" w:sz="8" w:space="0" w:color="86BC25" w:themeColor="accent1"/>
        <w:insideV w:val="single" w:sz="8" w:space="0" w:color="86BC25" w:themeColor="accent1"/>
      </w:tblBorders>
    </w:tblPr>
    <w:tcPr>
      <w:shd w:val="clear" w:color="auto" w:fill="E2F3C3" w:themeFill="accent1" w:themeFillTint="3F"/>
    </w:tcPr>
    <w:tblStylePr w:type="firstRow">
      <w:rPr>
        <w:b/>
        <w:bCs/>
        <w:color w:val="000000" w:themeColor="text1"/>
      </w:rPr>
      <w:tblPr/>
      <w:tcPr>
        <w:shd w:val="clear" w:color="auto" w:fill="F3FAE7"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F5CF" w:themeFill="accent1" w:themeFillTint="33"/>
      </w:tcPr>
    </w:tblStylePr>
    <w:tblStylePr w:type="band1Vert">
      <w:tblPr/>
      <w:tcPr>
        <w:shd w:val="clear" w:color="auto" w:fill="C5E788" w:themeFill="accent1" w:themeFillTint="7F"/>
      </w:tcPr>
    </w:tblStylePr>
    <w:tblStylePr w:type="band1Horz">
      <w:tblPr/>
      <w:tcPr>
        <w:tcBorders>
          <w:insideH w:val="single" w:sz="6" w:space="0" w:color="86BC25" w:themeColor="accent1"/>
          <w:insideV w:val="single" w:sz="6" w:space="0" w:color="86BC25" w:themeColor="accent1"/>
        </w:tcBorders>
        <w:shd w:val="clear" w:color="auto" w:fill="C5E788"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insideH w:val="single" w:sz="8" w:space="0" w:color="046A38" w:themeColor="accent2"/>
        <w:insideV w:val="single" w:sz="8" w:space="0" w:color="046A38" w:themeColor="accent2"/>
      </w:tblBorders>
    </w:tblPr>
    <w:tcPr>
      <w:shd w:val="clear" w:color="auto" w:fill="9FFBCE" w:themeFill="accent2" w:themeFillTint="3F"/>
    </w:tcPr>
    <w:tblStylePr w:type="firstRow">
      <w:rPr>
        <w:b/>
        <w:bCs/>
        <w:color w:val="000000" w:themeColor="text1"/>
      </w:rPr>
      <w:tblPr/>
      <w:tcPr>
        <w:shd w:val="clear" w:color="auto" w:fill="D9FDE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1FCD7" w:themeFill="accent2" w:themeFillTint="33"/>
      </w:tcPr>
    </w:tblStylePr>
    <w:tblStylePr w:type="band1Vert">
      <w:tblPr/>
      <w:tcPr>
        <w:shd w:val="clear" w:color="auto" w:fill="3EF79D" w:themeFill="accent2" w:themeFillTint="7F"/>
      </w:tcPr>
    </w:tblStylePr>
    <w:tblStylePr w:type="band1Horz">
      <w:tblPr/>
      <w:tcPr>
        <w:tcBorders>
          <w:insideH w:val="single" w:sz="6" w:space="0" w:color="046A38" w:themeColor="accent2"/>
          <w:insideV w:val="single" w:sz="6" w:space="0" w:color="046A38" w:themeColor="accent2"/>
        </w:tcBorders>
        <w:shd w:val="clear" w:color="auto" w:fill="3EF79D"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insideH w:val="single" w:sz="8" w:space="0" w:color="62B5E5" w:themeColor="accent3"/>
        <w:insideV w:val="single" w:sz="8" w:space="0" w:color="62B5E5" w:themeColor="accent3"/>
      </w:tblBorders>
    </w:tblPr>
    <w:tcPr>
      <w:shd w:val="clear" w:color="auto" w:fill="D8ECF8" w:themeFill="accent3" w:themeFillTint="3F"/>
    </w:tcPr>
    <w:tblStylePr w:type="firstRow">
      <w:rPr>
        <w:b/>
        <w:bCs/>
        <w:color w:val="000000" w:themeColor="text1"/>
      </w:rPr>
      <w:tblPr/>
      <w:tcPr>
        <w:shd w:val="clear" w:color="auto" w:fill="EFF7FC"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F0F9" w:themeFill="accent3" w:themeFillTint="33"/>
      </w:tcPr>
    </w:tblStylePr>
    <w:tblStylePr w:type="band1Vert">
      <w:tblPr/>
      <w:tcPr>
        <w:shd w:val="clear" w:color="auto" w:fill="B0D9F2" w:themeFill="accent3" w:themeFillTint="7F"/>
      </w:tcPr>
    </w:tblStylePr>
    <w:tblStylePr w:type="band1Horz">
      <w:tblPr/>
      <w:tcPr>
        <w:tcBorders>
          <w:insideH w:val="single" w:sz="6" w:space="0" w:color="62B5E5" w:themeColor="accent3"/>
          <w:insideV w:val="single" w:sz="6" w:space="0" w:color="62B5E5" w:themeColor="accent3"/>
        </w:tcBorders>
        <w:shd w:val="clear" w:color="auto" w:fill="B0D9F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insideH w:val="single" w:sz="8" w:space="0" w:color="012169" w:themeColor="accent4"/>
        <w:insideV w:val="single" w:sz="8" w:space="0" w:color="012169" w:themeColor="accent4"/>
      </w:tblBorders>
    </w:tblPr>
    <w:tcPr>
      <w:shd w:val="clear" w:color="auto" w:fill="9BB9FE" w:themeFill="accent4" w:themeFillTint="3F"/>
    </w:tcPr>
    <w:tblStylePr w:type="firstRow">
      <w:rPr>
        <w:b/>
        <w:bCs/>
        <w:color w:val="000000" w:themeColor="text1"/>
      </w:rPr>
      <w:tblPr/>
      <w:tcPr>
        <w:shd w:val="clear" w:color="auto" w:fill="D7E3FE"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EC7FE" w:themeFill="accent4" w:themeFillTint="33"/>
      </w:tcPr>
    </w:tblStylePr>
    <w:tblStylePr w:type="band1Vert">
      <w:tblPr/>
      <w:tcPr>
        <w:shd w:val="clear" w:color="auto" w:fill="3773FD" w:themeFill="accent4" w:themeFillTint="7F"/>
      </w:tcPr>
    </w:tblStylePr>
    <w:tblStylePr w:type="band1Horz">
      <w:tblPr/>
      <w:tcPr>
        <w:tcBorders>
          <w:insideH w:val="single" w:sz="6" w:space="0" w:color="012169" w:themeColor="accent4"/>
          <w:insideV w:val="single" w:sz="6" w:space="0" w:color="012169" w:themeColor="accent4"/>
        </w:tcBorders>
        <w:shd w:val="clear" w:color="auto" w:fill="3773FD"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insideH w:val="single" w:sz="8" w:space="0" w:color="0097A9" w:themeColor="accent5"/>
        <w:insideV w:val="single" w:sz="8" w:space="0" w:color="0097A9" w:themeColor="accent5"/>
      </w:tblBorders>
    </w:tblPr>
    <w:tcPr>
      <w:shd w:val="clear" w:color="auto" w:fill="AAF5FF" w:themeFill="accent5" w:themeFillTint="3F"/>
    </w:tcPr>
    <w:tblStylePr w:type="firstRow">
      <w:rPr>
        <w:b/>
        <w:bCs/>
        <w:color w:val="000000" w:themeColor="text1"/>
      </w:rPr>
      <w:tblPr/>
      <w:tcPr>
        <w:shd w:val="clear" w:color="auto" w:fill="DDFB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AF7FF" w:themeFill="accent5" w:themeFillTint="33"/>
      </w:tcPr>
    </w:tblStylePr>
    <w:tblStylePr w:type="band1Vert">
      <w:tblPr/>
      <w:tcPr>
        <w:shd w:val="clear" w:color="auto" w:fill="55ECFF" w:themeFill="accent5" w:themeFillTint="7F"/>
      </w:tcPr>
    </w:tblStylePr>
    <w:tblStylePr w:type="band1Horz">
      <w:tblPr/>
      <w:tcPr>
        <w:tcBorders>
          <w:insideH w:val="single" w:sz="6" w:space="0" w:color="0097A9" w:themeColor="accent5"/>
          <w:insideV w:val="single" w:sz="6" w:space="0" w:color="0097A9" w:themeColor="accent5"/>
        </w:tcBorders>
        <w:shd w:val="clear" w:color="auto" w:fill="55EC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insideH w:val="single" w:sz="8" w:space="0" w:color="75787B" w:themeColor="accent6"/>
        <w:insideV w:val="single" w:sz="8" w:space="0" w:color="75787B" w:themeColor="accent6"/>
      </w:tblBorders>
    </w:tblPr>
    <w:tcPr>
      <w:shd w:val="clear" w:color="auto" w:fill="DCDDDE" w:themeFill="accent6" w:themeFillTint="3F"/>
    </w:tcPr>
    <w:tblStylePr w:type="firstRow">
      <w:rPr>
        <w:b/>
        <w:bCs/>
        <w:color w:val="000000" w:themeColor="text1"/>
      </w:rPr>
      <w:tblPr/>
      <w:tcPr>
        <w:shd w:val="clear" w:color="auto" w:fill="F1F1F2"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E3E4" w:themeFill="accent6" w:themeFillTint="33"/>
      </w:tcPr>
    </w:tblStylePr>
    <w:tblStylePr w:type="band1Vert">
      <w:tblPr/>
      <w:tcPr>
        <w:shd w:val="clear" w:color="auto" w:fill="B9BBBD" w:themeFill="accent6" w:themeFillTint="7F"/>
      </w:tcPr>
    </w:tblStylePr>
    <w:tblStylePr w:type="band1Horz">
      <w:tblPr/>
      <w:tcPr>
        <w:tcBorders>
          <w:insideH w:val="single" w:sz="6" w:space="0" w:color="75787B" w:themeColor="accent6"/>
          <w:insideV w:val="single" w:sz="6" w:space="0" w:color="75787B" w:themeColor="accent6"/>
        </w:tcBorders>
        <w:shd w:val="clear" w:color="auto" w:fill="B9BBBD"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F3C3"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6BC2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6BC2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6BC2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6BC2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5E78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5E788" w:themeFill="accent1" w:themeFillTint="7F"/>
      </w:tcPr>
    </w:tblStylePr>
  </w:style>
  <w:style w:type="table" w:styleId="MediumGrid3-Accent2">
    <w:name w:val="Medium Grid 3 Accent 2"/>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FFBC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46A38"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46A38"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46A38"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46A38"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EF79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EF79D" w:themeFill="accent2" w:themeFillTint="7F"/>
      </w:tcPr>
    </w:tblStylePr>
  </w:style>
  <w:style w:type="table" w:styleId="MediumGrid3-Accent3">
    <w:name w:val="Medium Grid 3 Accent 3"/>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ECF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2B5E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2B5E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2B5E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2B5E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0D9F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0D9F2" w:themeFill="accent3" w:themeFillTint="7F"/>
      </w:tcPr>
    </w:tblStylePr>
  </w:style>
  <w:style w:type="table" w:styleId="MediumGrid3-Accent4">
    <w:name w:val="Medium Grid 3 Accent 4"/>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BB9FE"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1216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1216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1216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1216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773FD"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773FD" w:themeFill="accent4" w:themeFillTint="7F"/>
      </w:tcPr>
    </w:tblStylePr>
  </w:style>
  <w:style w:type="table" w:styleId="MediumGrid3-Accent5">
    <w:name w:val="Medium Grid 3 Accent 5"/>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AF5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7A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7A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7A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7A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5EC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5ECFF" w:themeFill="accent5" w:themeFillTint="7F"/>
      </w:tcPr>
    </w:tblStylePr>
  </w:style>
  <w:style w:type="table" w:styleId="MediumGrid3-Accent6">
    <w:name w:val="Medium Grid 3 Accent 6"/>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DDDE"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5787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5787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5787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5787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BBB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BBBD" w:themeFill="accent6" w:themeFillTint="7F"/>
      </w:tcPr>
    </w:tblStylePr>
  </w:style>
  <w:style w:type="table" w:styleId="MediumList1">
    <w:name w:val="Medium List 1"/>
    <w:basedOn w:val="TableNormal"/>
    <w:uiPriority w:val="65"/>
    <w:rsid w:val="00F9113D"/>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F9113D"/>
    <w:pPr>
      <w:spacing w:line="240" w:lineRule="auto"/>
    </w:pPr>
    <w:rPr>
      <w:color w:val="000000" w:themeColor="text1"/>
    </w:rPr>
    <w:tblPr>
      <w:tblStyleRowBandSize w:val="1"/>
      <w:tblStyleColBandSize w:val="1"/>
      <w:tblBorders>
        <w:top w:val="single" w:sz="8" w:space="0" w:color="86BC25" w:themeColor="accent1"/>
        <w:bottom w:val="single" w:sz="8" w:space="0" w:color="86BC25" w:themeColor="accent1"/>
      </w:tblBorders>
    </w:tblPr>
    <w:tblStylePr w:type="firstRow">
      <w:rPr>
        <w:rFonts w:asciiTheme="majorHAnsi" w:eastAsiaTheme="majorEastAsia" w:hAnsiTheme="majorHAnsi" w:cstheme="majorBidi"/>
      </w:rPr>
      <w:tblPr/>
      <w:tcPr>
        <w:tcBorders>
          <w:top w:val="nil"/>
          <w:bottom w:val="single" w:sz="8" w:space="0" w:color="86BC25" w:themeColor="accent1"/>
        </w:tcBorders>
      </w:tcPr>
    </w:tblStylePr>
    <w:tblStylePr w:type="lastRow">
      <w:rPr>
        <w:b/>
        <w:bCs/>
        <w:color w:val="44546A" w:themeColor="text2"/>
      </w:rPr>
      <w:tblPr/>
      <w:tcPr>
        <w:tcBorders>
          <w:top w:val="single" w:sz="8" w:space="0" w:color="86BC25" w:themeColor="accent1"/>
          <w:bottom w:val="single" w:sz="8" w:space="0" w:color="86BC25" w:themeColor="accent1"/>
        </w:tcBorders>
      </w:tcPr>
    </w:tblStylePr>
    <w:tblStylePr w:type="firstCol">
      <w:rPr>
        <w:b/>
        <w:bCs/>
      </w:rPr>
    </w:tblStylePr>
    <w:tblStylePr w:type="lastCol">
      <w:rPr>
        <w:b/>
        <w:bCs/>
      </w:rPr>
      <w:tblPr/>
      <w:tcPr>
        <w:tcBorders>
          <w:top w:val="single" w:sz="8" w:space="0" w:color="86BC25" w:themeColor="accent1"/>
          <w:bottom w:val="single" w:sz="8" w:space="0" w:color="86BC25" w:themeColor="accent1"/>
        </w:tcBorders>
      </w:tcPr>
    </w:tblStylePr>
    <w:tblStylePr w:type="band1Vert">
      <w:tblPr/>
      <w:tcPr>
        <w:shd w:val="clear" w:color="auto" w:fill="E2F3C3" w:themeFill="accent1" w:themeFillTint="3F"/>
      </w:tcPr>
    </w:tblStylePr>
    <w:tblStylePr w:type="band1Horz">
      <w:tblPr/>
      <w:tcPr>
        <w:shd w:val="clear" w:color="auto" w:fill="E2F3C3" w:themeFill="accent1" w:themeFillTint="3F"/>
      </w:tcPr>
    </w:tblStylePr>
  </w:style>
  <w:style w:type="table" w:styleId="MediumList1-Accent2">
    <w:name w:val="Medium List 1 Accent 2"/>
    <w:basedOn w:val="TableNormal"/>
    <w:uiPriority w:val="65"/>
    <w:rsid w:val="00F9113D"/>
    <w:pPr>
      <w:spacing w:line="240" w:lineRule="auto"/>
    </w:pPr>
    <w:rPr>
      <w:color w:val="000000" w:themeColor="text1"/>
    </w:rPr>
    <w:tblPr>
      <w:tblStyleRowBandSize w:val="1"/>
      <w:tblStyleColBandSize w:val="1"/>
      <w:tblBorders>
        <w:top w:val="single" w:sz="8" w:space="0" w:color="046A38" w:themeColor="accent2"/>
        <w:bottom w:val="single" w:sz="8" w:space="0" w:color="046A38" w:themeColor="accent2"/>
      </w:tblBorders>
    </w:tblPr>
    <w:tblStylePr w:type="firstRow">
      <w:rPr>
        <w:rFonts w:asciiTheme="majorHAnsi" w:eastAsiaTheme="majorEastAsia" w:hAnsiTheme="majorHAnsi" w:cstheme="majorBidi"/>
      </w:rPr>
      <w:tblPr/>
      <w:tcPr>
        <w:tcBorders>
          <w:top w:val="nil"/>
          <w:bottom w:val="single" w:sz="8" w:space="0" w:color="046A38" w:themeColor="accent2"/>
        </w:tcBorders>
      </w:tcPr>
    </w:tblStylePr>
    <w:tblStylePr w:type="lastRow">
      <w:rPr>
        <w:b/>
        <w:bCs/>
        <w:color w:val="44546A" w:themeColor="text2"/>
      </w:rPr>
      <w:tblPr/>
      <w:tcPr>
        <w:tcBorders>
          <w:top w:val="single" w:sz="8" w:space="0" w:color="046A38" w:themeColor="accent2"/>
          <w:bottom w:val="single" w:sz="8" w:space="0" w:color="046A38" w:themeColor="accent2"/>
        </w:tcBorders>
      </w:tcPr>
    </w:tblStylePr>
    <w:tblStylePr w:type="firstCol">
      <w:rPr>
        <w:b/>
        <w:bCs/>
      </w:rPr>
    </w:tblStylePr>
    <w:tblStylePr w:type="lastCol">
      <w:rPr>
        <w:b/>
        <w:bCs/>
      </w:rPr>
      <w:tblPr/>
      <w:tcPr>
        <w:tcBorders>
          <w:top w:val="single" w:sz="8" w:space="0" w:color="046A38" w:themeColor="accent2"/>
          <w:bottom w:val="single" w:sz="8" w:space="0" w:color="046A38" w:themeColor="accent2"/>
        </w:tcBorders>
      </w:tcPr>
    </w:tblStylePr>
    <w:tblStylePr w:type="band1Vert">
      <w:tblPr/>
      <w:tcPr>
        <w:shd w:val="clear" w:color="auto" w:fill="9FFBCE" w:themeFill="accent2" w:themeFillTint="3F"/>
      </w:tcPr>
    </w:tblStylePr>
    <w:tblStylePr w:type="band1Horz">
      <w:tblPr/>
      <w:tcPr>
        <w:shd w:val="clear" w:color="auto" w:fill="9FFBCE" w:themeFill="accent2" w:themeFillTint="3F"/>
      </w:tcPr>
    </w:tblStylePr>
  </w:style>
  <w:style w:type="table" w:styleId="MediumList1-Accent3">
    <w:name w:val="Medium List 1 Accent 3"/>
    <w:basedOn w:val="TableNormal"/>
    <w:uiPriority w:val="65"/>
    <w:rsid w:val="00F9113D"/>
    <w:pPr>
      <w:spacing w:line="240" w:lineRule="auto"/>
    </w:pPr>
    <w:rPr>
      <w:color w:val="000000" w:themeColor="text1"/>
    </w:rPr>
    <w:tblPr>
      <w:tblStyleRowBandSize w:val="1"/>
      <w:tblStyleColBandSize w:val="1"/>
      <w:tblBorders>
        <w:top w:val="single" w:sz="8" w:space="0" w:color="62B5E5" w:themeColor="accent3"/>
        <w:bottom w:val="single" w:sz="8" w:space="0" w:color="62B5E5" w:themeColor="accent3"/>
      </w:tblBorders>
    </w:tblPr>
    <w:tblStylePr w:type="firstRow">
      <w:rPr>
        <w:rFonts w:asciiTheme="majorHAnsi" w:eastAsiaTheme="majorEastAsia" w:hAnsiTheme="majorHAnsi" w:cstheme="majorBidi"/>
      </w:rPr>
      <w:tblPr/>
      <w:tcPr>
        <w:tcBorders>
          <w:top w:val="nil"/>
          <w:bottom w:val="single" w:sz="8" w:space="0" w:color="62B5E5" w:themeColor="accent3"/>
        </w:tcBorders>
      </w:tcPr>
    </w:tblStylePr>
    <w:tblStylePr w:type="lastRow">
      <w:rPr>
        <w:b/>
        <w:bCs/>
        <w:color w:val="44546A" w:themeColor="text2"/>
      </w:rPr>
      <w:tblPr/>
      <w:tcPr>
        <w:tcBorders>
          <w:top w:val="single" w:sz="8" w:space="0" w:color="62B5E5" w:themeColor="accent3"/>
          <w:bottom w:val="single" w:sz="8" w:space="0" w:color="62B5E5" w:themeColor="accent3"/>
        </w:tcBorders>
      </w:tcPr>
    </w:tblStylePr>
    <w:tblStylePr w:type="firstCol">
      <w:rPr>
        <w:b/>
        <w:bCs/>
      </w:rPr>
    </w:tblStylePr>
    <w:tblStylePr w:type="lastCol">
      <w:rPr>
        <w:b/>
        <w:bCs/>
      </w:rPr>
      <w:tblPr/>
      <w:tcPr>
        <w:tcBorders>
          <w:top w:val="single" w:sz="8" w:space="0" w:color="62B5E5" w:themeColor="accent3"/>
          <w:bottom w:val="single" w:sz="8" w:space="0" w:color="62B5E5" w:themeColor="accent3"/>
        </w:tcBorders>
      </w:tcPr>
    </w:tblStylePr>
    <w:tblStylePr w:type="band1Vert">
      <w:tblPr/>
      <w:tcPr>
        <w:shd w:val="clear" w:color="auto" w:fill="D8ECF8" w:themeFill="accent3" w:themeFillTint="3F"/>
      </w:tcPr>
    </w:tblStylePr>
    <w:tblStylePr w:type="band1Horz">
      <w:tblPr/>
      <w:tcPr>
        <w:shd w:val="clear" w:color="auto" w:fill="D8ECF8" w:themeFill="accent3" w:themeFillTint="3F"/>
      </w:tcPr>
    </w:tblStylePr>
  </w:style>
  <w:style w:type="table" w:styleId="MediumList1-Accent4">
    <w:name w:val="Medium List 1 Accent 4"/>
    <w:basedOn w:val="TableNormal"/>
    <w:uiPriority w:val="65"/>
    <w:rsid w:val="00F9113D"/>
    <w:pPr>
      <w:spacing w:line="240" w:lineRule="auto"/>
    </w:pPr>
    <w:rPr>
      <w:color w:val="000000" w:themeColor="text1"/>
    </w:rPr>
    <w:tblPr>
      <w:tblStyleRowBandSize w:val="1"/>
      <w:tblStyleColBandSize w:val="1"/>
      <w:tblBorders>
        <w:top w:val="single" w:sz="8" w:space="0" w:color="012169" w:themeColor="accent4"/>
        <w:bottom w:val="single" w:sz="8" w:space="0" w:color="012169" w:themeColor="accent4"/>
      </w:tblBorders>
    </w:tblPr>
    <w:tblStylePr w:type="firstRow">
      <w:rPr>
        <w:rFonts w:asciiTheme="majorHAnsi" w:eastAsiaTheme="majorEastAsia" w:hAnsiTheme="majorHAnsi" w:cstheme="majorBidi"/>
      </w:rPr>
      <w:tblPr/>
      <w:tcPr>
        <w:tcBorders>
          <w:top w:val="nil"/>
          <w:bottom w:val="single" w:sz="8" w:space="0" w:color="012169" w:themeColor="accent4"/>
        </w:tcBorders>
      </w:tcPr>
    </w:tblStylePr>
    <w:tblStylePr w:type="lastRow">
      <w:rPr>
        <w:b/>
        <w:bCs/>
        <w:color w:val="44546A" w:themeColor="text2"/>
      </w:rPr>
      <w:tblPr/>
      <w:tcPr>
        <w:tcBorders>
          <w:top w:val="single" w:sz="8" w:space="0" w:color="012169" w:themeColor="accent4"/>
          <w:bottom w:val="single" w:sz="8" w:space="0" w:color="012169" w:themeColor="accent4"/>
        </w:tcBorders>
      </w:tcPr>
    </w:tblStylePr>
    <w:tblStylePr w:type="firstCol">
      <w:rPr>
        <w:b/>
        <w:bCs/>
      </w:rPr>
    </w:tblStylePr>
    <w:tblStylePr w:type="lastCol">
      <w:rPr>
        <w:b/>
        <w:bCs/>
      </w:rPr>
      <w:tblPr/>
      <w:tcPr>
        <w:tcBorders>
          <w:top w:val="single" w:sz="8" w:space="0" w:color="012169" w:themeColor="accent4"/>
          <w:bottom w:val="single" w:sz="8" w:space="0" w:color="012169" w:themeColor="accent4"/>
        </w:tcBorders>
      </w:tcPr>
    </w:tblStylePr>
    <w:tblStylePr w:type="band1Vert">
      <w:tblPr/>
      <w:tcPr>
        <w:shd w:val="clear" w:color="auto" w:fill="9BB9FE" w:themeFill="accent4" w:themeFillTint="3F"/>
      </w:tcPr>
    </w:tblStylePr>
    <w:tblStylePr w:type="band1Horz">
      <w:tblPr/>
      <w:tcPr>
        <w:shd w:val="clear" w:color="auto" w:fill="9BB9FE" w:themeFill="accent4" w:themeFillTint="3F"/>
      </w:tcPr>
    </w:tblStylePr>
  </w:style>
  <w:style w:type="table" w:styleId="MediumList1-Accent5">
    <w:name w:val="Medium List 1 Accent 5"/>
    <w:basedOn w:val="TableNormal"/>
    <w:uiPriority w:val="65"/>
    <w:rsid w:val="00F9113D"/>
    <w:pPr>
      <w:spacing w:line="240" w:lineRule="auto"/>
    </w:pPr>
    <w:rPr>
      <w:color w:val="000000" w:themeColor="text1"/>
    </w:rPr>
    <w:tblPr>
      <w:tblStyleRowBandSize w:val="1"/>
      <w:tblStyleColBandSize w:val="1"/>
      <w:tblBorders>
        <w:top w:val="single" w:sz="8" w:space="0" w:color="0097A9" w:themeColor="accent5"/>
        <w:bottom w:val="single" w:sz="8" w:space="0" w:color="0097A9" w:themeColor="accent5"/>
      </w:tblBorders>
    </w:tblPr>
    <w:tblStylePr w:type="firstRow">
      <w:rPr>
        <w:rFonts w:asciiTheme="majorHAnsi" w:eastAsiaTheme="majorEastAsia" w:hAnsiTheme="majorHAnsi" w:cstheme="majorBidi"/>
      </w:rPr>
      <w:tblPr/>
      <w:tcPr>
        <w:tcBorders>
          <w:top w:val="nil"/>
          <w:bottom w:val="single" w:sz="8" w:space="0" w:color="0097A9" w:themeColor="accent5"/>
        </w:tcBorders>
      </w:tcPr>
    </w:tblStylePr>
    <w:tblStylePr w:type="lastRow">
      <w:rPr>
        <w:b/>
        <w:bCs/>
        <w:color w:val="44546A" w:themeColor="text2"/>
      </w:rPr>
      <w:tblPr/>
      <w:tcPr>
        <w:tcBorders>
          <w:top w:val="single" w:sz="8" w:space="0" w:color="0097A9" w:themeColor="accent5"/>
          <w:bottom w:val="single" w:sz="8" w:space="0" w:color="0097A9" w:themeColor="accent5"/>
        </w:tcBorders>
      </w:tcPr>
    </w:tblStylePr>
    <w:tblStylePr w:type="firstCol">
      <w:rPr>
        <w:b/>
        <w:bCs/>
      </w:rPr>
    </w:tblStylePr>
    <w:tblStylePr w:type="lastCol">
      <w:rPr>
        <w:b/>
        <w:bCs/>
      </w:rPr>
      <w:tblPr/>
      <w:tcPr>
        <w:tcBorders>
          <w:top w:val="single" w:sz="8" w:space="0" w:color="0097A9" w:themeColor="accent5"/>
          <w:bottom w:val="single" w:sz="8" w:space="0" w:color="0097A9" w:themeColor="accent5"/>
        </w:tcBorders>
      </w:tcPr>
    </w:tblStylePr>
    <w:tblStylePr w:type="band1Vert">
      <w:tblPr/>
      <w:tcPr>
        <w:shd w:val="clear" w:color="auto" w:fill="AAF5FF" w:themeFill="accent5" w:themeFillTint="3F"/>
      </w:tcPr>
    </w:tblStylePr>
    <w:tblStylePr w:type="band1Horz">
      <w:tblPr/>
      <w:tcPr>
        <w:shd w:val="clear" w:color="auto" w:fill="AAF5FF" w:themeFill="accent5" w:themeFillTint="3F"/>
      </w:tcPr>
    </w:tblStylePr>
  </w:style>
  <w:style w:type="table" w:styleId="MediumList1-Accent6">
    <w:name w:val="Medium List 1 Accent 6"/>
    <w:basedOn w:val="TableNormal"/>
    <w:uiPriority w:val="65"/>
    <w:rsid w:val="00F9113D"/>
    <w:pPr>
      <w:spacing w:line="240" w:lineRule="auto"/>
    </w:pPr>
    <w:rPr>
      <w:color w:val="000000" w:themeColor="text1"/>
    </w:rPr>
    <w:tblPr>
      <w:tblStyleRowBandSize w:val="1"/>
      <w:tblStyleColBandSize w:val="1"/>
      <w:tblBorders>
        <w:top w:val="single" w:sz="8" w:space="0" w:color="75787B" w:themeColor="accent6"/>
        <w:bottom w:val="single" w:sz="8" w:space="0" w:color="75787B" w:themeColor="accent6"/>
      </w:tblBorders>
    </w:tblPr>
    <w:tblStylePr w:type="firstRow">
      <w:rPr>
        <w:rFonts w:asciiTheme="majorHAnsi" w:eastAsiaTheme="majorEastAsia" w:hAnsiTheme="majorHAnsi" w:cstheme="majorBidi"/>
      </w:rPr>
      <w:tblPr/>
      <w:tcPr>
        <w:tcBorders>
          <w:top w:val="nil"/>
          <w:bottom w:val="single" w:sz="8" w:space="0" w:color="75787B" w:themeColor="accent6"/>
        </w:tcBorders>
      </w:tcPr>
    </w:tblStylePr>
    <w:tblStylePr w:type="lastRow">
      <w:rPr>
        <w:b/>
        <w:bCs/>
        <w:color w:val="44546A" w:themeColor="text2"/>
      </w:rPr>
      <w:tblPr/>
      <w:tcPr>
        <w:tcBorders>
          <w:top w:val="single" w:sz="8" w:space="0" w:color="75787B" w:themeColor="accent6"/>
          <w:bottom w:val="single" w:sz="8" w:space="0" w:color="75787B" w:themeColor="accent6"/>
        </w:tcBorders>
      </w:tcPr>
    </w:tblStylePr>
    <w:tblStylePr w:type="firstCol">
      <w:rPr>
        <w:b/>
        <w:bCs/>
      </w:rPr>
    </w:tblStylePr>
    <w:tblStylePr w:type="lastCol">
      <w:rPr>
        <w:b/>
        <w:bCs/>
      </w:rPr>
      <w:tblPr/>
      <w:tcPr>
        <w:tcBorders>
          <w:top w:val="single" w:sz="8" w:space="0" w:color="75787B" w:themeColor="accent6"/>
          <w:bottom w:val="single" w:sz="8" w:space="0" w:color="75787B" w:themeColor="accent6"/>
        </w:tcBorders>
      </w:tcPr>
    </w:tblStylePr>
    <w:tblStylePr w:type="band1Vert">
      <w:tblPr/>
      <w:tcPr>
        <w:shd w:val="clear" w:color="auto" w:fill="DCDDDE" w:themeFill="accent6" w:themeFillTint="3F"/>
      </w:tcPr>
    </w:tblStylePr>
    <w:tblStylePr w:type="band1Horz">
      <w:tblPr/>
      <w:tcPr>
        <w:shd w:val="clear" w:color="auto" w:fill="DCDDDE" w:themeFill="accent6" w:themeFillTint="3F"/>
      </w:tcPr>
    </w:tblStylePr>
  </w:style>
  <w:style w:type="table" w:styleId="MediumList2">
    <w:name w:val="Medium List 2"/>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tblBorders>
    </w:tblPr>
    <w:tblStylePr w:type="firstRow">
      <w:rPr>
        <w:sz w:val="24"/>
        <w:szCs w:val="24"/>
      </w:rPr>
      <w:tblPr/>
      <w:tcPr>
        <w:tcBorders>
          <w:top w:val="nil"/>
          <w:left w:val="nil"/>
          <w:bottom w:val="single" w:sz="24" w:space="0" w:color="86BC25" w:themeColor="accent1"/>
          <w:right w:val="nil"/>
          <w:insideH w:val="nil"/>
          <w:insideV w:val="nil"/>
        </w:tcBorders>
        <w:shd w:val="clear" w:color="auto" w:fill="FFFFFF" w:themeFill="background1"/>
      </w:tcPr>
    </w:tblStylePr>
    <w:tblStylePr w:type="lastRow">
      <w:tblPr/>
      <w:tcPr>
        <w:tcBorders>
          <w:top w:val="single" w:sz="8" w:space="0" w:color="86BC2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6BC25" w:themeColor="accent1"/>
          <w:insideH w:val="nil"/>
          <w:insideV w:val="nil"/>
        </w:tcBorders>
        <w:shd w:val="clear" w:color="auto" w:fill="FFFFFF" w:themeFill="background1"/>
      </w:tcPr>
    </w:tblStylePr>
    <w:tblStylePr w:type="lastCol">
      <w:tblPr/>
      <w:tcPr>
        <w:tcBorders>
          <w:top w:val="nil"/>
          <w:left w:val="single" w:sz="8" w:space="0" w:color="86BC2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F3C3" w:themeFill="accent1" w:themeFillTint="3F"/>
      </w:tcPr>
    </w:tblStylePr>
    <w:tblStylePr w:type="band1Horz">
      <w:tblPr/>
      <w:tcPr>
        <w:tcBorders>
          <w:top w:val="nil"/>
          <w:bottom w:val="nil"/>
          <w:insideH w:val="nil"/>
          <w:insideV w:val="nil"/>
        </w:tcBorders>
        <w:shd w:val="clear" w:color="auto" w:fill="E2F3C3"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tblBorders>
    </w:tblPr>
    <w:tblStylePr w:type="firstRow">
      <w:rPr>
        <w:sz w:val="24"/>
        <w:szCs w:val="24"/>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tblPr/>
      <w:tcPr>
        <w:tcBorders>
          <w:top w:val="single" w:sz="8" w:space="0" w:color="046A38"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46A38" w:themeColor="accent2"/>
          <w:insideH w:val="nil"/>
          <w:insideV w:val="nil"/>
        </w:tcBorders>
        <w:shd w:val="clear" w:color="auto" w:fill="FFFFFF" w:themeFill="background1"/>
      </w:tcPr>
    </w:tblStylePr>
    <w:tblStylePr w:type="lastCol">
      <w:tblPr/>
      <w:tcPr>
        <w:tcBorders>
          <w:top w:val="nil"/>
          <w:left w:val="single" w:sz="8" w:space="0" w:color="046A38"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FBCE" w:themeFill="accent2" w:themeFillTint="3F"/>
      </w:tcPr>
    </w:tblStylePr>
    <w:tblStylePr w:type="band1Horz">
      <w:tblPr/>
      <w:tcPr>
        <w:tcBorders>
          <w:top w:val="nil"/>
          <w:bottom w:val="nil"/>
          <w:insideH w:val="nil"/>
          <w:insideV w:val="nil"/>
        </w:tcBorders>
        <w:shd w:val="clear" w:color="auto" w:fill="9FFBC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tblBorders>
    </w:tblPr>
    <w:tblStylePr w:type="firstRow">
      <w:rPr>
        <w:sz w:val="24"/>
        <w:szCs w:val="24"/>
      </w:rPr>
      <w:tblPr/>
      <w:tcPr>
        <w:tcBorders>
          <w:top w:val="nil"/>
          <w:left w:val="nil"/>
          <w:bottom w:val="single" w:sz="24" w:space="0" w:color="62B5E5" w:themeColor="accent3"/>
          <w:right w:val="nil"/>
          <w:insideH w:val="nil"/>
          <w:insideV w:val="nil"/>
        </w:tcBorders>
        <w:shd w:val="clear" w:color="auto" w:fill="FFFFFF" w:themeFill="background1"/>
      </w:tcPr>
    </w:tblStylePr>
    <w:tblStylePr w:type="lastRow">
      <w:tblPr/>
      <w:tcPr>
        <w:tcBorders>
          <w:top w:val="single" w:sz="8" w:space="0" w:color="62B5E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2B5E5" w:themeColor="accent3"/>
          <w:insideH w:val="nil"/>
          <w:insideV w:val="nil"/>
        </w:tcBorders>
        <w:shd w:val="clear" w:color="auto" w:fill="FFFFFF" w:themeFill="background1"/>
      </w:tcPr>
    </w:tblStylePr>
    <w:tblStylePr w:type="lastCol">
      <w:tblPr/>
      <w:tcPr>
        <w:tcBorders>
          <w:top w:val="nil"/>
          <w:left w:val="single" w:sz="8" w:space="0" w:color="62B5E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ECF8" w:themeFill="accent3" w:themeFillTint="3F"/>
      </w:tcPr>
    </w:tblStylePr>
    <w:tblStylePr w:type="band1Horz">
      <w:tblPr/>
      <w:tcPr>
        <w:tcBorders>
          <w:top w:val="nil"/>
          <w:bottom w:val="nil"/>
          <w:insideH w:val="nil"/>
          <w:insideV w:val="nil"/>
        </w:tcBorders>
        <w:shd w:val="clear" w:color="auto" w:fill="D8ECF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tblBorders>
    </w:tblPr>
    <w:tblStylePr w:type="firstRow">
      <w:rPr>
        <w:sz w:val="24"/>
        <w:szCs w:val="24"/>
      </w:rPr>
      <w:tblPr/>
      <w:tcPr>
        <w:tcBorders>
          <w:top w:val="nil"/>
          <w:left w:val="nil"/>
          <w:bottom w:val="single" w:sz="24" w:space="0" w:color="012169" w:themeColor="accent4"/>
          <w:right w:val="nil"/>
          <w:insideH w:val="nil"/>
          <w:insideV w:val="nil"/>
        </w:tcBorders>
        <w:shd w:val="clear" w:color="auto" w:fill="FFFFFF" w:themeFill="background1"/>
      </w:tcPr>
    </w:tblStylePr>
    <w:tblStylePr w:type="lastRow">
      <w:tblPr/>
      <w:tcPr>
        <w:tcBorders>
          <w:top w:val="single" w:sz="8" w:space="0" w:color="012169"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12169" w:themeColor="accent4"/>
          <w:insideH w:val="nil"/>
          <w:insideV w:val="nil"/>
        </w:tcBorders>
        <w:shd w:val="clear" w:color="auto" w:fill="FFFFFF" w:themeFill="background1"/>
      </w:tcPr>
    </w:tblStylePr>
    <w:tblStylePr w:type="lastCol">
      <w:tblPr/>
      <w:tcPr>
        <w:tcBorders>
          <w:top w:val="nil"/>
          <w:left w:val="single" w:sz="8" w:space="0" w:color="01216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BB9FE" w:themeFill="accent4" w:themeFillTint="3F"/>
      </w:tcPr>
    </w:tblStylePr>
    <w:tblStylePr w:type="band1Horz">
      <w:tblPr/>
      <w:tcPr>
        <w:tcBorders>
          <w:top w:val="nil"/>
          <w:bottom w:val="nil"/>
          <w:insideH w:val="nil"/>
          <w:insideV w:val="nil"/>
        </w:tcBorders>
        <w:shd w:val="clear" w:color="auto" w:fill="9BB9F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tblBorders>
    </w:tblPr>
    <w:tblStylePr w:type="firstRow">
      <w:rPr>
        <w:sz w:val="24"/>
        <w:szCs w:val="24"/>
      </w:rPr>
      <w:tblPr/>
      <w:tcPr>
        <w:tcBorders>
          <w:top w:val="nil"/>
          <w:left w:val="nil"/>
          <w:bottom w:val="single" w:sz="24" w:space="0" w:color="0097A9" w:themeColor="accent5"/>
          <w:right w:val="nil"/>
          <w:insideH w:val="nil"/>
          <w:insideV w:val="nil"/>
        </w:tcBorders>
        <w:shd w:val="clear" w:color="auto" w:fill="FFFFFF" w:themeFill="background1"/>
      </w:tcPr>
    </w:tblStylePr>
    <w:tblStylePr w:type="lastRow">
      <w:tblPr/>
      <w:tcPr>
        <w:tcBorders>
          <w:top w:val="single" w:sz="8" w:space="0" w:color="0097A9"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7A9" w:themeColor="accent5"/>
          <w:insideH w:val="nil"/>
          <w:insideV w:val="nil"/>
        </w:tcBorders>
        <w:shd w:val="clear" w:color="auto" w:fill="FFFFFF" w:themeFill="background1"/>
      </w:tcPr>
    </w:tblStylePr>
    <w:tblStylePr w:type="lastCol">
      <w:tblPr/>
      <w:tcPr>
        <w:tcBorders>
          <w:top w:val="nil"/>
          <w:left w:val="single" w:sz="8" w:space="0" w:color="0097A9"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AF5FF" w:themeFill="accent5" w:themeFillTint="3F"/>
      </w:tcPr>
    </w:tblStylePr>
    <w:tblStylePr w:type="band1Horz">
      <w:tblPr/>
      <w:tcPr>
        <w:tcBorders>
          <w:top w:val="nil"/>
          <w:bottom w:val="nil"/>
          <w:insideH w:val="nil"/>
          <w:insideV w:val="nil"/>
        </w:tcBorders>
        <w:shd w:val="clear" w:color="auto" w:fill="AAF5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tblBorders>
    </w:tblPr>
    <w:tblStylePr w:type="firstRow">
      <w:rPr>
        <w:sz w:val="24"/>
        <w:szCs w:val="24"/>
      </w:rPr>
      <w:tblPr/>
      <w:tcPr>
        <w:tcBorders>
          <w:top w:val="nil"/>
          <w:left w:val="nil"/>
          <w:bottom w:val="single" w:sz="24" w:space="0" w:color="75787B" w:themeColor="accent6"/>
          <w:right w:val="nil"/>
          <w:insideH w:val="nil"/>
          <w:insideV w:val="nil"/>
        </w:tcBorders>
        <w:shd w:val="clear" w:color="auto" w:fill="FFFFFF" w:themeFill="background1"/>
      </w:tcPr>
    </w:tblStylePr>
    <w:tblStylePr w:type="lastRow">
      <w:tblPr/>
      <w:tcPr>
        <w:tcBorders>
          <w:top w:val="single" w:sz="8" w:space="0" w:color="75787B"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5787B" w:themeColor="accent6"/>
          <w:insideH w:val="nil"/>
          <w:insideV w:val="nil"/>
        </w:tcBorders>
        <w:shd w:val="clear" w:color="auto" w:fill="FFFFFF" w:themeFill="background1"/>
      </w:tcPr>
    </w:tblStylePr>
    <w:tblStylePr w:type="lastCol">
      <w:tblPr/>
      <w:tcPr>
        <w:tcBorders>
          <w:top w:val="nil"/>
          <w:left w:val="single" w:sz="8" w:space="0" w:color="75787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DDDE" w:themeFill="accent6" w:themeFillTint="3F"/>
      </w:tcPr>
    </w:tblStylePr>
    <w:tblStylePr w:type="band1Horz">
      <w:tblPr/>
      <w:tcPr>
        <w:tcBorders>
          <w:top w:val="nil"/>
          <w:bottom w:val="nil"/>
          <w:insideH w:val="nil"/>
          <w:insideV w:val="nil"/>
        </w:tcBorders>
        <w:shd w:val="clear" w:color="auto" w:fill="DCDDDE"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F9113D"/>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F9113D"/>
    <w:pPr>
      <w:spacing w:line="240" w:lineRule="auto"/>
    </w:pPr>
    <w:tblPr>
      <w:tblStyleRowBandSize w:val="1"/>
      <w:tblStyleColBandSize w:val="1"/>
      <w:tblBorders>
        <w:top w:val="single" w:sz="8"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single" w:sz="8" w:space="0" w:color="A8DB4C" w:themeColor="accent1" w:themeTint="BF"/>
      </w:tblBorders>
    </w:tblPr>
    <w:tblStylePr w:type="firstRow">
      <w:pPr>
        <w:spacing w:before="0" w:after="0" w:line="240" w:lineRule="auto"/>
      </w:pPr>
      <w:rPr>
        <w:b/>
        <w:bCs/>
        <w:color w:val="FFFFFF" w:themeColor="background1"/>
      </w:rPr>
      <w:tblPr/>
      <w:tcPr>
        <w:tcBorders>
          <w:top w:val="single" w:sz="8"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nil"/>
          <w:insideV w:val="nil"/>
        </w:tcBorders>
        <w:shd w:val="clear" w:color="auto" w:fill="86BC25" w:themeFill="accent1"/>
      </w:tcPr>
    </w:tblStylePr>
    <w:tblStylePr w:type="lastRow">
      <w:pPr>
        <w:spacing w:before="0" w:after="0" w:line="240" w:lineRule="auto"/>
      </w:pPr>
      <w:rPr>
        <w:b/>
        <w:bCs/>
      </w:rPr>
      <w:tblPr/>
      <w:tcPr>
        <w:tcBorders>
          <w:top w:val="double" w:sz="6"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2F3C3" w:themeFill="accent1" w:themeFillTint="3F"/>
      </w:tcPr>
    </w:tblStylePr>
    <w:tblStylePr w:type="band1Horz">
      <w:tblPr/>
      <w:tcPr>
        <w:tcBorders>
          <w:insideH w:val="nil"/>
          <w:insideV w:val="nil"/>
        </w:tcBorders>
        <w:shd w:val="clear" w:color="auto" w:fill="E2F3C3"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F9113D"/>
    <w:pPr>
      <w:spacing w:line="240" w:lineRule="auto"/>
    </w:pPr>
    <w:tblPr>
      <w:tblStyleRowBandSize w:val="1"/>
      <w:tblStyleColBandSize w:val="1"/>
      <w:tblBorders>
        <w:top w:val="single" w:sz="8"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single" w:sz="8" w:space="0" w:color="07CA6B" w:themeColor="accent2" w:themeTint="BF"/>
      </w:tblBorders>
    </w:tblPr>
    <w:tblStylePr w:type="firstRow">
      <w:pPr>
        <w:spacing w:before="0" w:after="0" w:line="240" w:lineRule="auto"/>
      </w:pPr>
      <w:rPr>
        <w:b/>
        <w:bCs/>
        <w:color w:val="FFFFFF" w:themeColor="background1"/>
      </w:rPr>
      <w:tblPr/>
      <w:tcPr>
        <w:tcBorders>
          <w:top w:val="single" w:sz="8"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nil"/>
          <w:insideV w:val="nil"/>
        </w:tcBorders>
        <w:shd w:val="clear" w:color="auto" w:fill="046A38" w:themeFill="accent2"/>
      </w:tcPr>
    </w:tblStylePr>
    <w:tblStylePr w:type="lastRow">
      <w:pPr>
        <w:spacing w:before="0" w:after="0" w:line="240" w:lineRule="auto"/>
      </w:pPr>
      <w:rPr>
        <w:b/>
        <w:bCs/>
      </w:rPr>
      <w:tblPr/>
      <w:tcPr>
        <w:tcBorders>
          <w:top w:val="double" w:sz="6"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nil"/>
          <w:insideV w:val="nil"/>
        </w:tcBorders>
      </w:tcPr>
    </w:tblStylePr>
    <w:tblStylePr w:type="firstCol">
      <w:rPr>
        <w:b/>
        <w:bCs/>
      </w:rPr>
    </w:tblStylePr>
    <w:tblStylePr w:type="lastCol">
      <w:rPr>
        <w:b/>
        <w:bCs/>
      </w:rPr>
    </w:tblStylePr>
    <w:tblStylePr w:type="band1Vert">
      <w:tblPr/>
      <w:tcPr>
        <w:shd w:val="clear" w:color="auto" w:fill="9FFBCE" w:themeFill="accent2" w:themeFillTint="3F"/>
      </w:tcPr>
    </w:tblStylePr>
    <w:tblStylePr w:type="band1Horz">
      <w:tblPr/>
      <w:tcPr>
        <w:tcBorders>
          <w:insideH w:val="nil"/>
          <w:insideV w:val="nil"/>
        </w:tcBorders>
        <w:shd w:val="clear" w:color="auto" w:fill="9FFBCE"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F9113D"/>
    <w:pPr>
      <w:spacing w:line="240" w:lineRule="auto"/>
    </w:pPr>
    <w:tblPr>
      <w:tblStyleRowBandSize w:val="1"/>
      <w:tblStyleColBandSize w:val="1"/>
      <w:tblBorders>
        <w:top w:val="single" w:sz="8"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single" w:sz="8" w:space="0" w:color="89C7EB" w:themeColor="accent3" w:themeTint="BF"/>
      </w:tblBorders>
    </w:tblPr>
    <w:tblStylePr w:type="firstRow">
      <w:pPr>
        <w:spacing w:before="0" w:after="0" w:line="240" w:lineRule="auto"/>
      </w:pPr>
      <w:rPr>
        <w:b/>
        <w:bCs/>
        <w:color w:val="FFFFFF" w:themeColor="background1"/>
      </w:rPr>
      <w:tblPr/>
      <w:tcPr>
        <w:tcBorders>
          <w:top w:val="single" w:sz="8"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nil"/>
          <w:insideV w:val="nil"/>
        </w:tcBorders>
        <w:shd w:val="clear" w:color="auto" w:fill="62B5E5" w:themeFill="accent3"/>
      </w:tcPr>
    </w:tblStylePr>
    <w:tblStylePr w:type="lastRow">
      <w:pPr>
        <w:spacing w:before="0" w:after="0" w:line="240" w:lineRule="auto"/>
      </w:pPr>
      <w:rPr>
        <w:b/>
        <w:bCs/>
      </w:rPr>
      <w:tblPr/>
      <w:tcPr>
        <w:tcBorders>
          <w:top w:val="double" w:sz="6"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nil"/>
          <w:insideV w:val="nil"/>
        </w:tcBorders>
      </w:tcPr>
    </w:tblStylePr>
    <w:tblStylePr w:type="firstCol">
      <w:rPr>
        <w:b/>
        <w:bCs/>
      </w:rPr>
    </w:tblStylePr>
    <w:tblStylePr w:type="lastCol">
      <w:rPr>
        <w:b/>
        <w:bCs/>
      </w:rPr>
    </w:tblStylePr>
    <w:tblStylePr w:type="band1Vert">
      <w:tblPr/>
      <w:tcPr>
        <w:shd w:val="clear" w:color="auto" w:fill="D8ECF8" w:themeFill="accent3" w:themeFillTint="3F"/>
      </w:tcPr>
    </w:tblStylePr>
    <w:tblStylePr w:type="band1Horz">
      <w:tblPr/>
      <w:tcPr>
        <w:tcBorders>
          <w:insideH w:val="nil"/>
          <w:insideV w:val="nil"/>
        </w:tcBorders>
        <w:shd w:val="clear" w:color="auto" w:fill="D8ECF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F9113D"/>
    <w:pPr>
      <w:spacing w:line="240" w:lineRule="auto"/>
    </w:pPr>
    <w:tblPr>
      <w:tblStyleRowBandSize w:val="1"/>
      <w:tblStyleColBandSize w:val="1"/>
      <w:tblBorders>
        <w:top w:val="single" w:sz="8"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single" w:sz="8" w:space="0" w:color="0240CD" w:themeColor="accent4" w:themeTint="BF"/>
      </w:tblBorders>
    </w:tblPr>
    <w:tblStylePr w:type="firstRow">
      <w:pPr>
        <w:spacing w:before="0" w:after="0" w:line="240" w:lineRule="auto"/>
      </w:pPr>
      <w:rPr>
        <w:b/>
        <w:bCs/>
        <w:color w:val="FFFFFF" w:themeColor="background1"/>
      </w:rPr>
      <w:tblPr/>
      <w:tcPr>
        <w:tcBorders>
          <w:top w:val="single" w:sz="8"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nil"/>
          <w:insideV w:val="nil"/>
        </w:tcBorders>
        <w:shd w:val="clear" w:color="auto" w:fill="012169" w:themeFill="accent4"/>
      </w:tcPr>
    </w:tblStylePr>
    <w:tblStylePr w:type="lastRow">
      <w:pPr>
        <w:spacing w:before="0" w:after="0" w:line="240" w:lineRule="auto"/>
      </w:pPr>
      <w:rPr>
        <w:b/>
        <w:bCs/>
      </w:rPr>
      <w:tblPr/>
      <w:tcPr>
        <w:tcBorders>
          <w:top w:val="double" w:sz="6"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nil"/>
          <w:insideV w:val="nil"/>
        </w:tcBorders>
      </w:tcPr>
    </w:tblStylePr>
    <w:tblStylePr w:type="firstCol">
      <w:rPr>
        <w:b/>
        <w:bCs/>
      </w:rPr>
    </w:tblStylePr>
    <w:tblStylePr w:type="lastCol">
      <w:rPr>
        <w:b/>
        <w:bCs/>
      </w:rPr>
    </w:tblStylePr>
    <w:tblStylePr w:type="band1Vert">
      <w:tblPr/>
      <w:tcPr>
        <w:shd w:val="clear" w:color="auto" w:fill="9BB9FE" w:themeFill="accent4" w:themeFillTint="3F"/>
      </w:tcPr>
    </w:tblStylePr>
    <w:tblStylePr w:type="band1Horz">
      <w:tblPr/>
      <w:tcPr>
        <w:tcBorders>
          <w:insideH w:val="nil"/>
          <w:insideV w:val="nil"/>
        </w:tcBorders>
        <w:shd w:val="clear" w:color="auto" w:fill="9BB9FE"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F9113D"/>
    <w:pPr>
      <w:spacing w:line="240" w:lineRule="auto"/>
    </w:pPr>
    <w:tblPr>
      <w:tblStyleRowBandSize w:val="1"/>
      <w:tblStyleColBandSize w:val="1"/>
      <w:tblBorders>
        <w:top w:val="single" w:sz="8"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single" w:sz="8" w:space="0" w:color="00E2FE" w:themeColor="accent5" w:themeTint="BF"/>
      </w:tblBorders>
    </w:tblPr>
    <w:tblStylePr w:type="firstRow">
      <w:pPr>
        <w:spacing w:before="0" w:after="0" w:line="240" w:lineRule="auto"/>
      </w:pPr>
      <w:rPr>
        <w:b/>
        <w:bCs/>
        <w:color w:val="FFFFFF" w:themeColor="background1"/>
      </w:rPr>
      <w:tblPr/>
      <w:tcPr>
        <w:tcBorders>
          <w:top w:val="single" w:sz="8"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nil"/>
          <w:insideV w:val="nil"/>
        </w:tcBorders>
        <w:shd w:val="clear" w:color="auto" w:fill="0097A9" w:themeFill="accent5"/>
      </w:tcPr>
    </w:tblStylePr>
    <w:tblStylePr w:type="lastRow">
      <w:pPr>
        <w:spacing w:before="0" w:after="0" w:line="240" w:lineRule="auto"/>
      </w:pPr>
      <w:rPr>
        <w:b/>
        <w:bCs/>
      </w:rPr>
      <w:tblPr/>
      <w:tcPr>
        <w:tcBorders>
          <w:top w:val="double" w:sz="6"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nil"/>
          <w:insideV w:val="nil"/>
        </w:tcBorders>
      </w:tcPr>
    </w:tblStylePr>
    <w:tblStylePr w:type="firstCol">
      <w:rPr>
        <w:b/>
        <w:bCs/>
      </w:rPr>
    </w:tblStylePr>
    <w:tblStylePr w:type="lastCol">
      <w:rPr>
        <w:b/>
        <w:bCs/>
      </w:rPr>
    </w:tblStylePr>
    <w:tblStylePr w:type="band1Vert">
      <w:tblPr/>
      <w:tcPr>
        <w:shd w:val="clear" w:color="auto" w:fill="AAF5FF" w:themeFill="accent5" w:themeFillTint="3F"/>
      </w:tcPr>
    </w:tblStylePr>
    <w:tblStylePr w:type="band1Horz">
      <w:tblPr/>
      <w:tcPr>
        <w:tcBorders>
          <w:insideH w:val="nil"/>
          <w:insideV w:val="nil"/>
        </w:tcBorders>
        <w:shd w:val="clear" w:color="auto" w:fill="AAF5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F9113D"/>
    <w:pPr>
      <w:spacing w:line="240" w:lineRule="auto"/>
    </w:pPr>
    <w:tblPr>
      <w:tblStyleRowBandSize w:val="1"/>
      <w:tblStyleColBandSize w:val="1"/>
      <w:tblBorders>
        <w:top w:val="single" w:sz="8"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single" w:sz="8" w:space="0" w:color="97999C" w:themeColor="accent6" w:themeTint="BF"/>
      </w:tblBorders>
    </w:tblPr>
    <w:tblStylePr w:type="firstRow">
      <w:pPr>
        <w:spacing w:before="0" w:after="0" w:line="240" w:lineRule="auto"/>
      </w:pPr>
      <w:rPr>
        <w:b/>
        <w:bCs/>
        <w:color w:val="FFFFFF" w:themeColor="background1"/>
      </w:rPr>
      <w:tblPr/>
      <w:tcPr>
        <w:tcBorders>
          <w:top w:val="single" w:sz="8"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nil"/>
          <w:insideV w:val="nil"/>
        </w:tcBorders>
        <w:shd w:val="clear" w:color="auto" w:fill="75787B" w:themeFill="accent6"/>
      </w:tcPr>
    </w:tblStylePr>
    <w:tblStylePr w:type="lastRow">
      <w:pPr>
        <w:spacing w:before="0" w:after="0" w:line="240" w:lineRule="auto"/>
      </w:pPr>
      <w:rPr>
        <w:b/>
        <w:bCs/>
      </w:rPr>
      <w:tblPr/>
      <w:tcPr>
        <w:tcBorders>
          <w:top w:val="double" w:sz="6"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nil"/>
          <w:insideV w:val="nil"/>
        </w:tcBorders>
      </w:tcPr>
    </w:tblStylePr>
    <w:tblStylePr w:type="firstCol">
      <w:rPr>
        <w:b/>
        <w:bCs/>
      </w:rPr>
    </w:tblStylePr>
    <w:tblStylePr w:type="lastCol">
      <w:rPr>
        <w:b/>
        <w:bCs/>
      </w:rPr>
    </w:tblStylePr>
    <w:tblStylePr w:type="band1Vert">
      <w:tblPr/>
      <w:tcPr>
        <w:shd w:val="clear" w:color="auto" w:fill="DCDDDE" w:themeFill="accent6" w:themeFillTint="3F"/>
      </w:tcPr>
    </w:tblStylePr>
    <w:tblStylePr w:type="band1Horz">
      <w:tblPr/>
      <w:tcPr>
        <w:tcBorders>
          <w:insideH w:val="nil"/>
          <w:insideV w:val="nil"/>
        </w:tcBorders>
        <w:shd w:val="clear" w:color="auto" w:fill="DCDDDE"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BC2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BC25" w:themeFill="accent1"/>
      </w:tcPr>
    </w:tblStylePr>
    <w:tblStylePr w:type="lastCol">
      <w:rPr>
        <w:b/>
        <w:bCs/>
        <w:color w:val="FFFFFF" w:themeColor="background1"/>
      </w:rPr>
      <w:tblPr/>
      <w:tcPr>
        <w:tcBorders>
          <w:left w:val="nil"/>
          <w:right w:val="nil"/>
          <w:insideH w:val="nil"/>
          <w:insideV w:val="nil"/>
        </w:tcBorders>
        <w:shd w:val="clear" w:color="auto" w:fill="86BC2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46A38"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46A38" w:themeFill="accent2"/>
      </w:tcPr>
    </w:tblStylePr>
    <w:tblStylePr w:type="lastCol">
      <w:rPr>
        <w:b/>
        <w:bCs/>
        <w:color w:val="FFFFFF" w:themeColor="background1"/>
      </w:rPr>
      <w:tblPr/>
      <w:tcPr>
        <w:tcBorders>
          <w:left w:val="nil"/>
          <w:right w:val="nil"/>
          <w:insideH w:val="nil"/>
          <w:insideV w:val="nil"/>
        </w:tcBorders>
        <w:shd w:val="clear" w:color="auto" w:fill="046A38"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2B5E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2B5E5" w:themeFill="accent3"/>
      </w:tcPr>
    </w:tblStylePr>
    <w:tblStylePr w:type="lastCol">
      <w:rPr>
        <w:b/>
        <w:bCs/>
        <w:color w:val="FFFFFF" w:themeColor="background1"/>
      </w:rPr>
      <w:tblPr/>
      <w:tcPr>
        <w:tcBorders>
          <w:left w:val="nil"/>
          <w:right w:val="nil"/>
          <w:insideH w:val="nil"/>
          <w:insideV w:val="nil"/>
        </w:tcBorders>
        <w:shd w:val="clear" w:color="auto" w:fill="62B5E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1216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12169" w:themeFill="accent4"/>
      </w:tcPr>
    </w:tblStylePr>
    <w:tblStylePr w:type="lastCol">
      <w:rPr>
        <w:b/>
        <w:bCs/>
        <w:color w:val="FFFFFF" w:themeColor="background1"/>
      </w:rPr>
      <w:tblPr/>
      <w:tcPr>
        <w:tcBorders>
          <w:left w:val="nil"/>
          <w:right w:val="nil"/>
          <w:insideH w:val="nil"/>
          <w:insideV w:val="nil"/>
        </w:tcBorders>
        <w:shd w:val="clear" w:color="auto" w:fill="01216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7A9"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7A9" w:themeFill="accent5"/>
      </w:tcPr>
    </w:tblStylePr>
    <w:tblStylePr w:type="lastCol">
      <w:rPr>
        <w:b/>
        <w:bCs/>
        <w:color w:val="FFFFFF" w:themeColor="background1"/>
      </w:rPr>
      <w:tblPr/>
      <w:tcPr>
        <w:tcBorders>
          <w:left w:val="nil"/>
          <w:right w:val="nil"/>
          <w:insideH w:val="nil"/>
          <w:insideV w:val="nil"/>
        </w:tcBorders>
        <w:shd w:val="clear" w:color="auto" w:fill="0097A9"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5787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5787B" w:themeFill="accent6"/>
      </w:tcPr>
    </w:tblStylePr>
    <w:tblStylePr w:type="lastCol">
      <w:rPr>
        <w:b/>
        <w:bCs/>
        <w:color w:val="FFFFFF" w:themeColor="background1"/>
      </w:rPr>
      <w:tblPr/>
      <w:tcPr>
        <w:tcBorders>
          <w:left w:val="nil"/>
          <w:right w:val="nil"/>
          <w:insideH w:val="nil"/>
          <w:insideV w:val="nil"/>
        </w:tcBorders>
        <w:shd w:val="clear" w:color="auto" w:fill="75787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rsid w:val="00F9113D"/>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F9113D"/>
    <w:rPr>
      <w:rFonts w:asciiTheme="majorHAnsi" w:eastAsiaTheme="majorEastAsia" w:hAnsiTheme="majorHAnsi" w:cstheme="majorBidi"/>
      <w:sz w:val="24"/>
      <w:szCs w:val="24"/>
      <w:shd w:val="pct20" w:color="auto" w:fill="auto"/>
    </w:rPr>
  </w:style>
  <w:style w:type="paragraph" w:styleId="NoSpacing">
    <w:name w:val="No Spacing"/>
    <w:qFormat/>
    <w:rsid w:val="00DA30BF"/>
    <w:rPr>
      <w:lang w:val="en-AU"/>
    </w:rPr>
  </w:style>
  <w:style w:type="paragraph" w:styleId="NormalWeb">
    <w:name w:val="Normal (Web)"/>
    <w:basedOn w:val="Normal"/>
    <w:uiPriority w:val="99"/>
    <w:semiHidden/>
    <w:rsid w:val="00F9113D"/>
    <w:rPr>
      <w:rFonts w:ascii="Times New Roman" w:hAnsi="Times New Roman" w:cs="Times New Roman"/>
      <w:sz w:val="24"/>
      <w:szCs w:val="24"/>
    </w:rPr>
  </w:style>
  <w:style w:type="paragraph" w:styleId="NormalIndent">
    <w:name w:val="Normal Indent"/>
    <w:basedOn w:val="Normal"/>
    <w:uiPriority w:val="99"/>
    <w:semiHidden/>
    <w:rsid w:val="00F9113D"/>
    <w:pPr>
      <w:ind w:left="1304"/>
    </w:pPr>
  </w:style>
  <w:style w:type="paragraph" w:styleId="NoteHeading">
    <w:name w:val="Note Heading"/>
    <w:basedOn w:val="Normal"/>
    <w:next w:val="Normal"/>
    <w:link w:val="NoteHeadingChar"/>
    <w:uiPriority w:val="99"/>
    <w:semiHidden/>
    <w:rsid w:val="00F9113D"/>
  </w:style>
  <w:style w:type="character" w:customStyle="1" w:styleId="NoteHeadingChar">
    <w:name w:val="Note Heading Char"/>
    <w:basedOn w:val="DefaultParagraphFont"/>
    <w:link w:val="NoteHeading"/>
    <w:uiPriority w:val="99"/>
    <w:semiHidden/>
    <w:rsid w:val="00F9113D"/>
  </w:style>
  <w:style w:type="character" w:styleId="PageNumber">
    <w:name w:val="page number"/>
    <w:basedOn w:val="DefaultParagraphFont"/>
    <w:uiPriority w:val="10"/>
    <w:semiHidden/>
    <w:rsid w:val="00F9113D"/>
    <w:rPr>
      <w:lang w:val="en-AU"/>
    </w:rPr>
  </w:style>
  <w:style w:type="paragraph" w:styleId="PlainText">
    <w:name w:val="Plain Text"/>
    <w:basedOn w:val="Normal"/>
    <w:link w:val="PlainTextChar"/>
    <w:uiPriority w:val="99"/>
    <w:semiHidden/>
    <w:rsid w:val="00F9113D"/>
    <w:rPr>
      <w:rFonts w:ascii="Consolas" w:hAnsi="Consolas"/>
      <w:sz w:val="21"/>
      <w:szCs w:val="21"/>
    </w:rPr>
  </w:style>
  <w:style w:type="character" w:customStyle="1" w:styleId="PlainTextChar">
    <w:name w:val="Plain Text Char"/>
    <w:basedOn w:val="DefaultParagraphFont"/>
    <w:link w:val="PlainText"/>
    <w:uiPriority w:val="99"/>
    <w:semiHidden/>
    <w:rsid w:val="00F9113D"/>
    <w:rPr>
      <w:rFonts w:ascii="Consolas" w:hAnsi="Consolas"/>
      <w:sz w:val="21"/>
      <w:szCs w:val="21"/>
    </w:rPr>
  </w:style>
  <w:style w:type="paragraph" w:styleId="Quote">
    <w:name w:val="Quote"/>
    <w:basedOn w:val="Normal"/>
    <w:next w:val="Normal"/>
    <w:link w:val="QuoteChar"/>
    <w:uiPriority w:val="29"/>
    <w:semiHidden/>
    <w:qFormat/>
    <w:rsid w:val="00F9113D"/>
    <w:pPr>
      <w:spacing w:after="0"/>
    </w:pPr>
    <w:rPr>
      <w:i/>
      <w:iCs/>
      <w:color w:val="000000" w:themeColor="text1"/>
    </w:rPr>
  </w:style>
  <w:style w:type="character" w:customStyle="1" w:styleId="QuoteChar">
    <w:name w:val="Quote Char"/>
    <w:basedOn w:val="DefaultParagraphFont"/>
    <w:link w:val="Quote"/>
    <w:uiPriority w:val="29"/>
    <w:semiHidden/>
    <w:rsid w:val="00F9113D"/>
    <w:rPr>
      <w:i/>
      <w:iCs/>
      <w:color w:val="000000" w:themeColor="text1"/>
    </w:rPr>
  </w:style>
  <w:style w:type="paragraph" w:styleId="Salutation">
    <w:name w:val="Salutation"/>
    <w:basedOn w:val="Normal"/>
    <w:next w:val="Normal"/>
    <w:link w:val="SalutationChar"/>
    <w:uiPriority w:val="99"/>
    <w:semiHidden/>
    <w:rsid w:val="00F9113D"/>
  </w:style>
  <w:style w:type="character" w:customStyle="1" w:styleId="SalutationChar">
    <w:name w:val="Salutation Char"/>
    <w:basedOn w:val="DefaultParagraphFont"/>
    <w:link w:val="Salutation"/>
    <w:uiPriority w:val="99"/>
    <w:semiHidden/>
    <w:rsid w:val="00F9113D"/>
  </w:style>
  <w:style w:type="paragraph" w:styleId="Signature">
    <w:name w:val="Signature"/>
    <w:basedOn w:val="Normal"/>
    <w:link w:val="SignatureChar"/>
    <w:uiPriority w:val="99"/>
    <w:semiHidden/>
    <w:rsid w:val="00F9113D"/>
    <w:pPr>
      <w:keepNext/>
      <w:keepLines/>
    </w:pPr>
  </w:style>
  <w:style w:type="character" w:customStyle="1" w:styleId="SignatureChar">
    <w:name w:val="Signature Char"/>
    <w:basedOn w:val="DefaultParagraphFont"/>
    <w:link w:val="Signature"/>
    <w:uiPriority w:val="99"/>
    <w:semiHidden/>
    <w:rsid w:val="00F9113D"/>
  </w:style>
  <w:style w:type="character" w:styleId="Strong">
    <w:name w:val="Strong"/>
    <w:basedOn w:val="DefaultParagraphFont"/>
    <w:uiPriority w:val="22"/>
    <w:semiHidden/>
    <w:qFormat/>
    <w:rsid w:val="00F9113D"/>
    <w:rPr>
      <w:b/>
      <w:bCs/>
      <w:lang w:val="en-AU"/>
    </w:rPr>
  </w:style>
  <w:style w:type="paragraph" w:styleId="Subtitle">
    <w:name w:val="Subtitle"/>
    <w:basedOn w:val="Title"/>
    <w:next w:val="Normal"/>
    <w:link w:val="SubtitleChar"/>
    <w:uiPriority w:val="11"/>
    <w:semiHidden/>
    <w:qFormat/>
    <w:rsid w:val="00242572"/>
    <w:pPr>
      <w:numPr>
        <w:ilvl w:val="1"/>
      </w:numPr>
    </w:pPr>
    <w:rPr>
      <w:b w:val="0"/>
      <w:iCs/>
      <w:color w:val="auto"/>
      <w:spacing w:val="15"/>
      <w:sz w:val="24"/>
      <w:szCs w:val="24"/>
    </w:rPr>
  </w:style>
  <w:style w:type="character" w:customStyle="1" w:styleId="SubtitleChar">
    <w:name w:val="Subtitle Char"/>
    <w:basedOn w:val="DefaultParagraphFont"/>
    <w:link w:val="Subtitle"/>
    <w:uiPriority w:val="11"/>
    <w:semiHidden/>
    <w:rsid w:val="00242572"/>
    <w:rPr>
      <w:rFonts w:eastAsiaTheme="majorEastAsia" w:cstheme="majorBidi"/>
      <w:iCs/>
      <w:spacing w:val="15"/>
      <w:kern w:val="28"/>
      <w:sz w:val="24"/>
      <w:szCs w:val="24"/>
      <w:lang w:val="en-AU"/>
    </w:rPr>
  </w:style>
  <w:style w:type="character" w:styleId="SubtleEmphasis">
    <w:name w:val="Subtle Emphasis"/>
    <w:basedOn w:val="DefaultParagraphFont"/>
    <w:uiPriority w:val="99"/>
    <w:semiHidden/>
    <w:qFormat/>
    <w:rsid w:val="00F9113D"/>
    <w:rPr>
      <w:i/>
      <w:iCs/>
      <w:color w:val="808080" w:themeColor="text1" w:themeTint="7F"/>
      <w:lang w:val="en-AU"/>
    </w:rPr>
  </w:style>
  <w:style w:type="character" w:styleId="SubtleReference">
    <w:name w:val="Subtle Reference"/>
    <w:basedOn w:val="DefaultParagraphFont"/>
    <w:uiPriority w:val="99"/>
    <w:semiHidden/>
    <w:qFormat/>
    <w:rsid w:val="00F9113D"/>
    <w:rPr>
      <w:smallCaps/>
      <w:color w:val="046A38" w:themeColor="accent2"/>
      <w:u w:val="single"/>
      <w:lang w:val="en-AU"/>
    </w:rPr>
  </w:style>
  <w:style w:type="table" w:styleId="Table3Deffects1">
    <w:name w:val="Table 3D effects 1"/>
    <w:basedOn w:val="TableNormal"/>
    <w:uiPriority w:val="99"/>
    <w:semiHidden/>
    <w:unhideWhenUsed/>
    <w:rsid w:val="00F9113D"/>
    <w:pPr>
      <w:spacing w:after="24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F9113D"/>
    <w:pPr>
      <w:spacing w:after="24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F9113D"/>
    <w:pPr>
      <w:spacing w:after="2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F9113D"/>
    <w:pPr>
      <w:spacing w:after="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F9113D"/>
    <w:pPr>
      <w:spacing w:after="24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F9113D"/>
    <w:pPr>
      <w:spacing w:after="24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F9113D"/>
    <w:pPr>
      <w:spacing w:after="2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F9113D"/>
    <w:pPr>
      <w:spacing w:after="24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F9113D"/>
    <w:pPr>
      <w:spacing w:after="24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F9113D"/>
    <w:pPr>
      <w:spacing w:after="24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F9113D"/>
    <w:pPr>
      <w:spacing w:after="24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F9113D"/>
    <w:pPr>
      <w:spacing w:after="24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F9113D"/>
    <w:pPr>
      <w:spacing w:after="24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F9113D"/>
    <w:pPr>
      <w:spacing w:after="24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F9113D"/>
    <w:pPr>
      <w:spacing w:after="2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F9113D"/>
    <w:pPr>
      <w:spacing w:after="24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F9113D"/>
    <w:pPr>
      <w:spacing w:after="2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F9113D"/>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F9113D"/>
    <w:pPr>
      <w:spacing w:after="24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F9113D"/>
    <w:pPr>
      <w:spacing w:after="24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F9113D"/>
    <w:pPr>
      <w:spacing w:after="24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F9113D"/>
    <w:pPr>
      <w:spacing w:after="24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F9113D"/>
    <w:pPr>
      <w:spacing w:after="24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F9113D"/>
    <w:pPr>
      <w:spacing w:after="24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F9113D"/>
    <w:pPr>
      <w:spacing w:after="2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F9113D"/>
    <w:pPr>
      <w:spacing w:after="24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F9113D"/>
    <w:pPr>
      <w:spacing w:after="24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F9113D"/>
    <w:pPr>
      <w:spacing w:after="2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F9113D"/>
    <w:pPr>
      <w:spacing w:after="2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F9113D"/>
    <w:pPr>
      <w:spacing w:after="24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F9113D"/>
    <w:pPr>
      <w:spacing w:after="24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F9113D"/>
    <w:pPr>
      <w:spacing w:after="24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F9113D"/>
    <w:pPr>
      <w:spacing w:after="24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rsid w:val="00F9113D"/>
    <w:pPr>
      <w:ind w:left="180" w:hanging="180"/>
    </w:pPr>
  </w:style>
  <w:style w:type="paragraph" w:styleId="TableofFigures">
    <w:name w:val="table of figures"/>
    <w:basedOn w:val="Normal"/>
    <w:next w:val="Normal"/>
    <w:uiPriority w:val="99"/>
    <w:semiHidden/>
    <w:rsid w:val="00F9113D"/>
  </w:style>
  <w:style w:type="table" w:styleId="TableProfessional">
    <w:name w:val="Table Professional"/>
    <w:basedOn w:val="TableNormal"/>
    <w:uiPriority w:val="99"/>
    <w:semiHidden/>
    <w:unhideWhenUsed/>
    <w:rsid w:val="00F9113D"/>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F9113D"/>
    <w:pPr>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F9113D"/>
    <w:pPr>
      <w:spacing w:after="24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F9113D"/>
    <w:pPr>
      <w:spacing w:after="24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F9113D"/>
    <w:pPr>
      <w:spacing w:after="24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F9113D"/>
    <w:pPr>
      <w:spacing w:after="24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F9113D"/>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F9113D"/>
    <w:pPr>
      <w:spacing w:after="24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F9113D"/>
    <w:pPr>
      <w:spacing w:after="24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F9113D"/>
    <w:pPr>
      <w:spacing w:after="24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next w:val="Normal"/>
    <w:link w:val="TitleChar"/>
    <w:uiPriority w:val="10"/>
    <w:semiHidden/>
    <w:qFormat/>
    <w:rsid w:val="00242572"/>
    <w:pPr>
      <w:spacing w:before="240" w:after="240" w:line="240" w:lineRule="auto"/>
    </w:pPr>
    <w:rPr>
      <w:rFonts w:eastAsiaTheme="majorEastAsia" w:cstheme="majorBidi"/>
      <w:b/>
      <w:color w:val="323E4F" w:themeColor="text2" w:themeShade="BF"/>
      <w:spacing w:val="5"/>
      <w:kern w:val="28"/>
      <w:sz w:val="40"/>
      <w:szCs w:val="52"/>
      <w:lang w:val="en-AU"/>
    </w:rPr>
  </w:style>
  <w:style w:type="character" w:customStyle="1" w:styleId="TitleChar">
    <w:name w:val="Title Char"/>
    <w:basedOn w:val="DefaultParagraphFont"/>
    <w:link w:val="Title"/>
    <w:uiPriority w:val="10"/>
    <w:semiHidden/>
    <w:rsid w:val="00242572"/>
    <w:rPr>
      <w:rFonts w:eastAsiaTheme="majorEastAsia" w:cstheme="majorBidi"/>
      <w:b/>
      <w:color w:val="323E4F" w:themeColor="text2" w:themeShade="BF"/>
      <w:spacing w:val="5"/>
      <w:kern w:val="28"/>
      <w:sz w:val="40"/>
      <w:szCs w:val="52"/>
      <w:lang w:val="en-AU"/>
    </w:rPr>
  </w:style>
  <w:style w:type="paragraph" w:styleId="TOAHeading">
    <w:name w:val="toa heading"/>
    <w:basedOn w:val="Normal"/>
    <w:next w:val="Normal"/>
    <w:uiPriority w:val="99"/>
    <w:semiHidden/>
    <w:rsid w:val="00F9113D"/>
    <w:rPr>
      <w:rFonts w:asciiTheme="majorHAnsi" w:eastAsiaTheme="majorEastAsia" w:hAnsiTheme="majorHAnsi" w:cstheme="majorBidi"/>
      <w:b/>
      <w:bCs/>
      <w:sz w:val="24"/>
      <w:szCs w:val="24"/>
    </w:rPr>
  </w:style>
  <w:style w:type="paragraph" w:styleId="TOC2">
    <w:name w:val="toc 2"/>
    <w:basedOn w:val="Normal"/>
    <w:next w:val="Normal"/>
    <w:uiPriority w:val="39"/>
    <w:rsid w:val="00242572"/>
    <w:pPr>
      <w:tabs>
        <w:tab w:val="right" w:pos="8959"/>
      </w:tabs>
      <w:spacing w:before="40" w:after="0"/>
      <w:ind w:left="170"/>
    </w:pPr>
    <w:rPr>
      <w:noProof/>
    </w:rPr>
  </w:style>
  <w:style w:type="paragraph" w:styleId="TOC3">
    <w:name w:val="toc 3"/>
    <w:basedOn w:val="Normal"/>
    <w:next w:val="Normal"/>
    <w:uiPriority w:val="39"/>
    <w:rsid w:val="00271D10"/>
    <w:pPr>
      <w:tabs>
        <w:tab w:val="left" w:pos="1021"/>
        <w:tab w:val="right" w:pos="8959"/>
      </w:tabs>
      <w:spacing w:after="100"/>
      <w:ind w:left="567" w:right="567"/>
      <w:contextualSpacing/>
    </w:pPr>
  </w:style>
  <w:style w:type="paragraph" w:styleId="TOC4">
    <w:name w:val="toc 4"/>
    <w:basedOn w:val="Normal"/>
    <w:next w:val="Normal"/>
    <w:uiPriority w:val="39"/>
    <w:rsid w:val="007854F9"/>
    <w:pPr>
      <w:tabs>
        <w:tab w:val="right" w:pos="8959"/>
      </w:tabs>
      <w:spacing w:after="100"/>
      <w:ind w:right="567"/>
      <w:contextualSpacing/>
    </w:pPr>
  </w:style>
  <w:style w:type="paragraph" w:styleId="TOC5">
    <w:name w:val="toc 5"/>
    <w:basedOn w:val="Normal"/>
    <w:next w:val="Normal"/>
    <w:uiPriority w:val="39"/>
    <w:semiHidden/>
    <w:rsid w:val="00F9113D"/>
    <w:pPr>
      <w:spacing w:after="100"/>
      <w:ind w:left="567" w:right="567"/>
      <w:contextualSpacing/>
    </w:pPr>
  </w:style>
  <w:style w:type="paragraph" w:styleId="TOC6">
    <w:name w:val="toc 6"/>
    <w:basedOn w:val="Normal"/>
    <w:next w:val="Normal"/>
    <w:uiPriority w:val="39"/>
    <w:rsid w:val="006704D4"/>
    <w:pPr>
      <w:tabs>
        <w:tab w:val="right" w:pos="8959"/>
      </w:tabs>
      <w:spacing w:after="100"/>
      <w:ind w:right="567"/>
      <w:contextualSpacing/>
    </w:pPr>
  </w:style>
  <w:style w:type="paragraph" w:styleId="TOC7">
    <w:name w:val="toc 7"/>
    <w:basedOn w:val="Normal"/>
    <w:next w:val="Normal"/>
    <w:uiPriority w:val="39"/>
    <w:rsid w:val="00271D10"/>
    <w:pPr>
      <w:tabs>
        <w:tab w:val="right" w:pos="8959"/>
      </w:tabs>
      <w:spacing w:after="100"/>
      <w:ind w:right="567"/>
      <w:contextualSpacing/>
    </w:pPr>
  </w:style>
  <w:style w:type="paragraph" w:styleId="TOC8">
    <w:name w:val="toc 8"/>
    <w:basedOn w:val="Normal"/>
    <w:next w:val="Normal"/>
    <w:uiPriority w:val="39"/>
    <w:rsid w:val="007854F9"/>
    <w:pPr>
      <w:tabs>
        <w:tab w:val="right" w:pos="8959"/>
      </w:tabs>
      <w:spacing w:after="100"/>
      <w:ind w:right="567"/>
      <w:contextualSpacing/>
    </w:pPr>
  </w:style>
  <w:style w:type="paragraph" w:styleId="TOC9">
    <w:name w:val="toc 9"/>
    <w:basedOn w:val="Normal"/>
    <w:next w:val="Normal"/>
    <w:uiPriority w:val="39"/>
    <w:semiHidden/>
    <w:rsid w:val="00F9113D"/>
    <w:pPr>
      <w:spacing w:after="100"/>
      <w:ind w:left="567" w:right="567"/>
      <w:contextualSpacing/>
    </w:pPr>
  </w:style>
  <w:style w:type="paragraph" w:styleId="TOCHeading">
    <w:name w:val="TOC Heading"/>
    <w:next w:val="Normal"/>
    <w:uiPriority w:val="39"/>
    <w:semiHidden/>
    <w:rsid w:val="00F9113D"/>
    <w:pPr>
      <w:spacing w:after="480" w:line="720" w:lineRule="atLeast"/>
    </w:pPr>
    <w:rPr>
      <w:rFonts w:eastAsiaTheme="majorEastAsia" w:cstheme="majorBidi"/>
      <w:bCs/>
      <w:sz w:val="60"/>
      <w:szCs w:val="28"/>
      <w:lang w:val="en-AU"/>
    </w:rPr>
  </w:style>
  <w:style w:type="paragraph" w:customStyle="1" w:styleId="Template-Adresse">
    <w:name w:val="Template - Adresse"/>
    <w:basedOn w:val="Normal"/>
    <w:uiPriority w:val="9"/>
    <w:semiHidden/>
    <w:rsid w:val="00F9113D"/>
    <w:pPr>
      <w:tabs>
        <w:tab w:val="left" w:pos="567"/>
      </w:tabs>
      <w:spacing w:after="0" w:line="280" w:lineRule="atLeast"/>
    </w:pPr>
    <w:rPr>
      <w:noProof/>
      <w:sz w:val="16"/>
    </w:rPr>
  </w:style>
  <w:style w:type="paragraph" w:customStyle="1" w:styleId="Template-Dato">
    <w:name w:val="Template - Dato"/>
    <w:basedOn w:val="Normal"/>
    <w:uiPriority w:val="9"/>
    <w:semiHidden/>
    <w:rsid w:val="00F9113D"/>
    <w:pPr>
      <w:spacing w:after="0" w:line="280" w:lineRule="atLeast"/>
    </w:pPr>
    <w:rPr>
      <w:noProof/>
      <w:sz w:val="16"/>
    </w:rPr>
  </w:style>
  <w:style w:type="paragraph" w:customStyle="1" w:styleId="Letterheadaddressnospacing">
    <w:name w:val="Letterhead address (no spacing)"/>
    <w:uiPriority w:val="99"/>
    <w:semiHidden/>
    <w:qFormat/>
    <w:rsid w:val="001D0641"/>
    <w:pPr>
      <w:framePr w:wrap="around" w:vAnchor="page" w:hAnchor="page" w:x="1" w:y="1"/>
      <w:spacing w:line="240" w:lineRule="auto"/>
      <w:suppressOverlap/>
    </w:pPr>
    <w:rPr>
      <w:rFonts w:eastAsia="Times New Roman" w:cs="Times New Roman"/>
      <w:noProof/>
      <w:color w:val="7F7F7F" w:themeColor="text1" w:themeTint="80"/>
      <w:sz w:val="14"/>
      <w:lang w:val="en-AU" w:bidi="en-US"/>
    </w:rPr>
  </w:style>
  <w:style w:type="paragraph" w:customStyle="1" w:styleId="DocumentHeading">
    <w:name w:val="Document Heading"/>
    <w:basedOn w:val="Normal"/>
    <w:next w:val="BodyText"/>
    <w:uiPriority w:val="99"/>
    <w:semiHidden/>
    <w:rsid w:val="00F9113D"/>
    <w:pPr>
      <w:suppressAutoHyphens/>
      <w:spacing w:before="240" w:after="240"/>
    </w:pPr>
    <w:rPr>
      <w:b/>
    </w:rPr>
  </w:style>
  <w:style w:type="paragraph" w:customStyle="1" w:styleId="Disclaimer">
    <w:name w:val="Disclaimer"/>
    <w:basedOn w:val="Footer"/>
    <w:uiPriority w:val="11"/>
    <w:semiHidden/>
    <w:rsid w:val="00F9113D"/>
    <w:pPr>
      <w:tabs>
        <w:tab w:val="clear" w:pos="7371"/>
      </w:tabs>
      <w:spacing w:line="130" w:lineRule="atLeast"/>
      <w:suppressOverlap/>
    </w:pPr>
    <w:rPr>
      <w:rFonts w:eastAsia="Times New Roman" w:cs="Arial"/>
      <w:sz w:val="11"/>
      <w:szCs w:val="17"/>
      <w:lang w:eastAsia="en-GB"/>
    </w:rPr>
  </w:style>
  <w:style w:type="paragraph" w:customStyle="1" w:styleId="SenderName">
    <w:name w:val="Sender Name"/>
    <w:basedOn w:val="Normal"/>
    <w:uiPriority w:val="8"/>
    <w:rsid w:val="00F9113D"/>
    <w:pPr>
      <w:keepNext/>
      <w:keepLines/>
      <w:spacing w:after="0"/>
    </w:pPr>
    <w:rPr>
      <w:b/>
      <w:szCs w:val="17"/>
    </w:rPr>
  </w:style>
  <w:style w:type="paragraph" w:customStyle="1" w:styleId="SignatureName">
    <w:name w:val="Signature Name"/>
    <w:basedOn w:val="Normal"/>
    <w:next w:val="SignatureTitle"/>
    <w:uiPriority w:val="7"/>
    <w:semiHidden/>
    <w:rsid w:val="00F9113D"/>
    <w:pPr>
      <w:keepNext/>
      <w:keepLines/>
      <w:spacing w:after="0"/>
    </w:pPr>
    <w:rPr>
      <w:b/>
      <w:color w:val="62B5E5" w:themeColor="accent3"/>
    </w:rPr>
  </w:style>
  <w:style w:type="paragraph" w:customStyle="1" w:styleId="SignatureTitle">
    <w:name w:val="Signature Title"/>
    <w:basedOn w:val="Normal"/>
    <w:next w:val="BodyText"/>
    <w:uiPriority w:val="7"/>
    <w:semiHidden/>
    <w:rsid w:val="00F9113D"/>
    <w:pPr>
      <w:spacing w:after="0"/>
    </w:pPr>
    <w:rPr>
      <w:b/>
    </w:rPr>
  </w:style>
  <w:style w:type="paragraph" w:customStyle="1" w:styleId="Heading2un-numbered">
    <w:name w:val="Heading 2 (un-numbered)"/>
    <w:basedOn w:val="Heading2"/>
    <w:next w:val="Normal"/>
    <w:uiPriority w:val="2"/>
    <w:qFormat/>
    <w:rsid w:val="004C2B18"/>
    <w:pPr>
      <w:numPr>
        <w:ilvl w:val="0"/>
        <w:numId w:val="0"/>
      </w:numPr>
    </w:pPr>
  </w:style>
  <w:style w:type="paragraph" w:customStyle="1" w:styleId="Heading3un-numbered">
    <w:name w:val="Heading 3 (un-numbered)"/>
    <w:basedOn w:val="Heading3"/>
    <w:next w:val="Normal"/>
    <w:link w:val="Heading3un-numberedChar"/>
    <w:uiPriority w:val="2"/>
    <w:qFormat/>
    <w:rsid w:val="00880DC4"/>
    <w:pPr>
      <w:numPr>
        <w:ilvl w:val="0"/>
        <w:numId w:val="0"/>
      </w:numPr>
      <w:spacing w:after="120"/>
    </w:pPr>
  </w:style>
  <w:style w:type="paragraph" w:customStyle="1" w:styleId="Heading4un-numbered">
    <w:name w:val="Heading 4 (un-numbered)"/>
    <w:basedOn w:val="Heading4"/>
    <w:next w:val="Normal"/>
    <w:link w:val="Heading4un-numberedChar"/>
    <w:uiPriority w:val="2"/>
    <w:qFormat/>
    <w:rsid w:val="00AD10DC"/>
    <w:pPr>
      <w:keepNext w:val="0"/>
      <w:keepLines w:val="0"/>
      <w:numPr>
        <w:ilvl w:val="0"/>
        <w:numId w:val="0"/>
      </w:numPr>
      <w:spacing w:before="240" w:after="120"/>
    </w:pPr>
  </w:style>
  <w:style w:type="paragraph" w:customStyle="1" w:styleId="BulletedText1">
    <w:name w:val="Bulleted Text 1"/>
    <w:basedOn w:val="Normal"/>
    <w:uiPriority w:val="4"/>
    <w:semiHidden/>
    <w:qFormat/>
    <w:rsid w:val="00F9113D"/>
    <w:pPr>
      <w:numPr>
        <w:numId w:val="1"/>
      </w:numPr>
      <w:suppressAutoHyphens/>
      <w:spacing w:after="0" w:line="250" w:lineRule="atLeast"/>
      <w:ind w:left="794" w:hanging="794"/>
    </w:pPr>
  </w:style>
  <w:style w:type="paragraph" w:customStyle="1" w:styleId="BulletedText2">
    <w:name w:val="Bulleted Text 2"/>
    <w:basedOn w:val="Normal"/>
    <w:uiPriority w:val="4"/>
    <w:semiHidden/>
    <w:rsid w:val="00F9113D"/>
    <w:pPr>
      <w:numPr>
        <w:ilvl w:val="1"/>
        <w:numId w:val="1"/>
      </w:numPr>
      <w:suppressAutoHyphens/>
      <w:spacing w:after="0" w:line="250" w:lineRule="atLeast"/>
      <w:ind w:left="794" w:hanging="794"/>
    </w:pPr>
  </w:style>
  <w:style w:type="paragraph" w:customStyle="1" w:styleId="Numberslevel1">
    <w:name w:val="Numbers level 1"/>
    <w:basedOn w:val="Normal"/>
    <w:uiPriority w:val="4"/>
    <w:semiHidden/>
    <w:qFormat/>
    <w:rsid w:val="00F9113D"/>
    <w:pPr>
      <w:numPr>
        <w:numId w:val="7"/>
      </w:numPr>
      <w:tabs>
        <w:tab w:val="num" w:pos="1492"/>
      </w:tabs>
      <w:suppressAutoHyphens/>
      <w:spacing w:after="0" w:line="250" w:lineRule="atLeast"/>
      <w:ind w:left="1492"/>
    </w:pPr>
  </w:style>
  <w:style w:type="paragraph" w:customStyle="1" w:styleId="Numberslevel2">
    <w:name w:val="Numbers level 2"/>
    <w:basedOn w:val="Normal"/>
    <w:uiPriority w:val="4"/>
    <w:semiHidden/>
    <w:rsid w:val="00F9113D"/>
    <w:pPr>
      <w:numPr>
        <w:ilvl w:val="1"/>
        <w:numId w:val="7"/>
      </w:numPr>
      <w:tabs>
        <w:tab w:val="num" w:pos="1492"/>
      </w:tabs>
      <w:suppressAutoHyphens/>
      <w:spacing w:after="0" w:line="250" w:lineRule="atLeast"/>
      <w:ind w:left="1492"/>
    </w:pPr>
  </w:style>
  <w:style w:type="paragraph" w:customStyle="1" w:styleId="Numberslevel3">
    <w:name w:val="Numbers level 3"/>
    <w:basedOn w:val="Normal"/>
    <w:uiPriority w:val="4"/>
    <w:semiHidden/>
    <w:rsid w:val="00F9113D"/>
    <w:pPr>
      <w:numPr>
        <w:ilvl w:val="2"/>
        <w:numId w:val="7"/>
      </w:numPr>
      <w:tabs>
        <w:tab w:val="num" w:pos="1492"/>
      </w:tabs>
      <w:suppressAutoHyphens/>
      <w:spacing w:after="0" w:line="250" w:lineRule="atLeast"/>
      <w:ind w:left="1492"/>
    </w:pPr>
  </w:style>
  <w:style w:type="paragraph" w:customStyle="1" w:styleId="TabletextLeftTotal">
    <w:name w:val="Table text Left Total"/>
    <w:basedOn w:val="TabletextLeft"/>
    <w:uiPriority w:val="5"/>
    <w:rsid w:val="004A4474"/>
    <w:rPr>
      <w:b/>
    </w:rPr>
  </w:style>
  <w:style w:type="paragraph" w:customStyle="1" w:styleId="TabletextRightTotal">
    <w:name w:val="Table text Right Total"/>
    <w:basedOn w:val="TabletextRight"/>
    <w:uiPriority w:val="5"/>
    <w:rsid w:val="00625BDB"/>
    <w:rPr>
      <w:b/>
    </w:rPr>
  </w:style>
  <w:style w:type="table" w:customStyle="1" w:styleId="DeloitteBandedrows">
    <w:name w:val="Deloitte Banded rows"/>
    <w:basedOn w:val="TableNormal"/>
    <w:uiPriority w:val="99"/>
    <w:rsid w:val="005C6F31"/>
    <w:pPr>
      <w:spacing w:line="200" w:lineRule="atLeast"/>
      <w:ind w:left="57" w:right="57"/>
    </w:pPr>
    <w:rPr>
      <w:sz w:val="17"/>
    </w:rPr>
    <w:tblPr>
      <w:tblStyleRowBandSize w:val="1"/>
      <w:tblBorders>
        <w:bottom w:val="single" w:sz="4" w:space="0" w:color="62B5E5" w:themeColor="accent3"/>
      </w:tblBorders>
      <w:tblCellMar>
        <w:top w:w="85" w:type="dxa"/>
        <w:left w:w="0" w:type="dxa"/>
        <w:bottom w:w="85" w:type="dxa"/>
        <w:right w:w="0" w:type="dxa"/>
      </w:tblCellMar>
    </w:tblPr>
    <w:tblStylePr w:type="firstRow">
      <w:tblPr/>
      <w:tcPr>
        <w:tcBorders>
          <w:top w:val="single" w:sz="24" w:space="0" w:color="62B5E5" w:themeColor="accent3"/>
          <w:bottom w:val="single" w:sz="4" w:space="0" w:color="62B5E5" w:themeColor="accent3"/>
        </w:tcBorders>
      </w:tcPr>
    </w:tblStylePr>
    <w:tblStylePr w:type="lastRow">
      <w:tblPr/>
      <w:tcPr>
        <w:tcBorders>
          <w:top w:val="nil"/>
          <w:left w:val="nil"/>
          <w:bottom w:val="nil"/>
          <w:right w:val="nil"/>
          <w:insideH w:val="nil"/>
          <w:insideV w:val="nil"/>
          <w:tl2br w:val="nil"/>
          <w:tr2bl w:val="nil"/>
        </w:tcBorders>
      </w:tcPr>
    </w:tblStylePr>
    <w:tblStylePr w:type="band2Horz">
      <w:tblPr/>
      <w:tcPr>
        <w:shd w:val="clear" w:color="auto" w:fill="62B5E5" w:themeFill="accent3"/>
      </w:tcPr>
    </w:tblStylePr>
  </w:style>
  <w:style w:type="paragraph" w:customStyle="1" w:styleId="FPPicture">
    <w:name w:val="FP Picture"/>
    <w:basedOn w:val="Normal"/>
    <w:uiPriority w:val="9"/>
    <w:semiHidden/>
    <w:rsid w:val="00F9113D"/>
    <w:pPr>
      <w:spacing w:after="0"/>
      <w:ind w:left="-57"/>
    </w:pPr>
    <w:rPr>
      <w:color w:val="FF0000"/>
      <w:sz w:val="36"/>
    </w:rPr>
  </w:style>
  <w:style w:type="paragraph" w:customStyle="1" w:styleId="CV-Name">
    <w:name w:val="CV - Name"/>
    <w:basedOn w:val="Normal"/>
    <w:uiPriority w:val="7"/>
    <w:rsid w:val="005B00B8"/>
    <w:pPr>
      <w:spacing w:after="240"/>
      <w:contextualSpacing/>
    </w:pPr>
    <w:rPr>
      <w:b/>
      <w:color w:val="62B5E5" w:themeColor="accent3"/>
    </w:rPr>
  </w:style>
  <w:style w:type="paragraph" w:customStyle="1" w:styleId="HeadingA">
    <w:name w:val="Heading A"/>
    <w:next w:val="Normal"/>
    <w:uiPriority w:val="3"/>
    <w:rsid w:val="007F276A"/>
    <w:pPr>
      <w:keepNext/>
      <w:keepLines/>
      <w:spacing w:before="240" w:line="280" w:lineRule="atLeast"/>
    </w:pPr>
    <w:rPr>
      <w:rFonts w:eastAsia="Times New Roman" w:cs="Times New Roman"/>
      <w:b/>
      <w:color w:val="62B5E5" w:themeColor="accent3"/>
      <w:sz w:val="22"/>
      <w:szCs w:val="28"/>
      <w:lang w:val="en-AU"/>
    </w:rPr>
  </w:style>
  <w:style w:type="paragraph" w:customStyle="1" w:styleId="HeadingB">
    <w:name w:val="Heading B"/>
    <w:basedOn w:val="HeadingA"/>
    <w:next w:val="Normal"/>
    <w:uiPriority w:val="3"/>
    <w:rsid w:val="005E5001"/>
    <w:pPr>
      <w:spacing w:before="0"/>
    </w:pPr>
    <w:rPr>
      <w:color w:val="auto"/>
      <w:szCs w:val="26"/>
    </w:rPr>
  </w:style>
  <w:style w:type="paragraph" w:customStyle="1" w:styleId="HeadingC">
    <w:name w:val="Heading C"/>
    <w:basedOn w:val="Normal"/>
    <w:next w:val="Normal"/>
    <w:uiPriority w:val="3"/>
    <w:rsid w:val="00F84828"/>
    <w:pPr>
      <w:keepNext/>
      <w:keepLines/>
      <w:spacing w:after="0"/>
    </w:pPr>
    <w:rPr>
      <w:rFonts w:eastAsia="Times New Roman" w:cs="Times New Roman"/>
      <w:b/>
      <w:color w:val="75787B" w:themeColor="accent6"/>
      <w:szCs w:val="28"/>
    </w:rPr>
  </w:style>
  <w:style w:type="paragraph" w:customStyle="1" w:styleId="CaptionTable">
    <w:name w:val="Caption_Table"/>
    <w:basedOn w:val="Normal"/>
    <w:next w:val="Normal"/>
    <w:uiPriority w:val="4"/>
    <w:rsid w:val="00AD10DC"/>
    <w:pPr>
      <w:keepNext/>
      <w:keepLines/>
      <w:numPr>
        <w:ilvl w:val="6"/>
        <w:numId w:val="32"/>
      </w:numPr>
      <w:spacing w:after="60"/>
    </w:pPr>
    <w:rPr>
      <w:rFonts w:eastAsia="Times New Roman" w:cs="Times New Roman"/>
      <w:color w:val="75787B" w:themeColor="accent6"/>
      <w:sz w:val="17"/>
      <w:szCs w:val="20"/>
    </w:rPr>
  </w:style>
  <w:style w:type="paragraph" w:customStyle="1" w:styleId="CaptionFigure">
    <w:name w:val="Caption_Figure"/>
    <w:basedOn w:val="Normal"/>
    <w:next w:val="Normal"/>
    <w:uiPriority w:val="4"/>
    <w:rsid w:val="006C74B8"/>
    <w:pPr>
      <w:keepNext/>
      <w:keepLines/>
      <w:numPr>
        <w:ilvl w:val="8"/>
        <w:numId w:val="32"/>
      </w:numPr>
    </w:pPr>
    <w:rPr>
      <w:bCs/>
      <w:color w:val="75787B" w:themeColor="accent6"/>
      <w:sz w:val="17"/>
      <w:szCs w:val="22"/>
    </w:rPr>
  </w:style>
  <w:style w:type="paragraph" w:customStyle="1" w:styleId="CaptionChart">
    <w:name w:val="Caption_Chart"/>
    <w:basedOn w:val="Normal"/>
    <w:next w:val="Normal"/>
    <w:uiPriority w:val="4"/>
    <w:rsid w:val="00AD10DC"/>
    <w:pPr>
      <w:keepNext/>
      <w:keepLines/>
      <w:numPr>
        <w:ilvl w:val="7"/>
        <w:numId w:val="32"/>
      </w:numPr>
      <w:spacing w:after="60"/>
      <w:ind w:left="0"/>
    </w:pPr>
    <w:rPr>
      <w:color w:val="75787B" w:themeColor="accent6"/>
      <w:sz w:val="17"/>
    </w:rPr>
  </w:style>
  <w:style w:type="paragraph" w:customStyle="1" w:styleId="ExecutiveHeading">
    <w:name w:val="Executive Heading"/>
    <w:basedOn w:val="Heading1un-numbered"/>
    <w:next w:val="Normal"/>
    <w:uiPriority w:val="3"/>
    <w:rsid w:val="005E5001"/>
    <w:pPr>
      <w:numPr>
        <w:numId w:val="10"/>
      </w:numPr>
    </w:pPr>
  </w:style>
  <w:style w:type="paragraph" w:customStyle="1" w:styleId="Reference">
    <w:name w:val="Reference"/>
    <w:basedOn w:val="Normal"/>
    <w:uiPriority w:val="4"/>
    <w:rsid w:val="002C1140"/>
    <w:pPr>
      <w:spacing w:before="240" w:after="240"/>
      <w:ind w:left="567" w:hanging="567"/>
    </w:pPr>
    <w:rPr>
      <w:rFonts w:eastAsia="Times New Roman" w:cs="Times New Roman"/>
      <w:szCs w:val="20"/>
    </w:rPr>
  </w:style>
  <w:style w:type="paragraph" w:customStyle="1" w:styleId="ExecChartCaption">
    <w:name w:val="Exec Chart Caption"/>
    <w:basedOn w:val="Caption"/>
    <w:next w:val="Normal"/>
    <w:uiPriority w:val="4"/>
    <w:rsid w:val="00CA0756"/>
    <w:pPr>
      <w:numPr>
        <w:ilvl w:val="2"/>
        <w:numId w:val="10"/>
      </w:numPr>
    </w:pPr>
    <w:rPr>
      <w:rFonts w:eastAsia="Times New Roman" w:cs="Times New Roman"/>
      <w:szCs w:val="20"/>
    </w:rPr>
  </w:style>
  <w:style w:type="paragraph" w:customStyle="1" w:styleId="ExecFigureCaption">
    <w:name w:val="Exec Figure Caption"/>
    <w:basedOn w:val="Caption"/>
    <w:next w:val="Normal"/>
    <w:uiPriority w:val="4"/>
    <w:rsid w:val="00CA0756"/>
    <w:pPr>
      <w:numPr>
        <w:ilvl w:val="3"/>
        <w:numId w:val="10"/>
      </w:numPr>
      <w:ind w:left="2880" w:hanging="360"/>
    </w:pPr>
    <w:rPr>
      <w:rFonts w:eastAsia="Times New Roman" w:cs="Times New Roman"/>
      <w:szCs w:val="20"/>
    </w:rPr>
  </w:style>
  <w:style w:type="paragraph" w:customStyle="1" w:styleId="ExecTableCaption">
    <w:name w:val="Exec Table Caption"/>
    <w:basedOn w:val="Caption"/>
    <w:next w:val="Normal"/>
    <w:uiPriority w:val="4"/>
    <w:rsid w:val="005D6648"/>
    <w:pPr>
      <w:numPr>
        <w:ilvl w:val="1"/>
        <w:numId w:val="10"/>
      </w:numPr>
      <w:ind w:left="1440" w:hanging="360"/>
    </w:pPr>
    <w:rPr>
      <w:rFonts w:eastAsia="Times New Roman" w:cs="Times New Roman"/>
      <w:szCs w:val="20"/>
    </w:rPr>
  </w:style>
  <w:style w:type="paragraph" w:customStyle="1" w:styleId="Appendixhead2">
    <w:name w:val="Appendix_head_2"/>
    <w:basedOn w:val="Heading2"/>
    <w:next w:val="Normal"/>
    <w:link w:val="Appendixhead2Char"/>
    <w:uiPriority w:val="3"/>
    <w:rsid w:val="007F276A"/>
    <w:pPr>
      <w:numPr>
        <w:numId w:val="11"/>
      </w:numPr>
      <w:tabs>
        <w:tab w:val="left" w:pos="851"/>
      </w:tabs>
      <w:outlineLvl w:val="9"/>
    </w:pPr>
    <w:rPr>
      <w:rFonts w:eastAsia="Times New Roman" w:cs="Times New Roman"/>
      <w:bCs/>
      <w:szCs w:val="28"/>
      <w:lang w:eastAsia="en-AU"/>
    </w:rPr>
  </w:style>
  <w:style w:type="paragraph" w:customStyle="1" w:styleId="Appendixhead3">
    <w:name w:val="Appendix_head_3"/>
    <w:basedOn w:val="Heading3"/>
    <w:next w:val="Normal"/>
    <w:link w:val="Appendixhead3Char"/>
    <w:uiPriority w:val="3"/>
    <w:rsid w:val="00E06F2E"/>
    <w:pPr>
      <w:numPr>
        <w:numId w:val="11"/>
      </w:numPr>
      <w:outlineLvl w:val="9"/>
    </w:pPr>
    <w:rPr>
      <w:rFonts w:eastAsia="Times New Roman" w:cs="Times New Roman"/>
      <w:bCs w:val="0"/>
      <w:szCs w:val="20"/>
    </w:rPr>
  </w:style>
  <w:style w:type="paragraph" w:customStyle="1" w:styleId="Appendixhead4">
    <w:name w:val="Appendix_head_4"/>
    <w:basedOn w:val="Heading4"/>
    <w:next w:val="Normal"/>
    <w:uiPriority w:val="3"/>
    <w:rsid w:val="00F84828"/>
    <w:pPr>
      <w:numPr>
        <w:numId w:val="11"/>
      </w:numPr>
      <w:tabs>
        <w:tab w:val="clear" w:pos="340"/>
      </w:tabs>
      <w:outlineLvl w:val="9"/>
    </w:pPr>
    <w:rPr>
      <w:rFonts w:eastAsia="Times New Roman" w:cs="Times New Roman"/>
      <w:bCs w:val="0"/>
      <w:iCs w:val="0"/>
      <w:szCs w:val="24"/>
      <w:lang w:eastAsia="en-AU"/>
    </w:rPr>
  </w:style>
  <w:style w:type="paragraph" w:customStyle="1" w:styleId="Appendixhead1">
    <w:name w:val="Appendix_head_1"/>
    <w:basedOn w:val="Normal"/>
    <w:next w:val="Normal"/>
    <w:link w:val="Appendixhead1Char"/>
    <w:uiPriority w:val="3"/>
    <w:rsid w:val="009E2F33"/>
    <w:pPr>
      <w:keepNext/>
      <w:keepLines/>
      <w:pageBreakBefore/>
      <w:numPr>
        <w:numId w:val="11"/>
      </w:numPr>
      <w:spacing w:after="480" w:line="720" w:lineRule="atLeast"/>
    </w:pPr>
    <w:rPr>
      <w:rFonts w:eastAsia="Times New Roman" w:cs="Arial"/>
      <w:sz w:val="60"/>
      <w:szCs w:val="20"/>
    </w:rPr>
  </w:style>
  <w:style w:type="character" w:customStyle="1" w:styleId="Appendixhead1Char">
    <w:name w:val="Appendix_head_1 Char"/>
    <w:basedOn w:val="DefaultParagraphFont"/>
    <w:link w:val="Appendixhead1"/>
    <w:uiPriority w:val="3"/>
    <w:rsid w:val="009E2F33"/>
    <w:rPr>
      <w:rFonts w:eastAsia="Times New Roman" w:cs="Arial"/>
      <w:sz w:val="60"/>
      <w:szCs w:val="20"/>
      <w:lang w:val="en-AU"/>
    </w:rPr>
  </w:style>
  <w:style w:type="paragraph" w:customStyle="1" w:styleId="AppendixTableCaption">
    <w:name w:val="Appendix Table Caption"/>
    <w:basedOn w:val="Appendixhead4"/>
    <w:next w:val="Normal"/>
    <w:link w:val="AppendixTableCaptionChar"/>
    <w:uiPriority w:val="4"/>
    <w:rsid w:val="002066F3"/>
    <w:pPr>
      <w:numPr>
        <w:ilvl w:val="6"/>
      </w:numPr>
      <w:spacing w:after="60"/>
    </w:pPr>
    <w:rPr>
      <w:b w:val="0"/>
      <w:sz w:val="17"/>
      <w:szCs w:val="22"/>
    </w:rPr>
  </w:style>
  <w:style w:type="paragraph" w:customStyle="1" w:styleId="AppendixChartCaption">
    <w:name w:val="Appendix Chart Caption"/>
    <w:basedOn w:val="AppendixTableCaption"/>
    <w:next w:val="Normal"/>
    <w:link w:val="AppendixChartCaptionChar"/>
    <w:uiPriority w:val="4"/>
    <w:rsid w:val="00CA0756"/>
    <w:pPr>
      <w:numPr>
        <w:ilvl w:val="7"/>
      </w:numPr>
      <w:outlineLvl w:val="5"/>
    </w:pPr>
  </w:style>
  <w:style w:type="paragraph" w:customStyle="1" w:styleId="AppendixFigureCaption">
    <w:name w:val="Appendix Figure Caption"/>
    <w:basedOn w:val="AppendixChartCaption"/>
    <w:next w:val="Normal"/>
    <w:link w:val="AppendixFigureCaptionChar"/>
    <w:uiPriority w:val="4"/>
    <w:rsid w:val="00CA0756"/>
    <w:pPr>
      <w:numPr>
        <w:ilvl w:val="8"/>
      </w:numPr>
      <w:outlineLvl w:val="6"/>
    </w:pPr>
  </w:style>
  <w:style w:type="character" w:customStyle="1" w:styleId="Appendixhead2Char">
    <w:name w:val="Appendix_head_2 Char"/>
    <w:basedOn w:val="DefaultParagraphFont"/>
    <w:link w:val="Appendixhead2"/>
    <w:uiPriority w:val="3"/>
    <w:rsid w:val="007F276A"/>
    <w:rPr>
      <w:rFonts w:eastAsia="Times New Roman" w:cs="Times New Roman"/>
      <w:b/>
      <w:color w:val="62B5E5" w:themeColor="accent3"/>
      <w:sz w:val="22"/>
      <w:szCs w:val="28"/>
      <w:lang w:val="en-AU" w:eastAsia="en-AU"/>
    </w:rPr>
  </w:style>
  <w:style w:type="character" w:customStyle="1" w:styleId="AppendixTableCaptionChar">
    <w:name w:val="Appendix Table Caption Char"/>
    <w:basedOn w:val="DefaultParagraphFont"/>
    <w:link w:val="AppendixTableCaption"/>
    <w:uiPriority w:val="4"/>
    <w:rsid w:val="002066F3"/>
    <w:rPr>
      <w:rFonts w:eastAsia="Times New Roman" w:cs="Times New Roman"/>
      <w:color w:val="75787B" w:themeColor="accent6"/>
      <w:sz w:val="17"/>
      <w:szCs w:val="22"/>
      <w:lang w:val="en-AU" w:eastAsia="en-AU"/>
    </w:rPr>
  </w:style>
  <w:style w:type="character" w:customStyle="1" w:styleId="Appendixhead3Char">
    <w:name w:val="Appendix_head_3 Char"/>
    <w:basedOn w:val="DefaultParagraphFont"/>
    <w:link w:val="Appendixhead3"/>
    <w:uiPriority w:val="3"/>
    <w:rsid w:val="00E06F2E"/>
    <w:rPr>
      <w:rFonts w:eastAsia="Times New Roman" w:cs="Times New Roman"/>
      <w:b/>
      <w:szCs w:val="20"/>
      <w:lang w:val="en-AU"/>
    </w:rPr>
  </w:style>
  <w:style w:type="character" w:customStyle="1" w:styleId="AppendixFigureCaptionChar">
    <w:name w:val="Appendix Figure Caption Char"/>
    <w:basedOn w:val="DefaultParagraphFont"/>
    <w:link w:val="AppendixFigureCaption"/>
    <w:uiPriority w:val="4"/>
    <w:rsid w:val="00CA0756"/>
    <w:rPr>
      <w:rFonts w:eastAsia="Times New Roman" w:cs="Times New Roman"/>
      <w:color w:val="75787B" w:themeColor="accent6"/>
      <w:sz w:val="17"/>
      <w:szCs w:val="22"/>
      <w:lang w:val="en-AU" w:eastAsia="en-AU"/>
    </w:rPr>
  </w:style>
  <w:style w:type="character" w:customStyle="1" w:styleId="AppendixChartCaptionChar">
    <w:name w:val="Appendix Chart Caption Char"/>
    <w:basedOn w:val="AppendixTableCaptionChar"/>
    <w:link w:val="AppendixChartCaption"/>
    <w:uiPriority w:val="4"/>
    <w:rsid w:val="00CA0756"/>
    <w:rPr>
      <w:rFonts w:eastAsia="Times New Roman" w:cs="Times New Roman"/>
      <w:color w:val="75787B" w:themeColor="accent6"/>
      <w:sz w:val="17"/>
      <w:szCs w:val="22"/>
      <w:lang w:val="en-AU" w:eastAsia="en-AU"/>
    </w:rPr>
  </w:style>
  <w:style w:type="paragraph" w:customStyle="1" w:styleId="SourcetextTableorChart">
    <w:name w:val="Source text Table or Chart"/>
    <w:basedOn w:val="Caption"/>
    <w:next w:val="Normal"/>
    <w:uiPriority w:val="6"/>
    <w:semiHidden/>
    <w:rsid w:val="00B5479F"/>
    <w:pPr>
      <w:keepNext w:val="0"/>
      <w:keepLines w:val="0"/>
      <w:spacing w:before="120"/>
    </w:pPr>
    <w:rPr>
      <w:sz w:val="14"/>
    </w:rPr>
  </w:style>
  <w:style w:type="paragraph" w:customStyle="1" w:styleId="AlphabeticList">
    <w:name w:val="Alphabetic List"/>
    <w:basedOn w:val="Normal"/>
    <w:uiPriority w:val="4"/>
    <w:qFormat/>
    <w:rsid w:val="007F7A8C"/>
    <w:pPr>
      <w:numPr>
        <w:numId w:val="12"/>
      </w:numPr>
      <w:spacing w:after="0"/>
      <w:contextualSpacing/>
    </w:pPr>
    <w:rPr>
      <w:rFonts w:eastAsia="Times New Roman" w:cs="Times New Roman"/>
      <w:szCs w:val="20"/>
    </w:rPr>
  </w:style>
  <w:style w:type="paragraph" w:customStyle="1" w:styleId="CV-Heading">
    <w:name w:val="CV - Heading"/>
    <w:basedOn w:val="Normal"/>
    <w:uiPriority w:val="7"/>
    <w:rsid w:val="005B00B8"/>
    <w:pPr>
      <w:spacing w:before="240" w:after="0"/>
      <w:contextualSpacing/>
    </w:pPr>
    <w:rPr>
      <w:b/>
    </w:rPr>
  </w:style>
  <w:style w:type="paragraph" w:customStyle="1" w:styleId="TableHeadingCentre">
    <w:name w:val="Table Heading Centre"/>
    <w:basedOn w:val="TableHeadingLeft"/>
    <w:uiPriority w:val="5"/>
    <w:rsid w:val="00625BDB"/>
    <w:pPr>
      <w:jc w:val="center"/>
    </w:pPr>
  </w:style>
  <w:style w:type="paragraph" w:customStyle="1" w:styleId="TableHeadingRight">
    <w:name w:val="Table Heading Right"/>
    <w:basedOn w:val="TableHeadingCentre"/>
    <w:uiPriority w:val="5"/>
    <w:rsid w:val="00625BDB"/>
    <w:pPr>
      <w:jc w:val="right"/>
    </w:pPr>
  </w:style>
  <w:style w:type="paragraph" w:customStyle="1" w:styleId="TabletextRight">
    <w:name w:val="Table text Right"/>
    <w:basedOn w:val="TabletextLeft"/>
    <w:uiPriority w:val="5"/>
    <w:rsid w:val="004A4474"/>
    <w:pPr>
      <w:jc w:val="right"/>
    </w:pPr>
  </w:style>
  <w:style w:type="paragraph" w:customStyle="1" w:styleId="TabletextCentre">
    <w:name w:val="Table text Centre"/>
    <w:basedOn w:val="TabletextRight"/>
    <w:uiPriority w:val="5"/>
    <w:rsid w:val="004A4474"/>
    <w:pPr>
      <w:jc w:val="center"/>
    </w:pPr>
  </w:style>
  <w:style w:type="paragraph" w:customStyle="1" w:styleId="TableNote">
    <w:name w:val="Table Note"/>
    <w:basedOn w:val="TabletextLeft"/>
    <w:uiPriority w:val="5"/>
    <w:semiHidden/>
    <w:rsid w:val="002E67BC"/>
    <w:rPr>
      <w:sz w:val="15"/>
    </w:rPr>
  </w:style>
  <w:style w:type="paragraph" w:customStyle="1" w:styleId="TabletextCentreTotal">
    <w:name w:val="Table text Centre Total"/>
    <w:basedOn w:val="TabletextCentre"/>
    <w:uiPriority w:val="5"/>
    <w:rsid w:val="004A4474"/>
    <w:rPr>
      <w:b/>
    </w:rPr>
  </w:style>
  <w:style w:type="paragraph" w:customStyle="1" w:styleId="AlphabeticList2">
    <w:name w:val="Alphabetic List 2"/>
    <w:basedOn w:val="AlphabeticList"/>
    <w:uiPriority w:val="4"/>
    <w:qFormat/>
    <w:rsid w:val="000A0317"/>
    <w:pPr>
      <w:numPr>
        <w:ilvl w:val="1"/>
      </w:numPr>
    </w:pPr>
  </w:style>
  <w:style w:type="table" w:styleId="GridTable1Light">
    <w:name w:val="Grid Table 1 Light"/>
    <w:basedOn w:val="TableNormal"/>
    <w:uiPriority w:val="46"/>
    <w:rsid w:val="000116B0"/>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0116B0"/>
    <w:pPr>
      <w:spacing w:line="240" w:lineRule="auto"/>
    </w:pPr>
    <w:tblPr>
      <w:tblStyleRowBandSize w:val="1"/>
      <w:tblStyleColBandSize w:val="1"/>
      <w:tblBorders>
        <w:top w:val="single" w:sz="4" w:space="0" w:color="D0EC9F" w:themeColor="accent1" w:themeTint="66"/>
        <w:left w:val="single" w:sz="4" w:space="0" w:color="D0EC9F" w:themeColor="accent1" w:themeTint="66"/>
        <w:bottom w:val="single" w:sz="4" w:space="0" w:color="D0EC9F" w:themeColor="accent1" w:themeTint="66"/>
        <w:right w:val="single" w:sz="4" w:space="0" w:color="D0EC9F" w:themeColor="accent1" w:themeTint="66"/>
        <w:insideH w:val="single" w:sz="4" w:space="0" w:color="D0EC9F" w:themeColor="accent1" w:themeTint="66"/>
        <w:insideV w:val="single" w:sz="4" w:space="0" w:color="D0EC9F" w:themeColor="accent1" w:themeTint="66"/>
      </w:tblBorders>
    </w:tblPr>
    <w:tblStylePr w:type="firstRow">
      <w:rPr>
        <w:b/>
        <w:bCs/>
      </w:rPr>
      <w:tblPr/>
      <w:tcPr>
        <w:tcBorders>
          <w:bottom w:val="single" w:sz="12" w:space="0" w:color="B9E370" w:themeColor="accent1" w:themeTint="99"/>
        </w:tcBorders>
      </w:tcPr>
    </w:tblStylePr>
    <w:tblStylePr w:type="lastRow">
      <w:rPr>
        <w:b/>
        <w:bCs/>
      </w:rPr>
      <w:tblPr/>
      <w:tcPr>
        <w:tcBorders>
          <w:top w:val="double" w:sz="2" w:space="0" w:color="B9E370"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0116B0"/>
    <w:pPr>
      <w:spacing w:line="240" w:lineRule="auto"/>
    </w:pPr>
    <w:tblPr>
      <w:tblStyleRowBandSize w:val="1"/>
      <w:tblStyleColBandSize w:val="1"/>
      <w:tblBorders>
        <w:top w:val="single" w:sz="4" w:space="0" w:color="64F9B0" w:themeColor="accent2" w:themeTint="66"/>
        <w:left w:val="single" w:sz="4" w:space="0" w:color="64F9B0" w:themeColor="accent2" w:themeTint="66"/>
        <w:bottom w:val="single" w:sz="4" w:space="0" w:color="64F9B0" w:themeColor="accent2" w:themeTint="66"/>
        <w:right w:val="single" w:sz="4" w:space="0" w:color="64F9B0" w:themeColor="accent2" w:themeTint="66"/>
        <w:insideH w:val="single" w:sz="4" w:space="0" w:color="64F9B0" w:themeColor="accent2" w:themeTint="66"/>
        <w:insideV w:val="single" w:sz="4" w:space="0" w:color="64F9B0" w:themeColor="accent2" w:themeTint="66"/>
      </w:tblBorders>
    </w:tblPr>
    <w:tblStylePr w:type="firstRow">
      <w:rPr>
        <w:b/>
        <w:bCs/>
      </w:rPr>
      <w:tblPr/>
      <w:tcPr>
        <w:tcBorders>
          <w:bottom w:val="single" w:sz="12" w:space="0" w:color="17F689" w:themeColor="accent2" w:themeTint="99"/>
        </w:tcBorders>
      </w:tcPr>
    </w:tblStylePr>
    <w:tblStylePr w:type="lastRow">
      <w:rPr>
        <w:b/>
        <w:bCs/>
      </w:rPr>
      <w:tblPr/>
      <w:tcPr>
        <w:tcBorders>
          <w:top w:val="double" w:sz="2" w:space="0" w:color="17F689"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0116B0"/>
    <w:pPr>
      <w:spacing w:line="240" w:lineRule="auto"/>
    </w:pPr>
    <w:tblPr>
      <w:tblStyleRowBandSize w:val="1"/>
      <w:tblStyleColBandSize w:val="1"/>
      <w:tblBorders>
        <w:top w:val="single" w:sz="4" w:space="0" w:color="C0E1F4" w:themeColor="accent3" w:themeTint="66"/>
        <w:left w:val="single" w:sz="4" w:space="0" w:color="C0E1F4" w:themeColor="accent3" w:themeTint="66"/>
        <w:bottom w:val="single" w:sz="4" w:space="0" w:color="C0E1F4" w:themeColor="accent3" w:themeTint="66"/>
        <w:right w:val="single" w:sz="4" w:space="0" w:color="C0E1F4" w:themeColor="accent3" w:themeTint="66"/>
        <w:insideH w:val="single" w:sz="4" w:space="0" w:color="C0E1F4" w:themeColor="accent3" w:themeTint="66"/>
        <w:insideV w:val="single" w:sz="4" w:space="0" w:color="C0E1F4" w:themeColor="accent3" w:themeTint="66"/>
      </w:tblBorders>
    </w:tblPr>
    <w:tblStylePr w:type="firstRow">
      <w:rPr>
        <w:b/>
        <w:bCs/>
      </w:rPr>
      <w:tblPr/>
      <w:tcPr>
        <w:tcBorders>
          <w:bottom w:val="single" w:sz="12" w:space="0" w:color="A0D2EF" w:themeColor="accent3" w:themeTint="99"/>
        </w:tcBorders>
      </w:tcPr>
    </w:tblStylePr>
    <w:tblStylePr w:type="lastRow">
      <w:rPr>
        <w:b/>
        <w:bCs/>
      </w:rPr>
      <w:tblPr/>
      <w:tcPr>
        <w:tcBorders>
          <w:top w:val="double" w:sz="2" w:space="0" w:color="A0D2E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0116B0"/>
    <w:pPr>
      <w:spacing w:line="240" w:lineRule="auto"/>
    </w:pPr>
    <w:tblPr>
      <w:tblStyleRowBandSize w:val="1"/>
      <w:tblStyleColBandSize w:val="1"/>
      <w:tblBorders>
        <w:top w:val="single" w:sz="4" w:space="0" w:color="5E8FFD" w:themeColor="accent4" w:themeTint="66"/>
        <w:left w:val="single" w:sz="4" w:space="0" w:color="5E8FFD" w:themeColor="accent4" w:themeTint="66"/>
        <w:bottom w:val="single" w:sz="4" w:space="0" w:color="5E8FFD" w:themeColor="accent4" w:themeTint="66"/>
        <w:right w:val="single" w:sz="4" w:space="0" w:color="5E8FFD" w:themeColor="accent4" w:themeTint="66"/>
        <w:insideH w:val="single" w:sz="4" w:space="0" w:color="5E8FFD" w:themeColor="accent4" w:themeTint="66"/>
        <w:insideV w:val="single" w:sz="4" w:space="0" w:color="5E8FFD" w:themeColor="accent4" w:themeTint="66"/>
      </w:tblBorders>
    </w:tblPr>
    <w:tblStylePr w:type="firstRow">
      <w:rPr>
        <w:b/>
        <w:bCs/>
      </w:rPr>
      <w:tblPr/>
      <w:tcPr>
        <w:tcBorders>
          <w:bottom w:val="single" w:sz="12" w:space="0" w:color="0E57FC" w:themeColor="accent4" w:themeTint="99"/>
        </w:tcBorders>
      </w:tcPr>
    </w:tblStylePr>
    <w:tblStylePr w:type="lastRow">
      <w:rPr>
        <w:b/>
        <w:bCs/>
      </w:rPr>
      <w:tblPr/>
      <w:tcPr>
        <w:tcBorders>
          <w:top w:val="double" w:sz="2" w:space="0" w:color="0E57FC"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0116B0"/>
    <w:pPr>
      <w:spacing w:line="240" w:lineRule="auto"/>
    </w:pPr>
    <w:tblPr>
      <w:tblStyleRowBandSize w:val="1"/>
      <w:tblStyleColBandSize w:val="1"/>
      <w:tblBorders>
        <w:top w:val="single" w:sz="4" w:space="0" w:color="76EFFF" w:themeColor="accent5" w:themeTint="66"/>
        <w:left w:val="single" w:sz="4" w:space="0" w:color="76EFFF" w:themeColor="accent5" w:themeTint="66"/>
        <w:bottom w:val="single" w:sz="4" w:space="0" w:color="76EFFF" w:themeColor="accent5" w:themeTint="66"/>
        <w:right w:val="single" w:sz="4" w:space="0" w:color="76EFFF" w:themeColor="accent5" w:themeTint="66"/>
        <w:insideH w:val="single" w:sz="4" w:space="0" w:color="76EFFF" w:themeColor="accent5" w:themeTint="66"/>
        <w:insideV w:val="single" w:sz="4" w:space="0" w:color="76EFFF" w:themeColor="accent5" w:themeTint="66"/>
      </w:tblBorders>
    </w:tblPr>
    <w:tblStylePr w:type="firstRow">
      <w:rPr>
        <w:b/>
        <w:bCs/>
      </w:rPr>
      <w:tblPr/>
      <w:tcPr>
        <w:tcBorders>
          <w:bottom w:val="single" w:sz="12" w:space="0" w:color="32E8FF" w:themeColor="accent5" w:themeTint="99"/>
        </w:tcBorders>
      </w:tcPr>
    </w:tblStylePr>
    <w:tblStylePr w:type="lastRow">
      <w:rPr>
        <w:b/>
        <w:bCs/>
      </w:rPr>
      <w:tblPr/>
      <w:tcPr>
        <w:tcBorders>
          <w:top w:val="double" w:sz="2" w:space="0" w:color="32E8F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0116B0"/>
    <w:pPr>
      <w:spacing w:line="240" w:lineRule="auto"/>
    </w:pPr>
    <w:tblPr>
      <w:tblStyleRowBandSize w:val="1"/>
      <w:tblStyleColBandSize w:val="1"/>
      <w:tblBorders>
        <w:top w:val="single" w:sz="4" w:space="0" w:color="C7C8CA" w:themeColor="accent6" w:themeTint="66"/>
        <w:left w:val="single" w:sz="4" w:space="0" w:color="C7C8CA" w:themeColor="accent6" w:themeTint="66"/>
        <w:bottom w:val="single" w:sz="4" w:space="0" w:color="C7C8CA" w:themeColor="accent6" w:themeTint="66"/>
        <w:right w:val="single" w:sz="4" w:space="0" w:color="C7C8CA" w:themeColor="accent6" w:themeTint="66"/>
        <w:insideH w:val="single" w:sz="4" w:space="0" w:color="C7C8CA" w:themeColor="accent6" w:themeTint="66"/>
        <w:insideV w:val="single" w:sz="4" w:space="0" w:color="C7C8CA" w:themeColor="accent6" w:themeTint="66"/>
      </w:tblBorders>
    </w:tblPr>
    <w:tblStylePr w:type="firstRow">
      <w:rPr>
        <w:b/>
        <w:bCs/>
      </w:rPr>
      <w:tblPr/>
      <w:tcPr>
        <w:tcBorders>
          <w:bottom w:val="single" w:sz="12" w:space="0" w:color="ABADB0" w:themeColor="accent6" w:themeTint="99"/>
        </w:tcBorders>
      </w:tcPr>
    </w:tblStylePr>
    <w:tblStylePr w:type="lastRow">
      <w:rPr>
        <w:b/>
        <w:bCs/>
      </w:rPr>
      <w:tblPr/>
      <w:tcPr>
        <w:tcBorders>
          <w:top w:val="double" w:sz="2" w:space="0" w:color="ABADB0"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0116B0"/>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0116B0"/>
    <w:pPr>
      <w:spacing w:line="240" w:lineRule="auto"/>
    </w:pPr>
    <w:tblPr>
      <w:tblStyleRowBandSize w:val="1"/>
      <w:tblStyleColBandSize w:val="1"/>
      <w:tblBorders>
        <w:top w:val="single" w:sz="2" w:space="0" w:color="B9E370" w:themeColor="accent1" w:themeTint="99"/>
        <w:bottom w:val="single" w:sz="2" w:space="0" w:color="B9E370" w:themeColor="accent1" w:themeTint="99"/>
        <w:insideH w:val="single" w:sz="2" w:space="0" w:color="B9E370" w:themeColor="accent1" w:themeTint="99"/>
        <w:insideV w:val="single" w:sz="2" w:space="0" w:color="B9E370" w:themeColor="accent1" w:themeTint="99"/>
      </w:tblBorders>
    </w:tblPr>
    <w:tblStylePr w:type="firstRow">
      <w:rPr>
        <w:b/>
        <w:bCs/>
      </w:rPr>
      <w:tblPr/>
      <w:tcPr>
        <w:tcBorders>
          <w:top w:val="nil"/>
          <w:bottom w:val="single" w:sz="12" w:space="0" w:color="B9E370" w:themeColor="accent1" w:themeTint="99"/>
          <w:insideH w:val="nil"/>
          <w:insideV w:val="nil"/>
        </w:tcBorders>
        <w:shd w:val="clear" w:color="auto" w:fill="FFFFFF" w:themeFill="background1"/>
      </w:tcPr>
    </w:tblStylePr>
    <w:tblStylePr w:type="lastRow">
      <w:rPr>
        <w:b/>
        <w:bCs/>
      </w:rPr>
      <w:tblPr/>
      <w:tcPr>
        <w:tcBorders>
          <w:top w:val="double" w:sz="2" w:space="0" w:color="B9E370"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GridTable2-Accent2">
    <w:name w:val="Grid Table 2 Accent 2"/>
    <w:basedOn w:val="TableNormal"/>
    <w:uiPriority w:val="47"/>
    <w:rsid w:val="000116B0"/>
    <w:pPr>
      <w:spacing w:line="240" w:lineRule="auto"/>
    </w:pPr>
    <w:tblPr>
      <w:tblStyleRowBandSize w:val="1"/>
      <w:tblStyleColBandSize w:val="1"/>
      <w:tblBorders>
        <w:top w:val="single" w:sz="2" w:space="0" w:color="17F689" w:themeColor="accent2" w:themeTint="99"/>
        <w:bottom w:val="single" w:sz="2" w:space="0" w:color="17F689" w:themeColor="accent2" w:themeTint="99"/>
        <w:insideH w:val="single" w:sz="2" w:space="0" w:color="17F689" w:themeColor="accent2" w:themeTint="99"/>
        <w:insideV w:val="single" w:sz="2" w:space="0" w:color="17F689" w:themeColor="accent2" w:themeTint="99"/>
      </w:tblBorders>
    </w:tblPr>
    <w:tblStylePr w:type="firstRow">
      <w:rPr>
        <w:b/>
        <w:bCs/>
      </w:rPr>
      <w:tblPr/>
      <w:tcPr>
        <w:tcBorders>
          <w:top w:val="nil"/>
          <w:bottom w:val="single" w:sz="12" w:space="0" w:color="17F689" w:themeColor="accent2" w:themeTint="99"/>
          <w:insideH w:val="nil"/>
          <w:insideV w:val="nil"/>
        </w:tcBorders>
        <w:shd w:val="clear" w:color="auto" w:fill="FFFFFF" w:themeFill="background1"/>
      </w:tcPr>
    </w:tblStylePr>
    <w:tblStylePr w:type="lastRow">
      <w:rPr>
        <w:b/>
        <w:bCs/>
      </w:rPr>
      <w:tblPr/>
      <w:tcPr>
        <w:tcBorders>
          <w:top w:val="double" w:sz="2" w:space="0" w:color="17F68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GridTable2-Accent3">
    <w:name w:val="Grid Table 2 Accent 3"/>
    <w:basedOn w:val="TableNormal"/>
    <w:uiPriority w:val="47"/>
    <w:rsid w:val="000116B0"/>
    <w:pPr>
      <w:spacing w:line="240" w:lineRule="auto"/>
    </w:pPr>
    <w:tblPr>
      <w:tblStyleRowBandSize w:val="1"/>
      <w:tblStyleColBandSize w:val="1"/>
      <w:tblBorders>
        <w:top w:val="single" w:sz="2" w:space="0" w:color="A0D2EF" w:themeColor="accent3" w:themeTint="99"/>
        <w:bottom w:val="single" w:sz="2" w:space="0" w:color="A0D2EF" w:themeColor="accent3" w:themeTint="99"/>
        <w:insideH w:val="single" w:sz="2" w:space="0" w:color="A0D2EF" w:themeColor="accent3" w:themeTint="99"/>
        <w:insideV w:val="single" w:sz="2" w:space="0" w:color="A0D2EF" w:themeColor="accent3" w:themeTint="99"/>
      </w:tblBorders>
    </w:tblPr>
    <w:tblStylePr w:type="firstRow">
      <w:rPr>
        <w:b/>
        <w:bCs/>
      </w:rPr>
      <w:tblPr/>
      <w:tcPr>
        <w:tcBorders>
          <w:top w:val="nil"/>
          <w:bottom w:val="single" w:sz="12" w:space="0" w:color="A0D2EF" w:themeColor="accent3" w:themeTint="99"/>
          <w:insideH w:val="nil"/>
          <w:insideV w:val="nil"/>
        </w:tcBorders>
        <w:shd w:val="clear" w:color="auto" w:fill="FFFFFF" w:themeFill="background1"/>
      </w:tcPr>
    </w:tblStylePr>
    <w:tblStylePr w:type="lastRow">
      <w:rPr>
        <w:b/>
        <w:bCs/>
      </w:rPr>
      <w:tblPr/>
      <w:tcPr>
        <w:tcBorders>
          <w:top w:val="double" w:sz="2" w:space="0" w:color="A0D2E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GridTable2-Accent4">
    <w:name w:val="Grid Table 2 Accent 4"/>
    <w:basedOn w:val="TableNormal"/>
    <w:uiPriority w:val="47"/>
    <w:rsid w:val="000116B0"/>
    <w:pPr>
      <w:spacing w:line="240" w:lineRule="auto"/>
    </w:pPr>
    <w:tblPr>
      <w:tblStyleRowBandSize w:val="1"/>
      <w:tblStyleColBandSize w:val="1"/>
      <w:tblBorders>
        <w:top w:val="single" w:sz="2" w:space="0" w:color="0E57FC" w:themeColor="accent4" w:themeTint="99"/>
        <w:bottom w:val="single" w:sz="2" w:space="0" w:color="0E57FC" w:themeColor="accent4" w:themeTint="99"/>
        <w:insideH w:val="single" w:sz="2" w:space="0" w:color="0E57FC" w:themeColor="accent4" w:themeTint="99"/>
        <w:insideV w:val="single" w:sz="2" w:space="0" w:color="0E57FC" w:themeColor="accent4" w:themeTint="99"/>
      </w:tblBorders>
    </w:tblPr>
    <w:tblStylePr w:type="firstRow">
      <w:rPr>
        <w:b/>
        <w:bCs/>
      </w:rPr>
      <w:tblPr/>
      <w:tcPr>
        <w:tcBorders>
          <w:top w:val="nil"/>
          <w:bottom w:val="single" w:sz="12" w:space="0" w:color="0E57FC" w:themeColor="accent4" w:themeTint="99"/>
          <w:insideH w:val="nil"/>
          <w:insideV w:val="nil"/>
        </w:tcBorders>
        <w:shd w:val="clear" w:color="auto" w:fill="FFFFFF" w:themeFill="background1"/>
      </w:tcPr>
    </w:tblStylePr>
    <w:tblStylePr w:type="lastRow">
      <w:rPr>
        <w:b/>
        <w:bCs/>
      </w:rPr>
      <w:tblPr/>
      <w:tcPr>
        <w:tcBorders>
          <w:top w:val="double" w:sz="2" w:space="0" w:color="0E57F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GridTable2-Accent5">
    <w:name w:val="Grid Table 2 Accent 5"/>
    <w:basedOn w:val="TableNormal"/>
    <w:uiPriority w:val="47"/>
    <w:rsid w:val="000116B0"/>
    <w:pPr>
      <w:spacing w:line="240" w:lineRule="auto"/>
    </w:pPr>
    <w:tblPr>
      <w:tblStyleRowBandSize w:val="1"/>
      <w:tblStyleColBandSize w:val="1"/>
      <w:tblBorders>
        <w:top w:val="single" w:sz="2" w:space="0" w:color="32E8FF" w:themeColor="accent5" w:themeTint="99"/>
        <w:bottom w:val="single" w:sz="2" w:space="0" w:color="32E8FF" w:themeColor="accent5" w:themeTint="99"/>
        <w:insideH w:val="single" w:sz="2" w:space="0" w:color="32E8FF" w:themeColor="accent5" w:themeTint="99"/>
        <w:insideV w:val="single" w:sz="2" w:space="0" w:color="32E8FF" w:themeColor="accent5" w:themeTint="99"/>
      </w:tblBorders>
    </w:tblPr>
    <w:tblStylePr w:type="firstRow">
      <w:rPr>
        <w:b/>
        <w:bCs/>
      </w:rPr>
      <w:tblPr/>
      <w:tcPr>
        <w:tcBorders>
          <w:top w:val="nil"/>
          <w:bottom w:val="single" w:sz="12" w:space="0" w:color="32E8FF" w:themeColor="accent5" w:themeTint="99"/>
          <w:insideH w:val="nil"/>
          <w:insideV w:val="nil"/>
        </w:tcBorders>
        <w:shd w:val="clear" w:color="auto" w:fill="FFFFFF" w:themeFill="background1"/>
      </w:tcPr>
    </w:tblStylePr>
    <w:tblStylePr w:type="lastRow">
      <w:rPr>
        <w:b/>
        <w:bCs/>
      </w:rPr>
      <w:tblPr/>
      <w:tcPr>
        <w:tcBorders>
          <w:top w:val="double" w:sz="2" w:space="0" w:color="32E8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GridTable2-Accent6">
    <w:name w:val="Grid Table 2 Accent 6"/>
    <w:basedOn w:val="TableNormal"/>
    <w:uiPriority w:val="47"/>
    <w:rsid w:val="000116B0"/>
    <w:pPr>
      <w:spacing w:line="240" w:lineRule="auto"/>
    </w:pPr>
    <w:tblPr>
      <w:tblStyleRowBandSize w:val="1"/>
      <w:tblStyleColBandSize w:val="1"/>
      <w:tblBorders>
        <w:top w:val="single" w:sz="2" w:space="0" w:color="ABADB0" w:themeColor="accent6" w:themeTint="99"/>
        <w:bottom w:val="single" w:sz="2" w:space="0" w:color="ABADB0" w:themeColor="accent6" w:themeTint="99"/>
        <w:insideH w:val="single" w:sz="2" w:space="0" w:color="ABADB0" w:themeColor="accent6" w:themeTint="99"/>
        <w:insideV w:val="single" w:sz="2" w:space="0" w:color="ABADB0" w:themeColor="accent6" w:themeTint="99"/>
      </w:tblBorders>
    </w:tblPr>
    <w:tblStylePr w:type="firstRow">
      <w:rPr>
        <w:b/>
        <w:bCs/>
      </w:rPr>
      <w:tblPr/>
      <w:tcPr>
        <w:tcBorders>
          <w:top w:val="nil"/>
          <w:bottom w:val="single" w:sz="12" w:space="0" w:color="ABADB0" w:themeColor="accent6" w:themeTint="99"/>
          <w:insideH w:val="nil"/>
          <w:insideV w:val="nil"/>
        </w:tcBorders>
        <w:shd w:val="clear" w:color="auto" w:fill="FFFFFF" w:themeFill="background1"/>
      </w:tcPr>
    </w:tblStylePr>
    <w:tblStylePr w:type="lastRow">
      <w:rPr>
        <w:b/>
        <w:bCs/>
      </w:rPr>
      <w:tblPr/>
      <w:tcPr>
        <w:tcBorders>
          <w:top w:val="double" w:sz="2" w:space="0" w:color="ABADB0"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GridTable3">
    <w:name w:val="Grid Table 3"/>
    <w:basedOn w:val="TableNormal"/>
    <w:uiPriority w:val="48"/>
    <w:rsid w:val="000116B0"/>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0116B0"/>
    <w:pPr>
      <w:spacing w:line="240" w:lineRule="auto"/>
    </w:p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CF" w:themeFill="accent1" w:themeFillTint="33"/>
      </w:tcPr>
    </w:tblStylePr>
    <w:tblStylePr w:type="band1Horz">
      <w:tblPr/>
      <w:tcPr>
        <w:shd w:val="clear" w:color="auto" w:fill="E7F5CF" w:themeFill="accent1" w:themeFillTint="33"/>
      </w:tcPr>
    </w:tblStylePr>
    <w:tblStylePr w:type="neCell">
      <w:tblPr/>
      <w:tcPr>
        <w:tcBorders>
          <w:bottom w:val="single" w:sz="4" w:space="0" w:color="B9E370" w:themeColor="accent1" w:themeTint="99"/>
        </w:tcBorders>
      </w:tcPr>
    </w:tblStylePr>
    <w:tblStylePr w:type="nwCell">
      <w:tblPr/>
      <w:tcPr>
        <w:tcBorders>
          <w:bottom w:val="single" w:sz="4" w:space="0" w:color="B9E370" w:themeColor="accent1" w:themeTint="99"/>
        </w:tcBorders>
      </w:tcPr>
    </w:tblStylePr>
    <w:tblStylePr w:type="seCell">
      <w:tblPr/>
      <w:tcPr>
        <w:tcBorders>
          <w:top w:val="single" w:sz="4" w:space="0" w:color="B9E370" w:themeColor="accent1" w:themeTint="99"/>
        </w:tcBorders>
      </w:tcPr>
    </w:tblStylePr>
    <w:tblStylePr w:type="swCell">
      <w:tblPr/>
      <w:tcPr>
        <w:tcBorders>
          <w:top w:val="single" w:sz="4" w:space="0" w:color="B9E370" w:themeColor="accent1" w:themeTint="99"/>
        </w:tcBorders>
      </w:tcPr>
    </w:tblStylePr>
  </w:style>
  <w:style w:type="table" w:styleId="GridTable3-Accent2">
    <w:name w:val="Grid Table 3 Accent 2"/>
    <w:basedOn w:val="TableNormal"/>
    <w:uiPriority w:val="48"/>
    <w:rsid w:val="000116B0"/>
    <w:pPr>
      <w:spacing w:line="240" w:lineRule="auto"/>
    </w:p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FCD7" w:themeFill="accent2" w:themeFillTint="33"/>
      </w:tcPr>
    </w:tblStylePr>
    <w:tblStylePr w:type="band1Horz">
      <w:tblPr/>
      <w:tcPr>
        <w:shd w:val="clear" w:color="auto" w:fill="B1FCD7" w:themeFill="accent2" w:themeFillTint="33"/>
      </w:tcPr>
    </w:tblStylePr>
    <w:tblStylePr w:type="neCell">
      <w:tblPr/>
      <w:tcPr>
        <w:tcBorders>
          <w:bottom w:val="single" w:sz="4" w:space="0" w:color="17F689" w:themeColor="accent2" w:themeTint="99"/>
        </w:tcBorders>
      </w:tcPr>
    </w:tblStylePr>
    <w:tblStylePr w:type="nwCell">
      <w:tblPr/>
      <w:tcPr>
        <w:tcBorders>
          <w:bottom w:val="single" w:sz="4" w:space="0" w:color="17F689" w:themeColor="accent2" w:themeTint="99"/>
        </w:tcBorders>
      </w:tcPr>
    </w:tblStylePr>
    <w:tblStylePr w:type="seCell">
      <w:tblPr/>
      <w:tcPr>
        <w:tcBorders>
          <w:top w:val="single" w:sz="4" w:space="0" w:color="17F689" w:themeColor="accent2" w:themeTint="99"/>
        </w:tcBorders>
      </w:tcPr>
    </w:tblStylePr>
    <w:tblStylePr w:type="swCell">
      <w:tblPr/>
      <w:tcPr>
        <w:tcBorders>
          <w:top w:val="single" w:sz="4" w:space="0" w:color="17F689" w:themeColor="accent2" w:themeTint="99"/>
        </w:tcBorders>
      </w:tcPr>
    </w:tblStylePr>
  </w:style>
  <w:style w:type="table" w:styleId="GridTable3-Accent3">
    <w:name w:val="Grid Table 3 Accent 3"/>
    <w:basedOn w:val="TableNormal"/>
    <w:uiPriority w:val="48"/>
    <w:rsid w:val="000116B0"/>
    <w:pPr>
      <w:spacing w:line="240" w:lineRule="auto"/>
    </w:p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0F9" w:themeFill="accent3" w:themeFillTint="33"/>
      </w:tcPr>
    </w:tblStylePr>
    <w:tblStylePr w:type="band1Horz">
      <w:tblPr/>
      <w:tcPr>
        <w:shd w:val="clear" w:color="auto" w:fill="DFF0F9" w:themeFill="accent3" w:themeFillTint="33"/>
      </w:tcPr>
    </w:tblStylePr>
    <w:tblStylePr w:type="neCell">
      <w:tblPr/>
      <w:tcPr>
        <w:tcBorders>
          <w:bottom w:val="single" w:sz="4" w:space="0" w:color="A0D2EF" w:themeColor="accent3" w:themeTint="99"/>
        </w:tcBorders>
      </w:tcPr>
    </w:tblStylePr>
    <w:tblStylePr w:type="nwCell">
      <w:tblPr/>
      <w:tcPr>
        <w:tcBorders>
          <w:bottom w:val="single" w:sz="4" w:space="0" w:color="A0D2EF" w:themeColor="accent3" w:themeTint="99"/>
        </w:tcBorders>
      </w:tcPr>
    </w:tblStylePr>
    <w:tblStylePr w:type="seCell">
      <w:tblPr/>
      <w:tcPr>
        <w:tcBorders>
          <w:top w:val="single" w:sz="4" w:space="0" w:color="A0D2EF" w:themeColor="accent3" w:themeTint="99"/>
        </w:tcBorders>
      </w:tcPr>
    </w:tblStylePr>
    <w:tblStylePr w:type="swCell">
      <w:tblPr/>
      <w:tcPr>
        <w:tcBorders>
          <w:top w:val="single" w:sz="4" w:space="0" w:color="A0D2EF" w:themeColor="accent3" w:themeTint="99"/>
        </w:tcBorders>
      </w:tcPr>
    </w:tblStylePr>
  </w:style>
  <w:style w:type="table" w:styleId="GridTable3-Accent4">
    <w:name w:val="Grid Table 3 Accent 4"/>
    <w:basedOn w:val="TableNormal"/>
    <w:uiPriority w:val="48"/>
    <w:rsid w:val="000116B0"/>
    <w:pPr>
      <w:spacing w:line="240" w:lineRule="auto"/>
    </w:p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EC7FE" w:themeFill="accent4" w:themeFillTint="33"/>
      </w:tcPr>
    </w:tblStylePr>
    <w:tblStylePr w:type="band1Horz">
      <w:tblPr/>
      <w:tcPr>
        <w:shd w:val="clear" w:color="auto" w:fill="AEC7FE" w:themeFill="accent4" w:themeFillTint="33"/>
      </w:tcPr>
    </w:tblStylePr>
    <w:tblStylePr w:type="neCell">
      <w:tblPr/>
      <w:tcPr>
        <w:tcBorders>
          <w:bottom w:val="single" w:sz="4" w:space="0" w:color="0E57FC" w:themeColor="accent4" w:themeTint="99"/>
        </w:tcBorders>
      </w:tcPr>
    </w:tblStylePr>
    <w:tblStylePr w:type="nwCell">
      <w:tblPr/>
      <w:tcPr>
        <w:tcBorders>
          <w:bottom w:val="single" w:sz="4" w:space="0" w:color="0E57FC" w:themeColor="accent4" w:themeTint="99"/>
        </w:tcBorders>
      </w:tcPr>
    </w:tblStylePr>
    <w:tblStylePr w:type="seCell">
      <w:tblPr/>
      <w:tcPr>
        <w:tcBorders>
          <w:top w:val="single" w:sz="4" w:space="0" w:color="0E57FC" w:themeColor="accent4" w:themeTint="99"/>
        </w:tcBorders>
      </w:tcPr>
    </w:tblStylePr>
    <w:tblStylePr w:type="swCell">
      <w:tblPr/>
      <w:tcPr>
        <w:tcBorders>
          <w:top w:val="single" w:sz="4" w:space="0" w:color="0E57FC" w:themeColor="accent4" w:themeTint="99"/>
        </w:tcBorders>
      </w:tcPr>
    </w:tblStylePr>
  </w:style>
  <w:style w:type="table" w:styleId="GridTable3-Accent5">
    <w:name w:val="Grid Table 3 Accent 5"/>
    <w:basedOn w:val="TableNormal"/>
    <w:uiPriority w:val="48"/>
    <w:rsid w:val="000116B0"/>
    <w:pPr>
      <w:spacing w:line="240" w:lineRule="auto"/>
    </w:p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7FF" w:themeFill="accent5" w:themeFillTint="33"/>
      </w:tcPr>
    </w:tblStylePr>
    <w:tblStylePr w:type="band1Horz">
      <w:tblPr/>
      <w:tcPr>
        <w:shd w:val="clear" w:color="auto" w:fill="BAF7FF" w:themeFill="accent5" w:themeFillTint="33"/>
      </w:tcPr>
    </w:tblStylePr>
    <w:tblStylePr w:type="neCell">
      <w:tblPr/>
      <w:tcPr>
        <w:tcBorders>
          <w:bottom w:val="single" w:sz="4" w:space="0" w:color="32E8FF" w:themeColor="accent5" w:themeTint="99"/>
        </w:tcBorders>
      </w:tcPr>
    </w:tblStylePr>
    <w:tblStylePr w:type="nwCell">
      <w:tblPr/>
      <w:tcPr>
        <w:tcBorders>
          <w:bottom w:val="single" w:sz="4" w:space="0" w:color="32E8FF" w:themeColor="accent5" w:themeTint="99"/>
        </w:tcBorders>
      </w:tcPr>
    </w:tblStylePr>
    <w:tblStylePr w:type="seCell">
      <w:tblPr/>
      <w:tcPr>
        <w:tcBorders>
          <w:top w:val="single" w:sz="4" w:space="0" w:color="32E8FF" w:themeColor="accent5" w:themeTint="99"/>
        </w:tcBorders>
      </w:tcPr>
    </w:tblStylePr>
    <w:tblStylePr w:type="swCell">
      <w:tblPr/>
      <w:tcPr>
        <w:tcBorders>
          <w:top w:val="single" w:sz="4" w:space="0" w:color="32E8FF" w:themeColor="accent5" w:themeTint="99"/>
        </w:tcBorders>
      </w:tcPr>
    </w:tblStylePr>
  </w:style>
  <w:style w:type="table" w:styleId="GridTable3-Accent6">
    <w:name w:val="Grid Table 3 Accent 6"/>
    <w:basedOn w:val="TableNormal"/>
    <w:uiPriority w:val="48"/>
    <w:rsid w:val="000116B0"/>
    <w:pPr>
      <w:spacing w:line="240" w:lineRule="auto"/>
    </w:p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3E4" w:themeFill="accent6" w:themeFillTint="33"/>
      </w:tcPr>
    </w:tblStylePr>
    <w:tblStylePr w:type="band1Horz">
      <w:tblPr/>
      <w:tcPr>
        <w:shd w:val="clear" w:color="auto" w:fill="E3E3E4" w:themeFill="accent6" w:themeFillTint="33"/>
      </w:tcPr>
    </w:tblStylePr>
    <w:tblStylePr w:type="neCell">
      <w:tblPr/>
      <w:tcPr>
        <w:tcBorders>
          <w:bottom w:val="single" w:sz="4" w:space="0" w:color="ABADB0" w:themeColor="accent6" w:themeTint="99"/>
        </w:tcBorders>
      </w:tcPr>
    </w:tblStylePr>
    <w:tblStylePr w:type="nwCell">
      <w:tblPr/>
      <w:tcPr>
        <w:tcBorders>
          <w:bottom w:val="single" w:sz="4" w:space="0" w:color="ABADB0" w:themeColor="accent6" w:themeTint="99"/>
        </w:tcBorders>
      </w:tcPr>
    </w:tblStylePr>
    <w:tblStylePr w:type="seCell">
      <w:tblPr/>
      <w:tcPr>
        <w:tcBorders>
          <w:top w:val="single" w:sz="4" w:space="0" w:color="ABADB0" w:themeColor="accent6" w:themeTint="99"/>
        </w:tcBorders>
      </w:tcPr>
    </w:tblStylePr>
    <w:tblStylePr w:type="swCell">
      <w:tblPr/>
      <w:tcPr>
        <w:tcBorders>
          <w:top w:val="single" w:sz="4" w:space="0" w:color="ABADB0" w:themeColor="accent6" w:themeTint="99"/>
        </w:tcBorders>
      </w:tcPr>
    </w:tblStylePr>
  </w:style>
  <w:style w:type="table" w:styleId="GridTable4">
    <w:name w:val="Grid Table 4"/>
    <w:basedOn w:val="TableNormal"/>
    <w:uiPriority w:val="49"/>
    <w:rsid w:val="000116B0"/>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0116B0"/>
    <w:pPr>
      <w:spacing w:line="240" w:lineRule="auto"/>
    </w:p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color w:val="FFFFFF" w:themeColor="background1"/>
      </w:rPr>
      <w:tblPr/>
      <w:tcPr>
        <w:tcBorders>
          <w:top w:val="single" w:sz="4" w:space="0" w:color="86BC25" w:themeColor="accent1"/>
          <w:left w:val="single" w:sz="4" w:space="0" w:color="86BC25" w:themeColor="accent1"/>
          <w:bottom w:val="single" w:sz="4" w:space="0" w:color="86BC25" w:themeColor="accent1"/>
          <w:right w:val="single" w:sz="4" w:space="0" w:color="86BC25" w:themeColor="accent1"/>
          <w:insideH w:val="nil"/>
          <w:insideV w:val="nil"/>
        </w:tcBorders>
        <w:shd w:val="clear" w:color="auto" w:fill="86BC25" w:themeFill="accent1"/>
      </w:tcPr>
    </w:tblStylePr>
    <w:tblStylePr w:type="lastRow">
      <w:rPr>
        <w:b/>
        <w:bCs/>
      </w:rPr>
      <w:tblPr/>
      <w:tcPr>
        <w:tcBorders>
          <w:top w:val="double" w:sz="4" w:space="0" w:color="86BC25" w:themeColor="accent1"/>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GridTable4-Accent2">
    <w:name w:val="Grid Table 4 Accent 2"/>
    <w:basedOn w:val="TableNormal"/>
    <w:uiPriority w:val="49"/>
    <w:rsid w:val="000116B0"/>
    <w:pPr>
      <w:spacing w:line="240" w:lineRule="auto"/>
    </w:p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color w:val="FFFFFF" w:themeColor="background1"/>
      </w:rPr>
      <w:tblPr/>
      <w:tcPr>
        <w:tcBorders>
          <w:top w:val="single" w:sz="4" w:space="0" w:color="046A38" w:themeColor="accent2"/>
          <w:left w:val="single" w:sz="4" w:space="0" w:color="046A38" w:themeColor="accent2"/>
          <w:bottom w:val="single" w:sz="4" w:space="0" w:color="046A38" w:themeColor="accent2"/>
          <w:right w:val="single" w:sz="4" w:space="0" w:color="046A38" w:themeColor="accent2"/>
          <w:insideH w:val="nil"/>
          <w:insideV w:val="nil"/>
        </w:tcBorders>
        <w:shd w:val="clear" w:color="auto" w:fill="046A38" w:themeFill="accent2"/>
      </w:tcPr>
    </w:tblStylePr>
    <w:tblStylePr w:type="lastRow">
      <w:rPr>
        <w:b/>
        <w:bCs/>
      </w:rPr>
      <w:tblPr/>
      <w:tcPr>
        <w:tcBorders>
          <w:top w:val="double" w:sz="4" w:space="0" w:color="046A38" w:themeColor="accent2"/>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GridTable4-Accent3">
    <w:name w:val="Grid Table 4 Accent 3"/>
    <w:basedOn w:val="TableNormal"/>
    <w:uiPriority w:val="49"/>
    <w:rsid w:val="000116B0"/>
    <w:pPr>
      <w:spacing w:line="240" w:lineRule="auto"/>
    </w:p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color w:val="FFFFFF" w:themeColor="background1"/>
      </w:rPr>
      <w:tblPr/>
      <w:tcPr>
        <w:tcBorders>
          <w:top w:val="single" w:sz="4" w:space="0" w:color="62B5E5" w:themeColor="accent3"/>
          <w:left w:val="single" w:sz="4" w:space="0" w:color="62B5E5" w:themeColor="accent3"/>
          <w:bottom w:val="single" w:sz="4" w:space="0" w:color="62B5E5" w:themeColor="accent3"/>
          <w:right w:val="single" w:sz="4" w:space="0" w:color="62B5E5" w:themeColor="accent3"/>
          <w:insideH w:val="nil"/>
          <w:insideV w:val="nil"/>
        </w:tcBorders>
        <w:shd w:val="clear" w:color="auto" w:fill="62B5E5" w:themeFill="accent3"/>
      </w:tcPr>
    </w:tblStylePr>
    <w:tblStylePr w:type="lastRow">
      <w:rPr>
        <w:b/>
        <w:bCs/>
      </w:rPr>
      <w:tblPr/>
      <w:tcPr>
        <w:tcBorders>
          <w:top w:val="double" w:sz="4" w:space="0" w:color="62B5E5" w:themeColor="accent3"/>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GridTable4-Accent4">
    <w:name w:val="Grid Table 4 Accent 4"/>
    <w:basedOn w:val="TableNormal"/>
    <w:uiPriority w:val="49"/>
    <w:rsid w:val="000116B0"/>
    <w:pPr>
      <w:spacing w:line="240" w:lineRule="auto"/>
    </w:p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color w:val="FFFFFF" w:themeColor="background1"/>
      </w:rPr>
      <w:tblPr/>
      <w:tcPr>
        <w:tcBorders>
          <w:top w:val="single" w:sz="4" w:space="0" w:color="012169" w:themeColor="accent4"/>
          <w:left w:val="single" w:sz="4" w:space="0" w:color="012169" w:themeColor="accent4"/>
          <w:bottom w:val="single" w:sz="4" w:space="0" w:color="012169" w:themeColor="accent4"/>
          <w:right w:val="single" w:sz="4" w:space="0" w:color="012169" w:themeColor="accent4"/>
          <w:insideH w:val="nil"/>
          <w:insideV w:val="nil"/>
        </w:tcBorders>
        <w:shd w:val="clear" w:color="auto" w:fill="012169" w:themeFill="accent4"/>
      </w:tcPr>
    </w:tblStylePr>
    <w:tblStylePr w:type="lastRow">
      <w:rPr>
        <w:b/>
        <w:bCs/>
      </w:rPr>
      <w:tblPr/>
      <w:tcPr>
        <w:tcBorders>
          <w:top w:val="double" w:sz="4" w:space="0" w:color="012169" w:themeColor="accent4"/>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GridTable4-Accent5">
    <w:name w:val="Grid Table 4 Accent 5"/>
    <w:basedOn w:val="TableNormal"/>
    <w:uiPriority w:val="49"/>
    <w:rsid w:val="000116B0"/>
    <w:pPr>
      <w:spacing w:line="240" w:lineRule="auto"/>
    </w:p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color w:val="FFFFFF" w:themeColor="background1"/>
      </w:rPr>
      <w:tblPr/>
      <w:tcPr>
        <w:tcBorders>
          <w:top w:val="single" w:sz="4" w:space="0" w:color="0097A9" w:themeColor="accent5"/>
          <w:left w:val="single" w:sz="4" w:space="0" w:color="0097A9" w:themeColor="accent5"/>
          <w:bottom w:val="single" w:sz="4" w:space="0" w:color="0097A9" w:themeColor="accent5"/>
          <w:right w:val="single" w:sz="4" w:space="0" w:color="0097A9" w:themeColor="accent5"/>
          <w:insideH w:val="nil"/>
          <w:insideV w:val="nil"/>
        </w:tcBorders>
        <w:shd w:val="clear" w:color="auto" w:fill="0097A9" w:themeFill="accent5"/>
      </w:tcPr>
    </w:tblStylePr>
    <w:tblStylePr w:type="lastRow">
      <w:rPr>
        <w:b/>
        <w:bCs/>
      </w:rPr>
      <w:tblPr/>
      <w:tcPr>
        <w:tcBorders>
          <w:top w:val="double" w:sz="4" w:space="0" w:color="0097A9" w:themeColor="accent5"/>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GridTable4-Accent6">
    <w:name w:val="Grid Table 4 Accent 6"/>
    <w:basedOn w:val="TableNormal"/>
    <w:uiPriority w:val="49"/>
    <w:rsid w:val="000116B0"/>
    <w:pPr>
      <w:spacing w:line="240" w:lineRule="auto"/>
    </w:p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color w:val="FFFFFF" w:themeColor="background1"/>
      </w:rPr>
      <w:tblPr/>
      <w:tcPr>
        <w:tcBorders>
          <w:top w:val="single" w:sz="4" w:space="0" w:color="75787B" w:themeColor="accent6"/>
          <w:left w:val="single" w:sz="4" w:space="0" w:color="75787B" w:themeColor="accent6"/>
          <w:bottom w:val="single" w:sz="4" w:space="0" w:color="75787B" w:themeColor="accent6"/>
          <w:right w:val="single" w:sz="4" w:space="0" w:color="75787B" w:themeColor="accent6"/>
          <w:insideH w:val="nil"/>
          <w:insideV w:val="nil"/>
        </w:tcBorders>
        <w:shd w:val="clear" w:color="auto" w:fill="75787B" w:themeFill="accent6"/>
      </w:tcPr>
    </w:tblStylePr>
    <w:tblStylePr w:type="lastRow">
      <w:rPr>
        <w:b/>
        <w:bCs/>
      </w:rPr>
      <w:tblPr/>
      <w:tcPr>
        <w:tcBorders>
          <w:top w:val="double" w:sz="4" w:space="0" w:color="75787B" w:themeColor="accent6"/>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GridTable5Dark">
    <w:name w:val="Grid Table 5 Dark"/>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5C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6BC2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6BC2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6BC2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6BC25" w:themeFill="accent1"/>
      </w:tcPr>
    </w:tblStylePr>
    <w:tblStylePr w:type="band1Vert">
      <w:tblPr/>
      <w:tcPr>
        <w:shd w:val="clear" w:color="auto" w:fill="D0EC9F" w:themeFill="accent1" w:themeFillTint="66"/>
      </w:tcPr>
    </w:tblStylePr>
    <w:tblStylePr w:type="band1Horz">
      <w:tblPr/>
      <w:tcPr>
        <w:shd w:val="clear" w:color="auto" w:fill="D0EC9F" w:themeFill="accent1" w:themeFillTint="66"/>
      </w:tcPr>
    </w:tblStylePr>
  </w:style>
  <w:style w:type="table" w:styleId="GridTable5Dark-Accent2">
    <w:name w:val="Grid Table 5 Dark Accent 2"/>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1FCD7"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46A38"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46A38"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46A38"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46A38" w:themeFill="accent2"/>
      </w:tcPr>
    </w:tblStylePr>
    <w:tblStylePr w:type="band1Vert">
      <w:tblPr/>
      <w:tcPr>
        <w:shd w:val="clear" w:color="auto" w:fill="64F9B0" w:themeFill="accent2" w:themeFillTint="66"/>
      </w:tcPr>
    </w:tblStylePr>
    <w:tblStylePr w:type="band1Horz">
      <w:tblPr/>
      <w:tcPr>
        <w:shd w:val="clear" w:color="auto" w:fill="64F9B0" w:themeFill="accent2" w:themeFillTint="66"/>
      </w:tcPr>
    </w:tblStylePr>
  </w:style>
  <w:style w:type="table" w:styleId="GridTable5Dark-Accent3">
    <w:name w:val="Grid Table 5 Dark Accent 3"/>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F0F9"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2B5E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2B5E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2B5E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2B5E5" w:themeFill="accent3"/>
      </w:tcPr>
    </w:tblStylePr>
    <w:tblStylePr w:type="band1Vert">
      <w:tblPr/>
      <w:tcPr>
        <w:shd w:val="clear" w:color="auto" w:fill="C0E1F4" w:themeFill="accent3" w:themeFillTint="66"/>
      </w:tcPr>
    </w:tblStylePr>
    <w:tblStylePr w:type="band1Horz">
      <w:tblPr/>
      <w:tcPr>
        <w:shd w:val="clear" w:color="auto" w:fill="C0E1F4" w:themeFill="accent3" w:themeFillTint="66"/>
      </w:tcPr>
    </w:tblStylePr>
  </w:style>
  <w:style w:type="table" w:styleId="GridTable5Dark-Accent4">
    <w:name w:val="Grid Table 5 Dark Accent 4"/>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EC7F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1216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1216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1216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12169" w:themeFill="accent4"/>
      </w:tcPr>
    </w:tblStylePr>
    <w:tblStylePr w:type="band1Vert">
      <w:tblPr/>
      <w:tcPr>
        <w:shd w:val="clear" w:color="auto" w:fill="5E8FFD" w:themeFill="accent4" w:themeFillTint="66"/>
      </w:tcPr>
    </w:tblStylePr>
    <w:tblStylePr w:type="band1Horz">
      <w:tblPr/>
      <w:tcPr>
        <w:shd w:val="clear" w:color="auto" w:fill="5E8FFD" w:themeFill="accent4" w:themeFillTint="66"/>
      </w:tcPr>
    </w:tblStylePr>
  </w:style>
  <w:style w:type="table" w:styleId="GridTable5Dark-Accent5">
    <w:name w:val="Grid Table 5 Dark Accent 5"/>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AF7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7A9"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7A9"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7A9"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7A9" w:themeFill="accent5"/>
      </w:tcPr>
    </w:tblStylePr>
    <w:tblStylePr w:type="band1Vert">
      <w:tblPr/>
      <w:tcPr>
        <w:shd w:val="clear" w:color="auto" w:fill="76EFFF" w:themeFill="accent5" w:themeFillTint="66"/>
      </w:tcPr>
    </w:tblStylePr>
    <w:tblStylePr w:type="band1Horz">
      <w:tblPr/>
      <w:tcPr>
        <w:shd w:val="clear" w:color="auto" w:fill="76EFFF" w:themeFill="accent5" w:themeFillTint="66"/>
      </w:tcPr>
    </w:tblStylePr>
  </w:style>
  <w:style w:type="table" w:styleId="GridTable5Dark-Accent6">
    <w:name w:val="Grid Table 5 Dark Accent 6"/>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E3E4"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5787B"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5787B"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5787B"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5787B" w:themeFill="accent6"/>
      </w:tcPr>
    </w:tblStylePr>
    <w:tblStylePr w:type="band1Vert">
      <w:tblPr/>
      <w:tcPr>
        <w:shd w:val="clear" w:color="auto" w:fill="C7C8CA" w:themeFill="accent6" w:themeFillTint="66"/>
      </w:tcPr>
    </w:tblStylePr>
    <w:tblStylePr w:type="band1Horz">
      <w:tblPr/>
      <w:tcPr>
        <w:shd w:val="clear" w:color="auto" w:fill="C7C8CA" w:themeFill="accent6" w:themeFillTint="66"/>
      </w:tcPr>
    </w:tblStylePr>
  </w:style>
  <w:style w:type="table" w:styleId="GridTable6Colorful">
    <w:name w:val="Grid Table 6 Colorful"/>
    <w:basedOn w:val="TableNormal"/>
    <w:uiPriority w:val="51"/>
    <w:rsid w:val="000116B0"/>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0116B0"/>
    <w:pPr>
      <w:spacing w:line="240" w:lineRule="auto"/>
    </w:pPr>
    <w:rPr>
      <w:color w:val="638C1B" w:themeColor="accent1" w:themeShade="BF"/>
    </w:r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rPr>
      <w:tblPr/>
      <w:tcPr>
        <w:tcBorders>
          <w:bottom w:val="single" w:sz="12" w:space="0" w:color="B9E370" w:themeColor="accent1" w:themeTint="99"/>
        </w:tcBorders>
      </w:tcPr>
    </w:tblStylePr>
    <w:tblStylePr w:type="lastRow">
      <w:rPr>
        <w:b/>
        <w:bCs/>
      </w:rPr>
      <w:tblPr/>
      <w:tcPr>
        <w:tcBorders>
          <w:top w:val="double" w:sz="4" w:space="0" w:color="B9E370" w:themeColor="accent1" w:themeTint="99"/>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GridTable6Colorful-Accent2">
    <w:name w:val="Grid Table 6 Colorful Accent 2"/>
    <w:basedOn w:val="TableNormal"/>
    <w:uiPriority w:val="51"/>
    <w:rsid w:val="000116B0"/>
    <w:pPr>
      <w:spacing w:line="240" w:lineRule="auto"/>
    </w:pPr>
    <w:rPr>
      <w:color w:val="034F29" w:themeColor="accent2" w:themeShade="BF"/>
    </w:r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rPr>
      <w:tblPr/>
      <w:tcPr>
        <w:tcBorders>
          <w:bottom w:val="single" w:sz="12" w:space="0" w:color="17F689" w:themeColor="accent2" w:themeTint="99"/>
        </w:tcBorders>
      </w:tcPr>
    </w:tblStylePr>
    <w:tblStylePr w:type="lastRow">
      <w:rPr>
        <w:b/>
        <w:bCs/>
      </w:rPr>
      <w:tblPr/>
      <w:tcPr>
        <w:tcBorders>
          <w:top w:val="double" w:sz="4" w:space="0" w:color="17F689" w:themeColor="accent2" w:themeTint="99"/>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GridTable6Colorful-Accent3">
    <w:name w:val="Grid Table 6 Colorful Accent 3"/>
    <w:basedOn w:val="TableNormal"/>
    <w:uiPriority w:val="51"/>
    <w:rsid w:val="000116B0"/>
    <w:pPr>
      <w:spacing w:line="240" w:lineRule="auto"/>
    </w:pPr>
    <w:rPr>
      <w:color w:val="2291D1" w:themeColor="accent3" w:themeShade="BF"/>
    </w:r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rPr>
      <w:tblPr/>
      <w:tcPr>
        <w:tcBorders>
          <w:bottom w:val="single" w:sz="12" w:space="0" w:color="A0D2EF" w:themeColor="accent3" w:themeTint="99"/>
        </w:tcBorders>
      </w:tcPr>
    </w:tblStylePr>
    <w:tblStylePr w:type="lastRow">
      <w:rPr>
        <w:b/>
        <w:bCs/>
      </w:rPr>
      <w:tblPr/>
      <w:tcPr>
        <w:tcBorders>
          <w:top w:val="double" w:sz="4" w:space="0" w:color="A0D2EF" w:themeColor="accent3" w:themeTint="99"/>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GridTable6Colorful-Accent4">
    <w:name w:val="Grid Table 6 Colorful Accent 4"/>
    <w:basedOn w:val="TableNormal"/>
    <w:uiPriority w:val="51"/>
    <w:rsid w:val="000116B0"/>
    <w:pPr>
      <w:spacing w:line="240" w:lineRule="auto"/>
    </w:pPr>
    <w:rPr>
      <w:color w:val="00184E" w:themeColor="accent4" w:themeShade="BF"/>
    </w:r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rPr>
      <w:tblPr/>
      <w:tcPr>
        <w:tcBorders>
          <w:bottom w:val="single" w:sz="12" w:space="0" w:color="0E57FC" w:themeColor="accent4" w:themeTint="99"/>
        </w:tcBorders>
      </w:tcPr>
    </w:tblStylePr>
    <w:tblStylePr w:type="lastRow">
      <w:rPr>
        <w:b/>
        <w:bCs/>
      </w:rPr>
      <w:tblPr/>
      <w:tcPr>
        <w:tcBorders>
          <w:top w:val="double" w:sz="4" w:space="0" w:color="0E57FC" w:themeColor="accent4" w:themeTint="99"/>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GridTable6Colorful-Accent5">
    <w:name w:val="Grid Table 6 Colorful Accent 5"/>
    <w:basedOn w:val="TableNormal"/>
    <w:uiPriority w:val="51"/>
    <w:rsid w:val="000116B0"/>
    <w:pPr>
      <w:spacing w:line="240" w:lineRule="auto"/>
    </w:pPr>
    <w:rPr>
      <w:color w:val="00707E" w:themeColor="accent5" w:themeShade="BF"/>
    </w:r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rPr>
      <w:tblPr/>
      <w:tcPr>
        <w:tcBorders>
          <w:bottom w:val="single" w:sz="12" w:space="0" w:color="32E8FF" w:themeColor="accent5" w:themeTint="99"/>
        </w:tcBorders>
      </w:tcPr>
    </w:tblStylePr>
    <w:tblStylePr w:type="lastRow">
      <w:rPr>
        <w:b/>
        <w:bCs/>
      </w:rPr>
      <w:tblPr/>
      <w:tcPr>
        <w:tcBorders>
          <w:top w:val="double" w:sz="4" w:space="0" w:color="32E8FF" w:themeColor="accent5" w:themeTint="99"/>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GridTable6Colorful-Accent6">
    <w:name w:val="Grid Table 6 Colorful Accent 6"/>
    <w:basedOn w:val="TableNormal"/>
    <w:uiPriority w:val="51"/>
    <w:rsid w:val="000116B0"/>
    <w:pPr>
      <w:spacing w:line="240" w:lineRule="auto"/>
    </w:pPr>
    <w:rPr>
      <w:color w:val="57595C" w:themeColor="accent6" w:themeShade="BF"/>
    </w:r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rPr>
      <w:tblPr/>
      <w:tcPr>
        <w:tcBorders>
          <w:bottom w:val="single" w:sz="12" w:space="0" w:color="ABADB0" w:themeColor="accent6" w:themeTint="99"/>
        </w:tcBorders>
      </w:tcPr>
    </w:tblStylePr>
    <w:tblStylePr w:type="lastRow">
      <w:rPr>
        <w:b/>
        <w:bCs/>
      </w:rPr>
      <w:tblPr/>
      <w:tcPr>
        <w:tcBorders>
          <w:top w:val="double" w:sz="4" w:space="0" w:color="ABADB0" w:themeColor="accent6" w:themeTint="99"/>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GridTable7Colorful">
    <w:name w:val="Grid Table 7 Colorful"/>
    <w:basedOn w:val="TableNormal"/>
    <w:uiPriority w:val="52"/>
    <w:rsid w:val="000116B0"/>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0116B0"/>
    <w:pPr>
      <w:spacing w:line="240" w:lineRule="auto"/>
    </w:pPr>
    <w:rPr>
      <w:color w:val="638C1B" w:themeColor="accent1" w:themeShade="BF"/>
    </w:r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CF" w:themeFill="accent1" w:themeFillTint="33"/>
      </w:tcPr>
    </w:tblStylePr>
    <w:tblStylePr w:type="band1Horz">
      <w:tblPr/>
      <w:tcPr>
        <w:shd w:val="clear" w:color="auto" w:fill="E7F5CF" w:themeFill="accent1" w:themeFillTint="33"/>
      </w:tcPr>
    </w:tblStylePr>
    <w:tblStylePr w:type="neCell">
      <w:tblPr/>
      <w:tcPr>
        <w:tcBorders>
          <w:bottom w:val="single" w:sz="4" w:space="0" w:color="B9E370" w:themeColor="accent1" w:themeTint="99"/>
        </w:tcBorders>
      </w:tcPr>
    </w:tblStylePr>
    <w:tblStylePr w:type="nwCell">
      <w:tblPr/>
      <w:tcPr>
        <w:tcBorders>
          <w:bottom w:val="single" w:sz="4" w:space="0" w:color="B9E370" w:themeColor="accent1" w:themeTint="99"/>
        </w:tcBorders>
      </w:tcPr>
    </w:tblStylePr>
    <w:tblStylePr w:type="seCell">
      <w:tblPr/>
      <w:tcPr>
        <w:tcBorders>
          <w:top w:val="single" w:sz="4" w:space="0" w:color="B9E370" w:themeColor="accent1" w:themeTint="99"/>
        </w:tcBorders>
      </w:tcPr>
    </w:tblStylePr>
    <w:tblStylePr w:type="swCell">
      <w:tblPr/>
      <w:tcPr>
        <w:tcBorders>
          <w:top w:val="single" w:sz="4" w:space="0" w:color="B9E370" w:themeColor="accent1" w:themeTint="99"/>
        </w:tcBorders>
      </w:tcPr>
    </w:tblStylePr>
  </w:style>
  <w:style w:type="table" w:styleId="GridTable7Colorful-Accent2">
    <w:name w:val="Grid Table 7 Colorful Accent 2"/>
    <w:basedOn w:val="TableNormal"/>
    <w:uiPriority w:val="52"/>
    <w:rsid w:val="000116B0"/>
    <w:pPr>
      <w:spacing w:line="240" w:lineRule="auto"/>
    </w:pPr>
    <w:rPr>
      <w:color w:val="034F29" w:themeColor="accent2" w:themeShade="BF"/>
    </w:r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FCD7" w:themeFill="accent2" w:themeFillTint="33"/>
      </w:tcPr>
    </w:tblStylePr>
    <w:tblStylePr w:type="band1Horz">
      <w:tblPr/>
      <w:tcPr>
        <w:shd w:val="clear" w:color="auto" w:fill="B1FCD7" w:themeFill="accent2" w:themeFillTint="33"/>
      </w:tcPr>
    </w:tblStylePr>
    <w:tblStylePr w:type="neCell">
      <w:tblPr/>
      <w:tcPr>
        <w:tcBorders>
          <w:bottom w:val="single" w:sz="4" w:space="0" w:color="17F689" w:themeColor="accent2" w:themeTint="99"/>
        </w:tcBorders>
      </w:tcPr>
    </w:tblStylePr>
    <w:tblStylePr w:type="nwCell">
      <w:tblPr/>
      <w:tcPr>
        <w:tcBorders>
          <w:bottom w:val="single" w:sz="4" w:space="0" w:color="17F689" w:themeColor="accent2" w:themeTint="99"/>
        </w:tcBorders>
      </w:tcPr>
    </w:tblStylePr>
    <w:tblStylePr w:type="seCell">
      <w:tblPr/>
      <w:tcPr>
        <w:tcBorders>
          <w:top w:val="single" w:sz="4" w:space="0" w:color="17F689" w:themeColor="accent2" w:themeTint="99"/>
        </w:tcBorders>
      </w:tcPr>
    </w:tblStylePr>
    <w:tblStylePr w:type="swCell">
      <w:tblPr/>
      <w:tcPr>
        <w:tcBorders>
          <w:top w:val="single" w:sz="4" w:space="0" w:color="17F689" w:themeColor="accent2" w:themeTint="99"/>
        </w:tcBorders>
      </w:tcPr>
    </w:tblStylePr>
  </w:style>
  <w:style w:type="table" w:styleId="GridTable7Colorful-Accent3">
    <w:name w:val="Grid Table 7 Colorful Accent 3"/>
    <w:basedOn w:val="TableNormal"/>
    <w:uiPriority w:val="52"/>
    <w:rsid w:val="000116B0"/>
    <w:pPr>
      <w:spacing w:line="240" w:lineRule="auto"/>
    </w:pPr>
    <w:rPr>
      <w:color w:val="2291D1" w:themeColor="accent3" w:themeShade="BF"/>
    </w:r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0F9" w:themeFill="accent3" w:themeFillTint="33"/>
      </w:tcPr>
    </w:tblStylePr>
    <w:tblStylePr w:type="band1Horz">
      <w:tblPr/>
      <w:tcPr>
        <w:shd w:val="clear" w:color="auto" w:fill="DFF0F9" w:themeFill="accent3" w:themeFillTint="33"/>
      </w:tcPr>
    </w:tblStylePr>
    <w:tblStylePr w:type="neCell">
      <w:tblPr/>
      <w:tcPr>
        <w:tcBorders>
          <w:bottom w:val="single" w:sz="4" w:space="0" w:color="A0D2EF" w:themeColor="accent3" w:themeTint="99"/>
        </w:tcBorders>
      </w:tcPr>
    </w:tblStylePr>
    <w:tblStylePr w:type="nwCell">
      <w:tblPr/>
      <w:tcPr>
        <w:tcBorders>
          <w:bottom w:val="single" w:sz="4" w:space="0" w:color="A0D2EF" w:themeColor="accent3" w:themeTint="99"/>
        </w:tcBorders>
      </w:tcPr>
    </w:tblStylePr>
    <w:tblStylePr w:type="seCell">
      <w:tblPr/>
      <w:tcPr>
        <w:tcBorders>
          <w:top w:val="single" w:sz="4" w:space="0" w:color="A0D2EF" w:themeColor="accent3" w:themeTint="99"/>
        </w:tcBorders>
      </w:tcPr>
    </w:tblStylePr>
    <w:tblStylePr w:type="swCell">
      <w:tblPr/>
      <w:tcPr>
        <w:tcBorders>
          <w:top w:val="single" w:sz="4" w:space="0" w:color="A0D2EF" w:themeColor="accent3" w:themeTint="99"/>
        </w:tcBorders>
      </w:tcPr>
    </w:tblStylePr>
  </w:style>
  <w:style w:type="table" w:styleId="GridTable7Colorful-Accent4">
    <w:name w:val="Grid Table 7 Colorful Accent 4"/>
    <w:basedOn w:val="TableNormal"/>
    <w:uiPriority w:val="52"/>
    <w:rsid w:val="000116B0"/>
    <w:pPr>
      <w:spacing w:line="240" w:lineRule="auto"/>
    </w:pPr>
    <w:rPr>
      <w:color w:val="00184E" w:themeColor="accent4" w:themeShade="BF"/>
    </w:r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EC7FE" w:themeFill="accent4" w:themeFillTint="33"/>
      </w:tcPr>
    </w:tblStylePr>
    <w:tblStylePr w:type="band1Horz">
      <w:tblPr/>
      <w:tcPr>
        <w:shd w:val="clear" w:color="auto" w:fill="AEC7FE" w:themeFill="accent4" w:themeFillTint="33"/>
      </w:tcPr>
    </w:tblStylePr>
    <w:tblStylePr w:type="neCell">
      <w:tblPr/>
      <w:tcPr>
        <w:tcBorders>
          <w:bottom w:val="single" w:sz="4" w:space="0" w:color="0E57FC" w:themeColor="accent4" w:themeTint="99"/>
        </w:tcBorders>
      </w:tcPr>
    </w:tblStylePr>
    <w:tblStylePr w:type="nwCell">
      <w:tblPr/>
      <w:tcPr>
        <w:tcBorders>
          <w:bottom w:val="single" w:sz="4" w:space="0" w:color="0E57FC" w:themeColor="accent4" w:themeTint="99"/>
        </w:tcBorders>
      </w:tcPr>
    </w:tblStylePr>
    <w:tblStylePr w:type="seCell">
      <w:tblPr/>
      <w:tcPr>
        <w:tcBorders>
          <w:top w:val="single" w:sz="4" w:space="0" w:color="0E57FC" w:themeColor="accent4" w:themeTint="99"/>
        </w:tcBorders>
      </w:tcPr>
    </w:tblStylePr>
    <w:tblStylePr w:type="swCell">
      <w:tblPr/>
      <w:tcPr>
        <w:tcBorders>
          <w:top w:val="single" w:sz="4" w:space="0" w:color="0E57FC" w:themeColor="accent4" w:themeTint="99"/>
        </w:tcBorders>
      </w:tcPr>
    </w:tblStylePr>
  </w:style>
  <w:style w:type="table" w:styleId="GridTable7Colorful-Accent5">
    <w:name w:val="Grid Table 7 Colorful Accent 5"/>
    <w:basedOn w:val="TableNormal"/>
    <w:uiPriority w:val="52"/>
    <w:rsid w:val="000116B0"/>
    <w:pPr>
      <w:spacing w:line="240" w:lineRule="auto"/>
    </w:pPr>
    <w:rPr>
      <w:color w:val="00707E" w:themeColor="accent5" w:themeShade="BF"/>
    </w:r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7FF" w:themeFill="accent5" w:themeFillTint="33"/>
      </w:tcPr>
    </w:tblStylePr>
    <w:tblStylePr w:type="band1Horz">
      <w:tblPr/>
      <w:tcPr>
        <w:shd w:val="clear" w:color="auto" w:fill="BAF7FF" w:themeFill="accent5" w:themeFillTint="33"/>
      </w:tcPr>
    </w:tblStylePr>
    <w:tblStylePr w:type="neCell">
      <w:tblPr/>
      <w:tcPr>
        <w:tcBorders>
          <w:bottom w:val="single" w:sz="4" w:space="0" w:color="32E8FF" w:themeColor="accent5" w:themeTint="99"/>
        </w:tcBorders>
      </w:tcPr>
    </w:tblStylePr>
    <w:tblStylePr w:type="nwCell">
      <w:tblPr/>
      <w:tcPr>
        <w:tcBorders>
          <w:bottom w:val="single" w:sz="4" w:space="0" w:color="32E8FF" w:themeColor="accent5" w:themeTint="99"/>
        </w:tcBorders>
      </w:tcPr>
    </w:tblStylePr>
    <w:tblStylePr w:type="seCell">
      <w:tblPr/>
      <w:tcPr>
        <w:tcBorders>
          <w:top w:val="single" w:sz="4" w:space="0" w:color="32E8FF" w:themeColor="accent5" w:themeTint="99"/>
        </w:tcBorders>
      </w:tcPr>
    </w:tblStylePr>
    <w:tblStylePr w:type="swCell">
      <w:tblPr/>
      <w:tcPr>
        <w:tcBorders>
          <w:top w:val="single" w:sz="4" w:space="0" w:color="32E8FF" w:themeColor="accent5" w:themeTint="99"/>
        </w:tcBorders>
      </w:tcPr>
    </w:tblStylePr>
  </w:style>
  <w:style w:type="table" w:styleId="GridTable7Colorful-Accent6">
    <w:name w:val="Grid Table 7 Colorful Accent 6"/>
    <w:basedOn w:val="TableNormal"/>
    <w:uiPriority w:val="52"/>
    <w:rsid w:val="000116B0"/>
    <w:pPr>
      <w:spacing w:line="240" w:lineRule="auto"/>
    </w:pPr>
    <w:rPr>
      <w:color w:val="57595C" w:themeColor="accent6" w:themeShade="BF"/>
    </w:r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3E4" w:themeFill="accent6" w:themeFillTint="33"/>
      </w:tcPr>
    </w:tblStylePr>
    <w:tblStylePr w:type="band1Horz">
      <w:tblPr/>
      <w:tcPr>
        <w:shd w:val="clear" w:color="auto" w:fill="E3E3E4" w:themeFill="accent6" w:themeFillTint="33"/>
      </w:tcPr>
    </w:tblStylePr>
    <w:tblStylePr w:type="neCell">
      <w:tblPr/>
      <w:tcPr>
        <w:tcBorders>
          <w:bottom w:val="single" w:sz="4" w:space="0" w:color="ABADB0" w:themeColor="accent6" w:themeTint="99"/>
        </w:tcBorders>
      </w:tcPr>
    </w:tblStylePr>
    <w:tblStylePr w:type="nwCell">
      <w:tblPr/>
      <w:tcPr>
        <w:tcBorders>
          <w:bottom w:val="single" w:sz="4" w:space="0" w:color="ABADB0" w:themeColor="accent6" w:themeTint="99"/>
        </w:tcBorders>
      </w:tcPr>
    </w:tblStylePr>
    <w:tblStylePr w:type="seCell">
      <w:tblPr/>
      <w:tcPr>
        <w:tcBorders>
          <w:top w:val="single" w:sz="4" w:space="0" w:color="ABADB0" w:themeColor="accent6" w:themeTint="99"/>
        </w:tcBorders>
      </w:tcPr>
    </w:tblStylePr>
    <w:tblStylePr w:type="swCell">
      <w:tblPr/>
      <w:tcPr>
        <w:tcBorders>
          <w:top w:val="single" w:sz="4" w:space="0" w:color="ABADB0" w:themeColor="accent6" w:themeTint="99"/>
        </w:tcBorders>
      </w:tcPr>
    </w:tblStylePr>
  </w:style>
  <w:style w:type="table" w:styleId="ListTable1Light">
    <w:name w:val="List Table 1 Light"/>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B9E370" w:themeColor="accent1" w:themeTint="99"/>
        </w:tcBorders>
      </w:tcPr>
    </w:tblStylePr>
    <w:tblStylePr w:type="lastRow">
      <w:rPr>
        <w:b/>
        <w:bCs/>
      </w:rPr>
      <w:tblPr/>
      <w:tcPr>
        <w:tcBorders>
          <w:top w:val="single" w:sz="4" w:space="0" w:color="B9E370" w:themeColor="accent1" w:themeTint="99"/>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ListTable1Light-Accent2">
    <w:name w:val="List Table 1 Light Accent 2"/>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17F689" w:themeColor="accent2" w:themeTint="99"/>
        </w:tcBorders>
      </w:tcPr>
    </w:tblStylePr>
    <w:tblStylePr w:type="lastRow">
      <w:rPr>
        <w:b/>
        <w:bCs/>
      </w:rPr>
      <w:tblPr/>
      <w:tcPr>
        <w:tcBorders>
          <w:top w:val="single" w:sz="4" w:space="0" w:color="17F689" w:themeColor="accent2" w:themeTint="99"/>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ListTable1Light-Accent3">
    <w:name w:val="List Table 1 Light Accent 3"/>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A0D2EF" w:themeColor="accent3" w:themeTint="99"/>
        </w:tcBorders>
      </w:tcPr>
    </w:tblStylePr>
    <w:tblStylePr w:type="lastRow">
      <w:rPr>
        <w:b/>
        <w:bCs/>
      </w:rPr>
      <w:tblPr/>
      <w:tcPr>
        <w:tcBorders>
          <w:top w:val="single" w:sz="4" w:space="0" w:color="A0D2EF" w:themeColor="accent3" w:themeTint="99"/>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ListTable1Light-Accent4">
    <w:name w:val="List Table 1 Light Accent 4"/>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0E57FC" w:themeColor="accent4" w:themeTint="99"/>
        </w:tcBorders>
      </w:tcPr>
    </w:tblStylePr>
    <w:tblStylePr w:type="lastRow">
      <w:rPr>
        <w:b/>
        <w:bCs/>
      </w:rPr>
      <w:tblPr/>
      <w:tcPr>
        <w:tcBorders>
          <w:top w:val="single" w:sz="4" w:space="0" w:color="0E57FC" w:themeColor="accent4" w:themeTint="99"/>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ListTable1Light-Accent5">
    <w:name w:val="List Table 1 Light Accent 5"/>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32E8FF" w:themeColor="accent5" w:themeTint="99"/>
        </w:tcBorders>
      </w:tcPr>
    </w:tblStylePr>
    <w:tblStylePr w:type="lastRow">
      <w:rPr>
        <w:b/>
        <w:bCs/>
      </w:rPr>
      <w:tblPr/>
      <w:tcPr>
        <w:tcBorders>
          <w:top w:val="single" w:sz="4" w:space="0" w:color="32E8FF" w:themeColor="accent5" w:themeTint="99"/>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ListTable1Light-Accent6">
    <w:name w:val="List Table 1 Light Accent 6"/>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ABADB0" w:themeColor="accent6" w:themeTint="99"/>
        </w:tcBorders>
      </w:tcPr>
    </w:tblStylePr>
    <w:tblStylePr w:type="lastRow">
      <w:rPr>
        <w:b/>
        <w:bCs/>
      </w:rPr>
      <w:tblPr/>
      <w:tcPr>
        <w:tcBorders>
          <w:top w:val="single" w:sz="4" w:space="0" w:color="ABADB0" w:themeColor="accent6" w:themeTint="99"/>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ListTable2">
    <w:name w:val="List Table 2"/>
    <w:basedOn w:val="TableNormal"/>
    <w:uiPriority w:val="47"/>
    <w:rsid w:val="000116B0"/>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0116B0"/>
    <w:pPr>
      <w:spacing w:line="240" w:lineRule="auto"/>
    </w:pPr>
    <w:tblPr>
      <w:tblStyleRowBandSize w:val="1"/>
      <w:tblStyleColBandSize w:val="1"/>
      <w:tblBorders>
        <w:top w:val="single" w:sz="4" w:space="0" w:color="B9E370" w:themeColor="accent1" w:themeTint="99"/>
        <w:bottom w:val="single" w:sz="4" w:space="0" w:color="B9E370" w:themeColor="accent1" w:themeTint="99"/>
        <w:insideH w:val="single" w:sz="4" w:space="0" w:color="B9E370"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ListTable2-Accent2">
    <w:name w:val="List Table 2 Accent 2"/>
    <w:basedOn w:val="TableNormal"/>
    <w:uiPriority w:val="47"/>
    <w:rsid w:val="000116B0"/>
    <w:pPr>
      <w:spacing w:line="240" w:lineRule="auto"/>
    </w:pPr>
    <w:tblPr>
      <w:tblStyleRowBandSize w:val="1"/>
      <w:tblStyleColBandSize w:val="1"/>
      <w:tblBorders>
        <w:top w:val="single" w:sz="4" w:space="0" w:color="17F689" w:themeColor="accent2" w:themeTint="99"/>
        <w:bottom w:val="single" w:sz="4" w:space="0" w:color="17F689" w:themeColor="accent2" w:themeTint="99"/>
        <w:insideH w:val="single" w:sz="4" w:space="0" w:color="17F689"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ListTable2-Accent3">
    <w:name w:val="List Table 2 Accent 3"/>
    <w:basedOn w:val="TableNormal"/>
    <w:uiPriority w:val="47"/>
    <w:rsid w:val="000116B0"/>
    <w:pPr>
      <w:spacing w:line="240" w:lineRule="auto"/>
    </w:pPr>
    <w:tblPr>
      <w:tblStyleRowBandSize w:val="1"/>
      <w:tblStyleColBandSize w:val="1"/>
      <w:tblBorders>
        <w:top w:val="single" w:sz="4" w:space="0" w:color="A0D2EF" w:themeColor="accent3" w:themeTint="99"/>
        <w:bottom w:val="single" w:sz="4" w:space="0" w:color="A0D2EF" w:themeColor="accent3" w:themeTint="99"/>
        <w:insideH w:val="single" w:sz="4" w:space="0" w:color="A0D2E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ListTable2-Accent4">
    <w:name w:val="List Table 2 Accent 4"/>
    <w:basedOn w:val="TableNormal"/>
    <w:uiPriority w:val="47"/>
    <w:rsid w:val="000116B0"/>
    <w:pPr>
      <w:spacing w:line="240" w:lineRule="auto"/>
    </w:pPr>
    <w:tblPr>
      <w:tblStyleRowBandSize w:val="1"/>
      <w:tblStyleColBandSize w:val="1"/>
      <w:tblBorders>
        <w:top w:val="single" w:sz="4" w:space="0" w:color="0E57FC" w:themeColor="accent4" w:themeTint="99"/>
        <w:bottom w:val="single" w:sz="4" w:space="0" w:color="0E57FC" w:themeColor="accent4" w:themeTint="99"/>
        <w:insideH w:val="single" w:sz="4" w:space="0" w:color="0E57FC"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ListTable2-Accent5">
    <w:name w:val="List Table 2 Accent 5"/>
    <w:basedOn w:val="TableNormal"/>
    <w:uiPriority w:val="47"/>
    <w:rsid w:val="000116B0"/>
    <w:pPr>
      <w:spacing w:line="240" w:lineRule="auto"/>
    </w:pPr>
    <w:tblPr>
      <w:tblStyleRowBandSize w:val="1"/>
      <w:tblStyleColBandSize w:val="1"/>
      <w:tblBorders>
        <w:top w:val="single" w:sz="4" w:space="0" w:color="32E8FF" w:themeColor="accent5" w:themeTint="99"/>
        <w:bottom w:val="single" w:sz="4" w:space="0" w:color="32E8FF" w:themeColor="accent5" w:themeTint="99"/>
        <w:insideH w:val="single" w:sz="4" w:space="0" w:color="32E8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ListTable2-Accent6">
    <w:name w:val="List Table 2 Accent 6"/>
    <w:basedOn w:val="TableNormal"/>
    <w:uiPriority w:val="47"/>
    <w:rsid w:val="000116B0"/>
    <w:pPr>
      <w:spacing w:line="240" w:lineRule="auto"/>
    </w:pPr>
    <w:tblPr>
      <w:tblStyleRowBandSize w:val="1"/>
      <w:tblStyleColBandSize w:val="1"/>
      <w:tblBorders>
        <w:top w:val="single" w:sz="4" w:space="0" w:color="ABADB0" w:themeColor="accent6" w:themeTint="99"/>
        <w:bottom w:val="single" w:sz="4" w:space="0" w:color="ABADB0" w:themeColor="accent6" w:themeTint="99"/>
        <w:insideH w:val="single" w:sz="4" w:space="0" w:color="ABADB0"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ListTable3">
    <w:name w:val="List Table 3"/>
    <w:basedOn w:val="TableNormal"/>
    <w:uiPriority w:val="48"/>
    <w:rsid w:val="000116B0"/>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0116B0"/>
    <w:pPr>
      <w:spacing w:line="240" w:lineRule="auto"/>
    </w:pPr>
    <w:tblPr>
      <w:tblStyleRowBandSize w:val="1"/>
      <w:tblStyleColBandSize w:val="1"/>
      <w:tblBorders>
        <w:top w:val="single" w:sz="4" w:space="0" w:color="86BC25" w:themeColor="accent1"/>
        <w:left w:val="single" w:sz="4" w:space="0" w:color="86BC25" w:themeColor="accent1"/>
        <w:bottom w:val="single" w:sz="4" w:space="0" w:color="86BC25" w:themeColor="accent1"/>
        <w:right w:val="single" w:sz="4" w:space="0" w:color="86BC25" w:themeColor="accent1"/>
      </w:tblBorders>
    </w:tblPr>
    <w:tblStylePr w:type="firstRow">
      <w:rPr>
        <w:b/>
        <w:bCs/>
        <w:color w:val="FFFFFF" w:themeColor="background1"/>
      </w:rPr>
      <w:tblPr/>
      <w:tcPr>
        <w:shd w:val="clear" w:color="auto" w:fill="86BC25" w:themeFill="accent1"/>
      </w:tcPr>
    </w:tblStylePr>
    <w:tblStylePr w:type="lastRow">
      <w:rPr>
        <w:b/>
        <w:bCs/>
      </w:rPr>
      <w:tblPr/>
      <w:tcPr>
        <w:tcBorders>
          <w:top w:val="double" w:sz="4" w:space="0" w:color="86BC2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6BC25" w:themeColor="accent1"/>
          <w:right w:val="single" w:sz="4" w:space="0" w:color="86BC25" w:themeColor="accent1"/>
        </w:tcBorders>
      </w:tcPr>
    </w:tblStylePr>
    <w:tblStylePr w:type="band1Horz">
      <w:tblPr/>
      <w:tcPr>
        <w:tcBorders>
          <w:top w:val="single" w:sz="4" w:space="0" w:color="86BC25" w:themeColor="accent1"/>
          <w:bottom w:val="single" w:sz="4" w:space="0" w:color="86BC2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6BC25" w:themeColor="accent1"/>
          <w:left w:val="nil"/>
        </w:tcBorders>
      </w:tcPr>
    </w:tblStylePr>
    <w:tblStylePr w:type="swCell">
      <w:tblPr/>
      <w:tcPr>
        <w:tcBorders>
          <w:top w:val="double" w:sz="4" w:space="0" w:color="86BC25" w:themeColor="accent1"/>
          <w:right w:val="nil"/>
        </w:tcBorders>
      </w:tcPr>
    </w:tblStylePr>
  </w:style>
  <w:style w:type="table" w:styleId="ListTable3-Accent2">
    <w:name w:val="List Table 3 Accent 2"/>
    <w:basedOn w:val="TableNormal"/>
    <w:uiPriority w:val="48"/>
    <w:rsid w:val="000116B0"/>
    <w:pPr>
      <w:spacing w:line="240" w:lineRule="auto"/>
    </w:pPr>
    <w:tblPr>
      <w:tblStyleRowBandSize w:val="1"/>
      <w:tblStyleColBandSize w:val="1"/>
      <w:tblBorders>
        <w:top w:val="single" w:sz="4" w:space="0" w:color="046A38" w:themeColor="accent2"/>
        <w:left w:val="single" w:sz="4" w:space="0" w:color="046A38" w:themeColor="accent2"/>
        <w:bottom w:val="single" w:sz="4" w:space="0" w:color="046A38" w:themeColor="accent2"/>
        <w:right w:val="single" w:sz="4" w:space="0" w:color="046A38" w:themeColor="accent2"/>
      </w:tblBorders>
    </w:tblPr>
    <w:tblStylePr w:type="firstRow">
      <w:rPr>
        <w:b/>
        <w:bCs/>
        <w:color w:val="FFFFFF" w:themeColor="background1"/>
      </w:rPr>
      <w:tblPr/>
      <w:tcPr>
        <w:shd w:val="clear" w:color="auto" w:fill="046A38" w:themeFill="accent2"/>
      </w:tcPr>
    </w:tblStylePr>
    <w:tblStylePr w:type="lastRow">
      <w:rPr>
        <w:b/>
        <w:bCs/>
      </w:rPr>
      <w:tblPr/>
      <w:tcPr>
        <w:tcBorders>
          <w:top w:val="double" w:sz="4" w:space="0" w:color="046A38"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46A38" w:themeColor="accent2"/>
          <w:right w:val="single" w:sz="4" w:space="0" w:color="046A38" w:themeColor="accent2"/>
        </w:tcBorders>
      </w:tcPr>
    </w:tblStylePr>
    <w:tblStylePr w:type="band1Horz">
      <w:tblPr/>
      <w:tcPr>
        <w:tcBorders>
          <w:top w:val="single" w:sz="4" w:space="0" w:color="046A38" w:themeColor="accent2"/>
          <w:bottom w:val="single" w:sz="4" w:space="0" w:color="046A38"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46A38" w:themeColor="accent2"/>
          <w:left w:val="nil"/>
        </w:tcBorders>
      </w:tcPr>
    </w:tblStylePr>
    <w:tblStylePr w:type="swCell">
      <w:tblPr/>
      <w:tcPr>
        <w:tcBorders>
          <w:top w:val="double" w:sz="4" w:space="0" w:color="046A38" w:themeColor="accent2"/>
          <w:right w:val="nil"/>
        </w:tcBorders>
      </w:tcPr>
    </w:tblStylePr>
  </w:style>
  <w:style w:type="table" w:styleId="ListTable3-Accent3">
    <w:name w:val="List Table 3 Accent 3"/>
    <w:basedOn w:val="TableNormal"/>
    <w:uiPriority w:val="48"/>
    <w:rsid w:val="000116B0"/>
    <w:pPr>
      <w:spacing w:line="240" w:lineRule="auto"/>
    </w:pPr>
    <w:tblPr>
      <w:tblStyleRowBandSize w:val="1"/>
      <w:tblStyleColBandSize w:val="1"/>
      <w:tblBorders>
        <w:top w:val="single" w:sz="4" w:space="0" w:color="62B5E5" w:themeColor="accent3"/>
        <w:left w:val="single" w:sz="4" w:space="0" w:color="62B5E5" w:themeColor="accent3"/>
        <w:bottom w:val="single" w:sz="4" w:space="0" w:color="62B5E5" w:themeColor="accent3"/>
        <w:right w:val="single" w:sz="4" w:space="0" w:color="62B5E5" w:themeColor="accent3"/>
      </w:tblBorders>
    </w:tblPr>
    <w:tblStylePr w:type="firstRow">
      <w:rPr>
        <w:b/>
        <w:bCs/>
        <w:color w:val="FFFFFF" w:themeColor="background1"/>
      </w:rPr>
      <w:tblPr/>
      <w:tcPr>
        <w:shd w:val="clear" w:color="auto" w:fill="62B5E5" w:themeFill="accent3"/>
      </w:tcPr>
    </w:tblStylePr>
    <w:tblStylePr w:type="lastRow">
      <w:rPr>
        <w:b/>
        <w:bCs/>
      </w:rPr>
      <w:tblPr/>
      <w:tcPr>
        <w:tcBorders>
          <w:top w:val="double" w:sz="4" w:space="0" w:color="62B5E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2B5E5" w:themeColor="accent3"/>
          <w:right w:val="single" w:sz="4" w:space="0" w:color="62B5E5" w:themeColor="accent3"/>
        </w:tcBorders>
      </w:tcPr>
    </w:tblStylePr>
    <w:tblStylePr w:type="band1Horz">
      <w:tblPr/>
      <w:tcPr>
        <w:tcBorders>
          <w:top w:val="single" w:sz="4" w:space="0" w:color="62B5E5" w:themeColor="accent3"/>
          <w:bottom w:val="single" w:sz="4" w:space="0" w:color="62B5E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2B5E5" w:themeColor="accent3"/>
          <w:left w:val="nil"/>
        </w:tcBorders>
      </w:tcPr>
    </w:tblStylePr>
    <w:tblStylePr w:type="swCell">
      <w:tblPr/>
      <w:tcPr>
        <w:tcBorders>
          <w:top w:val="double" w:sz="4" w:space="0" w:color="62B5E5" w:themeColor="accent3"/>
          <w:right w:val="nil"/>
        </w:tcBorders>
      </w:tcPr>
    </w:tblStylePr>
  </w:style>
  <w:style w:type="table" w:styleId="ListTable3-Accent4">
    <w:name w:val="List Table 3 Accent 4"/>
    <w:basedOn w:val="TableNormal"/>
    <w:uiPriority w:val="48"/>
    <w:rsid w:val="000116B0"/>
    <w:pPr>
      <w:spacing w:line="240" w:lineRule="auto"/>
    </w:pPr>
    <w:tblPr>
      <w:tblStyleRowBandSize w:val="1"/>
      <w:tblStyleColBandSize w:val="1"/>
      <w:tblBorders>
        <w:top w:val="single" w:sz="4" w:space="0" w:color="012169" w:themeColor="accent4"/>
        <w:left w:val="single" w:sz="4" w:space="0" w:color="012169" w:themeColor="accent4"/>
        <w:bottom w:val="single" w:sz="4" w:space="0" w:color="012169" w:themeColor="accent4"/>
        <w:right w:val="single" w:sz="4" w:space="0" w:color="012169" w:themeColor="accent4"/>
      </w:tblBorders>
    </w:tblPr>
    <w:tblStylePr w:type="firstRow">
      <w:rPr>
        <w:b/>
        <w:bCs/>
        <w:color w:val="FFFFFF" w:themeColor="background1"/>
      </w:rPr>
      <w:tblPr/>
      <w:tcPr>
        <w:shd w:val="clear" w:color="auto" w:fill="012169" w:themeFill="accent4"/>
      </w:tcPr>
    </w:tblStylePr>
    <w:tblStylePr w:type="lastRow">
      <w:rPr>
        <w:b/>
        <w:bCs/>
      </w:rPr>
      <w:tblPr/>
      <w:tcPr>
        <w:tcBorders>
          <w:top w:val="double" w:sz="4" w:space="0" w:color="01216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12169" w:themeColor="accent4"/>
          <w:right w:val="single" w:sz="4" w:space="0" w:color="012169" w:themeColor="accent4"/>
        </w:tcBorders>
      </w:tcPr>
    </w:tblStylePr>
    <w:tblStylePr w:type="band1Horz">
      <w:tblPr/>
      <w:tcPr>
        <w:tcBorders>
          <w:top w:val="single" w:sz="4" w:space="0" w:color="012169" w:themeColor="accent4"/>
          <w:bottom w:val="single" w:sz="4" w:space="0" w:color="01216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12169" w:themeColor="accent4"/>
          <w:left w:val="nil"/>
        </w:tcBorders>
      </w:tcPr>
    </w:tblStylePr>
    <w:tblStylePr w:type="swCell">
      <w:tblPr/>
      <w:tcPr>
        <w:tcBorders>
          <w:top w:val="double" w:sz="4" w:space="0" w:color="012169" w:themeColor="accent4"/>
          <w:right w:val="nil"/>
        </w:tcBorders>
      </w:tcPr>
    </w:tblStylePr>
  </w:style>
  <w:style w:type="table" w:styleId="ListTable3-Accent5">
    <w:name w:val="List Table 3 Accent 5"/>
    <w:basedOn w:val="TableNormal"/>
    <w:uiPriority w:val="48"/>
    <w:rsid w:val="000116B0"/>
    <w:pPr>
      <w:spacing w:line="240" w:lineRule="auto"/>
    </w:pPr>
    <w:tblPr>
      <w:tblStyleRowBandSize w:val="1"/>
      <w:tblStyleColBandSize w:val="1"/>
      <w:tblBorders>
        <w:top w:val="single" w:sz="4" w:space="0" w:color="0097A9" w:themeColor="accent5"/>
        <w:left w:val="single" w:sz="4" w:space="0" w:color="0097A9" w:themeColor="accent5"/>
        <w:bottom w:val="single" w:sz="4" w:space="0" w:color="0097A9" w:themeColor="accent5"/>
        <w:right w:val="single" w:sz="4" w:space="0" w:color="0097A9" w:themeColor="accent5"/>
      </w:tblBorders>
    </w:tblPr>
    <w:tblStylePr w:type="firstRow">
      <w:rPr>
        <w:b/>
        <w:bCs/>
        <w:color w:val="FFFFFF" w:themeColor="background1"/>
      </w:rPr>
      <w:tblPr/>
      <w:tcPr>
        <w:shd w:val="clear" w:color="auto" w:fill="0097A9" w:themeFill="accent5"/>
      </w:tcPr>
    </w:tblStylePr>
    <w:tblStylePr w:type="lastRow">
      <w:rPr>
        <w:b/>
        <w:bCs/>
      </w:rPr>
      <w:tblPr/>
      <w:tcPr>
        <w:tcBorders>
          <w:top w:val="double" w:sz="4" w:space="0" w:color="0097A9"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7A9" w:themeColor="accent5"/>
          <w:right w:val="single" w:sz="4" w:space="0" w:color="0097A9" w:themeColor="accent5"/>
        </w:tcBorders>
      </w:tcPr>
    </w:tblStylePr>
    <w:tblStylePr w:type="band1Horz">
      <w:tblPr/>
      <w:tcPr>
        <w:tcBorders>
          <w:top w:val="single" w:sz="4" w:space="0" w:color="0097A9" w:themeColor="accent5"/>
          <w:bottom w:val="single" w:sz="4" w:space="0" w:color="0097A9"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7A9" w:themeColor="accent5"/>
          <w:left w:val="nil"/>
        </w:tcBorders>
      </w:tcPr>
    </w:tblStylePr>
    <w:tblStylePr w:type="swCell">
      <w:tblPr/>
      <w:tcPr>
        <w:tcBorders>
          <w:top w:val="double" w:sz="4" w:space="0" w:color="0097A9" w:themeColor="accent5"/>
          <w:right w:val="nil"/>
        </w:tcBorders>
      </w:tcPr>
    </w:tblStylePr>
  </w:style>
  <w:style w:type="table" w:styleId="ListTable3-Accent6">
    <w:name w:val="List Table 3 Accent 6"/>
    <w:basedOn w:val="TableNormal"/>
    <w:uiPriority w:val="48"/>
    <w:rsid w:val="000116B0"/>
    <w:pPr>
      <w:spacing w:line="240" w:lineRule="auto"/>
    </w:pPr>
    <w:tblPr>
      <w:tblStyleRowBandSize w:val="1"/>
      <w:tblStyleColBandSize w:val="1"/>
      <w:tblBorders>
        <w:top w:val="single" w:sz="4" w:space="0" w:color="75787B" w:themeColor="accent6"/>
        <w:left w:val="single" w:sz="4" w:space="0" w:color="75787B" w:themeColor="accent6"/>
        <w:bottom w:val="single" w:sz="4" w:space="0" w:color="75787B" w:themeColor="accent6"/>
        <w:right w:val="single" w:sz="4" w:space="0" w:color="75787B" w:themeColor="accent6"/>
      </w:tblBorders>
    </w:tblPr>
    <w:tblStylePr w:type="firstRow">
      <w:rPr>
        <w:b/>
        <w:bCs/>
        <w:color w:val="FFFFFF" w:themeColor="background1"/>
      </w:rPr>
      <w:tblPr/>
      <w:tcPr>
        <w:shd w:val="clear" w:color="auto" w:fill="75787B" w:themeFill="accent6"/>
      </w:tcPr>
    </w:tblStylePr>
    <w:tblStylePr w:type="lastRow">
      <w:rPr>
        <w:b/>
        <w:bCs/>
      </w:rPr>
      <w:tblPr/>
      <w:tcPr>
        <w:tcBorders>
          <w:top w:val="double" w:sz="4" w:space="0" w:color="75787B"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5787B" w:themeColor="accent6"/>
          <w:right w:val="single" w:sz="4" w:space="0" w:color="75787B" w:themeColor="accent6"/>
        </w:tcBorders>
      </w:tcPr>
    </w:tblStylePr>
    <w:tblStylePr w:type="band1Horz">
      <w:tblPr/>
      <w:tcPr>
        <w:tcBorders>
          <w:top w:val="single" w:sz="4" w:space="0" w:color="75787B" w:themeColor="accent6"/>
          <w:bottom w:val="single" w:sz="4" w:space="0" w:color="75787B"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5787B" w:themeColor="accent6"/>
          <w:left w:val="nil"/>
        </w:tcBorders>
      </w:tcPr>
    </w:tblStylePr>
    <w:tblStylePr w:type="swCell">
      <w:tblPr/>
      <w:tcPr>
        <w:tcBorders>
          <w:top w:val="double" w:sz="4" w:space="0" w:color="75787B" w:themeColor="accent6"/>
          <w:right w:val="nil"/>
        </w:tcBorders>
      </w:tcPr>
    </w:tblStylePr>
  </w:style>
  <w:style w:type="table" w:styleId="ListTable4">
    <w:name w:val="List Table 4"/>
    <w:basedOn w:val="TableNormal"/>
    <w:uiPriority w:val="49"/>
    <w:rsid w:val="000116B0"/>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0116B0"/>
    <w:pPr>
      <w:spacing w:line="240" w:lineRule="auto"/>
    </w:p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tblBorders>
    </w:tblPr>
    <w:tblStylePr w:type="firstRow">
      <w:rPr>
        <w:b/>
        <w:bCs/>
        <w:color w:val="FFFFFF" w:themeColor="background1"/>
      </w:rPr>
      <w:tblPr/>
      <w:tcPr>
        <w:tcBorders>
          <w:top w:val="single" w:sz="4" w:space="0" w:color="86BC25" w:themeColor="accent1"/>
          <w:left w:val="single" w:sz="4" w:space="0" w:color="86BC25" w:themeColor="accent1"/>
          <w:bottom w:val="single" w:sz="4" w:space="0" w:color="86BC25" w:themeColor="accent1"/>
          <w:right w:val="single" w:sz="4" w:space="0" w:color="86BC25" w:themeColor="accent1"/>
          <w:insideH w:val="nil"/>
        </w:tcBorders>
        <w:shd w:val="clear" w:color="auto" w:fill="86BC25" w:themeFill="accent1"/>
      </w:tcPr>
    </w:tblStylePr>
    <w:tblStylePr w:type="lastRow">
      <w:rPr>
        <w:b/>
        <w:bCs/>
      </w:rPr>
      <w:tblPr/>
      <w:tcPr>
        <w:tcBorders>
          <w:top w:val="double" w:sz="4" w:space="0" w:color="B9E370" w:themeColor="accent1" w:themeTint="99"/>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ListTable4-Accent2">
    <w:name w:val="List Table 4 Accent 2"/>
    <w:basedOn w:val="TableNormal"/>
    <w:uiPriority w:val="49"/>
    <w:rsid w:val="000116B0"/>
    <w:pPr>
      <w:spacing w:line="240" w:lineRule="auto"/>
    </w:p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tblBorders>
    </w:tblPr>
    <w:tblStylePr w:type="firstRow">
      <w:rPr>
        <w:b/>
        <w:bCs/>
        <w:color w:val="FFFFFF" w:themeColor="background1"/>
      </w:rPr>
      <w:tblPr/>
      <w:tcPr>
        <w:tcBorders>
          <w:top w:val="single" w:sz="4" w:space="0" w:color="046A38" w:themeColor="accent2"/>
          <w:left w:val="single" w:sz="4" w:space="0" w:color="046A38" w:themeColor="accent2"/>
          <w:bottom w:val="single" w:sz="4" w:space="0" w:color="046A38" w:themeColor="accent2"/>
          <w:right w:val="single" w:sz="4" w:space="0" w:color="046A38" w:themeColor="accent2"/>
          <w:insideH w:val="nil"/>
        </w:tcBorders>
        <w:shd w:val="clear" w:color="auto" w:fill="046A38" w:themeFill="accent2"/>
      </w:tcPr>
    </w:tblStylePr>
    <w:tblStylePr w:type="lastRow">
      <w:rPr>
        <w:b/>
        <w:bCs/>
      </w:rPr>
      <w:tblPr/>
      <w:tcPr>
        <w:tcBorders>
          <w:top w:val="double" w:sz="4" w:space="0" w:color="17F689" w:themeColor="accent2" w:themeTint="99"/>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ListTable4-Accent3">
    <w:name w:val="List Table 4 Accent 3"/>
    <w:basedOn w:val="TableNormal"/>
    <w:uiPriority w:val="49"/>
    <w:rsid w:val="000116B0"/>
    <w:pPr>
      <w:spacing w:line="240" w:lineRule="auto"/>
    </w:p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tblBorders>
    </w:tblPr>
    <w:tblStylePr w:type="firstRow">
      <w:rPr>
        <w:b/>
        <w:bCs/>
        <w:color w:val="FFFFFF" w:themeColor="background1"/>
      </w:rPr>
      <w:tblPr/>
      <w:tcPr>
        <w:tcBorders>
          <w:top w:val="single" w:sz="4" w:space="0" w:color="62B5E5" w:themeColor="accent3"/>
          <w:left w:val="single" w:sz="4" w:space="0" w:color="62B5E5" w:themeColor="accent3"/>
          <w:bottom w:val="single" w:sz="4" w:space="0" w:color="62B5E5" w:themeColor="accent3"/>
          <w:right w:val="single" w:sz="4" w:space="0" w:color="62B5E5" w:themeColor="accent3"/>
          <w:insideH w:val="nil"/>
        </w:tcBorders>
        <w:shd w:val="clear" w:color="auto" w:fill="62B5E5" w:themeFill="accent3"/>
      </w:tcPr>
    </w:tblStylePr>
    <w:tblStylePr w:type="lastRow">
      <w:rPr>
        <w:b/>
        <w:bCs/>
      </w:rPr>
      <w:tblPr/>
      <w:tcPr>
        <w:tcBorders>
          <w:top w:val="double" w:sz="4" w:space="0" w:color="A0D2EF" w:themeColor="accent3" w:themeTint="99"/>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ListTable4-Accent4">
    <w:name w:val="List Table 4 Accent 4"/>
    <w:basedOn w:val="TableNormal"/>
    <w:uiPriority w:val="49"/>
    <w:rsid w:val="000116B0"/>
    <w:pPr>
      <w:spacing w:line="240" w:lineRule="auto"/>
    </w:p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tblBorders>
    </w:tblPr>
    <w:tblStylePr w:type="firstRow">
      <w:rPr>
        <w:b/>
        <w:bCs/>
        <w:color w:val="FFFFFF" w:themeColor="background1"/>
      </w:rPr>
      <w:tblPr/>
      <w:tcPr>
        <w:tcBorders>
          <w:top w:val="single" w:sz="4" w:space="0" w:color="012169" w:themeColor="accent4"/>
          <w:left w:val="single" w:sz="4" w:space="0" w:color="012169" w:themeColor="accent4"/>
          <w:bottom w:val="single" w:sz="4" w:space="0" w:color="012169" w:themeColor="accent4"/>
          <w:right w:val="single" w:sz="4" w:space="0" w:color="012169" w:themeColor="accent4"/>
          <w:insideH w:val="nil"/>
        </w:tcBorders>
        <w:shd w:val="clear" w:color="auto" w:fill="012169" w:themeFill="accent4"/>
      </w:tcPr>
    </w:tblStylePr>
    <w:tblStylePr w:type="lastRow">
      <w:rPr>
        <w:b/>
        <w:bCs/>
      </w:rPr>
      <w:tblPr/>
      <w:tcPr>
        <w:tcBorders>
          <w:top w:val="double" w:sz="4" w:space="0" w:color="0E57FC" w:themeColor="accent4" w:themeTint="99"/>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ListTable4-Accent5">
    <w:name w:val="List Table 4 Accent 5"/>
    <w:basedOn w:val="TableNormal"/>
    <w:uiPriority w:val="49"/>
    <w:rsid w:val="000116B0"/>
    <w:pPr>
      <w:spacing w:line="240" w:lineRule="auto"/>
    </w:p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tblBorders>
    </w:tblPr>
    <w:tblStylePr w:type="firstRow">
      <w:rPr>
        <w:b/>
        <w:bCs/>
        <w:color w:val="FFFFFF" w:themeColor="background1"/>
      </w:rPr>
      <w:tblPr/>
      <w:tcPr>
        <w:tcBorders>
          <w:top w:val="single" w:sz="4" w:space="0" w:color="0097A9" w:themeColor="accent5"/>
          <w:left w:val="single" w:sz="4" w:space="0" w:color="0097A9" w:themeColor="accent5"/>
          <w:bottom w:val="single" w:sz="4" w:space="0" w:color="0097A9" w:themeColor="accent5"/>
          <w:right w:val="single" w:sz="4" w:space="0" w:color="0097A9" w:themeColor="accent5"/>
          <w:insideH w:val="nil"/>
        </w:tcBorders>
        <w:shd w:val="clear" w:color="auto" w:fill="0097A9" w:themeFill="accent5"/>
      </w:tcPr>
    </w:tblStylePr>
    <w:tblStylePr w:type="lastRow">
      <w:rPr>
        <w:b/>
        <w:bCs/>
      </w:rPr>
      <w:tblPr/>
      <w:tcPr>
        <w:tcBorders>
          <w:top w:val="double" w:sz="4" w:space="0" w:color="32E8FF" w:themeColor="accent5" w:themeTint="99"/>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ListTable4-Accent6">
    <w:name w:val="List Table 4 Accent 6"/>
    <w:basedOn w:val="TableNormal"/>
    <w:uiPriority w:val="49"/>
    <w:rsid w:val="000116B0"/>
    <w:pPr>
      <w:spacing w:line="240" w:lineRule="auto"/>
    </w:p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tblBorders>
    </w:tblPr>
    <w:tblStylePr w:type="firstRow">
      <w:rPr>
        <w:b/>
        <w:bCs/>
        <w:color w:val="FFFFFF" w:themeColor="background1"/>
      </w:rPr>
      <w:tblPr/>
      <w:tcPr>
        <w:tcBorders>
          <w:top w:val="single" w:sz="4" w:space="0" w:color="75787B" w:themeColor="accent6"/>
          <w:left w:val="single" w:sz="4" w:space="0" w:color="75787B" w:themeColor="accent6"/>
          <w:bottom w:val="single" w:sz="4" w:space="0" w:color="75787B" w:themeColor="accent6"/>
          <w:right w:val="single" w:sz="4" w:space="0" w:color="75787B" w:themeColor="accent6"/>
          <w:insideH w:val="nil"/>
        </w:tcBorders>
        <w:shd w:val="clear" w:color="auto" w:fill="75787B" w:themeFill="accent6"/>
      </w:tcPr>
    </w:tblStylePr>
    <w:tblStylePr w:type="lastRow">
      <w:rPr>
        <w:b/>
        <w:bCs/>
      </w:rPr>
      <w:tblPr/>
      <w:tcPr>
        <w:tcBorders>
          <w:top w:val="double" w:sz="4" w:space="0" w:color="ABADB0" w:themeColor="accent6" w:themeTint="99"/>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ListTable5Dark">
    <w:name w:val="List Table 5 Dark"/>
    <w:basedOn w:val="TableNormal"/>
    <w:uiPriority w:val="50"/>
    <w:rsid w:val="000116B0"/>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0116B0"/>
    <w:pPr>
      <w:spacing w:line="240" w:lineRule="auto"/>
    </w:pPr>
    <w:rPr>
      <w:color w:val="FFFFFF" w:themeColor="background1"/>
    </w:rPr>
    <w:tblPr>
      <w:tblStyleRowBandSize w:val="1"/>
      <w:tblStyleColBandSize w:val="1"/>
      <w:tblBorders>
        <w:top w:val="single" w:sz="24" w:space="0" w:color="86BC25" w:themeColor="accent1"/>
        <w:left w:val="single" w:sz="24" w:space="0" w:color="86BC25" w:themeColor="accent1"/>
        <w:bottom w:val="single" w:sz="24" w:space="0" w:color="86BC25" w:themeColor="accent1"/>
        <w:right w:val="single" w:sz="24" w:space="0" w:color="86BC25" w:themeColor="accent1"/>
      </w:tblBorders>
    </w:tblPr>
    <w:tcPr>
      <w:shd w:val="clear" w:color="auto" w:fill="86BC2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0116B0"/>
    <w:pPr>
      <w:spacing w:line="240" w:lineRule="auto"/>
    </w:pPr>
    <w:rPr>
      <w:color w:val="FFFFFF" w:themeColor="background1"/>
    </w:rPr>
    <w:tblPr>
      <w:tblStyleRowBandSize w:val="1"/>
      <w:tblStyleColBandSize w:val="1"/>
      <w:tblBorders>
        <w:top w:val="single" w:sz="24" w:space="0" w:color="046A38" w:themeColor="accent2"/>
        <w:left w:val="single" w:sz="24" w:space="0" w:color="046A38" w:themeColor="accent2"/>
        <w:bottom w:val="single" w:sz="24" w:space="0" w:color="046A38" w:themeColor="accent2"/>
        <w:right w:val="single" w:sz="24" w:space="0" w:color="046A38" w:themeColor="accent2"/>
      </w:tblBorders>
    </w:tblPr>
    <w:tcPr>
      <w:shd w:val="clear" w:color="auto" w:fill="046A38"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0116B0"/>
    <w:pPr>
      <w:spacing w:line="240" w:lineRule="auto"/>
    </w:pPr>
    <w:rPr>
      <w:color w:val="FFFFFF" w:themeColor="background1"/>
    </w:rPr>
    <w:tblPr>
      <w:tblStyleRowBandSize w:val="1"/>
      <w:tblStyleColBandSize w:val="1"/>
      <w:tblBorders>
        <w:top w:val="single" w:sz="24" w:space="0" w:color="62B5E5" w:themeColor="accent3"/>
        <w:left w:val="single" w:sz="24" w:space="0" w:color="62B5E5" w:themeColor="accent3"/>
        <w:bottom w:val="single" w:sz="24" w:space="0" w:color="62B5E5" w:themeColor="accent3"/>
        <w:right w:val="single" w:sz="24" w:space="0" w:color="62B5E5" w:themeColor="accent3"/>
      </w:tblBorders>
    </w:tblPr>
    <w:tcPr>
      <w:shd w:val="clear" w:color="auto" w:fill="62B5E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0116B0"/>
    <w:pPr>
      <w:spacing w:line="240" w:lineRule="auto"/>
    </w:pPr>
    <w:rPr>
      <w:color w:val="FFFFFF" w:themeColor="background1"/>
    </w:rPr>
    <w:tblPr>
      <w:tblStyleRowBandSize w:val="1"/>
      <w:tblStyleColBandSize w:val="1"/>
      <w:tblBorders>
        <w:top w:val="single" w:sz="24" w:space="0" w:color="012169" w:themeColor="accent4"/>
        <w:left w:val="single" w:sz="24" w:space="0" w:color="012169" w:themeColor="accent4"/>
        <w:bottom w:val="single" w:sz="24" w:space="0" w:color="012169" w:themeColor="accent4"/>
        <w:right w:val="single" w:sz="24" w:space="0" w:color="012169" w:themeColor="accent4"/>
      </w:tblBorders>
    </w:tblPr>
    <w:tcPr>
      <w:shd w:val="clear" w:color="auto" w:fill="01216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0116B0"/>
    <w:pPr>
      <w:spacing w:line="240" w:lineRule="auto"/>
    </w:pPr>
    <w:rPr>
      <w:color w:val="FFFFFF" w:themeColor="background1"/>
    </w:rPr>
    <w:tblPr>
      <w:tblStyleRowBandSize w:val="1"/>
      <w:tblStyleColBandSize w:val="1"/>
      <w:tblBorders>
        <w:top w:val="single" w:sz="24" w:space="0" w:color="0097A9" w:themeColor="accent5"/>
        <w:left w:val="single" w:sz="24" w:space="0" w:color="0097A9" w:themeColor="accent5"/>
        <w:bottom w:val="single" w:sz="24" w:space="0" w:color="0097A9" w:themeColor="accent5"/>
        <w:right w:val="single" w:sz="24" w:space="0" w:color="0097A9" w:themeColor="accent5"/>
      </w:tblBorders>
    </w:tblPr>
    <w:tcPr>
      <w:shd w:val="clear" w:color="auto" w:fill="0097A9"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0116B0"/>
    <w:pPr>
      <w:spacing w:line="240" w:lineRule="auto"/>
    </w:pPr>
    <w:rPr>
      <w:color w:val="FFFFFF" w:themeColor="background1"/>
    </w:rPr>
    <w:tblPr>
      <w:tblStyleRowBandSize w:val="1"/>
      <w:tblStyleColBandSize w:val="1"/>
      <w:tblBorders>
        <w:top w:val="single" w:sz="24" w:space="0" w:color="75787B" w:themeColor="accent6"/>
        <w:left w:val="single" w:sz="24" w:space="0" w:color="75787B" w:themeColor="accent6"/>
        <w:bottom w:val="single" w:sz="24" w:space="0" w:color="75787B" w:themeColor="accent6"/>
        <w:right w:val="single" w:sz="24" w:space="0" w:color="75787B" w:themeColor="accent6"/>
      </w:tblBorders>
    </w:tblPr>
    <w:tcPr>
      <w:shd w:val="clear" w:color="auto" w:fill="75787B"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0116B0"/>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0116B0"/>
    <w:pPr>
      <w:spacing w:line="240" w:lineRule="auto"/>
    </w:pPr>
    <w:rPr>
      <w:color w:val="638C1B" w:themeColor="accent1" w:themeShade="BF"/>
    </w:rPr>
    <w:tblPr>
      <w:tblStyleRowBandSize w:val="1"/>
      <w:tblStyleColBandSize w:val="1"/>
      <w:tblBorders>
        <w:top w:val="single" w:sz="4" w:space="0" w:color="86BC25" w:themeColor="accent1"/>
        <w:bottom w:val="single" w:sz="4" w:space="0" w:color="86BC25" w:themeColor="accent1"/>
      </w:tblBorders>
    </w:tblPr>
    <w:tblStylePr w:type="firstRow">
      <w:rPr>
        <w:b/>
        <w:bCs/>
      </w:rPr>
      <w:tblPr/>
      <w:tcPr>
        <w:tcBorders>
          <w:bottom w:val="single" w:sz="4" w:space="0" w:color="86BC25" w:themeColor="accent1"/>
        </w:tcBorders>
      </w:tcPr>
    </w:tblStylePr>
    <w:tblStylePr w:type="lastRow">
      <w:rPr>
        <w:b/>
        <w:bCs/>
      </w:rPr>
      <w:tblPr/>
      <w:tcPr>
        <w:tcBorders>
          <w:top w:val="double" w:sz="4" w:space="0" w:color="86BC25" w:themeColor="accent1"/>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ListTable6Colorful-Accent2">
    <w:name w:val="List Table 6 Colorful Accent 2"/>
    <w:basedOn w:val="TableNormal"/>
    <w:uiPriority w:val="51"/>
    <w:rsid w:val="000116B0"/>
    <w:pPr>
      <w:spacing w:line="240" w:lineRule="auto"/>
    </w:pPr>
    <w:rPr>
      <w:color w:val="034F29" w:themeColor="accent2" w:themeShade="BF"/>
    </w:rPr>
    <w:tblPr>
      <w:tblStyleRowBandSize w:val="1"/>
      <w:tblStyleColBandSize w:val="1"/>
      <w:tblBorders>
        <w:top w:val="single" w:sz="4" w:space="0" w:color="046A38" w:themeColor="accent2"/>
        <w:bottom w:val="single" w:sz="4" w:space="0" w:color="046A38" w:themeColor="accent2"/>
      </w:tblBorders>
    </w:tblPr>
    <w:tblStylePr w:type="firstRow">
      <w:rPr>
        <w:b/>
        <w:bCs/>
      </w:rPr>
      <w:tblPr/>
      <w:tcPr>
        <w:tcBorders>
          <w:bottom w:val="single" w:sz="4" w:space="0" w:color="046A38" w:themeColor="accent2"/>
        </w:tcBorders>
      </w:tcPr>
    </w:tblStylePr>
    <w:tblStylePr w:type="lastRow">
      <w:rPr>
        <w:b/>
        <w:bCs/>
      </w:rPr>
      <w:tblPr/>
      <w:tcPr>
        <w:tcBorders>
          <w:top w:val="double" w:sz="4" w:space="0" w:color="046A38" w:themeColor="accent2"/>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ListTable6Colorful-Accent3">
    <w:name w:val="List Table 6 Colorful Accent 3"/>
    <w:basedOn w:val="TableNormal"/>
    <w:uiPriority w:val="51"/>
    <w:rsid w:val="000116B0"/>
    <w:pPr>
      <w:spacing w:line="240" w:lineRule="auto"/>
    </w:pPr>
    <w:rPr>
      <w:color w:val="2291D1" w:themeColor="accent3" w:themeShade="BF"/>
    </w:rPr>
    <w:tblPr>
      <w:tblStyleRowBandSize w:val="1"/>
      <w:tblStyleColBandSize w:val="1"/>
      <w:tblBorders>
        <w:top w:val="single" w:sz="4" w:space="0" w:color="62B5E5" w:themeColor="accent3"/>
        <w:bottom w:val="single" w:sz="4" w:space="0" w:color="62B5E5" w:themeColor="accent3"/>
      </w:tblBorders>
    </w:tblPr>
    <w:tblStylePr w:type="firstRow">
      <w:rPr>
        <w:b/>
        <w:bCs/>
      </w:rPr>
      <w:tblPr/>
      <w:tcPr>
        <w:tcBorders>
          <w:bottom w:val="single" w:sz="4" w:space="0" w:color="62B5E5" w:themeColor="accent3"/>
        </w:tcBorders>
      </w:tcPr>
    </w:tblStylePr>
    <w:tblStylePr w:type="lastRow">
      <w:rPr>
        <w:b/>
        <w:bCs/>
      </w:rPr>
      <w:tblPr/>
      <w:tcPr>
        <w:tcBorders>
          <w:top w:val="double" w:sz="4" w:space="0" w:color="62B5E5" w:themeColor="accent3"/>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ListTable6Colorful-Accent4">
    <w:name w:val="List Table 6 Colorful Accent 4"/>
    <w:basedOn w:val="TableNormal"/>
    <w:uiPriority w:val="51"/>
    <w:rsid w:val="000116B0"/>
    <w:pPr>
      <w:spacing w:line="240" w:lineRule="auto"/>
    </w:pPr>
    <w:rPr>
      <w:color w:val="00184E" w:themeColor="accent4" w:themeShade="BF"/>
    </w:rPr>
    <w:tblPr>
      <w:tblStyleRowBandSize w:val="1"/>
      <w:tblStyleColBandSize w:val="1"/>
      <w:tblBorders>
        <w:top w:val="single" w:sz="4" w:space="0" w:color="012169" w:themeColor="accent4"/>
        <w:bottom w:val="single" w:sz="4" w:space="0" w:color="012169" w:themeColor="accent4"/>
      </w:tblBorders>
    </w:tblPr>
    <w:tblStylePr w:type="firstRow">
      <w:rPr>
        <w:b/>
        <w:bCs/>
      </w:rPr>
      <w:tblPr/>
      <w:tcPr>
        <w:tcBorders>
          <w:bottom w:val="single" w:sz="4" w:space="0" w:color="012169" w:themeColor="accent4"/>
        </w:tcBorders>
      </w:tcPr>
    </w:tblStylePr>
    <w:tblStylePr w:type="lastRow">
      <w:rPr>
        <w:b/>
        <w:bCs/>
      </w:rPr>
      <w:tblPr/>
      <w:tcPr>
        <w:tcBorders>
          <w:top w:val="double" w:sz="4" w:space="0" w:color="012169" w:themeColor="accent4"/>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ListTable6Colorful-Accent5">
    <w:name w:val="List Table 6 Colorful Accent 5"/>
    <w:basedOn w:val="TableNormal"/>
    <w:uiPriority w:val="51"/>
    <w:rsid w:val="000116B0"/>
    <w:pPr>
      <w:spacing w:line="240" w:lineRule="auto"/>
    </w:pPr>
    <w:rPr>
      <w:color w:val="00707E" w:themeColor="accent5" w:themeShade="BF"/>
    </w:rPr>
    <w:tblPr>
      <w:tblStyleRowBandSize w:val="1"/>
      <w:tblStyleColBandSize w:val="1"/>
      <w:tblBorders>
        <w:top w:val="single" w:sz="4" w:space="0" w:color="0097A9" w:themeColor="accent5"/>
        <w:bottom w:val="single" w:sz="4" w:space="0" w:color="0097A9" w:themeColor="accent5"/>
      </w:tblBorders>
    </w:tblPr>
    <w:tblStylePr w:type="firstRow">
      <w:rPr>
        <w:b/>
        <w:bCs/>
      </w:rPr>
      <w:tblPr/>
      <w:tcPr>
        <w:tcBorders>
          <w:bottom w:val="single" w:sz="4" w:space="0" w:color="0097A9" w:themeColor="accent5"/>
        </w:tcBorders>
      </w:tcPr>
    </w:tblStylePr>
    <w:tblStylePr w:type="lastRow">
      <w:rPr>
        <w:b/>
        <w:bCs/>
      </w:rPr>
      <w:tblPr/>
      <w:tcPr>
        <w:tcBorders>
          <w:top w:val="double" w:sz="4" w:space="0" w:color="0097A9" w:themeColor="accent5"/>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ListTable6Colorful-Accent6">
    <w:name w:val="List Table 6 Colorful Accent 6"/>
    <w:basedOn w:val="TableNormal"/>
    <w:uiPriority w:val="51"/>
    <w:rsid w:val="000116B0"/>
    <w:pPr>
      <w:spacing w:line="240" w:lineRule="auto"/>
    </w:pPr>
    <w:rPr>
      <w:color w:val="57595C" w:themeColor="accent6" w:themeShade="BF"/>
    </w:rPr>
    <w:tblPr>
      <w:tblStyleRowBandSize w:val="1"/>
      <w:tblStyleColBandSize w:val="1"/>
      <w:tblBorders>
        <w:top w:val="single" w:sz="4" w:space="0" w:color="75787B" w:themeColor="accent6"/>
        <w:bottom w:val="single" w:sz="4" w:space="0" w:color="75787B" w:themeColor="accent6"/>
      </w:tblBorders>
    </w:tblPr>
    <w:tblStylePr w:type="firstRow">
      <w:rPr>
        <w:b/>
        <w:bCs/>
      </w:rPr>
      <w:tblPr/>
      <w:tcPr>
        <w:tcBorders>
          <w:bottom w:val="single" w:sz="4" w:space="0" w:color="75787B" w:themeColor="accent6"/>
        </w:tcBorders>
      </w:tcPr>
    </w:tblStylePr>
    <w:tblStylePr w:type="lastRow">
      <w:rPr>
        <w:b/>
        <w:bCs/>
      </w:rPr>
      <w:tblPr/>
      <w:tcPr>
        <w:tcBorders>
          <w:top w:val="double" w:sz="4" w:space="0" w:color="75787B" w:themeColor="accent6"/>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ListTable7Colorful">
    <w:name w:val="List Table 7 Colorful"/>
    <w:basedOn w:val="TableNormal"/>
    <w:uiPriority w:val="52"/>
    <w:rsid w:val="000116B0"/>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0116B0"/>
    <w:pPr>
      <w:spacing w:line="240" w:lineRule="auto"/>
    </w:pPr>
    <w:rPr>
      <w:color w:val="638C1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6BC2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6BC2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6BC2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6BC25" w:themeColor="accent1"/>
        </w:tcBorders>
        <w:shd w:val="clear" w:color="auto" w:fill="FFFFFF" w:themeFill="background1"/>
      </w:tcPr>
    </w:tblStylePr>
    <w:tblStylePr w:type="band1Vert">
      <w:tblPr/>
      <w:tcPr>
        <w:shd w:val="clear" w:color="auto" w:fill="E7F5CF" w:themeFill="accent1" w:themeFillTint="33"/>
      </w:tcPr>
    </w:tblStylePr>
    <w:tblStylePr w:type="band1Horz">
      <w:tblPr/>
      <w:tcPr>
        <w:shd w:val="clear" w:color="auto" w:fill="E7F5C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0116B0"/>
    <w:pPr>
      <w:spacing w:line="240" w:lineRule="auto"/>
    </w:pPr>
    <w:rPr>
      <w:color w:val="034F29"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46A38"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46A38"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46A38"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46A38" w:themeColor="accent2"/>
        </w:tcBorders>
        <w:shd w:val="clear" w:color="auto" w:fill="FFFFFF" w:themeFill="background1"/>
      </w:tcPr>
    </w:tblStylePr>
    <w:tblStylePr w:type="band1Vert">
      <w:tblPr/>
      <w:tcPr>
        <w:shd w:val="clear" w:color="auto" w:fill="B1FCD7" w:themeFill="accent2" w:themeFillTint="33"/>
      </w:tcPr>
    </w:tblStylePr>
    <w:tblStylePr w:type="band1Horz">
      <w:tblPr/>
      <w:tcPr>
        <w:shd w:val="clear" w:color="auto" w:fill="B1FCD7"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0116B0"/>
    <w:pPr>
      <w:spacing w:line="240" w:lineRule="auto"/>
    </w:pPr>
    <w:rPr>
      <w:color w:val="2291D1"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2B5E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2B5E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2B5E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2B5E5" w:themeColor="accent3"/>
        </w:tcBorders>
        <w:shd w:val="clear" w:color="auto" w:fill="FFFFFF" w:themeFill="background1"/>
      </w:tcPr>
    </w:tblStylePr>
    <w:tblStylePr w:type="band1Vert">
      <w:tblPr/>
      <w:tcPr>
        <w:shd w:val="clear" w:color="auto" w:fill="DFF0F9" w:themeFill="accent3" w:themeFillTint="33"/>
      </w:tcPr>
    </w:tblStylePr>
    <w:tblStylePr w:type="band1Horz">
      <w:tblPr/>
      <w:tcPr>
        <w:shd w:val="clear" w:color="auto" w:fill="DFF0F9"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0116B0"/>
    <w:pPr>
      <w:spacing w:line="240" w:lineRule="auto"/>
    </w:pPr>
    <w:rPr>
      <w:color w:val="00184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1216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1216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1216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12169" w:themeColor="accent4"/>
        </w:tcBorders>
        <w:shd w:val="clear" w:color="auto" w:fill="FFFFFF" w:themeFill="background1"/>
      </w:tcPr>
    </w:tblStylePr>
    <w:tblStylePr w:type="band1Vert">
      <w:tblPr/>
      <w:tcPr>
        <w:shd w:val="clear" w:color="auto" w:fill="AEC7FE" w:themeFill="accent4" w:themeFillTint="33"/>
      </w:tcPr>
    </w:tblStylePr>
    <w:tblStylePr w:type="band1Horz">
      <w:tblPr/>
      <w:tcPr>
        <w:shd w:val="clear" w:color="auto" w:fill="AEC7F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0116B0"/>
    <w:pPr>
      <w:spacing w:line="240" w:lineRule="auto"/>
    </w:pPr>
    <w:rPr>
      <w:color w:val="00707E"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7A9"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7A9"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7A9"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7A9" w:themeColor="accent5"/>
        </w:tcBorders>
        <w:shd w:val="clear" w:color="auto" w:fill="FFFFFF" w:themeFill="background1"/>
      </w:tcPr>
    </w:tblStylePr>
    <w:tblStylePr w:type="band1Vert">
      <w:tblPr/>
      <w:tcPr>
        <w:shd w:val="clear" w:color="auto" w:fill="BAF7FF" w:themeFill="accent5" w:themeFillTint="33"/>
      </w:tcPr>
    </w:tblStylePr>
    <w:tblStylePr w:type="band1Horz">
      <w:tblPr/>
      <w:tcPr>
        <w:shd w:val="clear" w:color="auto" w:fill="BAF7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0116B0"/>
    <w:pPr>
      <w:spacing w:line="240" w:lineRule="auto"/>
    </w:pPr>
    <w:rPr>
      <w:color w:val="57595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5787B"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5787B"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5787B"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5787B" w:themeColor="accent6"/>
        </w:tcBorders>
        <w:shd w:val="clear" w:color="auto" w:fill="FFFFFF" w:themeFill="background1"/>
      </w:tcPr>
    </w:tblStylePr>
    <w:tblStylePr w:type="band1Vert">
      <w:tblPr/>
      <w:tcPr>
        <w:shd w:val="clear" w:color="auto" w:fill="E3E3E4" w:themeFill="accent6" w:themeFillTint="33"/>
      </w:tcPr>
    </w:tblStylePr>
    <w:tblStylePr w:type="band1Horz">
      <w:tblPr/>
      <w:tcPr>
        <w:shd w:val="clear" w:color="auto" w:fill="E3E3E4"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0116B0"/>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0116B0"/>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0116B0"/>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0116B0"/>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0116B0"/>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0116B0"/>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Gitter1">
    <w:name w:val="Tabel - Gitter1"/>
    <w:basedOn w:val="TableNormal"/>
    <w:next w:val="TableGrid"/>
    <w:uiPriority w:val="59"/>
    <w:rsid w:val="001E349B"/>
    <w:pPr>
      <w:spacing w:line="240" w:lineRule="auto"/>
    </w:pPr>
    <w:tblPr>
      <w:tblCellMar>
        <w:left w:w="0" w:type="dxa"/>
        <w:right w:w="0" w:type="dxa"/>
      </w:tblCellMar>
    </w:tblPr>
    <w:tblStylePr w:type="firstRow">
      <w:rPr>
        <w:color w:val="auto"/>
      </w:rPr>
      <w:tblPr/>
      <w:tcPr>
        <w:tcBorders>
          <w:top w:val="nil"/>
          <w:left w:val="nil"/>
          <w:bottom w:val="nil"/>
          <w:right w:val="nil"/>
          <w:insideH w:val="nil"/>
          <w:insideV w:val="nil"/>
          <w:tl2br w:val="nil"/>
          <w:tr2bl w:val="nil"/>
        </w:tcBorders>
      </w:tcPr>
    </w:tblStylePr>
  </w:style>
  <w:style w:type="paragraph" w:customStyle="1" w:styleId="Pullout-QuoteBlue">
    <w:name w:val="Pullout - Quote Blue"/>
    <w:basedOn w:val="PulloutBlue"/>
    <w:uiPriority w:val="6"/>
    <w:rsid w:val="00D67839"/>
    <w:pPr>
      <w:ind w:left="227" w:right="227"/>
    </w:pPr>
    <w:rPr>
      <w:i/>
    </w:rPr>
  </w:style>
  <w:style w:type="paragraph" w:customStyle="1" w:styleId="Pullout">
    <w:name w:val="Pullout"/>
    <w:basedOn w:val="Heading4"/>
    <w:next w:val="Normal"/>
    <w:qFormat/>
    <w:rsid w:val="00195E90"/>
    <w:pPr>
      <w:numPr>
        <w:ilvl w:val="0"/>
        <w:numId w:val="0"/>
      </w:numPr>
      <w:spacing w:after="120"/>
      <w:outlineLvl w:val="9"/>
    </w:pPr>
    <w:rPr>
      <w:color w:val="012169" w:themeColor="accent4"/>
    </w:rPr>
  </w:style>
  <w:style w:type="character" w:customStyle="1" w:styleId="ListParagraphChar">
    <w:name w:val="List Paragraph Char"/>
    <w:aliases w:val="Bullet copy Char,Use Case List Paragraph Char,List Paragraph - bullets Char,standard lewis Char,Numbered Para 1 Char,Dot pt Char,No Spacing1 Char,List Paragraph Char Char Char Char,Indicator Text Char,List Paragraph1 Char,B1 Char"/>
    <w:basedOn w:val="DefaultParagraphFont"/>
    <w:link w:val="ListParagraph"/>
    <w:uiPriority w:val="34"/>
    <w:qFormat/>
    <w:rsid w:val="000647FF"/>
    <w:rPr>
      <w:lang w:val="en-AU"/>
    </w:rPr>
  </w:style>
  <w:style w:type="paragraph" w:customStyle="1" w:styleId="Footnote">
    <w:name w:val="Footnote"/>
    <w:basedOn w:val="Normal"/>
    <w:link w:val="FootnoteChar"/>
    <w:qFormat/>
    <w:rsid w:val="00880DC4"/>
    <w:pPr>
      <w:spacing w:after="0"/>
    </w:pPr>
    <w:rPr>
      <w:sz w:val="12"/>
      <w:szCs w:val="12"/>
    </w:rPr>
  </w:style>
  <w:style w:type="character" w:customStyle="1" w:styleId="FootnoteChar">
    <w:name w:val="Footnote Char"/>
    <w:basedOn w:val="DefaultParagraphFont"/>
    <w:link w:val="Footnote"/>
    <w:rsid w:val="00880DC4"/>
    <w:rPr>
      <w:sz w:val="12"/>
      <w:szCs w:val="12"/>
      <w:lang w:val="en-AU"/>
    </w:rPr>
  </w:style>
  <w:style w:type="paragraph" w:customStyle="1" w:styleId="Sources">
    <w:name w:val="Sources"/>
    <w:basedOn w:val="Source"/>
    <w:link w:val="SourcesChar"/>
    <w:qFormat/>
    <w:rsid w:val="00E83E31"/>
  </w:style>
  <w:style w:type="character" w:customStyle="1" w:styleId="SourcesChar">
    <w:name w:val="Sources Char"/>
    <w:basedOn w:val="DefaultParagraphFont"/>
    <w:link w:val="Sources"/>
    <w:rsid w:val="00E83E31"/>
    <w:rPr>
      <w:iCs/>
      <w:color w:val="75787B" w:themeColor="accent6"/>
      <w:sz w:val="14"/>
      <w:lang w:val="en-AU"/>
    </w:rPr>
  </w:style>
  <w:style w:type="table" w:customStyle="1" w:styleId="TableGrid10">
    <w:name w:val="Table Grid1"/>
    <w:basedOn w:val="TableNormal"/>
    <w:next w:val="TableGrid"/>
    <w:uiPriority w:val="99"/>
    <w:rsid w:val="00F61ADD"/>
    <w:tblPr>
      <w:tblCellMar>
        <w:left w:w="0" w:type="dxa"/>
        <w:right w:w="0" w:type="dxa"/>
      </w:tblCellMar>
    </w:tblPr>
    <w:tblStylePr w:type="firstRow">
      <w:rPr>
        <w:color w:val="auto"/>
      </w:rPr>
      <w:tblPr/>
      <w:tcPr>
        <w:tcBorders>
          <w:top w:val="nil"/>
          <w:left w:val="nil"/>
          <w:bottom w:val="nil"/>
          <w:right w:val="nil"/>
          <w:insideH w:val="nil"/>
          <w:insideV w:val="nil"/>
          <w:tl2br w:val="nil"/>
          <w:tr2bl w:val="nil"/>
        </w:tcBorders>
      </w:tcPr>
    </w:tblStylePr>
  </w:style>
  <w:style w:type="character" w:customStyle="1" w:styleId="normaltextrun">
    <w:name w:val="normaltextrun"/>
    <w:basedOn w:val="DefaultParagraphFont"/>
    <w:rsid w:val="005F187D"/>
  </w:style>
  <w:style w:type="table" w:customStyle="1" w:styleId="Deloittetable1">
    <w:name w:val="Deloitte table1"/>
    <w:basedOn w:val="TableNormal"/>
    <w:uiPriority w:val="99"/>
    <w:rsid w:val="00C37F76"/>
    <w:pPr>
      <w:ind w:left="57" w:right="57"/>
    </w:pPr>
    <w:rPr>
      <w:sz w:val="17"/>
    </w:rPr>
    <w:tblPr>
      <w:tblBorders>
        <w:top w:val="single" w:sz="4" w:space="0" w:color="62B5E5" w:themeColor="accent3"/>
        <w:bottom w:val="single" w:sz="4" w:space="0" w:color="000000" w:themeColor="text1"/>
        <w:insideH w:val="single" w:sz="4" w:space="0" w:color="000000" w:themeColor="text1"/>
      </w:tblBorders>
      <w:tblCellMar>
        <w:top w:w="57" w:type="dxa"/>
        <w:left w:w="0" w:type="dxa"/>
        <w:bottom w:w="57" w:type="dxa"/>
        <w:right w:w="0" w:type="dxa"/>
      </w:tblCellMar>
    </w:tblPr>
    <w:tblStylePr w:type="firstRow">
      <w:tblPr/>
      <w:tcPr>
        <w:tcBorders>
          <w:top w:val="single" w:sz="24" w:space="0" w:color="62B5E5" w:themeColor="accent3"/>
        </w:tcBorders>
      </w:tcPr>
    </w:tblStylePr>
  </w:style>
  <w:style w:type="character" w:customStyle="1" w:styleId="Mention1">
    <w:name w:val="Mention1"/>
    <w:basedOn w:val="DefaultParagraphFont"/>
    <w:uiPriority w:val="99"/>
    <w:unhideWhenUsed/>
    <w:rsid w:val="00C37F76"/>
    <w:rPr>
      <w:color w:val="2B579A"/>
      <w:shd w:val="clear" w:color="auto" w:fill="E1DFDD"/>
    </w:rPr>
  </w:style>
  <w:style w:type="table" w:customStyle="1" w:styleId="Deloittetable2">
    <w:name w:val="Deloitte table2"/>
    <w:basedOn w:val="TableNormal"/>
    <w:uiPriority w:val="99"/>
    <w:rsid w:val="00347B9E"/>
    <w:pPr>
      <w:ind w:left="57" w:right="57"/>
    </w:pPr>
    <w:rPr>
      <w:sz w:val="17"/>
    </w:rPr>
    <w:tblPr>
      <w:tblBorders>
        <w:top w:val="single" w:sz="4" w:space="0" w:color="62B5E5" w:themeColor="accent3"/>
        <w:bottom w:val="single" w:sz="4" w:space="0" w:color="000000" w:themeColor="text1"/>
        <w:insideH w:val="single" w:sz="4" w:space="0" w:color="000000" w:themeColor="text1"/>
      </w:tblBorders>
      <w:tblCellMar>
        <w:top w:w="57" w:type="dxa"/>
        <w:left w:w="0" w:type="dxa"/>
        <w:bottom w:w="57" w:type="dxa"/>
        <w:right w:w="0" w:type="dxa"/>
      </w:tblCellMar>
    </w:tblPr>
    <w:tblStylePr w:type="firstRow">
      <w:tblPr/>
      <w:tcPr>
        <w:tcBorders>
          <w:top w:val="single" w:sz="24" w:space="0" w:color="62B5E5" w:themeColor="accent3"/>
        </w:tcBorders>
      </w:tcPr>
    </w:tblStylePr>
  </w:style>
  <w:style w:type="character" w:customStyle="1" w:styleId="CaptionChar">
    <w:name w:val="Caption Char"/>
    <w:basedOn w:val="DefaultParagraphFont"/>
    <w:link w:val="Caption"/>
    <w:uiPriority w:val="3"/>
    <w:rsid w:val="006547A2"/>
    <w:rPr>
      <w:iCs/>
      <w:color w:val="75787B" w:themeColor="accent6"/>
      <w:sz w:val="17"/>
      <w:lang w:val="en-AU"/>
    </w:rPr>
  </w:style>
  <w:style w:type="table" w:customStyle="1" w:styleId="Deloittetable3">
    <w:name w:val="Deloitte table3"/>
    <w:basedOn w:val="TableNormal"/>
    <w:uiPriority w:val="99"/>
    <w:rsid w:val="000A10E4"/>
    <w:pPr>
      <w:ind w:left="57" w:right="57"/>
    </w:pPr>
    <w:rPr>
      <w:sz w:val="17"/>
    </w:rPr>
    <w:tblPr>
      <w:tblBorders>
        <w:top w:val="single" w:sz="4" w:space="0" w:color="62B5E5" w:themeColor="accent3"/>
        <w:bottom w:val="single" w:sz="4" w:space="0" w:color="000000" w:themeColor="text1"/>
        <w:insideH w:val="single" w:sz="4" w:space="0" w:color="000000" w:themeColor="text1"/>
      </w:tblBorders>
      <w:tblCellMar>
        <w:top w:w="57" w:type="dxa"/>
        <w:left w:w="0" w:type="dxa"/>
        <w:bottom w:w="57" w:type="dxa"/>
        <w:right w:w="0" w:type="dxa"/>
      </w:tblCellMar>
    </w:tblPr>
    <w:tblStylePr w:type="firstRow">
      <w:tblPr/>
      <w:tcPr>
        <w:tcBorders>
          <w:top w:val="single" w:sz="24" w:space="0" w:color="62B5E5" w:themeColor="accent3"/>
        </w:tcBorders>
      </w:tcPr>
    </w:tblStylePr>
  </w:style>
  <w:style w:type="table" w:customStyle="1" w:styleId="Deloittetable4">
    <w:name w:val="Deloitte table4"/>
    <w:basedOn w:val="TableNormal"/>
    <w:uiPriority w:val="99"/>
    <w:rsid w:val="000C02F8"/>
    <w:pPr>
      <w:ind w:left="57" w:right="57"/>
    </w:pPr>
    <w:rPr>
      <w:sz w:val="17"/>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0" w:type="dxa"/>
        <w:bottom w:w="57" w:type="dxa"/>
        <w:right w:w="0" w:type="dxa"/>
      </w:tblCellMar>
    </w:tblPr>
    <w:tblStylePr w:type="firstRow">
      <w:rPr>
        <w:rFonts w:asciiTheme="minorHAnsi" w:hAnsiTheme="minorHAnsi"/>
        <w:b/>
        <w:color w:val="auto"/>
        <w:sz w:val="20"/>
      </w:rPr>
      <w:tblPr/>
      <w:tcPr>
        <w:tcBorders>
          <w:top w:val="single" w:sz="24" w:space="0" w:color="62B5E5" w:themeColor="accent3"/>
        </w:tcBorders>
      </w:tcPr>
    </w:tblStylePr>
  </w:style>
  <w:style w:type="table" w:customStyle="1" w:styleId="Deloittetable5">
    <w:name w:val="Deloitte table5"/>
    <w:basedOn w:val="TableNormal"/>
    <w:uiPriority w:val="99"/>
    <w:rsid w:val="000A30FC"/>
    <w:pPr>
      <w:ind w:left="57" w:right="57"/>
    </w:pPr>
    <w:rPr>
      <w:sz w:val="17"/>
    </w:rPr>
    <w:tblPr>
      <w:tblBorders>
        <w:top w:val="single" w:sz="4" w:space="0" w:color="62B5E5" w:themeColor="accent3"/>
        <w:bottom w:val="single" w:sz="4" w:space="0" w:color="000000" w:themeColor="text1"/>
        <w:insideH w:val="single" w:sz="4" w:space="0" w:color="000000" w:themeColor="text1"/>
      </w:tblBorders>
      <w:tblCellMar>
        <w:top w:w="57" w:type="dxa"/>
        <w:left w:w="0" w:type="dxa"/>
        <w:bottom w:w="57" w:type="dxa"/>
        <w:right w:w="0" w:type="dxa"/>
      </w:tblCellMar>
    </w:tblPr>
    <w:tblStylePr w:type="firstRow">
      <w:tblPr/>
      <w:tcPr>
        <w:tcBorders>
          <w:top w:val="single" w:sz="24" w:space="0" w:color="62B5E5" w:themeColor="accent3"/>
        </w:tcBorders>
      </w:tcPr>
    </w:tblStylePr>
  </w:style>
  <w:style w:type="table" w:customStyle="1" w:styleId="Deloittetable6">
    <w:name w:val="Deloitte table6"/>
    <w:basedOn w:val="TableNormal"/>
    <w:uiPriority w:val="99"/>
    <w:rsid w:val="008515D3"/>
    <w:pPr>
      <w:ind w:left="57" w:right="57"/>
    </w:pPr>
    <w:rPr>
      <w:sz w:val="17"/>
    </w:rPr>
    <w:tblPr>
      <w:tblBorders>
        <w:top w:val="single" w:sz="4" w:space="0" w:color="62B5E5" w:themeColor="accent3"/>
        <w:bottom w:val="single" w:sz="4" w:space="0" w:color="000000" w:themeColor="text1"/>
        <w:insideH w:val="single" w:sz="4" w:space="0" w:color="000000" w:themeColor="text1"/>
      </w:tblBorders>
      <w:tblCellMar>
        <w:top w:w="57" w:type="dxa"/>
        <w:left w:w="0" w:type="dxa"/>
        <w:bottom w:w="57" w:type="dxa"/>
        <w:right w:w="0" w:type="dxa"/>
      </w:tblCellMar>
    </w:tblPr>
    <w:tblStylePr w:type="firstRow">
      <w:tblPr/>
      <w:tcPr>
        <w:tcBorders>
          <w:top w:val="single" w:sz="24" w:space="0" w:color="62B5E5" w:themeColor="accent3"/>
        </w:tcBorders>
      </w:tcPr>
    </w:tblStylePr>
  </w:style>
  <w:style w:type="paragraph" w:customStyle="1" w:styleId="BulletPoint">
    <w:name w:val="Bullet Point"/>
    <w:basedOn w:val="Normal"/>
    <w:link w:val="BulletPointChar"/>
    <w:qFormat/>
    <w:rsid w:val="000337CF"/>
    <w:pPr>
      <w:numPr>
        <w:numId w:val="25"/>
      </w:numPr>
      <w:spacing w:after="0"/>
      <w:jc w:val="both"/>
    </w:pPr>
    <w:rPr>
      <w:rFonts w:ascii="Arial" w:eastAsia="Times New Roman" w:hAnsi="Arial" w:cs="Times New Roman"/>
      <w:sz w:val="22"/>
      <w:szCs w:val="20"/>
    </w:rPr>
  </w:style>
  <w:style w:type="character" w:customStyle="1" w:styleId="BulletPointChar">
    <w:name w:val="Bullet Point Char"/>
    <w:link w:val="BulletPoint"/>
    <w:rsid w:val="000337CF"/>
    <w:rPr>
      <w:rFonts w:ascii="Arial" w:eastAsia="Times New Roman" w:hAnsi="Arial" w:cs="Times New Roman"/>
      <w:sz w:val="22"/>
      <w:szCs w:val="20"/>
      <w:lang w:val="en-AU"/>
    </w:rPr>
  </w:style>
  <w:style w:type="character" w:customStyle="1" w:styleId="UnresolvedMention1">
    <w:name w:val="Unresolved Mention1"/>
    <w:basedOn w:val="DefaultParagraphFont"/>
    <w:uiPriority w:val="99"/>
    <w:unhideWhenUsed/>
    <w:rsid w:val="00177632"/>
    <w:rPr>
      <w:color w:val="605E5C"/>
      <w:shd w:val="clear" w:color="auto" w:fill="E1DFDD"/>
    </w:rPr>
  </w:style>
  <w:style w:type="paragraph" w:styleId="Revision">
    <w:name w:val="Revision"/>
    <w:hidden/>
    <w:uiPriority w:val="99"/>
    <w:semiHidden/>
    <w:rsid w:val="00A95057"/>
    <w:pPr>
      <w:spacing w:line="240" w:lineRule="auto"/>
    </w:pPr>
    <w:rPr>
      <w:lang w:val="en-AU"/>
    </w:rPr>
  </w:style>
  <w:style w:type="character" w:styleId="UnresolvedMention">
    <w:name w:val="Unresolved Mention"/>
    <w:basedOn w:val="DefaultParagraphFont"/>
    <w:uiPriority w:val="99"/>
    <w:unhideWhenUsed/>
    <w:rsid w:val="00BB0305"/>
    <w:rPr>
      <w:color w:val="605E5C"/>
      <w:shd w:val="clear" w:color="auto" w:fill="E1DFDD"/>
    </w:rPr>
  </w:style>
  <w:style w:type="character" w:styleId="Mention">
    <w:name w:val="Mention"/>
    <w:basedOn w:val="DefaultParagraphFont"/>
    <w:uiPriority w:val="99"/>
    <w:unhideWhenUsed/>
    <w:rsid w:val="00BB0305"/>
    <w:rPr>
      <w:color w:val="2B579A"/>
      <w:shd w:val="clear" w:color="auto" w:fill="E1DFDD"/>
    </w:rPr>
  </w:style>
  <w:style w:type="numbering" w:customStyle="1" w:styleId="Style1">
    <w:name w:val="Style1"/>
    <w:uiPriority w:val="99"/>
    <w:rsid w:val="004B6517"/>
    <w:pPr>
      <w:numPr>
        <w:numId w:val="37"/>
      </w:numPr>
    </w:pPr>
  </w:style>
  <w:style w:type="table" w:customStyle="1" w:styleId="TableGrid20">
    <w:name w:val="Table Grid2"/>
    <w:basedOn w:val="TableNormal"/>
    <w:next w:val="TableGrid"/>
    <w:uiPriority w:val="99"/>
    <w:rsid w:val="00C26269"/>
    <w:tblPr>
      <w:tblCellMar>
        <w:left w:w="0" w:type="dxa"/>
        <w:right w:w="0" w:type="dxa"/>
      </w:tblCellMar>
    </w:tblPr>
    <w:tblStylePr w:type="firstRow">
      <w:rPr>
        <w:color w:val="auto"/>
      </w:rPr>
      <w:tblPr/>
      <w:tcPr>
        <w:tcBorders>
          <w:top w:val="nil"/>
          <w:left w:val="nil"/>
          <w:bottom w:val="nil"/>
          <w:right w:val="nil"/>
          <w:insideH w:val="nil"/>
          <w:insideV w:val="nil"/>
          <w:tl2br w:val="nil"/>
          <w:tr2bl w:val="nil"/>
        </w:tcBorders>
      </w:tcPr>
    </w:tblStylePr>
  </w:style>
  <w:style w:type="table" w:customStyle="1" w:styleId="Deloittetable7">
    <w:name w:val="Deloitte table7"/>
    <w:basedOn w:val="TableNormal"/>
    <w:uiPriority w:val="99"/>
    <w:rsid w:val="00C26269"/>
    <w:pPr>
      <w:ind w:left="57" w:right="57"/>
    </w:pPr>
    <w:rPr>
      <w:sz w:val="17"/>
    </w:rPr>
    <w:tblPr>
      <w:tblBorders>
        <w:top w:val="single" w:sz="4" w:space="0" w:color="62B5E5" w:themeColor="accent3"/>
        <w:bottom w:val="single" w:sz="4" w:space="0" w:color="000000" w:themeColor="text1"/>
        <w:insideH w:val="single" w:sz="4" w:space="0" w:color="000000" w:themeColor="text1"/>
      </w:tblBorders>
      <w:tblCellMar>
        <w:top w:w="57" w:type="dxa"/>
        <w:left w:w="0" w:type="dxa"/>
        <w:bottom w:w="57" w:type="dxa"/>
        <w:right w:w="0" w:type="dxa"/>
      </w:tblCellMar>
    </w:tblPr>
    <w:tblStylePr w:type="firstRow">
      <w:tblPr/>
      <w:tcPr>
        <w:tcBorders>
          <w:top w:val="single" w:sz="24" w:space="0" w:color="62B5E5" w:themeColor="accent3"/>
        </w:tcBorders>
      </w:tcPr>
    </w:tblStylePr>
  </w:style>
  <w:style w:type="paragraph" w:customStyle="1" w:styleId="TableParagraph">
    <w:name w:val="Table Paragraph"/>
    <w:basedOn w:val="Normal"/>
    <w:uiPriority w:val="1"/>
    <w:rsid w:val="00A71693"/>
    <w:pPr>
      <w:autoSpaceDE w:val="0"/>
      <w:autoSpaceDN w:val="0"/>
      <w:spacing w:before="90" w:after="0"/>
    </w:pPr>
    <w:rPr>
      <w:rFonts w:cs="Calibri"/>
      <w:sz w:val="22"/>
      <w:szCs w:val="22"/>
    </w:rPr>
  </w:style>
  <w:style w:type="paragraph" w:customStyle="1" w:styleId="Boxtype">
    <w:name w:val="Box type"/>
    <w:basedOn w:val="Heading3un-numbered"/>
    <w:link w:val="BoxtypeChar"/>
    <w:qFormat/>
    <w:rsid w:val="00880DC4"/>
    <w:pPr>
      <w:keepNext w:val="0"/>
      <w:keepLines w:val="0"/>
      <w:pBdr>
        <w:top w:val="single" w:sz="4" w:space="1" w:color="0097A9" w:themeColor="accent5"/>
        <w:bottom w:val="single" w:sz="4" w:space="1" w:color="0097A9" w:themeColor="accent5"/>
      </w:pBdr>
      <w:spacing w:before="0" w:line="360" w:lineRule="auto"/>
      <w:outlineLvl w:val="9"/>
    </w:pPr>
    <w:rPr>
      <w:b w:val="0"/>
      <w:color w:val="767171" w:themeColor="background2" w:themeShade="80"/>
    </w:rPr>
  </w:style>
  <w:style w:type="character" w:customStyle="1" w:styleId="Heading4un-numberedChar">
    <w:name w:val="Heading 4 (un-numbered) Char"/>
    <w:basedOn w:val="Heading4Char"/>
    <w:link w:val="Heading4un-numbered"/>
    <w:uiPriority w:val="2"/>
    <w:rsid w:val="00AD10DC"/>
    <w:rPr>
      <w:rFonts w:eastAsiaTheme="majorEastAsia" w:cstheme="majorBidi"/>
      <w:b/>
      <w:bCs/>
      <w:iCs/>
      <w:color w:val="75787B" w:themeColor="accent6"/>
      <w:sz w:val="20"/>
      <w:lang w:val="en-AU"/>
    </w:rPr>
  </w:style>
  <w:style w:type="character" w:customStyle="1" w:styleId="Heading3un-numberedChar">
    <w:name w:val="Heading 3 (un-numbered) Char"/>
    <w:basedOn w:val="Heading3Char"/>
    <w:link w:val="Heading3un-numbered"/>
    <w:uiPriority w:val="2"/>
    <w:rsid w:val="00880DC4"/>
    <w:rPr>
      <w:rFonts w:eastAsiaTheme="majorEastAsia" w:cstheme="majorBidi"/>
      <w:b/>
      <w:bCs/>
      <w:lang w:val="en-AU"/>
    </w:rPr>
  </w:style>
  <w:style w:type="character" w:customStyle="1" w:styleId="BoxtypeChar">
    <w:name w:val="Box type Char"/>
    <w:basedOn w:val="Heading3un-numberedChar"/>
    <w:link w:val="Boxtype"/>
    <w:rsid w:val="00880DC4"/>
    <w:rPr>
      <w:rFonts w:eastAsiaTheme="majorEastAsia" w:cstheme="majorBidi"/>
      <w:b w:val="0"/>
      <w:bCs/>
      <w:color w:val="767171" w:themeColor="background2" w:themeShade="80"/>
      <w:lang w:val="en-AU"/>
    </w:rPr>
  </w:style>
  <w:style w:type="character" w:customStyle="1" w:styleId="Heading5un-numberedChar">
    <w:name w:val="Heading 5 (un-numbered) Char"/>
    <w:basedOn w:val="Heading4un-numberedChar"/>
    <w:link w:val="Heading5un-numbered"/>
    <w:rsid w:val="00FD4BB5"/>
    <w:rPr>
      <w:rFonts w:eastAsiaTheme="majorEastAsia" w:cstheme="majorBidi"/>
      <w:b/>
      <w:bCs/>
      <w:iCs/>
      <w:color w:val="00707E" w:themeColor="accent5" w:themeShade="BF"/>
      <w:sz w:val="20"/>
      <w:lang w:val="en-AU"/>
    </w:rPr>
  </w:style>
  <w:style w:type="character" w:customStyle="1" w:styleId="Boxtype2Char">
    <w:name w:val="Box type 2 Char"/>
    <w:basedOn w:val="Heading5un-numberedChar"/>
    <w:link w:val="Boxtype2"/>
    <w:rsid w:val="009B7473"/>
    <w:rPr>
      <w:rFonts w:eastAsiaTheme="majorEastAsia" w:cstheme="majorBidi"/>
      <w:b w:val="0"/>
      <w:bCs/>
      <w:iCs/>
      <w:color w:val="00707E" w:themeColor="accent5" w:themeShade="BF"/>
      <w:sz w:val="20"/>
      <w:lang w:val="en-AU"/>
    </w:rPr>
  </w:style>
  <w:style w:type="character" w:customStyle="1" w:styleId="SuperscriptChar">
    <w:name w:val="Superscript Char"/>
    <w:basedOn w:val="Boxtype2Char"/>
    <w:link w:val="Superscript"/>
    <w:rsid w:val="00AD10DC"/>
    <w:rPr>
      <w:rFonts w:eastAsiaTheme="majorEastAsia" w:cstheme="majorBidi"/>
      <w:b w:val="0"/>
      <w:bCs/>
      <w:iCs/>
      <w:color w:val="00707E" w:themeColor="accent5" w:themeShade="BF"/>
      <w:sz w:val="20"/>
      <w:vertAlign w:val="superscript"/>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003530">
      <w:bodyDiv w:val="1"/>
      <w:marLeft w:val="0"/>
      <w:marRight w:val="0"/>
      <w:marTop w:val="0"/>
      <w:marBottom w:val="0"/>
      <w:divBdr>
        <w:top w:val="none" w:sz="0" w:space="0" w:color="auto"/>
        <w:left w:val="none" w:sz="0" w:space="0" w:color="auto"/>
        <w:bottom w:val="none" w:sz="0" w:space="0" w:color="auto"/>
        <w:right w:val="none" w:sz="0" w:space="0" w:color="auto"/>
      </w:divBdr>
      <w:divsChild>
        <w:div w:id="320232257">
          <w:marLeft w:val="0"/>
          <w:marRight w:val="0"/>
          <w:marTop w:val="0"/>
          <w:marBottom w:val="0"/>
          <w:divBdr>
            <w:top w:val="none" w:sz="0" w:space="0" w:color="auto"/>
            <w:left w:val="none" w:sz="0" w:space="0" w:color="auto"/>
            <w:bottom w:val="none" w:sz="0" w:space="0" w:color="auto"/>
            <w:right w:val="none" w:sz="0" w:space="0" w:color="auto"/>
          </w:divBdr>
        </w:div>
      </w:divsChild>
    </w:div>
    <w:div w:id="167251236">
      <w:bodyDiv w:val="1"/>
      <w:marLeft w:val="0"/>
      <w:marRight w:val="0"/>
      <w:marTop w:val="0"/>
      <w:marBottom w:val="0"/>
      <w:divBdr>
        <w:top w:val="none" w:sz="0" w:space="0" w:color="auto"/>
        <w:left w:val="none" w:sz="0" w:space="0" w:color="auto"/>
        <w:bottom w:val="none" w:sz="0" w:space="0" w:color="auto"/>
        <w:right w:val="none" w:sz="0" w:space="0" w:color="auto"/>
      </w:divBdr>
    </w:div>
    <w:div w:id="233778091">
      <w:bodyDiv w:val="1"/>
      <w:marLeft w:val="0"/>
      <w:marRight w:val="0"/>
      <w:marTop w:val="0"/>
      <w:marBottom w:val="0"/>
      <w:divBdr>
        <w:top w:val="none" w:sz="0" w:space="0" w:color="auto"/>
        <w:left w:val="none" w:sz="0" w:space="0" w:color="auto"/>
        <w:bottom w:val="none" w:sz="0" w:space="0" w:color="auto"/>
        <w:right w:val="none" w:sz="0" w:space="0" w:color="auto"/>
      </w:divBdr>
    </w:div>
    <w:div w:id="306788579">
      <w:bodyDiv w:val="1"/>
      <w:marLeft w:val="0"/>
      <w:marRight w:val="0"/>
      <w:marTop w:val="0"/>
      <w:marBottom w:val="0"/>
      <w:divBdr>
        <w:top w:val="none" w:sz="0" w:space="0" w:color="auto"/>
        <w:left w:val="none" w:sz="0" w:space="0" w:color="auto"/>
        <w:bottom w:val="none" w:sz="0" w:space="0" w:color="auto"/>
        <w:right w:val="none" w:sz="0" w:space="0" w:color="auto"/>
      </w:divBdr>
    </w:div>
    <w:div w:id="327637080">
      <w:bodyDiv w:val="1"/>
      <w:marLeft w:val="0"/>
      <w:marRight w:val="0"/>
      <w:marTop w:val="0"/>
      <w:marBottom w:val="0"/>
      <w:divBdr>
        <w:top w:val="none" w:sz="0" w:space="0" w:color="auto"/>
        <w:left w:val="none" w:sz="0" w:space="0" w:color="auto"/>
        <w:bottom w:val="none" w:sz="0" w:space="0" w:color="auto"/>
        <w:right w:val="none" w:sz="0" w:space="0" w:color="auto"/>
      </w:divBdr>
    </w:div>
    <w:div w:id="344479214">
      <w:bodyDiv w:val="1"/>
      <w:marLeft w:val="0"/>
      <w:marRight w:val="0"/>
      <w:marTop w:val="0"/>
      <w:marBottom w:val="0"/>
      <w:divBdr>
        <w:top w:val="none" w:sz="0" w:space="0" w:color="auto"/>
        <w:left w:val="none" w:sz="0" w:space="0" w:color="auto"/>
        <w:bottom w:val="none" w:sz="0" w:space="0" w:color="auto"/>
        <w:right w:val="none" w:sz="0" w:space="0" w:color="auto"/>
      </w:divBdr>
    </w:div>
    <w:div w:id="441345360">
      <w:bodyDiv w:val="1"/>
      <w:marLeft w:val="0"/>
      <w:marRight w:val="0"/>
      <w:marTop w:val="0"/>
      <w:marBottom w:val="0"/>
      <w:divBdr>
        <w:top w:val="none" w:sz="0" w:space="0" w:color="auto"/>
        <w:left w:val="none" w:sz="0" w:space="0" w:color="auto"/>
        <w:bottom w:val="none" w:sz="0" w:space="0" w:color="auto"/>
        <w:right w:val="none" w:sz="0" w:space="0" w:color="auto"/>
      </w:divBdr>
    </w:div>
    <w:div w:id="446899035">
      <w:bodyDiv w:val="1"/>
      <w:marLeft w:val="0"/>
      <w:marRight w:val="0"/>
      <w:marTop w:val="0"/>
      <w:marBottom w:val="0"/>
      <w:divBdr>
        <w:top w:val="none" w:sz="0" w:space="0" w:color="auto"/>
        <w:left w:val="none" w:sz="0" w:space="0" w:color="auto"/>
        <w:bottom w:val="none" w:sz="0" w:space="0" w:color="auto"/>
        <w:right w:val="none" w:sz="0" w:space="0" w:color="auto"/>
      </w:divBdr>
    </w:div>
    <w:div w:id="528875870">
      <w:bodyDiv w:val="1"/>
      <w:marLeft w:val="0"/>
      <w:marRight w:val="0"/>
      <w:marTop w:val="0"/>
      <w:marBottom w:val="0"/>
      <w:divBdr>
        <w:top w:val="none" w:sz="0" w:space="0" w:color="auto"/>
        <w:left w:val="none" w:sz="0" w:space="0" w:color="auto"/>
        <w:bottom w:val="none" w:sz="0" w:space="0" w:color="auto"/>
        <w:right w:val="none" w:sz="0" w:space="0" w:color="auto"/>
      </w:divBdr>
    </w:div>
    <w:div w:id="563296434">
      <w:bodyDiv w:val="1"/>
      <w:marLeft w:val="0"/>
      <w:marRight w:val="0"/>
      <w:marTop w:val="0"/>
      <w:marBottom w:val="0"/>
      <w:divBdr>
        <w:top w:val="none" w:sz="0" w:space="0" w:color="auto"/>
        <w:left w:val="none" w:sz="0" w:space="0" w:color="auto"/>
        <w:bottom w:val="none" w:sz="0" w:space="0" w:color="auto"/>
        <w:right w:val="none" w:sz="0" w:space="0" w:color="auto"/>
      </w:divBdr>
    </w:div>
    <w:div w:id="601915370">
      <w:bodyDiv w:val="1"/>
      <w:marLeft w:val="0"/>
      <w:marRight w:val="0"/>
      <w:marTop w:val="0"/>
      <w:marBottom w:val="0"/>
      <w:divBdr>
        <w:top w:val="none" w:sz="0" w:space="0" w:color="auto"/>
        <w:left w:val="none" w:sz="0" w:space="0" w:color="auto"/>
        <w:bottom w:val="none" w:sz="0" w:space="0" w:color="auto"/>
        <w:right w:val="none" w:sz="0" w:space="0" w:color="auto"/>
      </w:divBdr>
    </w:div>
    <w:div w:id="644429237">
      <w:bodyDiv w:val="1"/>
      <w:marLeft w:val="0"/>
      <w:marRight w:val="0"/>
      <w:marTop w:val="0"/>
      <w:marBottom w:val="0"/>
      <w:divBdr>
        <w:top w:val="none" w:sz="0" w:space="0" w:color="auto"/>
        <w:left w:val="none" w:sz="0" w:space="0" w:color="auto"/>
        <w:bottom w:val="none" w:sz="0" w:space="0" w:color="auto"/>
        <w:right w:val="none" w:sz="0" w:space="0" w:color="auto"/>
      </w:divBdr>
    </w:div>
    <w:div w:id="657340916">
      <w:bodyDiv w:val="1"/>
      <w:marLeft w:val="0"/>
      <w:marRight w:val="0"/>
      <w:marTop w:val="0"/>
      <w:marBottom w:val="0"/>
      <w:divBdr>
        <w:top w:val="none" w:sz="0" w:space="0" w:color="auto"/>
        <w:left w:val="none" w:sz="0" w:space="0" w:color="auto"/>
        <w:bottom w:val="none" w:sz="0" w:space="0" w:color="auto"/>
        <w:right w:val="none" w:sz="0" w:space="0" w:color="auto"/>
      </w:divBdr>
    </w:div>
    <w:div w:id="700132068">
      <w:bodyDiv w:val="1"/>
      <w:marLeft w:val="0"/>
      <w:marRight w:val="0"/>
      <w:marTop w:val="0"/>
      <w:marBottom w:val="0"/>
      <w:divBdr>
        <w:top w:val="none" w:sz="0" w:space="0" w:color="auto"/>
        <w:left w:val="none" w:sz="0" w:space="0" w:color="auto"/>
        <w:bottom w:val="none" w:sz="0" w:space="0" w:color="auto"/>
        <w:right w:val="none" w:sz="0" w:space="0" w:color="auto"/>
      </w:divBdr>
    </w:div>
    <w:div w:id="704523129">
      <w:bodyDiv w:val="1"/>
      <w:marLeft w:val="0"/>
      <w:marRight w:val="0"/>
      <w:marTop w:val="0"/>
      <w:marBottom w:val="0"/>
      <w:divBdr>
        <w:top w:val="none" w:sz="0" w:space="0" w:color="auto"/>
        <w:left w:val="none" w:sz="0" w:space="0" w:color="auto"/>
        <w:bottom w:val="none" w:sz="0" w:space="0" w:color="auto"/>
        <w:right w:val="none" w:sz="0" w:space="0" w:color="auto"/>
      </w:divBdr>
    </w:div>
    <w:div w:id="852184715">
      <w:bodyDiv w:val="1"/>
      <w:marLeft w:val="0"/>
      <w:marRight w:val="0"/>
      <w:marTop w:val="0"/>
      <w:marBottom w:val="0"/>
      <w:divBdr>
        <w:top w:val="none" w:sz="0" w:space="0" w:color="auto"/>
        <w:left w:val="none" w:sz="0" w:space="0" w:color="auto"/>
        <w:bottom w:val="none" w:sz="0" w:space="0" w:color="auto"/>
        <w:right w:val="none" w:sz="0" w:space="0" w:color="auto"/>
      </w:divBdr>
    </w:div>
    <w:div w:id="868296480">
      <w:bodyDiv w:val="1"/>
      <w:marLeft w:val="0"/>
      <w:marRight w:val="0"/>
      <w:marTop w:val="0"/>
      <w:marBottom w:val="0"/>
      <w:divBdr>
        <w:top w:val="none" w:sz="0" w:space="0" w:color="auto"/>
        <w:left w:val="none" w:sz="0" w:space="0" w:color="auto"/>
        <w:bottom w:val="none" w:sz="0" w:space="0" w:color="auto"/>
        <w:right w:val="none" w:sz="0" w:space="0" w:color="auto"/>
      </w:divBdr>
    </w:div>
    <w:div w:id="873079084">
      <w:bodyDiv w:val="1"/>
      <w:marLeft w:val="0"/>
      <w:marRight w:val="0"/>
      <w:marTop w:val="0"/>
      <w:marBottom w:val="0"/>
      <w:divBdr>
        <w:top w:val="none" w:sz="0" w:space="0" w:color="auto"/>
        <w:left w:val="none" w:sz="0" w:space="0" w:color="auto"/>
        <w:bottom w:val="none" w:sz="0" w:space="0" w:color="auto"/>
        <w:right w:val="none" w:sz="0" w:space="0" w:color="auto"/>
      </w:divBdr>
    </w:div>
    <w:div w:id="937299652">
      <w:bodyDiv w:val="1"/>
      <w:marLeft w:val="0"/>
      <w:marRight w:val="0"/>
      <w:marTop w:val="0"/>
      <w:marBottom w:val="0"/>
      <w:divBdr>
        <w:top w:val="none" w:sz="0" w:space="0" w:color="auto"/>
        <w:left w:val="none" w:sz="0" w:space="0" w:color="auto"/>
        <w:bottom w:val="none" w:sz="0" w:space="0" w:color="auto"/>
        <w:right w:val="none" w:sz="0" w:space="0" w:color="auto"/>
      </w:divBdr>
    </w:div>
    <w:div w:id="938215041">
      <w:bodyDiv w:val="1"/>
      <w:marLeft w:val="0"/>
      <w:marRight w:val="0"/>
      <w:marTop w:val="0"/>
      <w:marBottom w:val="0"/>
      <w:divBdr>
        <w:top w:val="none" w:sz="0" w:space="0" w:color="auto"/>
        <w:left w:val="none" w:sz="0" w:space="0" w:color="auto"/>
        <w:bottom w:val="none" w:sz="0" w:space="0" w:color="auto"/>
        <w:right w:val="none" w:sz="0" w:space="0" w:color="auto"/>
      </w:divBdr>
    </w:div>
    <w:div w:id="938218099">
      <w:bodyDiv w:val="1"/>
      <w:marLeft w:val="0"/>
      <w:marRight w:val="0"/>
      <w:marTop w:val="0"/>
      <w:marBottom w:val="0"/>
      <w:divBdr>
        <w:top w:val="none" w:sz="0" w:space="0" w:color="auto"/>
        <w:left w:val="none" w:sz="0" w:space="0" w:color="auto"/>
        <w:bottom w:val="none" w:sz="0" w:space="0" w:color="auto"/>
        <w:right w:val="none" w:sz="0" w:space="0" w:color="auto"/>
      </w:divBdr>
    </w:div>
    <w:div w:id="1060439968">
      <w:bodyDiv w:val="1"/>
      <w:marLeft w:val="0"/>
      <w:marRight w:val="0"/>
      <w:marTop w:val="0"/>
      <w:marBottom w:val="0"/>
      <w:divBdr>
        <w:top w:val="none" w:sz="0" w:space="0" w:color="auto"/>
        <w:left w:val="none" w:sz="0" w:space="0" w:color="auto"/>
        <w:bottom w:val="none" w:sz="0" w:space="0" w:color="auto"/>
        <w:right w:val="none" w:sz="0" w:space="0" w:color="auto"/>
      </w:divBdr>
    </w:div>
    <w:div w:id="1106581446">
      <w:bodyDiv w:val="1"/>
      <w:marLeft w:val="0"/>
      <w:marRight w:val="0"/>
      <w:marTop w:val="0"/>
      <w:marBottom w:val="0"/>
      <w:divBdr>
        <w:top w:val="none" w:sz="0" w:space="0" w:color="auto"/>
        <w:left w:val="none" w:sz="0" w:space="0" w:color="auto"/>
        <w:bottom w:val="none" w:sz="0" w:space="0" w:color="auto"/>
        <w:right w:val="none" w:sz="0" w:space="0" w:color="auto"/>
      </w:divBdr>
    </w:div>
    <w:div w:id="1230581047">
      <w:bodyDiv w:val="1"/>
      <w:marLeft w:val="0"/>
      <w:marRight w:val="0"/>
      <w:marTop w:val="0"/>
      <w:marBottom w:val="0"/>
      <w:divBdr>
        <w:top w:val="none" w:sz="0" w:space="0" w:color="auto"/>
        <w:left w:val="none" w:sz="0" w:space="0" w:color="auto"/>
        <w:bottom w:val="none" w:sz="0" w:space="0" w:color="auto"/>
        <w:right w:val="none" w:sz="0" w:space="0" w:color="auto"/>
      </w:divBdr>
    </w:div>
    <w:div w:id="1251816025">
      <w:bodyDiv w:val="1"/>
      <w:marLeft w:val="0"/>
      <w:marRight w:val="0"/>
      <w:marTop w:val="0"/>
      <w:marBottom w:val="0"/>
      <w:divBdr>
        <w:top w:val="none" w:sz="0" w:space="0" w:color="auto"/>
        <w:left w:val="none" w:sz="0" w:space="0" w:color="auto"/>
        <w:bottom w:val="none" w:sz="0" w:space="0" w:color="auto"/>
        <w:right w:val="none" w:sz="0" w:space="0" w:color="auto"/>
      </w:divBdr>
      <w:divsChild>
        <w:div w:id="1848787381">
          <w:marLeft w:val="0"/>
          <w:marRight w:val="0"/>
          <w:marTop w:val="0"/>
          <w:marBottom w:val="0"/>
          <w:divBdr>
            <w:top w:val="none" w:sz="0" w:space="0" w:color="auto"/>
            <w:left w:val="none" w:sz="0" w:space="0" w:color="auto"/>
            <w:bottom w:val="none" w:sz="0" w:space="0" w:color="auto"/>
            <w:right w:val="none" w:sz="0" w:space="0" w:color="auto"/>
          </w:divBdr>
        </w:div>
      </w:divsChild>
    </w:div>
    <w:div w:id="1283149457">
      <w:bodyDiv w:val="1"/>
      <w:marLeft w:val="0"/>
      <w:marRight w:val="0"/>
      <w:marTop w:val="0"/>
      <w:marBottom w:val="0"/>
      <w:divBdr>
        <w:top w:val="none" w:sz="0" w:space="0" w:color="auto"/>
        <w:left w:val="none" w:sz="0" w:space="0" w:color="auto"/>
        <w:bottom w:val="none" w:sz="0" w:space="0" w:color="auto"/>
        <w:right w:val="none" w:sz="0" w:space="0" w:color="auto"/>
      </w:divBdr>
      <w:divsChild>
        <w:div w:id="1352755846">
          <w:marLeft w:val="0"/>
          <w:marRight w:val="0"/>
          <w:marTop w:val="0"/>
          <w:marBottom w:val="0"/>
          <w:divBdr>
            <w:top w:val="none" w:sz="0" w:space="0" w:color="auto"/>
            <w:left w:val="none" w:sz="0" w:space="0" w:color="auto"/>
            <w:bottom w:val="none" w:sz="0" w:space="0" w:color="auto"/>
            <w:right w:val="none" w:sz="0" w:space="0" w:color="auto"/>
          </w:divBdr>
        </w:div>
      </w:divsChild>
    </w:div>
    <w:div w:id="1330210600">
      <w:bodyDiv w:val="1"/>
      <w:marLeft w:val="0"/>
      <w:marRight w:val="0"/>
      <w:marTop w:val="0"/>
      <w:marBottom w:val="0"/>
      <w:divBdr>
        <w:top w:val="none" w:sz="0" w:space="0" w:color="auto"/>
        <w:left w:val="none" w:sz="0" w:space="0" w:color="auto"/>
        <w:bottom w:val="none" w:sz="0" w:space="0" w:color="auto"/>
        <w:right w:val="none" w:sz="0" w:space="0" w:color="auto"/>
      </w:divBdr>
    </w:div>
    <w:div w:id="1390377664">
      <w:bodyDiv w:val="1"/>
      <w:marLeft w:val="0"/>
      <w:marRight w:val="0"/>
      <w:marTop w:val="0"/>
      <w:marBottom w:val="0"/>
      <w:divBdr>
        <w:top w:val="none" w:sz="0" w:space="0" w:color="auto"/>
        <w:left w:val="none" w:sz="0" w:space="0" w:color="auto"/>
        <w:bottom w:val="none" w:sz="0" w:space="0" w:color="auto"/>
        <w:right w:val="none" w:sz="0" w:space="0" w:color="auto"/>
      </w:divBdr>
    </w:div>
    <w:div w:id="1439983414">
      <w:bodyDiv w:val="1"/>
      <w:marLeft w:val="0"/>
      <w:marRight w:val="0"/>
      <w:marTop w:val="0"/>
      <w:marBottom w:val="0"/>
      <w:divBdr>
        <w:top w:val="none" w:sz="0" w:space="0" w:color="auto"/>
        <w:left w:val="none" w:sz="0" w:space="0" w:color="auto"/>
        <w:bottom w:val="none" w:sz="0" w:space="0" w:color="auto"/>
        <w:right w:val="none" w:sz="0" w:space="0" w:color="auto"/>
      </w:divBdr>
    </w:div>
    <w:div w:id="1497921192">
      <w:bodyDiv w:val="1"/>
      <w:marLeft w:val="0"/>
      <w:marRight w:val="0"/>
      <w:marTop w:val="0"/>
      <w:marBottom w:val="0"/>
      <w:divBdr>
        <w:top w:val="none" w:sz="0" w:space="0" w:color="auto"/>
        <w:left w:val="none" w:sz="0" w:space="0" w:color="auto"/>
        <w:bottom w:val="none" w:sz="0" w:space="0" w:color="auto"/>
        <w:right w:val="none" w:sz="0" w:space="0" w:color="auto"/>
      </w:divBdr>
    </w:div>
    <w:div w:id="1503427585">
      <w:bodyDiv w:val="1"/>
      <w:marLeft w:val="0"/>
      <w:marRight w:val="0"/>
      <w:marTop w:val="0"/>
      <w:marBottom w:val="0"/>
      <w:divBdr>
        <w:top w:val="none" w:sz="0" w:space="0" w:color="auto"/>
        <w:left w:val="none" w:sz="0" w:space="0" w:color="auto"/>
        <w:bottom w:val="none" w:sz="0" w:space="0" w:color="auto"/>
        <w:right w:val="none" w:sz="0" w:space="0" w:color="auto"/>
      </w:divBdr>
    </w:div>
    <w:div w:id="1552186795">
      <w:bodyDiv w:val="1"/>
      <w:marLeft w:val="0"/>
      <w:marRight w:val="0"/>
      <w:marTop w:val="0"/>
      <w:marBottom w:val="0"/>
      <w:divBdr>
        <w:top w:val="none" w:sz="0" w:space="0" w:color="auto"/>
        <w:left w:val="none" w:sz="0" w:space="0" w:color="auto"/>
        <w:bottom w:val="none" w:sz="0" w:space="0" w:color="auto"/>
        <w:right w:val="none" w:sz="0" w:space="0" w:color="auto"/>
      </w:divBdr>
    </w:div>
    <w:div w:id="1580556628">
      <w:bodyDiv w:val="1"/>
      <w:marLeft w:val="0"/>
      <w:marRight w:val="0"/>
      <w:marTop w:val="0"/>
      <w:marBottom w:val="0"/>
      <w:divBdr>
        <w:top w:val="none" w:sz="0" w:space="0" w:color="auto"/>
        <w:left w:val="none" w:sz="0" w:space="0" w:color="auto"/>
        <w:bottom w:val="none" w:sz="0" w:space="0" w:color="auto"/>
        <w:right w:val="none" w:sz="0" w:space="0" w:color="auto"/>
      </w:divBdr>
    </w:div>
    <w:div w:id="1789858148">
      <w:bodyDiv w:val="1"/>
      <w:marLeft w:val="0"/>
      <w:marRight w:val="0"/>
      <w:marTop w:val="0"/>
      <w:marBottom w:val="0"/>
      <w:divBdr>
        <w:top w:val="none" w:sz="0" w:space="0" w:color="auto"/>
        <w:left w:val="none" w:sz="0" w:space="0" w:color="auto"/>
        <w:bottom w:val="none" w:sz="0" w:space="0" w:color="auto"/>
        <w:right w:val="none" w:sz="0" w:space="0" w:color="auto"/>
      </w:divBdr>
    </w:div>
    <w:div w:id="1982730381">
      <w:bodyDiv w:val="1"/>
      <w:marLeft w:val="0"/>
      <w:marRight w:val="0"/>
      <w:marTop w:val="0"/>
      <w:marBottom w:val="0"/>
      <w:divBdr>
        <w:top w:val="none" w:sz="0" w:space="0" w:color="auto"/>
        <w:left w:val="none" w:sz="0" w:space="0" w:color="auto"/>
        <w:bottom w:val="none" w:sz="0" w:space="0" w:color="auto"/>
        <w:right w:val="none" w:sz="0" w:space="0" w:color="auto"/>
      </w:divBdr>
    </w:div>
    <w:div w:id="2055078344">
      <w:bodyDiv w:val="1"/>
      <w:marLeft w:val="0"/>
      <w:marRight w:val="0"/>
      <w:marTop w:val="0"/>
      <w:marBottom w:val="0"/>
      <w:divBdr>
        <w:top w:val="none" w:sz="0" w:space="0" w:color="auto"/>
        <w:left w:val="none" w:sz="0" w:space="0" w:color="auto"/>
        <w:bottom w:val="none" w:sz="0" w:space="0" w:color="auto"/>
        <w:right w:val="none" w:sz="0" w:space="0" w:color="auto"/>
      </w:divBdr>
    </w:div>
    <w:div w:id="2090302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image" Target="media/image11.emf"/><Relationship Id="rId39" Type="http://schemas.openxmlformats.org/officeDocument/2006/relationships/image" Target="media/image24.emf"/><Relationship Id="rId21" Type="http://schemas.openxmlformats.org/officeDocument/2006/relationships/image" Target="media/image6.emf"/><Relationship Id="rId34" Type="http://schemas.openxmlformats.org/officeDocument/2006/relationships/image" Target="media/image19.emf"/><Relationship Id="rId42" Type="http://schemas.openxmlformats.org/officeDocument/2006/relationships/image" Target="media/image27.emf"/><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emf"/><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5.png"/><Relationship Id="rId29" Type="http://schemas.openxmlformats.org/officeDocument/2006/relationships/image" Target="media/image14.emf"/><Relationship Id="rId41" Type="http://schemas.openxmlformats.org/officeDocument/2006/relationships/image" Target="media/image26.emf"/><Relationship Id="rId54" Type="http://schemas.openxmlformats.org/officeDocument/2006/relationships/image" Target="media/image39.emf"/><Relationship Id="rId62" Type="http://schemas.openxmlformats.org/officeDocument/2006/relationships/image" Target="media/image4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emf"/><Relationship Id="rId32" Type="http://schemas.openxmlformats.org/officeDocument/2006/relationships/image" Target="media/image17.emf"/><Relationship Id="rId37" Type="http://schemas.openxmlformats.org/officeDocument/2006/relationships/image" Target="media/image22.emf"/><Relationship Id="rId40" Type="http://schemas.openxmlformats.org/officeDocument/2006/relationships/image" Target="media/image25.emf"/><Relationship Id="rId45" Type="http://schemas.openxmlformats.org/officeDocument/2006/relationships/image" Target="media/image30.emf"/><Relationship Id="rId53" Type="http://schemas.openxmlformats.org/officeDocument/2006/relationships/image" Target="media/image38.emf"/><Relationship Id="rId58" Type="http://schemas.openxmlformats.org/officeDocument/2006/relationships/image" Target="media/image43.emf"/><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8.png"/><Relationship Id="rId28" Type="http://schemas.openxmlformats.org/officeDocument/2006/relationships/image" Target="media/image13.emf"/><Relationship Id="rId36" Type="http://schemas.openxmlformats.org/officeDocument/2006/relationships/image" Target="media/image21.emf"/><Relationship Id="rId49" Type="http://schemas.openxmlformats.org/officeDocument/2006/relationships/image" Target="media/image34.emf"/><Relationship Id="rId57" Type="http://schemas.openxmlformats.org/officeDocument/2006/relationships/image" Target="media/image42.emf"/><Relationship Id="rId61" Type="http://schemas.openxmlformats.org/officeDocument/2006/relationships/image" Target="media/image45.emf"/><Relationship Id="rId10" Type="http://schemas.openxmlformats.org/officeDocument/2006/relationships/endnotes" Target="endnotes.xml"/><Relationship Id="rId19" Type="http://schemas.openxmlformats.org/officeDocument/2006/relationships/image" Target="media/image4.emf"/><Relationship Id="rId31" Type="http://schemas.openxmlformats.org/officeDocument/2006/relationships/image" Target="media/image16.emf"/><Relationship Id="rId44" Type="http://schemas.openxmlformats.org/officeDocument/2006/relationships/image" Target="media/image29.emf"/><Relationship Id="rId52" Type="http://schemas.openxmlformats.org/officeDocument/2006/relationships/image" Target="media/image37.emf"/><Relationship Id="rId60" Type="http://schemas.openxmlformats.org/officeDocument/2006/relationships/image" Target="media/image44.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image" Target="media/image20.emf"/><Relationship Id="rId43" Type="http://schemas.openxmlformats.org/officeDocument/2006/relationships/image" Target="media/image28.emf"/><Relationship Id="rId48" Type="http://schemas.openxmlformats.org/officeDocument/2006/relationships/image" Target="media/image33.emf"/><Relationship Id="rId56" Type="http://schemas.openxmlformats.org/officeDocument/2006/relationships/image" Target="media/image41.emf"/><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6.emf"/><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2.emf"/><Relationship Id="rId25" Type="http://schemas.openxmlformats.org/officeDocument/2006/relationships/image" Target="media/image10.emf"/><Relationship Id="rId33" Type="http://schemas.openxmlformats.org/officeDocument/2006/relationships/image" Target="media/image18.emf"/><Relationship Id="rId38" Type="http://schemas.openxmlformats.org/officeDocument/2006/relationships/image" Target="media/image23.emf"/><Relationship Id="rId46" Type="http://schemas.openxmlformats.org/officeDocument/2006/relationships/image" Target="media/image31.emf"/><Relationship Id="rId59" Type="http://schemas.openxmlformats.org/officeDocument/2006/relationships/footer" Target="footer4.xml"/></Relationships>
</file>

<file path=word/theme/theme1.xml><?xml version="1.0" encoding="utf-8"?>
<a:theme xmlns:a="http://schemas.openxmlformats.org/drawingml/2006/main" name="Deloitte">
  <a:themeElements>
    <a:clrScheme name="Deloitte">
      <a:dk1>
        <a:srgbClr val="000000"/>
      </a:dk1>
      <a:lt1>
        <a:srgbClr val="FFFFFF"/>
      </a:lt1>
      <a:dk2>
        <a:srgbClr val="44546A"/>
      </a:dk2>
      <a:lt2>
        <a:srgbClr val="E7E6E6"/>
      </a:lt2>
      <a:accent1>
        <a:srgbClr val="86BC25"/>
      </a:accent1>
      <a:accent2>
        <a:srgbClr val="046A38"/>
      </a:accent2>
      <a:accent3>
        <a:srgbClr val="62B5E5"/>
      </a:accent3>
      <a:accent4>
        <a:srgbClr val="012169"/>
      </a:accent4>
      <a:accent5>
        <a:srgbClr val="0097A9"/>
      </a:accent5>
      <a:accent6>
        <a:srgbClr val="75787B"/>
      </a:accent6>
      <a:hlink>
        <a:srgbClr val="00A3E0"/>
      </a:hlink>
      <a:folHlink>
        <a:srgbClr val="954F72"/>
      </a:folHlink>
    </a:clrScheme>
    <a:fontScheme name="Deloitte Powerpoint font">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gray">
        <a:solidFill>
          <a:schemeClr val="accent3"/>
        </a:solidFill>
        <a:ln w="19050" algn="ctr">
          <a:solidFill>
            <a:schemeClr val="accent3"/>
          </a:solidFill>
          <a:miter lim="800000"/>
          <a:headEnd/>
          <a:tailEnd/>
        </a:ln>
      </a:spPr>
      <a:bodyPr wrap="square" lIns="88900" tIns="88900" rIns="88900" bIns="88900" rtlCol="0" anchor="ctr"/>
      <a:lstStyle>
        <a:defPPr algn="ctr">
          <a:lnSpc>
            <a:spcPct val="106000"/>
          </a:lnSpc>
          <a:buFont typeface="Wingdings 2" pitchFamily="18" charset="2"/>
          <a:buNone/>
          <a:defRPr sz="1600" b="1" noProof="0" dirty="0" err="1" smtClean="0">
            <a:solidFill>
              <a:schemeClr val="bg1"/>
            </a:solidFill>
          </a:defRPr>
        </a:defPPr>
      </a:lstStyle>
    </a:spDef>
    <a:lnDef>
      <a:spPr>
        <a:ln>
          <a:solidFill>
            <a:srgbClr val="44546A"/>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square" lIns="0" tIns="0" rIns="0" bIns="0" rtlCol="0">
        <a:spAutoFit/>
      </a:bodyPr>
      <a:lstStyle>
        <a:defPPr marL="234000" indent="-234000">
          <a:spcBef>
            <a:spcPts val="0"/>
          </a:spcBef>
          <a:spcAft>
            <a:spcPts val="1333"/>
          </a:spcAft>
          <a:buSzPct val="100000"/>
          <a:buFont typeface="Arial"/>
          <a:buChar char="•"/>
          <a:defRPr sz="1200" noProof="0" dirty="0" err="1" smtClean="0">
            <a:solidFill>
              <a:schemeClr val="tx1"/>
            </a:solidFill>
          </a:defRPr>
        </a:defPPr>
      </a:lstStyle>
    </a:txDef>
  </a:objectDefaults>
  <a:extraClrSchemeLst/>
  <a:custClrLst>
    <a:custClr name="Green 7">
      <a:srgbClr val="2C5234"/>
    </a:custClr>
    <a:custClr name="Green 6">
      <a:srgbClr val="046A38"/>
    </a:custClr>
    <a:custClr name="Green 5">
      <a:srgbClr val="009A44"/>
    </a:custClr>
    <a:custClr name="Green 4">
      <a:srgbClr val="43B02A"/>
    </a:custClr>
    <a:custClr name="Deloitte Green">
      <a:srgbClr val="86BC25"/>
    </a:custClr>
    <a:custClr name="Green 2">
      <a:srgbClr val="C4D600"/>
    </a:custClr>
    <a:custClr name="Green 1">
      <a:srgbClr val="E3E48D"/>
    </a:custClr>
    <a:custClr name="Teal 7">
      <a:srgbClr val="004F59"/>
    </a:custClr>
    <a:custClr name="Teal 6">
      <a:srgbClr val="007680"/>
    </a:custClr>
    <a:custClr name="Teal 5">
      <a:srgbClr val="0097A9"/>
    </a:custClr>
    <a:custClr name="Teal 4">
      <a:srgbClr val="00ABAB"/>
    </a:custClr>
    <a:custClr name="Teal 3">
      <a:srgbClr val="6FC2B4"/>
    </a:custClr>
    <a:custClr name="Teal 2">
      <a:srgbClr val="9DD4CF"/>
    </a:custClr>
    <a:custClr name="Teal 1">
      <a:srgbClr val="DDEFE8"/>
    </a:custClr>
    <a:custClr name="Blue 7">
      <a:srgbClr val="041E42"/>
    </a:custClr>
    <a:custClr name="Blue 6">
      <a:srgbClr val="012169"/>
    </a:custClr>
    <a:custClr name="Blue 5">
      <a:srgbClr val="005587"/>
    </a:custClr>
    <a:custClr name="Blue 4">
      <a:srgbClr val="0076A8"/>
    </a:custClr>
    <a:custClr name="Blue 3">
      <a:srgbClr val="00A3E0"/>
    </a:custClr>
    <a:custClr name="Blue 2">
      <a:srgbClr val="62B5E5"/>
    </a:custClr>
    <a:custClr name="Blue 1">
      <a:srgbClr val="A0DCFF"/>
    </a:custClr>
    <a:custClr name="Cool Gray 11">
      <a:srgbClr val="53565A"/>
    </a:custClr>
    <a:custClr name="Cool Gray 10">
      <a:srgbClr val="63666A"/>
    </a:custClr>
    <a:custClr name="Cool Gray 9">
      <a:srgbClr val="75787B"/>
    </a:custClr>
    <a:custClr name="Cool Gray 7">
      <a:srgbClr val="97999B"/>
    </a:custClr>
    <a:custClr name="Cool Gray 6">
      <a:srgbClr val="A7A8AA"/>
    </a:custClr>
    <a:custClr name="Cool Gray 4">
      <a:srgbClr val="BBBCBC"/>
    </a:custClr>
    <a:custClr name="Cool Gray 2">
      <a:srgbClr val="D0D0CE"/>
    </a:custClr>
    <a:custClr name="White">
      <a:srgbClr val="FFFFFF"/>
    </a:custClr>
    <a:custClr name="Black">
      <a:srgbClr val="000000"/>
    </a:custClr>
    <a:custClr name="Red">
      <a:srgbClr val="DA291C"/>
    </a:custClr>
    <a:custClr name="Orange">
      <a:srgbClr val="ED8B00"/>
    </a:custClr>
    <a:custClr name="Yellow">
      <a:srgbClr val="FFCD00"/>
    </a:custClr>
  </a:custClrLst>
  <a:extLst>
    <a:ext uri="{05A4C25C-085E-4340-85A3-A5531E510DB2}">
      <thm15:themeFamily xmlns:thm15="http://schemas.microsoft.com/office/thememl/2012/main" name="Deloitte" id="{020FA619-153C-4BC1-AB41-D999AE5EF9C3}" vid="{04C754E3-B662-48D8-B304-73D035B0168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a1cba401-1b19-4eb6-9f13-5c3528c9d5c3">
      <UserInfo>
        <DisplayName>Duncan, Sally</DisplayName>
        <AccountId>17</AccountId>
        <AccountType/>
      </UserInfo>
      <UserInfo>
        <DisplayName>Kilroy, Georgina</DisplayName>
        <AccountId>13</AccountId>
        <AccountType/>
      </UserInfo>
      <UserInfo>
        <DisplayName>Doherty, Natasha</DisplayName>
        <AccountId>16</AccountId>
        <AccountType/>
      </UserInfo>
      <UserInfo>
        <DisplayName>Stoneham, Michael</DisplayName>
        <AccountId>21</AccountId>
        <AccountType/>
      </UserInfo>
      <UserInfo>
        <DisplayName>Condon, Luke</DisplayName>
        <AccountId>28</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73550A16BEE6944A1243A2C109BC48E" ma:contentTypeVersion="9" ma:contentTypeDescription="Create a new document." ma:contentTypeScope="" ma:versionID="e1ce9753ac4698cbed8e2914353a7c0e">
  <xsd:schema xmlns:xsd="http://www.w3.org/2001/XMLSchema" xmlns:xs="http://www.w3.org/2001/XMLSchema" xmlns:p="http://schemas.microsoft.com/office/2006/metadata/properties" xmlns:ns2="7b345d3f-221f-4b40-b167-6c6402875015" xmlns:ns3="a1cba401-1b19-4eb6-9f13-5c3528c9d5c3" targetNamespace="http://schemas.microsoft.com/office/2006/metadata/properties" ma:root="true" ma:fieldsID="3ace303dd7f8c0caf1dd18fee9174086" ns2:_="" ns3:_="">
    <xsd:import namespace="7b345d3f-221f-4b40-b167-6c6402875015"/>
    <xsd:import namespace="a1cba401-1b19-4eb6-9f13-5c3528c9d5c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345d3f-221f-4b40-b167-6c64028750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1cba401-1b19-4eb6-9f13-5c3528c9d5c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336317-95B8-4C78-AD08-F0FBCDC8C801}">
  <ds:schemaRefs>
    <ds:schemaRef ds:uri="http://purl.org/dc/elements/1.1/"/>
    <ds:schemaRef ds:uri="http://schemas.microsoft.com/office/2006/metadata/properties"/>
    <ds:schemaRef ds:uri="http://purl.org/dc/terms/"/>
    <ds:schemaRef ds:uri="http://schemas.openxmlformats.org/package/2006/metadata/core-properties"/>
    <ds:schemaRef ds:uri="7b345d3f-221f-4b40-b167-6c6402875015"/>
    <ds:schemaRef ds:uri="http://schemas.microsoft.com/office/2006/documentManagement/types"/>
    <ds:schemaRef ds:uri="http://schemas.microsoft.com/office/infopath/2007/PartnerControls"/>
    <ds:schemaRef ds:uri="a1cba401-1b19-4eb6-9f13-5c3528c9d5c3"/>
    <ds:schemaRef ds:uri="http://www.w3.org/XML/1998/namespace"/>
    <ds:schemaRef ds:uri="http://purl.org/dc/dcmitype/"/>
  </ds:schemaRefs>
</ds:datastoreItem>
</file>

<file path=customXml/itemProps2.xml><?xml version="1.0" encoding="utf-8"?>
<ds:datastoreItem xmlns:ds="http://schemas.openxmlformats.org/officeDocument/2006/customXml" ds:itemID="{C21CEF05-5C5E-4E62-B28E-C88A8730B91D}">
  <ds:schemaRefs>
    <ds:schemaRef ds:uri="http://schemas.microsoft.com/sharepoint/v3/contenttype/forms"/>
  </ds:schemaRefs>
</ds:datastoreItem>
</file>

<file path=customXml/itemProps3.xml><?xml version="1.0" encoding="utf-8"?>
<ds:datastoreItem xmlns:ds="http://schemas.openxmlformats.org/officeDocument/2006/customXml" ds:itemID="{04582E5B-4096-4B1C-92B4-06DCFCC833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345d3f-221f-4b40-b167-6c6402875015"/>
    <ds:schemaRef ds:uri="a1cba401-1b19-4eb6-9f13-5c3528c9d5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498C954-CC0E-45AF-A89E-3BC19C7592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121</Pages>
  <Words>41583</Words>
  <Characters>237029</Characters>
  <Application>Microsoft Office Word</Application>
  <DocSecurity>4</DocSecurity>
  <Lines>1975</Lines>
  <Paragraphs>556</Paragraphs>
  <ScaleCrop>false</ScaleCrop>
  <HeadingPairs>
    <vt:vector size="2" baseType="variant">
      <vt:variant>
        <vt:lpstr>Title</vt:lpstr>
      </vt:variant>
      <vt:variant>
        <vt:i4>1</vt:i4>
      </vt:variant>
    </vt:vector>
  </HeadingPairs>
  <TitlesOfParts>
    <vt:vector size="1" baseType="lpstr">
      <vt:lpstr>Review of phase four of the National Bowel Cancer Screening Program (NBCSP)</vt:lpstr>
    </vt:vector>
  </TitlesOfParts>
  <Company>Australian Government Department of Health and Aged Care</Company>
  <LinksUpToDate>false</LinksUpToDate>
  <CharactersWithSpaces>278056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of phase four of the National Bowel Cancer Screening Program (NBCSP)</dc:title>
  <dc:subject>Cancer; Bladder and Bowel;</dc:subject>
  <dc:creator>Australian Government Depatment of Health and Aged Care</dc:creator>
  <cp:keywords>Bowel cancer; Cancer; National Bowel Cancer Screening Program; NBCSP;Cancer; Bladder and Bowel;</cp:keywords>
  <dc:description/>
  <cp:lastModifiedBy>MASCHKE, Elvia</cp:lastModifiedBy>
  <cp:revision>2</cp:revision>
  <cp:lastPrinted>2021-09-17T02:59:00Z</cp:lastPrinted>
  <dcterms:created xsi:type="dcterms:W3CDTF">2022-07-14T04:01:00Z</dcterms:created>
  <dcterms:modified xsi:type="dcterms:W3CDTF">2022-07-14T04:01:00Z</dcterms:modified>
  <cp:category>Report</cp:category>
  <cp:contentStatus/>
</cp:coreProperties>
</file>